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221640">
      <w:pPr>
        <w:widowControl/>
        <w:shd w:val="clear" w:color="auto" w:fill="FFFFFF"/>
        <w:jc w:val="center"/>
        <w:rPr>
          <w:rFonts w:ascii="Times New Roman" w:hAnsi="Times New Roman" w:eastAsia="宋体" w:cs="Times New Roman"/>
          <w:b/>
          <w:bCs/>
          <w:kern w:val="0"/>
          <w:sz w:val="53"/>
          <w:szCs w:val="53"/>
        </w:rPr>
      </w:pPr>
    </w:p>
    <w:p w14:paraId="16A41357">
      <w:pPr>
        <w:widowControl/>
        <w:shd w:val="clear" w:color="auto" w:fill="FFFFFF"/>
        <w:jc w:val="center"/>
        <w:rPr>
          <w:rFonts w:ascii="Times New Roman" w:hAnsi="Times New Roman" w:eastAsia="宋体" w:cs="Times New Roman"/>
          <w:b/>
          <w:bCs/>
          <w:kern w:val="0"/>
          <w:sz w:val="53"/>
          <w:szCs w:val="53"/>
        </w:rPr>
      </w:pPr>
    </w:p>
    <w:p w14:paraId="6D162C3C">
      <w:pPr>
        <w:widowControl/>
        <w:shd w:val="clear" w:color="auto" w:fill="FFFFFF"/>
        <w:jc w:val="center"/>
        <w:rPr>
          <w:rFonts w:ascii="Times New Roman" w:hAnsi="Times New Roman" w:eastAsia="宋体" w:cs="Times New Roman"/>
          <w:b/>
          <w:bCs/>
          <w:kern w:val="0"/>
          <w:sz w:val="53"/>
          <w:szCs w:val="53"/>
        </w:rPr>
      </w:pPr>
    </w:p>
    <w:p w14:paraId="6895DFAF">
      <w:pPr>
        <w:widowControl/>
        <w:shd w:val="clear" w:color="auto" w:fill="FFFFFF"/>
        <w:jc w:val="center"/>
        <w:rPr>
          <w:rFonts w:ascii="Times New Roman" w:hAnsi="Times New Roman" w:eastAsia="宋体" w:cs="Times New Roman"/>
          <w:b/>
          <w:bCs/>
          <w:kern w:val="0"/>
          <w:sz w:val="53"/>
          <w:szCs w:val="53"/>
        </w:rPr>
      </w:pPr>
    </w:p>
    <w:p w14:paraId="4F803ECE">
      <w:pPr>
        <w:widowControl/>
        <w:shd w:val="clear" w:color="auto" w:fill="FFFFFF"/>
        <w:jc w:val="center"/>
        <w:rPr>
          <w:rFonts w:ascii="Times New Roman" w:hAnsi="Times New Roman" w:eastAsia="宋体" w:cs="Times New Roman"/>
          <w:b/>
          <w:bCs/>
          <w:kern w:val="0"/>
          <w:sz w:val="53"/>
          <w:szCs w:val="53"/>
        </w:rPr>
      </w:pPr>
    </w:p>
    <w:p w14:paraId="42202332">
      <w:pPr>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53"/>
          <w:szCs w:val="53"/>
        </w:rPr>
        <w:t>本溪市溪湖区</w:t>
      </w:r>
      <w:r>
        <w:rPr>
          <w:rFonts w:hint="eastAsia" w:ascii="Times New Roman" w:hAnsi="宋体" w:eastAsia="宋体" w:cs="Times New Roman"/>
          <w:b/>
          <w:bCs/>
          <w:kern w:val="0"/>
          <w:sz w:val="53"/>
          <w:szCs w:val="53"/>
        </w:rPr>
        <w:t>工业和信息化局</w:t>
      </w:r>
      <w:r>
        <w:rPr>
          <w:rFonts w:ascii="Times New Roman" w:hAnsi="Times New Roman" w:eastAsia="宋体" w:cs="Times New Roman"/>
          <w:b/>
          <w:bCs/>
          <w:kern w:val="0"/>
          <w:sz w:val="53"/>
          <w:szCs w:val="53"/>
        </w:rPr>
        <w:t>2024</w:t>
      </w:r>
      <w:r>
        <w:rPr>
          <w:rFonts w:ascii="Times New Roman" w:hAnsi="宋体" w:eastAsia="宋体" w:cs="Times New Roman"/>
          <w:b/>
          <w:bCs/>
          <w:kern w:val="0"/>
          <w:sz w:val="53"/>
          <w:szCs w:val="53"/>
        </w:rPr>
        <w:t>年部门预算</w:t>
      </w:r>
    </w:p>
    <w:p w14:paraId="5A0952E4">
      <w:pPr>
        <w:widowControl/>
        <w:shd w:val="clear" w:color="auto" w:fill="FFFFFF"/>
        <w:jc w:val="center"/>
        <w:rPr>
          <w:rFonts w:ascii="Times New Roman" w:hAnsi="Times New Roman" w:eastAsia="微软雅黑" w:cs="Times New Roman"/>
          <w:kern w:val="0"/>
          <w:sz w:val="24"/>
          <w:szCs w:val="24"/>
        </w:rPr>
      </w:pPr>
    </w:p>
    <w:p w14:paraId="3F6D6443">
      <w:pPr>
        <w:widowControl/>
        <w:shd w:val="clear" w:color="auto" w:fill="FFFFFF"/>
        <w:jc w:val="center"/>
        <w:rPr>
          <w:rFonts w:ascii="Times New Roman" w:hAnsi="Times New Roman" w:eastAsia="微软雅黑" w:cs="Times New Roman"/>
          <w:kern w:val="0"/>
          <w:sz w:val="24"/>
          <w:szCs w:val="24"/>
        </w:rPr>
      </w:pPr>
    </w:p>
    <w:p w14:paraId="26322F2C">
      <w:pPr>
        <w:widowControl/>
        <w:shd w:val="clear" w:color="auto" w:fill="FFFFFF"/>
        <w:jc w:val="center"/>
        <w:rPr>
          <w:rFonts w:ascii="Times New Roman" w:hAnsi="Times New Roman" w:eastAsia="微软雅黑" w:cs="Times New Roman"/>
          <w:kern w:val="0"/>
          <w:sz w:val="24"/>
          <w:szCs w:val="24"/>
        </w:rPr>
      </w:pPr>
    </w:p>
    <w:p w14:paraId="26FC4B5C">
      <w:pPr>
        <w:widowControl/>
        <w:shd w:val="clear" w:color="auto" w:fill="FFFFFF"/>
        <w:jc w:val="center"/>
        <w:rPr>
          <w:rFonts w:ascii="Times New Roman" w:hAnsi="Times New Roman" w:eastAsia="微软雅黑" w:cs="Times New Roman"/>
          <w:kern w:val="0"/>
          <w:sz w:val="24"/>
          <w:szCs w:val="24"/>
        </w:rPr>
      </w:pPr>
      <w:r>
        <w:rPr>
          <w:rFonts w:hint="eastAsia" w:ascii="Times New Roman" w:hAnsi="Times New Roman" w:eastAsia="微软雅黑" w:cs="Times New Roman"/>
          <w:kern w:val="0"/>
          <w:sz w:val="24"/>
          <w:szCs w:val="24"/>
        </w:rPr>
        <w:t>https://xh.benxi.gov.cn/Upload/xh/InfoPublicity/PublicInformation/File/2026/08/12/%E6%9C%AC%E6%BA%AA%E5%B8%82%E6%BA%AA%E6%B9%96%E5%8C%BA%E5%B7%A5%E4%B8%9A%E5%92%8C%E4%BF%A1%E6%81%AF%E5%8C%96%E5%B1%802024%E5%B9%B4%E9%83%A8%E9%97%A8%E9%A2%84%E7%AE%97%E5%92%8C%E2%80%9C%E4%B8%89%E5%85%AC%E2%80%9D%E7%BB%8F%E8%B4%B9%E5%85%AC%E5%BC%80%E8%AF%B4%E6%98%8E(%E9%83%A8%E9%97%A8%EF%BC%89(1).docx</w:t>
      </w:r>
    </w:p>
    <w:p w14:paraId="37CDF3C3">
      <w:pPr>
        <w:widowControl/>
        <w:shd w:val="clear" w:color="auto" w:fill="FFFFFF"/>
        <w:jc w:val="center"/>
        <w:rPr>
          <w:rFonts w:ascii="Times New Roman" w:hAnsi="Times New Roman" w:eastAsia="微软雅黑" w:cs="Times New Roman"/>
          <w:kern w:val="0"/>
          <w:sz w:val="24"/>
          <w:szCs w:val="24"/>
        </w:rPr>
      </w:pPr>
    </w:p>
    <w:p w14:paraId="21E97C91">
      <w:pPr>
        <w:widowControl/>
        <w:shd w:val="clear" w:color="auto" w:fill="FFFFFF"/>
        <w:jc w:val="center"/>
        <w:rPr>
          <w:rFonts w:ascii="Times New Roman" w:hAnsi="Times New Roman" w:eastAsia="微软雅黑" w:cs="Times New Roman"/>
          <w:kern w:val="0"/>
          <w:sz w:val="24"/>
          <w:szCs w:val="24"/>
        </w:rPr>
      </w:pPr>
    </w:p>
    <w:p w14:paraId="3D281263">
      <w:pPr>
        <w:widowControl/>
        <w:shd w:val="clear" w:color="auto" w:fill="FFFFFF"/>
        <w:jc w:val="center"/>
        <w:rPr>
          <w:rFonts w:ascii="Times New Roman" w:hAnsi="Times New Roman" w:eastAsia="微软雅黑" w:cs="Times New Roman"/>
          <w:kern w:val="0"/>
          <w:sz w:val="24"/>
          <w:szCs w:val="24"/>
        </w:rPr>
      </w:pPr>
      <w:bookmarkStart w:id="1" w:name="_GoBack"/>
      <w:r>
        <w:rPr>
          <w:rFonts w:hint="eastAsia" w:ascii="Times New Roman" w:hAnsi="Times New Roman" w:eastAsia="微软雅黑" w:cs="Times New Roman"/>
          <w:kern w:val="0"/>
          <w:sz w:val="24"/>
          <w:szCs w:val="24"/>
        </w:rPr>
        <w:t>https://xh.benxi.gov.cn/Upload/xh/InfoPublicity/PublicInformation/File/2026/08/12/%E6%9C%AC%E6%BA%AA%E5%B8%82%E6%BA%AA%E6%B9%96%E5%8C%BA%E5%B7%A5%E4%B8%9A%E5%92%8C%E4%BF%A1%E6%81%AF%E5%8C%96%E5%B1%802024%E5%B9%B4%E9%83%A8%E9%97%A8%E9%A2%84%E7%AE%97%E5%92%8C%E2%80%9C%E4%B8%89%E5%85%AC%E2%80%9D%E7%BB%8F%E8%B4%B9%E5%85%AC%E5%BC%80%E8%AF%B4%E6%98%8E(%E9%83%A8%E9%97%A8%EF%BC%89(1).docx</w:t>
      </w:r>
    </w:p>
    <w:bookmarkEnd w:id="1"/>
    <w:p w14:paraId="7F65F27C">
      <w:pPr>
        <w:widowControl/>
        <w:shd w:val="clear" w:color="auto" w:fill="FFFFFF"/>
        <w:jc w:val="center"/>
        <w:rPr>
          <w:rFonts w:ascii="Times New Roman" w:hAnsi="Times New Roman" w:eastAsia="微软雅黑" w:cs="Times New Roman"/>
          <w:kern w:val="0"/>
          <w:sz w:val="24"/>
          <w:szCs w:val="24"/>
        </w:rPr>
      </w:pPr>
    </w:p>
    <w:p w14:paraId="6F97991A">
      <w:pPr>
        <w:widowControl/>
        <w:shd w:val="clear" w:color="auto" w:fill="FFFFFF"/>
        <w:jc w:val="center"/>
        <w:rPr>
          <w:rFonts w:ascii="Times New Roman" w:hAnsi="Times New Roman" w:eastAsia="微软雅黑" w:cs="Times New Roman"/>
          <w:kern w:val="0"/>
          <w:sz w:val="24"/>
          <w:szCs w:val="24"/>
        </w:rPr>
      </w:pPr>
    </w:p>
    <w:p w14:paraId="4D20BED0">
      <w:pPr>
        <w:widowControl/>
        <w:shd w:val="clear" w:color="auto" w:fill="FFFFFF"/>
        <w:jc w:val="center"/>
        <w:rPr>
          <w:rFonts w:ascii="Times New Roman" w:hAnsi="Times New Roman" w:eastAsia="微软雅黑" w:cs="Times New Roman"/>
          <w:kern w:val="0"/>
          <w:sz w:val="24"/>
          <w:szCs w:val="24"/>
        </w:rPr>
      </w:pPr>
    </w:p>
    <w:p w14:paraId="44219ECB">
      <w:pPr>
        <w:widowControl/>
        <w:shd w:val="clear" w:color="auto" w:fill="FFFFFF"/>
        <w:jc w:val="center"/>
        <w:rPr>
          <w:rFonts w:ascii="Times New Roman" w:hAnsi="Times New Roman" w:eastAsia="微软雅黑" w:cs="Times New Roman"/>
          <w:kern w:val="0"/>
          <w:sz w:val="24"/>
          <w:szCs w:val="24"/>
        </w:rPr>
      </w:pPr>
    </w:p>
    <w:p w14:paraId="63C7E953">
      <w:pPr>
        <w:widowControl/>
        <w:shd w:val="clear" w:color="auto" w:fill="FFFFFF"/>
        <w:jc w:val="center"/>
        <w:rPr>
          <w:rFonts w:ascii="Times New Roman" w:hAnsi="Times New Roman" w:eastAsia="微软雅黑" w:cs="Times New Roman"/>
          <w:kern w:val="0"/>
          <w:sz w:val="24"/>
          <w:szCs w:val="24"/>
        </w:rPr>
      </w:pPr>
    </w:p>
    <w:p w14:paraId="6C2EE48A">
      <w:pPr>
        <w:widowControl/>
        <w:shd w:val="clear" w:color="auto" w:fill="FFFFFF"/>
        <w:jc w:val="center"/>
        <w:rPr>
          <w:rFonts w:ascii="Times New Roman" w:hAnsi="Times New Roman" w:eastAsia="微软雅黑" w:cs="Times New Roman"/>
          <w:kern w:val="0"/>
          <w:sz w:val="24"/>
          <w:szCs w:val="24"/>
        </w:rPr>
      </w:pPr>
    </w:p>
    <w:p w14:paraId="447C78A0">
      <w:pPr>
        <w:widowControl/>
        <w:shd w:val="clear" w:color="auto" w:fill="FFFFFF"/>
        <w:jc w:val="center"/>
        <w:rPr>
          <w:rFonts w:ascii="Times New Roman" w:hAnsi="Times New Roman" w:eastAsia="微软雅黑" w:cs="Times New Roman"/>
          <w:kern w:val="0"/>
          <w:sz w:val="24"/>
          <w:szCs w:val="24"/>
        </w:rPr>
      </w:pPr>
    </w:p>
    <w:p w14:paraId="3552D8DF">
      <w:pPr>
        <w:widowControl/>
        <w:shd w:val="clear" w:color="auto" w:fill="FFFFFF"/>
        <w:jc w:val="center"/>
        <w:rPr>
          <w:rFonts w:ascii="Times New Roman" w:hAnsi="Times New Roman" w:eastAsia="微软雅黑" w:cs="Times New Roman"/>
          <w:kern w:val="0"/>
          <w:sz w:val="24"/>
          <w:szCs w:val="24"/>
        </w:rPr>
      </w:pPr>
    </w:p>
    <w:p w14:paraId="02469C5B">
      <w:pPr>
        <w:widowControl/>
        <w:shd w:val="clear" w:color="auto" w:fill="FFFFFF"/>
        <w:jc w:val="center"/>
        <w:rPr>
          <w:rFonts w:ascii="Times New Roman" w:hAnsi="Times New Roman" w:eastAsia="微软雅黑" w:cs="Times New Roman"/>
          <w:kern w:val="0"/>
          <w:sz w:val="24"/>
          <w:szCs w:val="24"/>
        </w:rPr>
      </w:pPr>
    </w:p>
    <w:p w14:paraId="71337F5B">
      <w:pPr>
        <w:widowControl/>
        <w:shd w:val="clear" w:color="auto" w:fill="FFFFFF"/>
        <w:jc w:val="center"/>
        <w:rPr>
          <w:rFonts w:ascii="Times New Roman" w:hAnsi="Times New Roman" w:eastAsia="微软雅黑" w:cs="Times New Roman"/>
          <w:kern w:val="0"/>
          <w:sz w:val="24"/>
          <w:szCs w:val="24"/>
        </w:rPr>
      </w:pPr>
    </w:p>
    <w:p w14:paraId="3CC421B1">
      <w:pPr>
        <w:widowControl/>
        <w:shd w:val="clear" w:color="auto" w:fill="FFFFFF"/>
        <w:jc w:val="center"/>
        <w:rPr>
          <w:rFonts w:ascii="Times New Roman" w:hAnsi="Times New Roman" w:eastAsia="微软雅黑" w:cs="Times New Roman"/>
          <w:kern w:val="0"/>
          <w:sz w:val="24"/>
          <w:szCs w:val="24"/>
        </w:rPr>
      </w:pPr>
    </w:p>
    <w:p w14:paraId="61961F13">
      <w:pPr>
        <w:widowControl/>
        <w:shd w:val="clear" w:color="auto" w:fill="FFFFFF"/>
        <w:jc w:val="center"/>
        <w:rPr>
          <w:rFonts w:ascii="Times New Roman" w:hAnsi="Times New Roman" w:eastAsia="微软雅黑" w:cs="Times New Roman"/>
          <w:kern w:val="0"/>
          <w:sz w:val="24"/>
          <w:szCs w:val="24"/>
        </w:rPr>
      </w:pPr>
    </w:p>
    <w:p w14:paraId="2016CD1D">
      <w:pPr>
        <w:widowControl/>
        <w:shd w:val="clear" w:color="auto" w:fill="FFFFFF"/>
        <w:jc w:val="center"/>
        <w:rPr>
          <w:rFonts w:ascii="Times New Roman" w:hAnsi="Times New Roman" w:eastAsia="微软雅黑" w:cs="Times New Roman"/>
          <w:kern w:val="0"/>
          <w:sz w:val="24"/>
          <w:szCs w:val="24"/>
        </w:rPr>
      </w:pPr>
    </w:p>
    <w:p w14:paraId="0C44BCF8">
      <w:pPr>
        <w:widowControl/>
        <w:shd w:val="clear" w:color="auto" w:fill="FFFFFF"/>
        <w:jc w:val="center"/>
        <w:rPr>
          <w:rFonts w:ascii="Times New Roman" w:hAnsi="Times New Roman" w:eastAsia="微软雅黑" w:cs="Times New Roman"/>
          <w:kern w:val="0"/>
          <w:sz w:val="24"/>
          <w:szCs w:val="24"/>
        </w:rPr>
      </w:pPr>
    </w:p>
    <w:p w14:paraId="0F683C7E">
      <w:pPr>
        <w:widowControl/>
        <w:shd w:val="clear" w:color="auto" w:fill="FFFFFF"/>
        <w:jc w:val="center"/>
        <w:rPr>
          <w:rFonts w:ascii="Times New Roman" w:hAnsi="Times New Roman" w:eastAsia="微软雅黑" w:cs="Times New Roman"/>
          <w:kern w:val="0"/>
          <w:sz w:val="24"/>
          <w:szCs w:val="24"/>
        </w:rPr>
      </w:pPr>
    </w:p>
    <w:p w14:paraId="3A862144">
      <w:pPr>
        <w:widowControl/>
        <w:shd w:val="clear" w:color="auto" w:fill="FFFFFF"/>
        <w:jc w:val="center"/>
        <w:rPr>
          <w:rFonts w:ascii="Times New Roman" w:hAnsi="Times New Roman" w:eastAsia="微软雅黑" w:cs="Times New Roman"/>
          <w:kern w:val="0"/>
          <w:sz w:val="24"/>
          <w:szCs w:val="24"/>
        </w:rPr>
      </w:pPr>
    </w:p>
    <w:p w14:paraId="4460C53D">
      <w:pPr>
        <w:widowControl/>
        <w:shd w:val="clear" w:color="auto" w:fill="FFFFFF"/>
        <w:jc w:val="center"/>
        <w:rPr>
          <w:rFonts w:ascii="Times New Roman" w:hAnsi="Times New Roman" w:eastAsia="微软雅黑" w:cs="Times New Roman"/>
          <w:kern w:val="0"/>
          <w:sz w:val="24"/>
          <w:szCs w:val="24"/>
        </w:rPr>
      </w:pPr>
    </w:p>
    <w:p w14:paraId="46D16E2C">
      <w:pPr>
        <w:widowControl/>
        <w:shd w:val="clear" w:color="auto" w:fill="FFFFFF"/>
        <w:jc w:val="center"/>
        <w:rPr>
          <w:rFonts w:ascii="Times New Roman" w:hAnsi="Times New Roman" w:eastAsia="微软雅黑" w:cs="Times New Roman"/>
          <w:kern w:val="0"/>
          <w:sz w:val="24"/>
          <w:szCs w:val="24"/>
        </w:rPr>
      </w:pPr>
    </w:p>
    <w:p w14:paraId="4E5433B2">
      <w:pPr>
        <w:widowControl/>
        <w:shd w:val="clear" w:color="auto" w:fill="FFFFFF"/>
        <w:jc w:val="center"/>
        <w:rPr>
          <w:rFonts w:ascii="Times New Roman" w:hAnsi="Times New Roman" w:eastAsia="微软雅黑" w:cs="Times New Roman"/>
          <w:kern w:val="0"/>
          <w:sz w:val="24"/>
          <w:szCs w:val="24"/>
        </w:rPr>
      </w:pPr>
    </w:p>
    <w:p w14:paraId="397BCAB1">
      <w:pPr>
        <w:widowControl/>
        <w:shd w:val="clear" w:color="auto" w:fill="FFFFFF"/>
        <w:jc w:val="center"/>
        <w:rPr>
          <w:rFonts w:ascii="Times New Roman" w:hAnsi="Times New Roman" w:eastAsia="微软雅黑" w:cs="Times New Roman"/>
          <w:kern w:val="0"/>
          <w:sz w:val="24"/>
          <w:szCs w:val="24"/>
        </w:rPr>
      </w:pPr>
    </w:p>
    <w:p w14:paraId="17F4BD7E">
      <w:pPr>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44"/>
          <w:szCs w:val="44"/>
        </w:rPr>
        <w:t>本溪市溪湖区</w:t>
      </w:r>
      <w:r>
        <w:rPr>
          <w:rFonts w:hint="eastAsia" w:ascii="Times New Roman" w:hAnsi="宋体" w:eastAsia="宋体" w:cs="Times New Roman"/>
          <w:b/>
          <w:bCs/>
          <w:kern w:val="0"/>
          <w:sz w:val="44"/>
          <w:szCs w:val="44"/>
        </w:rPr>
        <w:t>工业和信息化局</w:t>
      </w:r>
    </w:p>
    <w:p w14:paraId="4EE2E29B">
      <w:pPr>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44"/>
          <w:szCs w:val="44"/>
        </w:rPr>
        <w:t>目录</w:t>
      </w:r>
    </w:p>
    <w:p w14:paraId="6E31AD72">
      <w:pPr>
        <w:widowControl/>
        <w:shd w:val="clear" w:color="auto" w:fill="FFFFFF"/>
        <w:spacing w:line="560" w:lineRule="exact"/>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第一部分</w:t>
      </w:r>
      <w:r>
        <w:rPr>
          <w:rFonts w:ascii="Times New Roman" w:hAnsi="Times New Roman" w:eastAsia="黑体" w:cs="Times New Roman"/>
          <w:kern w:val="0"/>
          <w:sz w:val="32"/>
          <w:szCs w:val="32"/>
        </w:rPr>
        <w:t xml:space="preserve"> </w:t>
      </w:r>
      <w:r>
        <w:rPr>
          <w:rFonts w:ascii="Times New Roman" w:hAnsi="黑体" w:eastAsia="黑体" w:cs="Times New Roman"/>
          <w:kern w:val="0"/>
          <w:sz w:val="32"/>
          <w:szCs w:val="32"/>
        </w:rPr>
        <w:t>部门预算公开管理文件</w:t>
      </w:r>
    </w:p>
    <w:p w14:paraId="6412BEEE">
      <w:pPr>
        <w:widowControl/>
        <w:shd w:val="clear" w:color="auto" w:fill="FFFFFF"/>
        <w:spacing w:line="560" w:lineRule="exact"/>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第二部分</w:t>
      </w:r>
      <w:r>
        <w:rPr>
          <w:rFonts w:ascii="Times New Roman" w:hAnsi="Times New Roman" w:eastAsia="黑体" w:cs="Times New Roman"/>
          <w:kern w:val="0"/>
          <w:sz w:val="32"/>
          <w:szCs w:val="32"/>
        </w:rPr>
        <w:t xml:space="preserve"> </w:t>
      </w:r>
      <w:r>
        <w:rPr>
          <w:rFonts w:ascii="Times New Roman" w:hAnsi="黑体" w:eastAsia="黑体" w:cs="Times New Roman"/>
          <w:kern w:val="0"/>
          <w:sz w:val="32"/>
          <w:szCs w:val="32"/>
        </w:rPr>
        <w:t>本溪市溪湖区</w:t>
      </w:r>
      <w:r>
        <w:rPr>
          <w:rFonts w:hint="eastAsia" w:ascii="Times New Roman" w:hAnsi="黑体" w:eastAsia="黑体" w:cs="Times New Roman"/>
          <w:kern w:val="0"/>
          <w:sz w:val="32"/>
          <w:szCs w:val="32"/>
        </w:rPr>
        <w:t>工业和信息化局</w:t>
      </w:r>
      <w:r>
        <w:rPr>
          <w:rFonts w:ascii="Times New Roman" w:hAnsi="黑体" w:eastAsia="黑体" w:cs="Times New Roman"/>
          <w:kern w:val="0"/>
          <w:sz w:val="32"/>
          <w:szCs w:val="32"/>
        </w:rPr>
        <w:t>概况</w:t>
      </w:r>
    </w:p>
    <w:p w14:paraId="7E8A7EA7">
      <w:pPr>
        <w:widowControl/>
        <w:shd w:val="clear" w:color="auto" w:fill="FFFFFF"/>
        <w:spacing w:line="560" w:lineRule="exact"/>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第三部分</w:t>
      </w:r>
      <w:r>
        <w:rPr>
          <w:rFonts w:ascii="Times New Roman" w:hAnsi="Times New Roman" w:eastAsia="黑体" w:cs="Times New Roman"/>
          <w:kern w:val="0"/>
          <w:sz w:val="32"/>
          <w:szCs w:val="32"/>
        </w:rPr>
        <w:t xml:space="preserve"> </w:t>
      </w:r>
      <w:r>
        <w:rPr>
          <w:rFonts w:ascii="Times New Roman" w:hAnsi="黑体" w:eastAsia="黑体" w:cs="Times New Roman"/>
          <w:kern w:val="0"/>
          <w:sz w:val="32"/>
          <w:szCs w:val="32"/>
        </w:rPr>
        <w:t>本溪市溪湖区</w:t>
      </w:r>
      <w:r>
        <w:rPr>
          <w:rFonts w:hint="eastAsia" w:ascii="Times New Roman" w:hAnsi="黑体" w:eastAsia="黑体" w:cs="Times New Roman"/>
          <w:kern w:val="0"/>
          <w:sz w:val="32"/>
          <w:szCs w:val="32"/>
        </w:rPr>
        <w:t>工业和信息化局</w:t>
      </w:r>
      <w:r>
        <w:rPr>
          <w:rFonts w:ascii="Times New Roman" w:hAnsi="Times New Roman" w:eastAsia="黑体" w:cs="Times New Roman"/>
          <w:kern w:val="0"/>
          <w:sz w:val="32"/>
          <w:szCs w:val="32"/>
        </w:rPr>
        <w:t>2024</w:t>
      </w:r>
      <w:r>
        <w:rPr>
          <w:rFonts w:ascii="Times New Roman" w:hAnsi="黑体" w:eastAsia="黑体" w:cs="Times New Roman"/>
          <w:kern w:val="0"/>
          <w:sz w:val="32"/>
          <w:szCs w:val="32"/>
        </w:rPr>
        <w:t>年部门预算情况说明</w:t>
      </w:r>
    </w:p>
    <w:p w14:paraId="3C48B0A8">
      <w:pPr>
        <w:widowControl/>
        <w:shd w:val="clear" w:color="auto" w:fill="FFFFFF"/>
        <w:spacing w:line="560" w:lineRule="exact"/>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第四部分</w:t>
      </w:r>
      <w:r>
        <w:rPr>
          <w:rFonts w:ascii="Times New Roman" w:hAnsi="Times New Roman" w:eastAsia="黑体" w:cs="Times New Roman"/>
          <w:kern w:val="0"/>
          <w:sz w:val="32"/>
          <w:szCs w:val="32"/>
        </w:rPr>
        <w:t xml:space="preserve"> </w:t>
      </w:r>
      <w:r>
        <w:rPr>
          <w:rFonts w:ascii="Times New Roman" w:hAnsi="黑体" w:eastAsia="黑体" w:cs="Times New Roman"/>
          <w:kern w:val="0"/>
          <w:sz w:val="32"/>
          <w:szCs w:val="32"/>
        </w:rPr>
        <w:t>名词解释</w:t>
      </w:r>
    </w:p>
    <w:p w14:paraId="0A235FEB">
      <w:pPr>
        <w:widowControl/>
        <w:shd w:val="clear" w:color="auto" w:fill="FFFFFF"/>
        <w:spacing w:line="560" w:lineRule="exact"/>
        <w:jc w:val="left"/>
        <w:rPr>
          <w:rFonts w:ascii="Times New Roman" w:hAnsi="Times New Roman" w:eastAsia="黑体" w:cs="Times New Roman"/>
          <w:kern w:val="0"/>
          <w:sz w:val="32"/>
          <w:szCs w:val="32"/>
        </w:rPr>
      </w:pPr>
      <w:r>
        <w:rPr>
          <w:rFonts w:ascii="Times New Roman" w:hAnsi="黑体" w:eastAsia="黑体" w:cs="Times New Roman"/>
          <w:kern w:val="0"/>
          <w:sz w:val="32"/>
          <w:szCs w:val="32"/>
        </w:rPr>
        <w:t>第五部分</w:t>
      </w:r>
      <w:r>
        <w:rPr>
          <w:rFonts w:ascii="Times New Roman" w:hAnsi="Times New Roman" w:eastAsia="黑体" w:cs="Times New Roman"/>
          <w:kern w:val="0"/>
          <w:sz w:val="32"/>
          <w:szCs w:val="32"/>
        </w:rPr>
        <w:t xml:space="preserve"> 2024</w:t>
      </w:r>
      <w:r>
        <w:rPr>
          <w:rFonts w:ascii="Times New Roman" w:hAnsi="黑体" w:eastAsia="黑体" w:cs="Times New Roman"/>
          <w:kern w:val="0"/>
          <w:sz w:val="32"/>
          <w:szCs w:val="32"/>
        </w:rPr>
        <w:t>年本溪市溪湖区部门预算批复公开表</w:t>
      </w:r>
    </w:p>
    <w:p w14:paraId="51094178">
      <w:pPr>
        <w:widowControl/>
        <w:shd w:val="clear" w:color="auto" w:fill="FFFFFF"/>
        <w:spacing w:line="560" w:lineRule="exact"/>
        <w:jc w:val="left"/>
        <w:rPr>
          <w:rFonts w:ascii="Times New Roman" w:hAnsi="Times New Roman" w:eastAsia="黑体" w:cs="Times New Roman"/>
          <w:kern w:val="0"/>
          <w:sz w:val="32"/>
          <w:szCs w:val="32"/>
        </w:rPr>
      </w:pPr>
    </w:p>
    <w:p w14:paraId="4C1B85A7">
      <w:pPr>
        <w:widowControl/>
        <w:shd w:val="clear" w:color="auto" w:fill="FFFFFF"/>
        <w:spacing w:line="560" w:lineRule="exact"/>
        <w:jc w:val="left"/>
        <w:rPr>
          <w:rFonts w:ascii="Times New Roman" w:hAnsi="Times New Roman" w:eastAsia="黑体" w:cs="Times New Roman"/>
          <w:kern w:val="0"/>
          <w:sz w:val="32"/>
          <w:szCs w:val="32"/>
        </w:rPr>
      </w:pPr>
    </w:p>
    <w:p w14:paraId="4BA1B19C">
      <w:pPr>
        <w:widowControl/>
        <w:shd w:val="clear" w:color="auto" w:fill="FFFFFF"/>
        <w:spacing w:line="560" w:lineRule="exact"/>
        <w:jc w:val="left"/>
        <w:rPr>
          <w:rFonts w:ascii="Times New Roman" w:hAnsi="Times New Roman" w:eastAsia="黑体" w:cs="Times New Roman"/>
          <w:kern w:val="0"/>
          <w:sz w:val="32"/>
          <w:szCs w:val="32"/>
        </w:rPr>
      </w:pPr>
    </w:p>
    <w:p w14:paraId="2BAF1D11">
      <w:pPr>
        <w:widowControl/>
        <w:shd w:val="clear" w:color="auto" w:fill="FFFFFF"/>
        <w:spacing w:line="560" w:lineRule="exact"/>
        <w:jc w:val="left"/>
        <w:rPr>
          <w:rFonts w:ascii="Times New Roman" w:hAnsi="Times New Roman" w:eastAsia="黑体" w:cs="Times New Roman"/>
          <w:kern w:val="0"/>
          <w:sz w:val="32"/>
          <w:szCs w:val="32"/>
        </w:rPr>
      </w:pPr>
    </w:p>
    <w:p w14:paraId="17C68FC7">
      <w:pPr>
        <w:widowControl/>
        <w:shd w:val="clear" w:color="auto" w:fill="FFFFFF"/>
        <w:spacing w:line="560" w:lineRule="exact"/>
        <w:jc w:val="left"/>
        <w:rPr>
          <w:rFonts w:ascii="Times New Roman" w:hAnsi="Times New Roman" w:eastAsia="黑体" w:cs="Times New Roman"/>
          <w:kern w:val="0"/>
          <w:sz w:val="32"/>
          <w:szCs w:val="32"/>
        </w:rPr>
      </w:pPr>
    </w:p>
    <w:p w14:paraId="1B8503FF">
      <w:pPr>
        <w:widowControl/>
        <w:shd w:val="clear" w:color="auto" w:fill="FFFFFF"/>
        <w:spacing w:line="560" w:lineRule="exact"/>
        <w:jc w:val="left"/>
        <w:rPr>
          <w:rFonts w:ascii="Times New Roman" w:hAnsi="Times New Roman" w:eastAsia="黑体" w:cs="Times New Roman"/>
          <w:kern w:val="0"/>
          <w:sz w:val="32"/>
          <w:szCs w:val="32"/>
        </w:rPr>
      </w:pPr>
    </w:p>
    <w:p w14:paraId="68C9D53F">
      <w:pPr>
        <w:widowControl/>
        <w:shd w:val="clear" w:color="auto" w:fill="FFFFFF"/>
        <w:spacing w:line="560" w:lineRule="exact"/>
        <w:jc w:val="left"/>
        <w:rPr>
          <w:rFonts w:ascii="Times New Roman" w:hAnsi="Times New Roman" w:eastAsia="黑体" w:cs="Times New Roman"/>
          <w:kern w:val="0"/>
          <w:sz w:val="32"/>
          <w:szCs w:val="32"/>
        </w:rPr>
      </w:pPr>
    </w:p>
    <w:p w14:paraId="0EEB3783">
      <w:pPr>
        <w:widowControl/>
        <w:shd w:val="clear" w:color="auto" w:fill="FFFFFF"/>
        <w:spacing w:line="560" w:lineRule="exact"/>
        <w:jc w:val="left"/>
        <w:rPr>
          <w:rFonts w:ascii="Times New Roman" w:hAnsi="Times New Roman" w:eastAsia="黑体" w:cs="Times New Roman"/>
          <w:kern w:val="0"/>
          <w:sz w:val="32"/>
          <w:szCs w:val="32"/>
        </w:rPr>
      </w:pPr>
    </w:p>
    <w:p w14:paraId="0F2BD14D">
      <w:pPr>
        <w:widowControl/>
        <w:shd w:val="clear" w:color="auto" w:fill="FFFFFF"/>
        <w:spacing w:line="560" w:lineRule="exact"/>
        <w:jc w:val="left"/>
        <w:rPr>
          <w:rFonts w:ascii="Times New Roman" w:hAnsi="Times New Roman" w:eastAsia="黑体" w:cs="Times New Roman"/>
          <w:kern w:val="0"/>
          <w:sz w:val="32"/>
          <w:szCs w:val="32"/>
        </w:rPr>
      </w:pPr>
    </w:p>
    <w:p w14:paraId="630462F7">
      <w:pPr>
        <w:widowControl/>
        <w:shd w:val="clear" w:color="auto" w:fill="FFFFFF"/>
        <w:spacing w:line="560" w:lineRule="exact"/>
        <w:jc w:val="left"/>
        <w:rPr>
          <w:rFonts w:ascii="Times New Roman" w:hAnsi="Times New Roman" w:eastAsia="黑体" w:cs="Times New Roman"/>
          <w:kern w:val="0"/>
          <w:sz w:val="32"/>
          <w:szCs w:val="32"/>
        </w:rPr>
      </w:pPr>
    </w:p>
    <w:p w14:paraId="057F132A">
      <w:pPr>
        <w:widowControl/>
        <w:shd w:val="clear" w:color="auto" w:fill="FFFFFF"/>
        <w:spacing w:line="560" w:lineRule="exact"/>
        <w:jc w:val="left"/>
        <w:rPr>
          <w:rFonts w:ascii="Times New Roman" w:hAnsi="Times New Roman" w:eastAsia="黑体" w:cs="Times New Roman"/>
          <w:kern w:val="0"/>
          <w:sz w:val="32"/>
          <w:szCs w:val="32"/>
        </w:rPr>
      </w:pPr>
    </w:p>
    <w:p w14:paraId="4F83311D">
      <w:pPr>
        <w:widowControl/>
        <w:shd w:val="clear" w:color="auto" w:fill="FFFFFF"/>
        <w:spacing w:line="560" w:lineRule="exact"/>
        <w:jc w:val="left"/>
        <w:rPr>
          <w:rFonts w:ascii="Times New Roman" w:hAnsi="Times New Roman" w:eastAsia="黑体" w:cs="Times New Roman"/>
          <w:kern w:val="0"/>
          <w:sz w:val="32"/>
          <w:szCs w:val="32"/>
        </w:rPr>
      </w:pPr>
    </w:p>
    <w:p w14:paraId="2D16BFEB">
      <w:pPr>
        <w:widowControl/>
        <w:shd w:val="clear" w:color="auto" w:fill="FFFFFF"/>
        <w:spacing w:line="560" w:lineRule="exact"/>
        <w:jc w:val="left"/>
        <w:rPr>
          <w:rFonts w:ascii="Times New Roman" w:hAnsi="Times New Roman" w:eastAsia="黑体" w:cs="Times New Roman"/>
          <w:kern w:val="0"/>
          <w:sz w:val="32"/>
          <w:szCs w:val="32"/>
        </w:rPr>
      </w:pPr>
    </w:p>
    <w:p w14:paraId="1B86F2C4">
      <w:pPr>
        <w:widowControl/>
        <w:shd w:val="clear" w:color="auto" w:fill="FFFFFF"/>
        <w:spacing w:line="560" w:lineRule="exact"/>
        <w:jc w:val="left"/>
        <w:rPr>
          <w:rFonts w:ascii="Times New Roman" w:hAnsi="Times New Roman" w:eastAsia="黑体" w:cs="Times New Roman"/>
          <w:kern w:val="0"/>
          <w:sz w:val="32"/>
          <w:szCs w:val="32"/>
        </w:rPr>
      </w:pPr>
    </w:p>
    <w:p w14:paraId="68789815">
      <w:pPr>
        <w:widowControl/>
        <w:shd w:val="clear" w:color="auto" w:fill="FFFFFF"/>
        <w:spacing w:line="560" w:lineRule="exact"/>
        <w:jc w:val="left"/>
        <w:rPr>
          <w:rFonts w:ascii="Times New Roman" w:hAnsi="Times New Roman" w:eastAsia="微软雅黑" w:cs="Times New Roman"/>
          <w:kern w:val="0"/>
          <w:sz w:val="24"/>
          <w:szCs w:val="24"/>
        </w:rPr>
        <w:sectPr>
          <w:footerReference r:id="rId3" w:type="default"/>
          <w:pgSz w:w="11906" w:h="16838"/>
          <w:pgMar w:top="1440" w:right="1800" w:bottom="1440" w:left="1800" w:header="851" w:footer="992" w:gutter="0"/>
          <w:cols w:space="425" w:num="1"/>
          <w:docGrid w:type="lines" w:linePitch="312" w:charSpace="0"/>
        </w:sectPr>
      </w:pPr>
    </w:p>
    <w:p w14:paraId="6CC8CCE9">
      <w:pPr>
        <w:keepLines/>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36"/>
          <w:szCs w:val="36"/>
        </w:rPr>
        <w:t>第一部分</w:t>
      </w:r>
      <w:r>
        <w:rPr>
          <w:rFonts w:ascii="Times New Roman" w:hAnsi="Times New Roman" w:eastAsia="宋体" w:cs="Times New Roman"/>
          <w:b/>
          <w:bCs/>
          <w:kern w:val="0"/>
          <w:sz w:val="36"/>
          <w:szCs w:val="36"/>
        </w:rPr>
        <w:t xml:space="preserve"> </w:t>
      </w:r>
      <w:r>
        <w:rPr>
          <w:rFonts w:ascii="Times New Roman" w:hAnsi="宋体" w:eastAsia="宋体" w:cs="Times New Roman"/>
          <w:b/>
          <w:bCs/>
          <w:kern w:val="0"/>
          <w:sz w:val="36"/>
          <w:szCs w:val="36"/>
        </w:rPr>
        <w:t>部门预算公开管理文件</w:t>
      </w:r>
    </w:p>
    <w:p w14:paraId="03314ECD">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p>
    <w:p w14:paraId="7AB4826D">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《关于印发&lt;本溪市财政局部门预决算信息公开管理办法（试行）&gt;的通知》(本财发〔2020〕36号)、本溪市财政局部门预决算信息公开管理办法（试行）</w:t>
      </w:r>
    </w:p>
    <w:p w14:paraId="267AF91D">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一条为推进和规范预决算信息公开工作，强化社会监督，促进依法理财，建立透明预算制度，根据《中华人民共和国预算法》和《中华人民共和国政府信息公开条例》等有关规定，结合我单位实际，制定本办法。</w:t>
      </w:r>
    </w:p>
    <w:p w14:paraId="39A2E99A">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第二条本办法适用于本溪市溪湖区</w:t>
      </w:r>
      <w:r>
        <w:rPr>
          <w:rFonts w:hint="eastAsia" w:ascii="Times New Roman" w:hAnsi="Times New Roman" w:eastAsia="仿宋_GB2312" w:cs="Times New Roman"/>
          <w:kern w:val="0"/>
          <w:sz w:val="32"/>
          <w:szCs w:val="32"/>
        </w:rPr>
        <w:t>工业和信息化局</w:t>
      </w:r>
      <w:r>
        <w:rPr>
          <w:rFonts w:ascii="Times New Roman" w:hAnsi="Times New Roman" w:eastAsia="仿宋_GB2312" w:cs="Times New Roman"/>
          <w:kern w:val="0"/>
          <w:sz w:val="32"/>
          <w:szCs w:val="32"/>
        </w:rPr>
        <w:t>部门预决算信息公开管理。</w:t>
      </w:r>
    </w:p>
    <w:p w14:paraId="6BAA88E3">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第三条本办法所称部门预决算信息包括预算收支安排、预算执行、决算数据等。</w:t>
      </w:r>
    </w:p>
    <w:p w14:paraId="75C164C6">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第四条预决算信息公开的原则：以公开为常态，不公开为例外，依法依规公开预决算。除涉及国家秘密外，不得少公开、不公开应当公开的事项，确保预决算信息公开及时、准确和完整。</w:t>
      </w:r>
    </w:p>
    <w:p w14:paraId="050C0A26">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第五条财务核算部负责我单位部门预决算信息公开工作，履行下列职责：</w:t>
      </w:r>
    </w:p>
    <w:p w14:paraId="7B56F9D0">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（一）制定我单位部门预决算信息公开的工作方案；</w:t>
      </w:r>
    </w:p>
    <w:p w14:paraId="6956F440">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（二）按规定公开我单位部门预决算信息；</w:t>
      </w:r>
    </w:p>
    <w:p w14:paraId="58A98D96">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（三）按规定做好公民、法人或者其他组织依申请公开部门预决算信息的答复工作。</w:t>
      </w:r>
    </w:p>
    <w:p w14:paraId="3E63FD2D">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第六条部门预决算信息公开内容包括：</w:t>
      </w:r>
    </w:p>
    <w:p w14:paraId="0F2BE4BE">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（一）部门文件。部门预决算信息公开管理办法。</w:t>
      </w:r>
    </w:p>
    <w:p w14:paraId="659C7889">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（二）部门概况。包括部门职责、机构设置、实有人员等情况。</w:t>
      </w:r>
    </w:p>
    <w:p w14:paraId="67D0861D">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（三）预决算收支情况表。包括部门收支总体情况、财政拨款安排使用情况、“三公”经费财政拨款安排使用情况等。</w:t>
      </w:r>
    </w:p>
    <w:p w14:paraId="645A7E6B">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（四）情况说明。包括预决算年度收支、机关运行经费、政府采购、“三公”经费、国有资产占有使用和项目支出绩效目标等情况说明。</w:t>
      </w:r>
    </w:p>
    <w:p w14:paraId="1C642CF3">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（五）名词解释。对预决算相关专业名词进行解释说明。</w:t>
      </w:r>
    </w:p>
    <w:p w14:paraId="1F5A6189">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第七条部门预决算信息在我单位门户网站“财政预决算”专栏公开，并保持长期公开状态，便于社会公众查询监督。</w:t>
      </w:r>
    </w:p>
    <w:p w14:paraId="424FE9C5">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第八条经区财政局批复的部门预决算及报表，应当在批复后20日内公开。</w:t>
      </w:r>
    </w:p>
    <w:p w14:paraId="5889975A">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第九条本办法自印发之日起实行。</w:t>
      </w:r>
    </w:p>
    <w:p w14:paraId="12434682">
      <w:pPr>
        <w:keepLines/>
        <w:widowControl/>
        <w:shd w:val="clear" w:color="auto" w:fill="FFFFFF"/>
        <w:jc w:val="center"/>
        <w:rPr>
          <w:rFonts w:ascii="Times New Roman" w:hAnsi="Times New Roman" w:eastAsia="微软雅黑" w:cs="Times New Roman"/>
          <w:kern w:val="0"/>
          <w:sz w:val="24"/>
          <w:szCs w:val="24"/>
        </w:rPr>
      </w:pPr>
    </w:p>
    <w:p w14:paraId="37242FB2">
      <w:pPr>
        <w:keepLines/>
        <w:widowControl/>
        <w:shd w:val="clear" w:color="auto" w:fill="FFFFFF"/>
        <w:jc w:val="center"/>
        <w:rPr>
          <w:rFonts w:ascii="Times New Roman" w:hAnsi="Times New Roman" w:eastAsia="微软雅黑" w:cs="Times New Roman"/>
          <w:kern w:val="0"/>
          <w:sz w:val="24"/>
          <w:szCs w:val="24"/>
        </w:rPr>
      </w:pPr>
    </w:p>
    <w:p w14:paraId="1098ECBD">
      <w:pPr>
        <w:keepLines/>
        <w:widowControl/>
        <w:shd w:val="clear" w:color="auto" w:fill="FFFFFF"/>
        <w:jc w:val="center"/>
        <w:rPr>
          <w:rFonts w:ascii="Times New Roman" w:hAnsi="Times New Roman" w:eastAsia="微软雅黑" w:cs="Times New Roman"/>
          <w:kern w:val="0"/>
          <w:sz w:val="24"/>
          <w:szCs w:val="24"/>
        </w:rPr>
      </w:pPr>
    </w:p>
    <w:p w14:paraId="00F9D4A6">
      <w:pPr>
        <w:keepLines/>
        <w:widowControl/>
        <w:shd w:val="clear" w:color="auto" w:fill="FFFFFF"/>
        <w:jc w:val="center"/>
        <w:rPr>
          <w:rFonts w:ascii="Times New Roman" w:hAnsi="Times New Roman" w:eastAsia="微软雅黑" w:cs="Times New Roman"/>
          <w:kern w:val="0"/>
          <w:sz w:val="24"/>
          <w:szCs w:val="24"/>
        </w:rPr>
      </w:pPr>
    </w:p>
    <w:p w14:paraId="07E41B86">
      <w:pPr>
        <w:keepLines/>
        <w:widowControl/>
        <w:shd w:val="clear" w:color="auto" w:fill="FFFFFF"/>
        <w:jc w:val="center"/>
        <w:rPr>
          <w:rFonts w:ascii="Times New Roman" w:hAnsi="宋体" w:eastAsia="宋体" w:cs="Times New Roman"/>
          <w:b/>
          <w:bCs/>
          <w:kern w:val="0"/>
          <w:sz w:val="36"/>
          <w:szCs w:val="36"/>
        </w:rPr>
      </w:pPr>
    </w:p>
    <w:p w14:paraId="393221AE">
      <w:pPr>
        <w:keepLines/>
        <w:widowControl/>
        <w:shd w:val="clear" w:color="auto" w:fill="FFFFFF"/>
        <w:jc w:val="center"/>
        <w:rPr>
          <w:rFonts w:ascii="Times New Roman" w:hAnsi="宋体" w:eastAsia="宋体" w:cs="Times New Roman"/>
          <w:b/>
          <w:bCs/>
          <w:kern w:val="0"/>
          <w:sz w:val="36"/>
          <w:szCs w:val="36"/>
        </w:rPr>
      </w:pPr>
    </w:p>
    <w:p w14:paraId="6C7B35E2">
      <w:pPr>
        <w:keepLines/>
        <w:widowControl/>
        <w:shd w:val="clear" w:color="auto" w:fill="FFFFFF"/>
        <w:jc w:val="center"/>
        <w:rPr>
          <w:rFonts w:ascii="Times New Roman" w:hAnsi="宋体" w:eastAsia="宋体" w:cs="Times New Roman"/>
          <w:b/>
          <w:bCs/>
          <w:kern w:val="0"/>
          <w:sz w:val="36"/>
          <w:szCs w:val="36"/>
        </w:rPr>
      </w:pPr>
    </w:p>
    <w:p w14:paraId="6EB9AA07">
      <w:pPr>
        <w:keepLines/>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36"/>
          <w:szCs w:val="36"/>
        </w:rPr>
        <w:t>第二部分</w:t>
      </w:r>
      <w:r>
        <w:rPr>
          <w:rFonts w:ascii="Times New Roman" w:hAnsi="Times New Roman" w:eastAsia="宋体" w:cs="Times New Roman"/>
          <w:b/>
          <w:bCs/>
          <w:kern w:val="0"/>
          <w:sz w:val="36"/>
          <w:szCs w:val="36"/>
        </w:rPr>
        <w:t xml:space="preserve"> </w:t>
      </w:r>
      <w:r>
        <w:rPr>
          <w:rFonts w:ascii="Times New Roman" w:hAnsi="宋体" w:eastAsia="宋体" w:cs="Times New Roman"/>
          <w:b/>
          <w:bCs/>
          <w:kern w:val="0"/>
          <w:sz w:val="36"/>
          <w:szCs w:val="36"/>
        </w:rPr>
        <w:t>本溪市溪湖区</w:t>
      </w:r>
      <w:r>
        <w:rPr>
          <w:rFonts w:hint="eastAsia" w:ascii="Times New Roman" w:hAnsi="宋体" w:eastAsia="宋体" w:cs="Times New Roman"/>
          <w:b/>
          <w:bCs/>
          <w:kern w:val="0"/>
          <w:sz w:val="36"/>
          <w:szCs w:val="36"/>
        </w:rPr>
        <w:t>工业和信息化局</w:t>
      </w:r>
      <w:r>
        <w:rPr>
          <w:rFonts w:ascii="Times New Roman" w:hAnsi="宋体" w:eastAsia="宋体" w:cs="Times New Roman"/>
          <w:b/>
          <w:bCs/>
          <w:kern w:val="0"/>
          <w:sz w:val="36"/>
          <w:szCs w:val="36"/>
        </w:rPr>
        <w:t>概况</w:t>
      </w:r>
    </w:p>
    <w:p w14:paraId="0F1755F6">
      <w:pPr>
        <w:keepLines/>
        <w:widowControl/>
        <w:shd w:val="clear" w:color="auto" w:fill="FFFFFF"/>
        <w:ind w:firstLine="645"/>
        <w:jc w:val="left"/>
        <w:rPr>
          <w:rFonts w:ascii="Times New Roman" w:hAnsi="Times New Roman" w:eastAsia="微软雅黑" w:cs="Times New Roman"/>
          <w:kern w:val="0"/>
          <w:sz w:val="24"/>
          <w:szCs w:val="24"/>
        </w:rPr>
      </w:pPr>
    </w:p>
    <w:p w14:paraId="18CC671E">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一、部门职责</w:t>
      </w:r>
    </w:p>
    <w:p w14:paraId="6888F4BD">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一)组织贯彻国家新型工业化发展战略和政策,协调解决新型工业化进程中的有关问题,拟订工业、信息化的发展规划并组织实施，推进工业供给侧结构性改革,推进产业结构战略性调整和优化升级，推进信息化和工业化融合,推进军民融合产业发展。</w:t>
      </w:r>
    </w:p>
    <w:p w14:paraId="377B3A6D">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(二)制定并组织实施工业行业规划、计划,提出优化产业布局，结构的政策建议。</w:t>
      </w:r>
    </w:p>
    <w:p w14:paraId="2CD9205E">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三)分析工业经济发展趋势,提出调控目标和调节政策建议，负责日常工业经济的调控,监测分析工业运行态势,发布相关信息，进行预测预警和信息引导,协调解决工业运行发展中的有关问题,负责工业应急管理、产业安全和参与国防动员有关工作,联络、协调驻溪湖中省直企业。</w:t>
      </w:r>
    </w:p>
    <w:p w14:paraId="28FF3F8F">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(四)负责提出工业和信息化固定资产投资规模和方向(含利用外资和境外投资) 、县级财政性建设资金安排的意见,按规定权限,管理国家、省、市规划内和年度计划规模内固定资产投资项目。</w:t>
      </w:r>
    </w:p>
    <w:p w14:paraId="637216F8">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(五)组织实施高技术产业中涉及生物医药、新材料、信息产业等的规划、政策,指导行业技术创新和技术进步,组织实施科技重大项目,推进信息技术应用,推动信息服务业和新兴产业发展。</w:t>
      </w:r>
    </w:p>
    <w:p w14:paraId="4D8F3F8C">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 (六)负责《〈中国制造2025)辽宁行动纲要》的组织实施与统筹协调工作,提出推进制造强区的工作措施和政策建议。</w:t>
      </w:r>
    </w:p>
    <w:p w14:paraId="40B47D25">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(七)承担振兴装备制造业组织协调的责任,依托重点工程建设协调有关重大专项的实施,推进重大技术装备国产化,指导引进重大技术装备的消化创新。</w:t>
      </w:r>
    </w:p>
    <w:p w14:paraId="248F1E45">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（八)组织实施工业和信息化的能源节约和资源综合利用、清洁生产促进政策,参与拟定能源节约和资源综合利用、清洁生产促进规划,协调推进相关重大示范工程。</w:t>
      </w:r>
    </w:p>
    <w:p w14:paraId="314E3531">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(九)统筹推进全区工业和信息化融合发展,推进工业领域信</w:t>
      </w:r>
      <w:r>
        <w:rPr>
          <w:rFonts w:hint="eastAsia" w:ascii="仿宋_GB2312" w:hAnsi="微软雅黑" w:eastAsia="仿宋_GB2312" w:cs="宋体"/>
          <w:kern w:val="0"/>
          <w:sz w:val="32"/>
          <w:szCs w:val="32"/>
          <w:lang w:eastAsia="zh-CN"/>
        </w:rPr>
        <w:t>息</w:t>
      </w:r>
      <w:r>
        <w:rPr>
          <w:rFonts w:hint="eastAsia" w:ascii="仿宋_GB2312" w:hAnsi="微软雅黑" w:eastAsia="仿宋_GB2312" w:cs="宋体"/>
          <w:kern w:val="0"/>
          <w:sz w:val="32"/>
          <w:szCs w:val="32"/>
        </w:rPr>
        <w:t>安全保障。</w:t>
      </w:r>
    </w:p>
    <w:p w14:paraId="799F9579">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拟定军民融合产业发展规划,负责军队与地方武器装备科研生产重大项目的组织协调和军工单位与地方之间的服务协调工作推动军民融合产业发展,推进军转民、民参军有关协调工作,负责民爆器材行业管理和核事故应急相关工作。</w:t>
      </w:r>
    </w:p>
    <w:p w14:paraId="5EC81B88">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 (十一)负责国有企业改革和国有、集体企业的处置工作及资产监管工作,包括对企业困难职工善后安抚和日常管理工作职能。</w:t>
      </w:r>
    </w:p>
    <w:p w14:paraId="3EFCA2FC">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 xml:space="preserve"> (十二)负责中小微企业、乡镇企业、民营经济、城镇集体经济发展的宏观指导和综合协调,拟订并组织实施发展规划和相关措施监测分析发展动态,推动建立完善服务体系,协调解决有关重大问题。</w:t>
      </w:r>
    </w:p>
    <w:p w14:paraId="7340F22F">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(十三)配合有关部门做好工业招商引资工作,参与工业重大招商引资活动,协调工业招商引资项目的跟踪落实和相关指导、协调服务工作。</w:t>
      </w:r>
    </w:p>
    <w:p w14:paraId="6DFA1141">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（十四)指导工业企业加强安全生产工作,指导监督全区军工企业的安全生产工作,负责民用爆破器材生产和流通企业的安全生产监督管理工作。</w:t>
      </w:r>
    </w:p>
    <w:p w14:paraId="4EBE79A3">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(十五)依法行使相关电力管理职责。</w:t>
      </w:r>
    </w:p>
    <w:p w14:paraId="6A0B57AB">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(十六)开展工业和信息化的对外合作与交流,按分工承担企业帮扶工作。</w:t>
      </w:r>
    </w:p>
    <w:p w14:paraId="5833C9EC">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（十七)拟定科学技术普及工作规划,负责相关科技宣传信息报告、评估、统计管理等工作;开展全区科技保密工作。</w:t>
      </w:r>
    </w:p>
    <w:p w14:paraId="4B7EAEF0">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(十八)推动企业科技创新能力建设,会同有关部门健全技术创新激励机制,培育壮大发展科技型企业。</w:t>
      </w:r>
    </w:p>
    <w:p w14:paraId="73853EB9">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(十九)编制区重大科技项目规划并监督实施,牵头组织重大技术攻关和成果应用示范。</w:t>
      </w:r>
    </w:p>
    <w:p w14:paraId="32381F31">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(二十)统筹区域科技创新体系建设,指导全区科技创新发展科技资源合理布局和协同创新能力建设,推动科技园区建设。</w:t>
      </w:r>
    </w:p>
    <w:p w14:paraId="15DEA02F">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（二十一)负责引进国外智力工作。拟订全区引进外国专家总体规划、计划并组织实施,建立外国专家、团队吸引集聚机制和重点外国专家联系服务机制。拟订出国(境)培训总体规划、政策和年度</w:t>
      </w:r>
      <w:r>
        <w:rPr>
          <w:rFonts w:hint="eastAsia" w:ascii="仿宋_GB2312" w:hAnsi="微软雅黑" w:eastAsia="仿宋_GB2312" w:cs="宋体"/>
          <w:kern w:val="0"/>
          <w:sz w:val="32"/>
          <w:szCs w:val="32"/>
          <w:lang w:eastAsia="zh-CN"/>
        </w:rPr>
        <w:t>计</w:t>
      </w:r>
      <w:r>
        <w:rPr>
          <w:rFonts w:hint="eastAsia" w:ascii="仿宋_GB2312" w:hAnsi="微软雅黑" w:eastAsia="仿宋_GB2312" w:cs="宋体"/>
          <w:kern w:val="0"/>
          <w:sz w:val="32"/>
          <w:szCs w:val="32"/>
        </w:rPr>
        <w:t>划并监督实施。</w:t>
      </w:r>
    </w:p>
    <w:p w14:paraId="25C2E231">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（二十二) 会同有关部门拟订科技人才队伍建设规划,建立健全科技人才评价和激励机制,组织实施科技人才计划,推动高端科技创新人才队伍建设。</w:t>
      </w:r>
    </w:p>
    <w:p w14:paraId="53850D23">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（二十三)承担区委军民融合发展委员会的日常工作。</w:t>
      </w:r>
    </w:p>
    <w:p w14:paraId="78295CFB">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（二十四)完成区委和委员会交办的其他任务。</w:t>
      </w:r>
    </w:p>
    <w:p w14:paraId="4BAAEB17">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（二十五)职能转变。</w:t>
      </w:r>
    </w:p>
    <w:p w14:paraId="779614B7">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1.组织实施工业八大产业发展政策,推进工业领域供给侧结构性改革,加快推进先进装备制造业基地、重大技术装备基地和国家新型原材料基地建设。</w:t>
      </w:r>
    </w:p>
    <w:p w14:paraId="6055E075">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2.贯彻《中国制造2025》,协调推进《〈中国制造2025&gt;辽宁行动纲要》的实施工作,推进工业高质量发展。</w:t>
      </w:r>
    </w:p>
    <w:p w14:paraId="34AF0013">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3加快推进信息化和工业化融合发展,着力推动军民融合产业深度发展,寓军于民,促进工业由大变强。</w:t>
      </w:r>
    </w:p>
    <w:p w14:paraId="7D4543E4">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(二十六)有关职责分工。</w:t>
      </w:r>
    </w:p>
    <w:p w14:paraId="203A306C">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1.与区发展和改革局的有关职责分工。(1)工业、信息化固定资产投资项目管理职责分工。需报政府或省、市发展和改革委员会审批核准的工业、信息化固定资产投资项目,由区发展和改革局负责申报和管理。需报省工业和信息化厅及市工业和信息化局审批、核准的工业、信息化固定资产项目,由区工业和信息化局负责申报和管理。(2)企业技术中心管理职责分工。区工业和信息化局会同区发展和改革局区财政局等有关部门负责市级企业技术中心的认定上报工作,区发展和改革局会同区工业和信息化局等有关部门负责上报国家级、省级企业技术中心相关工作。</w:t>
      </w:r>
    </w:p>
    <w:p w14:paraId="67F7C6EC">
      <w:pPr>
        <w:keepLines/>
        <w:widowControl/>
        <w:shd w:val="clear" w:color="auto" w:fill="FFFFFF"/>
        <w:spacing w:line="480" w:lineRule="atLeast"/>
        <w:ind w:firstLine="645"/>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2.与区委网络安全和信息化委员会办公室的有关职责分工。区委网络安全和信息化委员会办公室负责统筹指导推进全区信息化工作,协调信息化建设中的重大问题。区工业和信息化局负责拟订并组织实施信息化和工业化融合发展规划、重大工程,协调通信运营业的发展促进电信、广播电视和计算机网络融合,推动跨行业、跨部门的互联互通和重要信息资源的开发利用、共享等。</w:t>
      </w:r>
    </w:p>
    <w:p w14:paraId="7C1FBA88">
      <w:pPr>
        <w:keepLines/>
        <w:widowControl/>
        <w:shd w:val="clear" w:color="auto" w:fill="FFFFFF"/>
        <w:ind w:firstLine="645"/>
        <w:jc w:val="left"/>
        <w:rPr>
          <w:rFonts w:ascii="微软雅黑" w:hAnsi="微软雅黑" w:eastAsia="微软雅黑" w:cs="宋体"/>
          <w:kern w:val="0"/>
          <w:sz w:val="24"/>
          <w:szCs w:val="24"/>
        </w:rPr>
      </w:pPr>
      <w:r>
        <w:rPr>
          <w:rFonts w:hint="eastAsia" w:ascii="黑体" w:hAnsi="黑体" w:eastAsia="黑体" w:cs="宋体"/>
          <w:kern w:val="0"/>
          <w:sz w:val="32"/>
          <w:szCs w:val="32"/>
        </w:rPr>
        <w:t>二、机构设置</w:t>
      </w:r>
    </w:p>
    <w:p w14:paraId="41565AF4">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纳入本溪市溪湖区工业和信息化局2024年部门预算编制范围的二级预算单位包括：</w:t>
      </w:r>
    </w:p>
    <w:p w14:paraId="0DFF99A2">
      <w:pPr>
        <w:keepLines/>
        <w:widowControl/>
        <w:numPr>
          <w:ilvl w:val="0"/>
          <w:numId w:val="1"/>
        </w:numPr>
        <w:shd w:val="clear" w:color="auto" w:fill="FFFFFF"/>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本溪市溪湖区工业和信息化局机关本级</w:t>
      </w:r>
    </w:p>
    <w:p w14:paraId="6B5AE8DA">
      <w:pPr>
        <w:keepLines/>
        <w:widowControl/>
        <w:numPr>
          <w:ilvl w:val="0"/>
          <w:numId w:val="1"/>
        </w:numPr>
        <w:shd w:val="clear" w:color="auto" w:fill="FFFFFF"/>
        <w:jc w:val="left"/>
        <w:rPr>
          <w:rFonts w:ascii="仿宋_GB2312" w:hAnsi="微软雅黑" w:eastAsia="仿宋_GB2312" w:cs="宋体"/>
          <w:kern w:val="0"/>
          <w:sz w:val="32"/>
          <w:szCs w:val="32"/>
        </w:rPr>
      </w:pPr>
      <w:r>
        <w:rPr>
          <w:rFonts w:hint="eastAsia" w:ascii="仿宋_GB2312" w:hAnsi="微软雅黑" w:eastAsia="仿宋_GB2312" w:cs="宋体"/>
          <w:kern w:val="0"/>
          <w:sz w:val="32"/>
          <w:szCs w:val="32"/>
        </w:rPr>
        <w:t>本溪市溪湖区工业和信息化服务中心</w:t>
      </w:r>
    </w:p>
    <w:p w14:paraId="4FCD69E0">
      <w:pPr>
        <w:keepLines/>
        <w:widowControl/>
        <w:shd w:val="clear" w:color="auto" w:fill="FFFFFF"/>
        <w:rPr>
          <w:rFonts w:ascii="Times New Roman" w:hAnsi="宋体" w:eastAsia="宋体" w:cs="Times New Roman"/>
          <w:b/>
          <w:bCs/>
          <w:kern w:val="0"/>
          <w:sz w:val="36"/>
          <w:szCs w:val="36"/>
        </w:rPr>
      </w:pPr>
    </w:p>
    <w:p w14:paraId="0D1BF827">
      <w:pPr>
        <w:keepLines/>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36"/>
          <w:szCs w:val="36"/>
        </w:rPr>
        <w:t>第三部分本溪市</w:t>
      </w:r>
      <w:r>
        <w:rPr>
          <w:rFonts w:hint="eastAsia" w:ascii="Times New Roman" w:hAnsi="宋体" w:eastAsia="宋体" w:cs="Times New Roman"/>
          <w:b/>
          <w:bCs/>
          <w:kern w:val="0"/>
          <w:sz w:val="36"/>
          <w:szCs w:val="36"/>
        </w:rPr>
        <w:t>溪湖区工业和信息化局</w:t>
      </w:r>
      <w:r>
        <w:rPr>
          <w:rFonts w:ascii="Times New Roman" w:hAnsi="Times New Roman" w:eastAsia="宋体" w:cs="Times New Roman"/>
          <w:b/>
          <w:bCs/>
          <w:kern w:val="0"/>
          <w:sz w:val="36"/>
          <w:szCs w:val="36"/>
        </w:rPr>
        <w:t>2024</w:t>
      </w:r>
      <w:r>
        <w:rPr>
          <w:rFonts w:ascii="Times New Roman" w:hAnsi="宋体" w:eastAsia="宋体" w:cs="Times New Roman"/>
          <w:b/>
          <w:bCs/>
          <w:kern w:val="0"/>
          <w:sz w:val="36"/>
          <w:szCs w:val="36"/>
        </w:rPr>
        <w:t>年部门预算情况说明</w:t>
      </w:r>
    </w:p>
    <w:p w14:paraId="074C89C5">
      <w:pPr>
        <w:keepLines/>
        <w:widowControl/>
        <w:shd w:val="clear" w:color="auto" w:fill="FFFFFF"/>
        <w:jc w:val="left"/>
        <w:rPr>
          <w:rFonts w:ascii="Times New Roman" w:hAnsi="Times New Roman" w:eastAsia="微软雅黑" w:cs="Times New Roman"/>
          <w:kern w:val="0"/>
          <w:sz w:val="24"/>
          <w:szCs w:val="24"/>
        </w:rPr>
      </w:pPr>
    </w:p>
    <w:p w14:paraId="515F4A09">
      <w:pPr>
        <w:keepLines/>
        <w:widowControl/>
        <w:shd w:val="clear" w:color="auto" w:fill="FFFFFF"/>
        <w:ind w:firstLine="630"/>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一、收支预算的总体情况</w:t>
      </w:r>
    </w:p>
    <w:p w14:paraId="34653441">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按照综合预算的原则，本溪市</w:t>
      </w:r>
      <w:r>
        <w:rPr>
          <w:rFonts w:hint="eastAsia" w:ascii="Times New Roman" w:hAnsi="Times New Roman" w:eastAsia="仿宋_GB2312" w:cs="Times New Roman"/>
          <w:kern w:val="0"/>
          <w:sz w:val="32"/>
          <w:szCs w:val="32"/>
        </w:rPr>
        <w:t>溪湖区工业和信息化局</w:t>
      </w:r>
      <w:r>
        <w:rPr>
          <w:rFonts w:ascii="Times New Roman" w:hAnsi="Times New Roman" w:eastAsia="仿宋_GB2312" w:cs="Times New Roman"/>
          <w:kern w:val="0"/>
          <w:sz w:val="32"/>
          <w:szCs w:val="32"/>
        </w:rPr>
        <w:t>所有收入和支出均纳入部门预算管理。其中：</w:t>
      </w:r>
    </w:p>
    <w:p w14:paraId="16327EE1">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b/>
          <w:bCs/>
          <w:kern w:val="0"/>
          <w:sz w:val="32"/>
          <w:szCs w:val="32"/>
        </w:rPr>
        <w:t>（一）收入预算</w:t>
      </w:r>
      <w:r>
        <w:rPr>
          <w:rFonts w:hint="eastAsia" w:ascii="Times New Roman" w:hAnsi="Times New Roman" w:eastAsia="仿宋_GB2312" w:cs="Times New Roman"/>
          <w:b/>
          <w:bCs/>
          <w:kern w:val="0"/>
          <w:sz w:val="32"/>
          <w:szCs w:val="32"/>
        </w:rPr>
        <w:t>1252.12</w:t>
      </w:r>
      <w:r>
        <w:rPr>
          <w:rFonts w:ascii="Times New Roman" w:hAnsi="Times New Roman" w:eastAsia="仿宋_GB2312" w:cs="Times New Roman"/>
          <w:b/>
          <w:bCs/>
          <w:kern w:val="0"/>
          <w:sz w:val="32"/>
          <w:szCs w:val="32"/>
        </w:rPr>
        <w:t>万元，</w:t>
      </w:r>
      <w:r>
        <w:rPr>
          <w:rFonts w:ascii="Times New Roman" w:hAnsi="Times New Roman" w:eastAsia="仿宋_GB2312" w:cs="Times New Roman"/>
          <w:kern w:val="0"/>
          <w:sz w:val="32"/>
          <w:szCs w:val="32"/>
        </w:rPr>
        <w:t>包括：</w:t>
      </w:r>
    </w:p>
    <w:p w14:paraId="756B4691">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1.</w:t>
      </w:r>
      <w:r>
        <w:rPr>
          <w:rFonts w:ascii="Times New Roman" w:hAnsi="Times New Roman" w:cs="Times New Roman"/>
        </w:rPr>
        <w:t xml:space="preserve"> </w:t>
      </w:r>
      <w:r>
        <w:rPr>
          <w:rFonts w:ascii="Times New Roman" w:hAnsi="Times New Roman" w:eastAsia="仿宋_GB2312" w:cs="Times New Roman"/>
          <w:kern w:val="0"/>
          <w:sz w:val="32"/>
          <w:szCs w:val="32"/>
        </w:rPr>
        <w:t>一般公共预算拨款收入</w:t>
      </w:r>
      <w:r>
        <w:rPr>
          <w:rFonts w:hint="eastAsia" w:ascii="Times New Roman" w:hAnsi="Times New Roman" w:eastAsia="仿宋_GB2312" w:cs="Times New Roman"/>
          <w:kern w:val="0"/>
          <w:sz w:val="32"/>
          <w:szCs w:val="32"/>
        </w:rPr>
        <w:t>1016.42</w:t>
      </w:r>
      <w:r>
        <w:rPr>
          <w:rFonts w:ascii="Times New Roman" w:hAnsi="Times New Roman" w:eastAsia="仿宋_GB2312" w:cs="Times New Roman"/>
          <w:kern w:val="0"/>
          <w:sz w:val="32"/>
          <w:szCs w:val="32"/>
        </w:rPr>
        <w:t>万元；</w:t>
      </w:r>
    </w:p>
    <w:p w14:paraId="2E5AE6BB">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2.纳入预算管理的政府性基金预算拨款收入0万元；</w:t>
      </w:r>
    </w:p>
    <w:p w14:paraId="2C187E0A">
      <w:pPr>
        <w:keepLines/>
        <w:widowControl/>
        <w:shd w:val="clear" w:color="auto" w:fill="FFFFFF"/>
        <w:ind w:firstLine="645"/>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3.纳入预算管理的国有资本经营预算拨款收入</w:t>
      </w:r>
      <w:r>
        <w:rPr>
          <w:rFonts w:hint="eastAsia" w:ascii="Times New Roman" w:hAnsi="Times New Roman" w:eastAsia="仿宋_GB2312" w:cs="Times New Roman"/>
          <w:kern w:val="0"/>
          <w:sz w:val="32"/>
          <w:szCs w:val="32"/>
        </w:rPr>
        <w:t>235.7</w:t>
      </w:r>
      <w:r>
        <w:rPr>
          <w:rFonts w:ascii="Times New Roman" w:hAnsi="Times New Roman" w:eastAsia="仿宋_GB2312" w:cs="Times New Roman"/>
          <w:kern w:val="0"/>
          <w:sz w:val="32"/>
          <w:szCs w:val="32"/>
        </w:rPr>
        <w:t>万元；</w:t>
      </w:r>
    </w:p>
    <w:p w14:paraId="2467A755">
      <w:pPr>
        <w:keepLines/>
        <w:widowControl/>
        <w:shd w:val="clear" w:color="auto" w:fill="FFFFFF"/>
        <w:ind w:firstLine="645"/>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4.纳入财政专户管理资金收入0万元；</w:t>
      </w:r>
    </w:p>
    <w:p w14:paraId="3C0D7C78">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5.单位资金收入0万元。</w:t>
      </w:r>
    </w:p>
    <w:p w14:paraId="7D08D067">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b/>
          <w:bCs/>
          <w:kern w:val="0"/>
          <w:sz w:val="32"/>
          <w:szCs w:val="32"/>
        </w:rPr>
        <w:t>（二）支出预算</w:t>
      </w:r>
      <w:r>
        <w:rPr>
          <w:rFonts w:hint="eastAsia" w:ascii="Times New Roman" w:hAnsi="Times New Roman" w:eastAsia="仿宋_GB2312" w:cs="Times New Roman"/>
          <w:b/>
          <w:bCs/>
          <w:kern w:val="0"/>
          <w:sz w:val="32"/>
          <w:szCs w:val="32"/>
        </w:rPr>
        <w:t>1252.12</w:t>
      </w:r>
      <w:r>
        <w:rPr>
          <w:rFonts w:ascii="Times New Roman" w:hAnsi="Times New Roman" w:eastAsia="仿宋_GB2312" w:cs="Times New Roman"/>
          <w:b/>
          <w:bCs/>
          <w:kern w:val="0"/>
          <w:sz w:val="32"/>
          <w:szCs w:val="32"/>
        </w:rPr>
        <w:t>万元，</w:t>
      </w:r>
      <w:r>
        <w:rPr>
          <w:rFonts w:ascii="Times New Roman" w:hAnsi="Times New Roman" w:eastAsia="仿宋_GB2312" w:cs="Times New Roman"/>
          <w:kern w:val="0"/>
          <w:sz w:val="32"/>
          <w:szCs w:val="32"/>
        </w:rPr>
        <w:t>包括：</w:t>
      </w:r>
    </w:p>
    <w:p w14:paraId="21037AB6">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1.基本支出</w:t>
      </w:r>
      <w:r>
        <w:rPr>
          <w:rFonts w:hint="eastAsia" w:ascii="Times New Roman" w:hAnsi="Times New Roman" w:eastAsia="仿宋_GB2312" w:cs="Times New Roman"/>
          <w:kern w:val="0"/>
          <w:sz w:val="32"/>
          <w:szCs w:val="32"/>
        </w:rPr>
        <w:t>256.69</w:t>
      </w:r>
      <w:r>
        <w:rPr>
          <w:rFonts w:ascii="Times New Roman" w:hAnsi="Times New Roman" w:eastAsia="仿宋_GB2312" w:cs="Times New Roman"/>
          <w:kern w:val="0"/>
          <w:sz w:val="32"/>
          <w:szCs w:val="32"/>
        </w:rPr>
        <w:t>万元,</w:t>
      </w:r>
      <w:r>
        <w:rPr>
          <w:rFonts w:ascii="Times New Roman" w:hAnsi="Times New Roman" w:eastAsia="仿宋_GB2312" w:cs="Times New Roman"/>
          <w:sz w:val="32"/>
          <w:szCs w:val="32"/>
        </w:rPr>
        <w:t xml:space="preserve"> 其中：人员经费</w:t>
      </w:r>
      <w:r>
        <w:rPr>
          <w:rFonts w:hint="eastAsia" w:ascii="Times New Roman" w:hAnsi="Times New Roman" w:eastAsia="仿宋_GB2312" w:cs="Times New Roman"/>
          <w:sz w:val="32"/>
          <w:szCs w:val="32"/>
        </w:rPr>
        <w:t>252.61</w:t>
      </w:r>
      <w:r>
        <w:rPr>
          <w:rFonts w:ascii="Times New Roman" w:hAnsi="Times New Roman" w:eastAsia="仿宋_GB2312" w:cs="Times New Roman"/>
          <w:sz w:val="32"/>
          <w:szCs w:val="32"/>
        </w:rPr>
        <w:t>万元，公用经费</w:t>
      </w:r>
      <w:r>
        <w:rPr>
          <w:rFonts w:hint="eastAsia" w:ascii="Times New Roman" w:hAnsi="Times New Roman" w:eastAsia="仿宋_GB2312" w:cs="Times New Roman"/>
          <w:sz w:val="32"/>
          <w:szCs w:val="32"/>
        </w:rPr>
        <w:t>4.08</w:t>
      </w:r>
      <w:r>
        <w:rPr>
          <w:rFonts w:ascii="Times New Roman" w:hAnsi="Times New Roman" w:eastAsia="仿宋_GB2312" w:cs="Times New Roman"/>
          <w:sz w:val="32"/>
          <w:szCs w:val="32"/>
        </w:rPr>
        <w:t>万元</w:t>
      </w:r>
      <w:r>
        <w:rPr>
          <w:rFonts w:ascii="Times New Roman" w:hAnsi="Times New Roman" w:eastAsia="仿宋_GB2312" w:cs="Times New Roman"/>
          <w:kern w:val="0"/>
          <w:sz w:val="32"/>
          <w:szCs w:val="32"/>
        </w:rPr>
        <w:t>；</w:t>
      </w:r>
    </w:p>
    <w:p w14:paraId="50023284">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2.项目支出</w:t>
      </w:r>
      <w:r>
        <w:rPr>
          <w:rFonts w:hint="eastAsia" w:ascii="Times New Roman" w:hAnsi="Times New Roman" w:eastAsia="仿宋_GB2312" w:cs="Times New Roman"/>
          <w:kern w:val="0"/>
          <w:sz w:val="32"/>
          <w:szCs w:val="32"/>
        </w:rPr>
        <w:t>995.43</w:t>
      </w:r>
      <w:r>
        <w:rPr>
          <w:rFonts w:ascii="Times New Roman" w:hAnsi="Times New Roman" w:eastAsia="仿宋_GB2312" w:cs="Times New Roman"/>
          <w:kern w:val="0"/>
          <w:sz w:val="32"/>
          <w:szCs w:val="32"/>
        </w:rPr>
        <w:t>万元</w:t>
      </w:r>
      <w:r>
        <w:rPr>
          <w:rFonts w:ascii="Times New Roman" w:hAnsi="Times New Roman" w:eastAsia="仿宋_GB2312" w:cs="Times New Roman"/>
          <w:sz w:val="32"/>
          <w:szCs w:val="32"/>
        </w:rPr>
        <w:t>。</w:t>
      </w:r>
    </w:p>
    <w:p w14:paraId="0EE8D79C">
      <w:pPr>
        <w:keepLines/>
        <w:widowControl/>
        <w:shd w:val="clear" w:color="auto" w:fill="FFFFFF"/>
        <w:ind w:firstLine="645"/>
        <w:jc w:val="left"/>
        <w:rPr>
          <w:rFonts w:ascii="Times New Roman" w:hAnsi="Times New Roman" w:eastAsia="黑体" w:cs="Times New Roman"/>
          <w:kern w:val="0"/>
          <w:sz w:val="32"/>
          <w:szCs w:val="32"/>
        </w:rPr>
      </w:pPr>
      <w:r>
        <w:rPr>
          <w:rFonts w:ascii="Times New Roman" w:hAnsi="Times New Roman" w:eastAsia="仿宋_GB2312" w:cs="Times New Roman"/>
          <w:kern w:val="0"/>
          <w:sz w:val="32"/>
          <w:szCs w:val="32"/>
        </w:rPr>
        <w:t>2024年预算收支比2023年增加</w:t>
      </w:r>
      <w:r>
        <w:rPr>
          <w:rFonts w:hint="eastAsia" w:ascii="Times New Roman" w:hAnsi="Times New Roman" w:eastAsia="仿宋_GB2312" w:cs="Times New Roman"/>
          <w:kern w:val="0"/>
          <w:sz w:val="32"/>
          <w:szCs w:val="32"/>
        </w:rPr>
        <w:t>898.59</w:t>
      </w:r>
      <w:r>
        <w:rPr>
          <w:rFonts w:ascii="Times New Roman" w:hAnsi="Times New Roman" w:eastAsia="仿宋_GB2312" w:cs="Times New Roman"/>
          <w:kern w:val="0"/>
          <w:sz w:val="32"/>
          <w:szCs w:val="32"/>
        </w:rPr>
        <w:t>万元，增加变化的主要原因为</w:t>
      </w:r>
      <w:r>
        <w:rPr>
          <w:rFonts w:hint="eastAsia" w:ascii="Times New Roman" w:hAnsi="Times New Roman" w:eastAsia="仿宋_GB2312" w:cs="Times New Roman"/>
          <w:kern w:val="0"/>
          <w:sz w:val="32"/>
          <w:szCs w:val="32"/>
        </w:rPr>
        <w:t>项目数量增加</w:t>
      </w:r>
      <w:r>
        <w:rPr>
          <w:rFonts w:ascii="Times New Roman" w:hAnsi="Times New Roman" w:eastAsia="仿宋_GB2312" w:cs="Times New Roman"/>
          <w:kern w:val="0"/>
          <w:sz w:val="32"/>
          <w:szCs w:val="32"/>
        </w:rPr>
        <w:t>。</w:t>
      </w:r>
    </w:p>
    <w:p w14:paraId="1B1ADC25">
      <w:pPr>
        <w:keepLines/>
        <w:widowControl/>
        <w:shd w:val="clear" w:color="auto" w:fill="FFFFFF"/>
        <w:ind w:firstLine="660"/>
        <w:jc w:val="left"/>
        <w:rPr>
          <w:rFonts w:ascii="Times New Roman" w:hAnsi="Times New Roman" w:eastAsia="黑体" w:cs="Times New Roman"/>
          <w:kern w:val="0"/>
          <w:sz w:val="32"/>
          <w:szCs w:val="32"/>
        </w:rPr>
      </w:pPr>
    </w:p>
    <w:p w14:paraId="767D3459">
      <w:pPr>
        <w:keepLines/>
        <w:widowControl/>
        <w:shd w:val="clear" w:color="auto" w:fill="FFFFFF"/>
        <w:ind w:firstLine="660"/>
        <w:jc w:val="left"/>
        <w:rPr>
          <w:rFonts w:ascii="Times New Roman" w:hAnsi="Times New Roman" w:eastAsia="黑体" w:cs="Times New Roman"/>
          <w:kern w:val="0"/>
          <w:sz w:val="32"/>
          <w:szCs w:val="32"/>
        </w:rPr>
      </w:pPr>
    </w:p>
    <w:p w14:paraId="0F7825D1">
      <w:pPr>
        <w:keepLines/>
        <w:widowControl/>
        <w:shd w:val="clear" w:color="auto" w:fill="FFFFFF"/>
        <w:ind w:firstLine="660"/>
        <w:jc w:val="left"/>
        <w:rPr>
          <w:rFonts w:ascii="Times New Roman" w:hAnsi="Times New Roman" w:eastAsia="黑体" w:cs="Times New Roman"/>
          <w:kern w:val="0"/>
          <w:sz w:val="32"/>
          <w:szCs w:val="32"/>
        </w:rPr>
      </w:pPr>
    </w:p>
    <w:p w14:paraId="60DEB7FB">
      <w:pPr>
        <w:keepLines/>
        <w:widowControl/>
        <w:shd w:val="clear" w:color="auto" w:fill="FFFFFF"/>
        <w:ind w:firstLine="660"/>
        <w:jc w:val="left"/>
        <w:rPr>
          <w:rFonts w:ascii="Times New Roman" w:hAnsi="Times New Roman" w:eastAsia="黑体" w:cs="Times New Roman"/>
          <w:kern w:val="0"/>
          <w:sz w:val="32"/>
          <w:szCs w:val="32"/>
        </w:rPr>
      </w:pPr>
    </w:p>
    <w:p w14:paraId="60B511C4">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二、机关运行经费安排情况</w:t>
      </w:r>
    </w:p>
    <w:p w14:paraId="730228B5">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2024年本溪市</w:t>
      </w:r>
      <w:r>
        <w:rPr>
          <w:rFonts w:hint="eastAsia" w:ascii="Times New Roman" w:hAnsi="Times New Roman" w:eastAsia="仿宋_GB2312" w:cs="Times New Roman"/>
          <w:kern w:val="0"/>
          <w:sz w:val="32"/>
          <w:szCs w:val="32"/>
        </w:rPr>
        <w:t>溪湖区工业和信息化局</w:t>
      </w:r>
      <w:r>
        <w:rPr>
          <w:rFonts w:ascii="Times New Roman" w:hAnsi="Times New Roman" w:eastAsia="仿宋_GB2312" w:cs="Times New Roman"/>
          <w:kern w:val="0"/>
          <w:sz w:val="32"/>
          <w:szCs w:val="32"/>
        </w:rPr>
        <w:t>机关运行经费预算为</w:t>
      </w:r>
      <w:r>
        <w:rPr>
          <w:rFonts w:hint="eastAsia" w:ascii="Times New Roman" w:hAnsi="Times New Roman" w:eastAsia="仿宋_GB2312" w:cs="Times New Roman"/>
          <w:kern w:val="0"/>
          <w:sz w:val="32"/>
          <w:szCs w:val="32"/>
        </w:rPr>
        <w:t>4.08</w:t>
      </w:r>
      <w:r>
        <w:rPr>
          <w:rFonts w:ascii="Times New Roman" w:hAnsi="Times New Roman" w:eastAsia="仿宋_GB2312" w:cs="Times New Roman"/>
          <w:kern w:val="0"/>
          <w:sz w:val="32"/>
          <w:szCs w:val="32"/>
        </w:rPr>
        <w:t>万元，主要包括办公及印刷费、邮电费、差旅费、会议费、福利费、日常维修费、专用材料及一般设备购置费、办公用房水电费、办公用房取暖费、办公用房物业管理费、公务用车运行维护费以及其他费用。2024年预算比2023年</w:t>
      </w:r>
      <w:r>
        <w:rPr>
          <w:rFonts w:hint="eastAsia" w:ascii="Times New Roman" w:hAnsi="Times New Roman" w:eastAsia="仿宋_GB2312" w:cs="Times New Roman"/>
          <w:kern w:val="0"/>
          <w:sz w:val="32"/>
          <w:szCs w:val="32"/>
        </w:rPr>
        <w:t>增加2.1</w:t>
      </w:r>
      <w:r>
        <w:rPr>
          <w:rFonts w:ascii="Times New Roman" w:hAnsi="Times New Roman" w:eastAsia="仿宋_GB2312" w:cs="Times New Roman"/>
          <w:kern w:val="0"/>
          <w:sz w:val="32"/>
          <w:szCs w:val="32"/>
        </w:rPr>
        <w:t>万元，主要原因</w:t>
      </w:r>
      <w:r>
        <w:rPr>
          <w:rFonts w:hint="eastAsia" w:ascii="Times New Roman" w:hAnsi="Times New Roman" w:eastAsia="仿宋_GB2312" w:cs="Times New Roman"/>
          <w:kern w:val="0"/>
          <w:sz w:val="32"/>
          <w:szCs w:val="32"/>
        </w:rPr>
        <w:t>是机构改革预算单位数量增加</w:t>
      </w:r>
      <w:r>
        <w:rPr>
          <w:rFonts w:ascii="Times New Roman" w:hAnsi="Times New Roman" w:eastAsia="仿宋_GB2312" w:cs="Times New Roman"/>
          <w:kern w:val="0"/>
          <w:sz w:val="32"/>
          <w:szCs w:val="32"/>
        </w:rPr>
        <w:t>。</w:t>
      </w:r>
    </w:p>
    <w:p w14:paraId="282BA959">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三、政府采购情况</w:t>
      </w:r>
    </w:p>
    <w:p w14:paraId="5ED7E0C5">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2024年本溪市</w:t>
      </w:r>
      <w:r>
        <w:rPr>
          <w:rFonts w:hint="eastAsia" w:ascii="Times New Roman" w:hAnsi="Times New Roman" w:eastAsia="仿宋_GB2312" w:cs="Times New Roman"/>
          <w:kern w:val="0"/>
          <w:sz w:val="32"/>
          <w:szCs w:val="32"/>
        </w:rPr>
        <w:t>溪湖区工业和信息化局</w:t>
      </w:r>
      <w:r>
        <w:rPr>
          <w:rFonts w:ascii="Times New Roman" w:hAnsi="Times New Roman" w:eastAsia="仿宋_GB2312" w:cs="Times New Roman"/>
          <w:kern w:val="0"/>
          <w:sz w:val="32"/>
          <w:szCs w:val="32"/>
        </w:rPr>
        <w:t>安排政府采购预算0万元，其中：政府采购货物支出0万元，政府购买服务支出0万元，政府采购工程支出0万元。</w:t>
      </w:r>
    </w:p>
    <w:p w14:paraId="14FA6CD6">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四、</w:t>
      </w:r>
      <w:r>
        <w:rPr>
          <w:rFonts w:ascii="Times New Roman" w:hAnsi="Times New Roman" w:eastAsia="黑体" w:cs="Times New Roman"/>
          <w:kern w:val="0"/>
          <w:sz w:val="32"/>
          <w:szCs w:val="32"/>
        </w:rPr>
        <w:t>“</w:t>
      </w:r>
      <w:r>
        <w:rPr>
          <w:rFonts w:ascii="Times New Roman" w:hAnsi="黑体" w:eastAsia="黑体" w:cs="Times New Roman"/>
          <w:kern w:val="0"/>
          <w:sz w:val="32"/>
          <w:szCs w:val="32"/>
        </w:rPr>
        <w:t>三公</w:t>
      </w:r>
      <w:r>
        <w:rPr>
          <w:rFonts w:ascii="Times New Roman" w:hAnsi="Times New Roman" w:eastAsia="黑体" w:cs="Times New Roman"/>
          <w:kern w:val="0"/>
          <w:sz w:val="32"/>
          <w:szCs w:val="32"/>
        </w:rPr>
        <w:t>”</w:t>
      </w:r>
      <w:r>
        <w:rPr>
          <w:rFonts w:ascii="Times New Roman" w:hAnsi="黑体" w:eastAsia="黑体" w:cs="Times New Roman"/>
          <w:kern w:val="0"/>
          <w:sz w:val="32"/>
          <w:szCs w:val="32"/>
        </w:rPr>
        <w:t>经费预算情况</w:t>
      </w:r>
    </w:p>
    <w:p w14:paraId="742B2F62">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2024年，本溪市</w:t>
      </w:r>
      <w:r>
        <w:rPr>
          <w:rFonts w:hint="eastAsia" w:ascii="Times New Roman" w:hAnsi="Times New Roman" w:eastAsia="仿宋_GB2312" w:cs="Times New Roman"/>
          <w:kern w:val="0"/>
          <w:sz w:val="32"/>
          <w:szCs w:val="32"/>
        </w:rPr>
        <w:t>溪湖区工业和信息化局</w:t>
      </w:r>
      <w:r>
        <w:rPr>
          <w:rFonts w:ascii="Times New Roman" w:hAnsi="Times New Roman" w:eastAsia="仿宋_GB2312" w:cs="Times New Roman"/>
          <w:kern w:val="0"/>
          <w:sz w:val="32"/>
          <w:szCs w:val="32"/>
        </w:rPr>
        <w:t>一般公共预算安排“三公”经费预算为0万元，比2023年增加/减少0万元，增</w:t>
      </w:r>
      <w:r>
        <w:rPr>
          <w:rFonts w:hint="eastAsia" w:ascii="Times New Roman" w:hAnsi="Times New Roman" w:eastAsia="仿宋_GB2312" w:cs="Times New Roman"/>
          <w:kern w:val="0"/>
          <w:sz w:val="32"/>
          <w:szCs w:val="32"/>
        </w:rPr>
        <w:t>长</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rPr>
        <w:t>下降</w:t>
      </w:r>
      <w:r>
        <w:rPr>
          <w:rFonts w:ascii="Times New Roman" w:hAnsi="Times New Roman" w:eastAsia="仿宋_GB2312" w:cs="Times New Roman"/>
          <w:kern w:val="0"/>
          <w:sz w:val="32"/>
          <w:szCs w:val="32"/>
        </w:rPr>
        <w:t>0%。其中：</w:t>
      </w:r>
    </w:p>
    <w:p w14:paraId="5AD79485">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1.因公出国（境）费0万元，比2023年持平。</w:t>
      </w:r>
    </w:p>
    <w:p w14:paraId="2CE089F2">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2.公务接待费0万元，比2023年增加/减少/持平0万元，主要原因是增加/减少/持平0人。</w:t>
      </w:r>
    </w:p>
    <w:p w14:paraId="65539036">
      <w:pPr>
        <w:keepLines/>
        <w:widowControl/>
        <w:shd w:val="clear" w:color="auto" w:fill="FFFFFF"/>
        <w:ind w:firstLine="645"/>
        <w:jc w:val="left"/>
        <w:rPr>
          <w:rFonts w:ascii="Times New Roman" w:hAnsi="Times New Roman" w:eastAsia="仿宋_GB2312" w:cs="Times New Roman"/>
          <w:b/>
          <w:bCs/>
          <w:kern w:val="0"/>
          <w:sz w:val="32"/>
          <w:szCs w:val="32"/>
        </w:rPr>
      </w:pPr>
      <w:r>
        <w:rPr>
          <w:rFonts w:ascii="Times New Roman" w:hAnsi="Times New Roman" w:eastAsia="仿宋_GB2312" w:cs="Times New Roman"/>
          <w:kern w:val="0"/>
          <w:sz w:val="32"/>
          <w:szCs w:val="32"/>
        </w:rPr>
        <w:t>3.公务用车购置及运行费0万元，比2023年增加/减少/持平0万元，主要原因是……。</w:t>
      </w:r>
    </w:p>
    <w:p w14:paraId="0869ECB4">
      <w:pPr>
        <w:pStyle w:val="2"/>
        <w:bidi w:val="0"/>
      </w:pPr>
      <w:r>
        <w:t>2024年本溪</w:t>
      </w:r>
      <w:r>
        <w:rPr>
          <w:rFonts w:hint="eastAsia"/>
          <w:lang w:eastAsia="zh-CN"/>
        </w:rPr>
        <w:t>市</w:t>
      </w:r>
      <w:r>
        <w:rPr>
          <w:rFonts w:hint="eastAsia"/>
        </w:rPr>
        <w:t>溪湖区工业和信息化局</w:t>
      </w:r>
      <w:r>
        <w:t>“三公”经费预算表</w:t>
      </w:r>
    </w:p>
    <w:p w14:paraId="1D0C6D8F">
      <w:pPr>
        <w:keepLines/>
        <w:widowControl/>
        <w:shd w:val="clear" w:color="auto" w:fill="FFFFFF"/>
        <w:jc w:val="right"/>
        <w:rPr>
          <w:rFonts w:ascii="Times New Roman" w:hAnsi="Times New Roman" w:eastAsia="微软雅黑" w:cs="Times New Roman"/>
          <w:kern w:val="0"/>
          <w:sz w:val="24"/>
          <w:szCs w:val="24"/>
        </w:rPr>
      </w:pPr>
      <w:r>
        <w:rPr>
          <w:rFonts w:ascii="Times New Roman" w:hAnsi="Times New Roman" w:eastAsia="仿宋_GB2312" w:cs="Times New Roman"/>
          <w:b/>
          <w:bCs/>
          <w:kern w:val="0"/>
          <w:sz w:val="29"/>
          <w:szCs w:val="29"/>
        </w:rPr>
        <w:t>单位：万元</w:t>
      </w:r>
    </w:p>
    <w:tbl>
      <w:tblPr>
        <w:tblStyle w:val="7"/>
        <w:tblW w:w="8625" w:type="dxa"/>
        <w:tblInd w:w="0" w:type="dxa"/>
        <w:tblLayout w:type="fixed"/>
        <w:tblCellMar>
          <w:top w:w="0" w:type="dxa"/>
          <w:left w:w="0" w:type="dxa"/>
          <w:bottom w:w="0" w:type="dxa"/>
          <w:right w:w="0" w:type="dxa"/>
        </w:tblCellMar>
      </w:tblPr>
      <w:tblGrid>
        <w:gridCol w:w="4125"/>
        <w:gridCol w:w="2145"/>
        <w:gridCol w:w="2355"/>
      </w:tblGrid>
      <w:tr w14:paraId="4DEC1FF6">
        <w:tblPrEx>
          <w:tblCellMar>
            <w:top w:w="0" w:type="dxa"/>
            <w:left w:w="0" w:type="dxa"/>
            <w:bottom w:w="0" w:type="dxa"/>
            <w:right w:w="0" w:type="dxa"/>
          </w:tblCellMar>
        </w:tblPrEx>
        <w:trPr>
          <w:trHeight w:val="480" w:hRule="atLeast"/>
        </w:trPr>
        <w:tc>
          <w:tcPr>
            <w:tcW w:w="4125" w:type="dxa"/>
            <w:vMerge w:val="restart"/>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277766D1">
            <w:pPr>
              <w:keepLines/>
              <w:widowControl/>
              <w:jc w:val="center"/>
              <w:textAlignment w:val="center"/>
              <w:rPr>
                <w:rFonts w:ascii="Times New Roman" w:hAnsi="Times New Roman" w:eastAsia="宋体" w:cs="Times New Roman"/>
                <w:kern w:val="0"/>
                <w:sz w:val="24"/>
                <w:szCs w:val="24"/>
              </w:rPr>
            </w:pPr>
            <w:r>
              <w:rPr>
                <w:rFonts w:ascii="Times New Roman" w:hAnsi="宋体" w:eastAsia="宋体" w:cs="Times New Roman"/>
                <w:b/>
                <w:bCs/>
                <w:kern w:val="0"/>
                <w:sz w:val="24"/>
                <w:szCs w:val="24"/>
              </w:rPr>
              <w:t>项目</w:t>
            </w:r>
          </w:p>
        </w:tc>
        <w:tc>
          <w:tcPr>
            <w:tcW w:w="4500" w:type="dxa"/>
            <w:gridSpan w:val="2"/>
            <w:tcBorders>
              <w:top w:val="single" w:color="000000" w:sz="6" w:space="0"/>
              <w:left w:val="nil"/>
              <w:bottom w:val="single" w:color="DDDDDD" w:sz="6" w:space="0"/>
              <w:right w:val="single" w:color="000000" w:sz="6" w:space="0"/>
            </w:tcBorders>
            <w:tcMar>
              <w:top w:w="15" w:type="dxa"/>
              <w:left w:w="15" w:type="dxa"/>
              <w:bottom w:w="15" w:type="dxa"/>
              <w:right w:w="15" w:type="dxa"/>
            </w:tcMar>
            <w:vAlign w:val="center"/>
          </w:tcPr>
          <w:p w14:paraId="02B237D1">
            <w:pPr>
              <w:keepLines/>
              <w:widowControl/>
              <w:jc w:val="center"/>
              <w:rPr>
                <w:rFonts w:ascii="Times New Roman" w:hAnsi="Times New Roman" w:eastAsia="宋体" w:cs="Times New Roman"/>
                <w:kern w:val="0"/>
                <w:sz w:val="24"/>
                <w:szCs w:val="24"/>
              </w:rPr>
            </w:pPr>
            <w:r>
              <w:rPr>
                <w:rFonts w:ascii="Times New Roman" w:hAnsi="宋体" w:eastAsia="宋体" w:cs="Times New Roman"/>
                <w:b/>
                <w:bCs/>
                <w:kern w:val="0"/>
                <w:sz w:val="24"/>
                <w:szCs w:val="24"/>
              </w:rPr>
              <w:t>金额</w:t>
            </w:r>
          </w:p>
        </w:tc>
      </w:tr>
      <w:tr w14:paraId="610A5A3B">
        <w:tblPrEx>
          <w:tblCellMar>
            <w:top w:w="0" w:type="dxa"/>
            <w:left w:w="0" w:type="dxa"/>
            <w:bottom w:w="0" w:type="dxa"/>
            <w:right w:w="0" w:type="dxa"/>
          </w:tblCellMar>
        </w:tblPrEx>
        <w:trPr>
          <w:trHeight w:val="510" w:hRule="atLeast"/>
        </w:trPr>
        <w:tc>
          <w:tcPr>
            <w:tcW w:w="4125" w:type="dxa"/>
            <w:vMerge w:val="continue"/>
            <w:tcBorders>
              <w:top w:val="single" w:color="000000" w:sz="6" w:space="0"/>
              <w:left w:val="single" w:color="000000" w:sz="6" w:space="0"/>
              <w:bottom w:val="single" w:color="000000" w:sz="6" w:space="0"/>
              <w:right w:val="single" w:color="000000" w:sz="6" w:space="0"/>
            </w:tcBorders>
            <w:vAlign w:val="center"/>
          </w:tcPr>
          <w:p w14:paraId="2762C92D">
            <w:pPr>
              <w:keepLines/>
              <w:widowControl/>
              <w:jc w:val="left"/>
              <w:rPr>
                <w:rFonts w:ascii="Times New Roman" w:hAnsi="Times New Roman" w:eastAsia="宋体" w:cs="Times New Roman"/>
                <w:kern w:val="0"/>
                <w:sz w:val="24"/>
                <w:szCs w:val="24"/>
              </w:rPr>
            </w:pPr>
          </w:p>
        </w:tc>
        <w:tc>
          <w:tcPr>
            <w:tcW w:w="214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14:paraId="67200818">
            <w:pPr>
              <w:keepLines/>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b/>
                <w:bCs/>
                <w:kern w:val="0"/>
                <w:sz w:val="24"/>
                <w:szCs w:val="24"/>
              </w:rPr>
              <w:t>2023</w:t>
            </w:r>
            <w:r>
              <w:rPr>
                <w:rFonts w:ascii="Times New Roman" w:hAnsi="宋体" w:eastAsia="宋体" w:cs="Times New Roman"/>
                <w:b/>
                <w:bCs/>
                <w:kern w:val="0"/>
                <w:sz w:val="24"/>
                <w:szCs w:val="24"/>
              </w:rPr>
              <w:t>年</w:t>
            </w:r>
          </w:p>
        </w:tc>
        <w:tc>
          <w:tcPr>
            <w:tcW w:w="235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14:paraId="595CBF74">
            <w:pPr>
              <w:keepLines/>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b/>
                <w:bCs/>
                <w:kern w:val="0"/>
                <w:sz w:val="24"/>
                <w:szCs w:val="24"/>
              </w:rPr>
              <w:t>2024</w:t>
            </w:r>
            <w:r>
              <w:rPr>
                <w:rFonts w:ascii="Times New Roman" w:hAnsi="宋体" w:eastAsia="宋体" w:cs="Times New Roman"/>
                <w:b/>
                <w:bCs/>
                <w:kern w:val="0"/>
                <w:sz w:val="24"/>
                <w:szCs w:val="24"/>
              </w:rPr>
              <w:t>年</w:t>
            </w:r>
          </w:p>
        </w:tc>
      </w:tr>
      <w:tr w14:paraId="11506BD9">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000000" w:sz="6" w:space="0"/>
            </w:tcBorders>
            <w:tcMar>
              <w:top w:w="15" w:type="dxa"/>
              <w:left w:w="15" w:type="dxa"/>
              <w:bottom w:w="15" w:type="dxa"/>
              <w:right w:w="15" w:type="dxa"/>
            </w:tcMar>
            <w:vAlign w:val="center"/>
          </w:tcPr>
          <w:p w14:paraId="10ED0009">
            <w:pPr>
              <w:keepLines/>
              <w:widowControl/>
              <w:jc w:val="center"/>
              <w:textAlignment w:val="center"/>
              <w:rPr>
                <w:rFonts w:ascii="Times New Roman" w:hAnsi="Times New Roman" w:eastAsia="宋体" w:cs="Times New Roman"/>
                <w:kern w:val="0"/>
                <w:sz w:val="24"/>
                <w:szCs w:val="24"/>
              </w:rPr>
            </w:pPr>
            <w:r>
              <w:rPr>
                <w:rFonts w:ascii="Times New Roman" w:hAnsi="宋体" w:eastAsia="宋体" w:cs="Times New Roman"/>
                <w:b/>
                <w:bCs/>
                <w:kern w:val="0"/>
                <w:sz w:val="24"/>
                <w:szCs w:val="24"/>
              </w:rPr>
              <w:t>合计</w:t>
            </w:r>
          </w:p>
        </w:tc>
        <w:tc>
          <w:tcPr>
            <w:tcW w:w="2145" w:type="dxa"/>
            <w:tcBorders>
              <w:top w:val="nil"/>
              <w:left w:val="nil"/>
              <w:bottom w:val="single" w:color="DDDDDD" w:sz="6" w:space="0"/>
              <w:right w:val="single" w:color="000000" w:sz="6" w:space="0"/>
            </w:tcBorders>
            <w:tcMar>
              <w:top w:w="15" w:type="dxa"/>
              <w:left w:w="15" w:type="dxa"/>
              <w:bottom w:w="15" w:type="dxa"/>
              <w:right w:w="15" w:type="dxa"/>
            </w:tcMar>
            <w:vAlign w:val="center"/>
          </w:tcPr>
          <w:p w14:paraId="52F33773">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2355" w:type="dxa"/>
            <w:tcBorders>
              <w:top w:val="nil"/>
              <w:left w:val="nil"/>
              <w:bottom w:val="single" w:color="DDDDDD" w:sz="6" w:space="0"/>
              <w:right w:val="single" w:color="000000" w:sz="6" w:space="0"/>
            </w:tcBorders>
            <w:tcMar>
              <w:top w:w="15" w:type="dxa"/>
              <w:left w:w="15" w:type="dxa"/>
              <w:bottom w:w="15" w:type="dxa"/>
              <w:right w:w="15" w:type="dxa"/>
            </w:tcMar>
            <w:vAlign w:val="center"/>
          </w:tcPr>
          <w:p w14:paraId="64EE6C3F">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r>
      <w:tr w14:paraId="2D2D436E">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43C5209F">
            <w:pPr>
              <w:keepLines/>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w:t>
            </w:r>
            <w:r>
              <w:rPr>
                <w:rFonts w:ascii="Times New Roman" w:hAnsi="宋体" w:eastAsia="宋体" w:cs="Times New Roman"/>
                <w:kern w:val="0"/>
                <w:sz w:val="24"/>
                <w:szCs w:val="24"/>
              </w:rPr>
              <w:t>、因公出国（境）费</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627F4874">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1FA60A4D">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r>
      <w:tr w14:paraId="3C63EE01">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5919F5F4">
            <w:pPr>
              <w:keepLines/>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2</w:t>
            </w:r>
            <w:r>
              <w:rPr>
                <w:rFonts w:ascii="Times New Roman" w:hAnsi="宋体" w:eastAsia="宋体" w:cs="Times New Roman"/>
                <w:kern w:val="0"/>
                <w:sz w:val="24"/>
                <w:szCs w:val="24"/>
              </w:rPr>
              <w:t>、公务接待费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14:paraId="26C5D017">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3DFCB890">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r>
      <w:tr w14:paraId="16AEA8D4">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0311C6E4">
            <w:pPr>
              <w:keepLines/>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w:t>
            </w:r>
            <w:r>
              <w:rPr>
                <w:rFonts w:ascii="Times New Roman" w:hAnsi="宋体" w:eastAsia="宋体" w:cs="Times New Roman"/>
                <w:kern w:val="0"/>
                <w:sz w:val="24"/>
                <w:szCs w:val="24"/>
              </w:rPr>
              <w:t>、公务用车购置及运行费</w:t>
            </w:r>
          </w:p>
        </w:tc>
        <w:tc>
          <w:tcPr>
            <w:tcW w:w="2145" w:type="dxa"/>
            <w:tcBorders>
              <w:top w:val="single" w:color="DDDDDD"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5C3122F4">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2355" w:type="dxa"/>
            <w:tcBorders>
              <w:top w:val="single" w:color="DDDDDD" w:sz="6" w:space="0"/>
              <w:left w:val="single" w:color="000000" w:sz="6" w:space="0"/>
              <w:bottom w:val="single" w:color="DDDDDD" w:sz="6" w:space="0"/>
              <w:right w:val="single" w:color="000000" w:sz="6" w:space="0"/>
            </w:tcBorders>
            <w:tcMar>
              <w:top w:w="15" w:type="dxa"/>
              <w:left w:w="15" w:type="dxa"/>
              <w:bottom w:w="15" w:type="dxa"/>
              <w:right w:w="15" w:type="dxa"/>
            </w:tcMar>
            <w:vAlign w:val="center"/>
          </w:tcPr>
          <w:p w14:paraId="493AA046">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r>
      <w:tr w14:paraId="26B895A6">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7E425FBE">
            <w:pPr>
              <w:keepLines/>
              <w:widowControl/>
              <w:jc w:val="left"/>
              <w:textAlignment w:val="center"/>
              <w:rPr>
                <w:rFonts w:ascii="Times New Roman" w:hAnsi="Times New Roman" w:eastAsia="宋体" w:cs="Times New Roman"/>
                <w:kern w:val="0"/>
                <w:sz w:val="24"/>
                <w:szCs w:val="24"/>
              </w:rPr>
            </w:pPr>
            <w:r>
              <w:rPr>
                <w:rFonts w:ascii="Times New Roman" w:hAnsi="宋体" w:eastAsia="宋体" w:cs="Times New Roman"/>
                <w:kern w:val="0"/>
                <w:sz w:val="24"/>
                <w:szCs w:val="24"/>
              </w:rPr>
              <w:t>其中：公务用车购置</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0EF3FC81">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0F7C2F64">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r>
      <w:tr w14:paraId="60B6F82E">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0C70EC91">
            <w:pPr>
              <w:keepLines/>
              <w:widowControl/>
              <w:jc w:val="left"/>
              <w:textAlignment w:val="center"/>
              <w:rPr>
                <w:rFonts w:ascii="Times New Roman" w:hAnsi="Times New Roman" w:eastAsia="宋体" w:cs="Times New Roman"/>
                <w:kern w:val="0"/>
                <w:sz w:val="24"/>
                <w:szCs w:val="24"/>
              </w:rPr>
            </w:pPr>
            <w:r>
              <w:rPr>
                <w:rFonts w:ascii="Times New Roman" w:hAnsi="宋体" w:eastAsia="宋体" w:cs="Times New Roman"/>
                <w:kern w:val="0"/>
                <w:sz w:val="24"/>
                <w:szCs w:val="24"/>
              </w:rPr>
              <w:t>公务用车运行费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14:paraId="4D040125">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5711B69F">
            <w:pPr>
              <w:keepLines/>
              <w:widowControl/>
              <w:jc w:val="righ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0</w:t>
            </w:r>
          </w:p>
        </w:tc>
      </w:tr>
    </w:tbl>
    <w:p w14:paraId="5C071D0F">
      <w:pPr>
        <w:keepLines/>
        <w:widowControl/>
        <w:shd w:val="clear" w:color="auto" w:fill="FFFFFF"/>
        <w:jc w:val="left"/>
        <w:rPr>
          <w:rFonts w:ascii="Times New Roman" w:hAnsi="Times New Roman" w:eastAsia="微软雅黑" w:cs="Times New Roman"/>
          <w:kern w:val="0"/>
          <w:sz w:val="24"/>
          <w:szCs w:val="24"/>
        </w:rPr>
      </w:pPr>
    </w:p>
    <w:p w14:paraId="7A7F344D">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五、国有资产占用情况</w:t>
      </w:r>
    </w:p>
    <w:p w14:paraId="10A2DC4E">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本溪市</w:t>
      </w:r>
      <w:r>
        <w:rPr>
          <w:rFonts w:hint="eastAsia" w:ascii="Times New Roman" w:hAnsi="Times New Roman" w:eastAsia="仿宋_GB2312" w:cs="Times New Roman"/>
          <w:kern w:val="0"/>
          <w:sz w:val="32"/>
          <w:szCs w:val="32"/>
        </w:rPr>
        <w:t>溪湖区工业和信息化局</w:t>
      </w:r>
      <w:r>
        <w:rPr>
          <w:rFonts w:ascii="Times New Roman" w:hAnsi="Times New Roman" w:eastAsia="仿宋_GB2312" w:cs="Times New Roman"/>
          <w:kern w:val="0"/>
          <w:sz w:val="32"/>
          <w:szCs w:val="32"/>
        </w:rPr>
        <w:t>共有车辆0台，其中：一般公务用车0台……。其他国有资产情况……</w:t>
      </w:r>
    </w:p>
    <w:p w14:paraId="7B24C968">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六、绩效情况</w:t>
      </w:r>
    </w:p>
    <w:p w14:paraId="4512DF32">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根据预算绩效管理要求，本溪市</w:t>
      </w:r>
      <w:r>
        <w:rPr>
          <w:rFonts w:hint="eastAsia" w:ascii="Times New Roman" w:hAnsi="Times New Roman" w:eastAsia="仿宋_GB2312" w:cs="Times New Roman"/>
          <w:kern w:val="0"/>
          <w:sz w:val="32"/>
          <w:szCs w:val="32"/>
        </w:rPr>
        <w:t>溪湖区工业和信息化局</w:t>
      </w:r>
      <w:r>
        <w:rPr>
          <w:rFonts w:ascii="Times New Roman" w:hAnsi="Times New Roman" w:eastAsia="仿宋_GB2312" w:cs="Times New Roman"/>
          <w:kern w:val="0"/>
          <w:sz w:val="32"/>
          <w:szCs w:val="32"/>
        </w:rPr>
        <w:t>2024年应编制绩效目标的项目共</w:t>
      </w:r>
      <w:r>
        <w:rPr>
          <w:rFonts w:hint="eastAsia" w:ascii="Times New Roman" w:hAnsi="Times New Roman" w:eastAsia="仿宋_GB2312" w:cs="Times New Roman"/>
          <w:kern w:val="0"/>
          <w:sz w:val="32"/>
          <w:szCs w:val="32"/>
        </w:rPr>
        <w:t>5</w:t>
      </w:r>
      <w:r>
        <w:rPr>
          <w:rFonts w:ascii="Times New Roman" w:hAnsi="Times New Roman" w:eastAsia="仿宋_GB2312" w:cs="Times New Roman"/>
          <w:kern w:val="0"/>
          <w:sz w:val="32"/>
          <w:szCs w:val="32"/>
        </w:rPr>
        <w:t>个，实际编制绩效目标项目共</w:t>
      </w:r>
      <w:r>
        <w:rPr>
          <w:rFonts w:hint="eastAsia" w:ascii="Times New Roman" w:hAnsi="Times New Roman" w:eastAsia="仿宋_GB2312" w:cs="Times New Roman"/>
          <w:kern w:val="0"/>
          <w:sz w:val="32"/>
          <w:szCs w:val="32"/>
        </w:rPr>
        <w:t>5</w:t>
      </w:r>
      <w:r>
        <w:rPr>
          <w:rFonts w:ascii="Times New Roman" w:hAnsi="Times New Roman" w:eastAsia="仿宋_GB2312" w:cs="Times New Roman"/>
          <w:kern w:val="0"/>
          <w:sz w:val="32"/>
          <w:szCs w:val="32"/>
        </w:rPr>
        <w:t>个，编制绩效目标的项目覆盖率（实际编制绩效目标的项目/应编制绩效目标的项目）为100%，涉及资金</w:t>
      </w:r>
      <w:r>
        <w:rPr>
          <w:rFonts w:hint="eastAsia" w:ascii="Times New Roman" w:hAnsi="Times New Roman" w:eastAsia="仿宋_GB2312" w:cs="Times New Roman"/>
          <w:kern w:val="0"/>
          <w:sz w:val="32"/>
          <w:szCs w:val="32"/>
        </w:rPr>
        <w:t>995.43</w:t>
      </w:r>
      <w:r>
        <w:rPr>
          <w:rFonts w:ascii="Times New Roman" w:hAnsi="Times New Roman" w:eastAsia="仿宋_GB2312" w:cs="Times New Roman"/>
          <w:kern w:val="0"/>
          <w:sz w:val="32"/>
          <w:szCs w:val="32"/>
        </w:rPr>
        <w:t>万元。</w:t>
      </w:r>
    </w:p>
    <w:p w14:paraId="4727DA52">
      <w:pPr>
        <w:keepLines/>
        <w:rPr>
          <w:rFonts w:ascii="Times New Roman" w:hAnsi="Times New Roman" w:cs="Times New Roman"/>
        </w:rPr>
      </w:pPr>
    </w:p>
    <w:p w14:paraId="683B01BE">
      <w:pPr>
        <w:keepLines/>
        <w:rPr>
          <w:rFonts w:ascii="Times New Roman" w:hAnsi="Times New Roman" w:cs="Times New Roman"/>
        </w:rPr>
      </w:pPr>
    </w:p>
    <w:p w14:paraId="1BD8F94E">
      <w:pPr>
        <w:keepLines/>
        <w:rPr>
          <w:rFonts w:ascii="Times New Roman" w:hAnsi="Times New Roman" w:cs="Times New Roman"/>
        </w:rPr>
      </w:pPr>
    </w:p>
    <w:p w14:paraId="5C882EC7">
      <w:pPr>
        <w:keepLines/>
        <w:rPr>
          <w:rFonts w:ascii="Times New Roman" w:hAnsi="Times New Roman" w:cs="Times New Roman"/>
        </w:rPr>
      </w:pPr>
    </w:p>
    <w:p w14:paraId="0EAC74C9">
      <w:pPr>
        <w:keepLines/>
        <w:rPr>
          <w:rFonts w:ascii="Times New Roman" w:hAnsi="Times New Roman" w:cs="Times New Roman"/>
        </w:rPr>
      </w:pPr>
    </w:p>
    <w:p w14:paraId="6F952288">
      <w:pPr>
        <w:jc w:val="center"/>
        <w:rPr>
          <w:rFonts w:ascii="Times New Roman" w:hAnsi="Times New Roman" w:cs="Times New Roman"/>
          <w:b/>
          <w:sz w:val="36"/>
          <w:szCs w:val="36"/>
        </w:rPr>
      </w:pPr>
    </w:p>
    <w:p w14:paraId="3316FA09">
      <w:pPr>
        <w:jc w:val="center"/>
        <w:rPr>
          <w:rFonts w:ascii="Times New Roman" w:hAnsi="Times New Roman" w:cs="Times New Roman"/>
          <w:b/>
          <w:sz w:val="36"/>
          <w:szCs w:val="36"/>
        </w:rPr>
      </w:pPr>
      <w:r>
        <w:rPr>
          <w:rFonts w:ascii="Times New Roman" w:hAnsi="宋体" w:cs="Times New Roman"/>
          <w:b/>
          <w:sz w:val="36"/>
          <w:szCs w:val="36"/>
        </w:rPr>
        <w:t>第四部分</w:t>
      </w:r>
      <w:r>
        <w:rPr>
          <w:rFonts w:ascii="Times New Roman" w:hAnsi="Times New Roman" w:cs="Times New Roman"/>
          <w:b/>
          <w:sz w:val="36"/>
          <w:szCs w:val="36"/>
        </w:rPr>
        <w:t xml:space="preserve"> </w:t>
      </w:r>
      <w:r>
        <w:rPr>
          <w:rFonts w:ascii="Times New Roman" w:hAnsi="宋体" w:cs="Times New Roman"/>
          <w:b/>
          <w:sz w:val="36"/>
          <w:szCs w:val="36"/>
        </w:rPr>
        <w:t>名词解释</w:t>
      </w:r>
    </w:p>
    <w:p w14:paraId="08D4EAF2">
      <w:pPr>
        <w:jc w:val="center"/>
        <w:rPr>
          <w:rFonts w:ascii="Times New Roman" w:hAnsi="Times New Roman" w:eastAsia="黑体" w:cs="Times New Roman"/>
          <w:sz w:val="36"/>
          <w:szCs w:val="36"/>
        </w:rPr>
      </w:pPr>
    </w:p>
    <w:p w14:paraId="15077091">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1.财政拨款收入：</w:t>
      </w:r>
      <w:r>
        <w:rPr>
          <w:rFonts w:ascii="Times New Roman" w:hAnsi="Times New Roman" w:eastAsia="仿宋_GB2312" w:cs="Times New Roman"/>
          <w:sz w:val="32"/>
          <w:szCs w:val="32"/>
        </w:rPr>
        <w:t>指市级财政当年拨付的资金。</w:t>
      </w:r>
    </w:p>
    <w:p w14:paraId="561FC74D">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2.基本支出：</w:t>
      </w:r>
      <w:r>
        <w:rPr>
          <w:rFonts w:ascii="Times New Roman" w:hAnsi="Times New Roman" w:eastAsia="仿宋_GB2312" w:cs="Times New Roman"/>
          <w:sz w:val="32"/>
          <w:szCs w:val="32"/>
        </w:rPr>
        <w:t>指保障机构正常运转、完成日常工作任务而发生的人员支出和公用支出。</w:t>
      </w:r>
    </w:p>
    <w:p w14:paraId="2F418D73">
      <w:pPr>
        <w:ind w:firstLine="643" w:firstLineChars="200"/>
        <w:jc w:val="left"/>
        <w:rPr>
          <w:rFonts w:ascii="Times New Roman" w:hAnsi="Times New Roman" w:eastAsia="仿宋_GB2312" w:cs="Times New Roman"/>
          <w:b/>
          <w:sz w:val="32"/>
          <w:szCs w:val="32"/>
        </w:rPr>
      </w:pPr>
      <w:r>
        <w:rPr>
          <w:rFonts w:ascii="Times New Roman" w:hAnsi="Times New Roman" w:eastAsia="仿宋_GB2312" w:cs="Times New Roman"/>
          <w:b/>
          <w:sz w:val="32"/>
          <w:szCs w:val="32"/>
        </w:rPr>
        <w:t>3.项目支出：</w:t>
      </w:r>
      <w:r>
        <w:rPr>
          <w:rFonts w:ascii="Times New Roman" w:hAnsi="Times New Roman" w:eastAsia="仿宋_GB2312" w:cs="Times New Roman"/>
          <w:sz w:val="32"/>
          <w:szCs w:val="32"/>
        </w:rPr>
        <w:t>指在基本支出之外为完成特定行政任务和事业发展目标所发生的支出。</w:t>
      </w:r>
    </w:p>
    <w:p w14:paraId="5F45C49A">
      <w:pPr>
        <w:ind w:firstLine="643" w:firstLineChars="200"/>
        <w:rPr>
          <w:rFonts w:ascii="Times New Roman" w:hAnsi="Times New Roman" w:eastAsia="仿宋_GB2312" w:cs="Times New Roman"/>
          <w:sz w:val="32"/>
          <w:szCs w:val="32"/>
        </w:rPr>
      </w:pPr>
      <w:r>
        <w:rPr>
          <w:rFonts w:ascii="Times New Roman" w:hAnsi="Times New Roman" w:eastAsia="仿宋_GB2312" w:cs="Times New Roman"/>
          <w:b/>
          <w:sz w:val="32"/>
        </w:rPr>
        <w:t>4.机关运行经费：</w:t>
      </w:r>
      <w:r>
        <w:rPr>
          <w:rFonts w:ascii="Times New Roman" w:hAnsi="Times New Roman" w:eastAsia="仿宋_GB2312" w:cs="Times New Roman"/>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9B86505">
      <w:pPr>
        <w:ind w:firstLine="643" w:firstLineChars="200"/>
        <w:jc w:val="left"/>
        <w:rPr>
          <w:rFonts w:ascii="Times New Roman" w:hAnsi="Times New Roman" w:eastAsia="仿宋_GB2312" w:cs="Times New Roman"/>
          <w:b/>
          <w:sz w:val="32"/>
          <w:szCs w:val="32"/>
        </w:rPr>
      </w:pPr>
      <w:r>
        <w:rPr>
          <w:rFonts w:ascii="Times New Roman" w:hAnsi="Times New Roman" w:eastAsia="仿宋_GB2312" w:cs="Times New Roman"/>
          <w:b/>
          <w:sz w:val="32"/>
          <w:szCs w:val="32"/>
        </w:rPr>
        <w:t>5.行政事业性收费收入：</w:t>
      </w:r>
      <w:r>
        <w:rPr>
          <w:rFonts w:ascii="Times New Roman" w:hAnsi="Times New Roman" w:eastAsia="仿宋_GB2312" w:cs="Times New Roman"/>
          <w:sz w:val="32"/>
          <w:szCs w:val="32"/>
        </w:rPr>
        <w:t>指依据法律、行政法规、国务院有关规定、国务院财政部门会同价格主管部门共同发布的规章或者规定，省、自治区、直辖市人民政府财政部门会同价格主管部门共同发布的规定所收取的各项收费收入。</w:t>
      </w:r>
    </w:p>
    <w:p w14:paraId="09A292B7">
      <w:pPr>
        <w:ind w:firstLine="643" w:firstLineChars="200"/>
        <w:jc w:val="left"/>
        <w:rPr>
          <w:rFonts w:ascii="Times New Roman" w:hAnsi="Times New Roman" w:eastAsia="仿宋_GB2312" w:cs="Times New Roman"/>
          <w:b/>
          <w:sz w:val="32"/>
          <w:szCs w:val="32"/>
        </w:rPr>
      </w:pPr>
      <w:bookmarkStart w:id="0" w:name="OLE_LINK1"/>
      <w:r>
        <w:rPr>
          <w:rFonts w:ascii="Times New Roman" w:hAnsi="Times New Roman" w:eastAsia="仿宋_GB2312" w:cs="Times New Roman"/>
          <w:b/>
          <w:sz w:val="32"/>
          <w:szCs w:val="32"/>
        </w:rPr>
        <w:t>6.政府性基金收入</w:t>
      </w:r>
      <w:bookmarkEnd w:id="0"/>
      <w:r>
        <w:rPr>
          <w:rFonts w:ascii="Times New Roman" w:hAnsi="Times New Roman" w:eastAsia="仿宋_GB2312" w:cs="Times New Roman"/>
          <w:b/>
          <w:sz w:val="32"/>
          <w:szCs w:val="32"/>
        </w:rPr>
        <w:t>：</w:t>
      </w:r>
      <w:r>
        <w:rPr>
          <w:rFonts w:ascii="Times New Roman" w:hAnsi="Times New Roman" w:eastAsia="仿宋_GB2312" w:cs="Times New Roman"/>
          <w:sz w:val="32"/>
          <w:szCs w:val="32"/>
        </w:rPr>
        <w:t>反应各级政府及其所属部门根据法律、行政法规规定并经国务院或财政部批准，向公民、法人和其他组织征收的政府性基金，以及参照政府性基金管理或纳入基金预算、具有特定用途的财政资金。</w:t>
      </w:r>
    </w:p>
    <w:p w14:paraId="6E88B94E">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7.其他收入：</w:t>
      </w:r>
      <w:r>
        <w:rPr>
          <w:rFonts w:ascii="Times New Roman" w:hAnsi="Times New Roman" w:eastAsia="仿宋_GB2312" w:cs="Times New Roman"/>
          <w:sz w:val="32"/>
          <w:szCs w:val="32"/>
        </w:rPr>
        <w:t>指除上述“财政拨款收入”、“行政事业性收费收入”、“政府性基金收入”以外的收入。</w:t>
      </w:r>
    </w:p>
    <w:p w14:paraId="79FEBD07">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8.“三公”经费</w:t>
      </w:r>
      <w:r>
        <w:rPr>
          <w:rFonts w:ascii="Times New Roman" w:hAnsi="Times New Roman" w:eastAsia="仿宋_GB2312" w:cs="Times New Roman"/>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14:paraId="666B45C6">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9.一般公共服务（类）财政事务（款）行政运行（项）：</w:t>
      </w:r>
      <w:r>
        <w:rPr>
          <w:rFonts w:ascii="Times New Roman" w:hAnsi="Times New Roman" w:eastAsia="仿宋_GB2312" w:cs="Times New Roman"/>
          <w:sz w:val="32"/>
          <w:szCs w:val="32"/>
        </w:rPr>
        <w:t>反映行政单位（包括实行公务员管理的事业单位）的基本支出。</w:t>
      </w:r>
    </w:p>
    <w:p w14:paraId="3883F443">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10.一般公共服务（类）财政事务（款）事业运行（项）：</w:t>
      </w:r>
      <w:r>
        <w:rPr>
          <w:rFonts w:ascii="Times New Roman" w:hAnsi="Times New Roman" w:eastAsia="仿宋_GB2312" w:cs="Times New Roman"/>
          <w:sz w:val="32"/>
          <w:szCs w:val="32"/>
        </w:rPr>
        <w:t>反映事业单位的基本支出，不包括行政单位（包括实行公务员管理的事业单位）后勤服务中心、医务室等附属事业单位。</w:t>
      </w:r>
    </w:p>
    <w:p w14:paraId="7A701945">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11.一般公共服务（类）财政事务（款）其他财政事务支出（项）：</w:t>
      </w:r>
      <w:r>
        <w:rPr>
          <w:rFonts w:ascii="Times New Roman" w:hAnsi="Times New Roman" w:eastAsia="仿宋_GB2312" w:cs="Times New Roman"/>
          <w:sz w:val="32"/>
          <w:szCs w:val="32"/>
        </w:rPr>
        <w:t>反映除上述项目以外其他财政事务方面的支出。</w:t>
      </w:r>
    </w:p>
    <w:p w14:paraId="51BD2118">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12.社会保障和就业（类）行政事业单位离退休（款）归口管理的行政单位离退休（项）：</w:t>
      </w:r>
      <w:r>
        <w:rPr>
          <w:rFonts w:ascii="Times New Roman" w:hAnsi="Times New Roman" w:eastAsia="仿宋_GB2312" w:cs="Times New Roman"/>
          <w:sz w:val="32"/>
          <w:szCs w:val="32"/>
        </w:rPr>
        <w:t>反映实行归口管理的行政单位（包括实行公务员管理的事业单位）开支的离退休经费。</w:t>
      </w:r>
    </w:p>
    <w:p w14:paraId="3FF7E6BA">
      <w:pPr>
        <w:ind w:firstLine="643" w:firstLineChars="200"/>
        <w:jc w:val="left"/>
        <w:rPr>
          <w:rFonts w:ascii="Times New Roman" w:hAnsi="Times New Roman" w:eastAsia="仿宋_GB2312" w:cs="Times New Roman"/>
          <w:sz w:val="32"/>
          <w:szCs w:val="32"/>
        </w:rPr>
      </w:pPr>
      <w:r>
        <w:rPr>
          <w:rFonts w:ascii="Times New Roman" w:hAnsi="Times New Roman" w:eastAsia="仿宋_GB2312" w:cs="Times New Roman"/>
          <w:b/>
          <w:sz w:val="32"/>
          <w:szCs w:val="32"/>
        </w:rPr>
        <w:t>13.社会保障和就业（类）行政事业单位离退休（款）事业单位离退休（项）：</w:t>
      </w:r>
      <w:r>
        <w:rPr>
          <w:rFonts w:ascii="Times New Roman" w:hAnsi="Times New Roman" w:eastAsia="仿宋_GB2312" w:cs="Times New Roman"/>
          <w:sz w:val="32"/>
          <w:szCs w:val="32"/>
        </w:rPr>
        <w:t>反映实行归口管理的事业单位开支的离退休经费。</w:t>
      </w:r>
    </w:p>
    <w:p w14:paraId="448F094E">
      <w:pPr>
        <w:ind w:firstLine="643" w:firstLineChars="200"/>
        <w:jc w:val="left"/>
        <w:rPr>
          <w:rFonts w:hint="eastAsia" w:ascii="Times New Roman" w:hAnsi="Times New Roman" w:eastAsia="仿宋_GB2312" w:cs="Times New Roman"/>
          <w:sz w:val="32"/>
          <w:szCs w:val="32"/>
        </w:rPr>
      </w:pPr>
      <w:r>
        <w:rPr>
          <w:rFonts w:ascii="Times New Roman" w:hAnsi="Times New Roman" w:eastAsia="仿宋_GB2312" w:cs="Times New Roman"/>
          <w:b/>
          <w:sz w:val="32"/>
          <w:szCs w:val="32"/>
        </w:rPr>
        <w:t>14.住房保障（类）住房改革（款）住房公积金（项）：</w:t>
      </w:r>
      <w:r>
        <w:rPr>
          <w:rFonts w:ascii="Times New Roman" w:hAnsi="Times New Roman" w:eastAsia="仿宋_GB2312" w:cs="Times New Roman"/>
          <w:sz w:val="32"/>
          <w:szCs w:val="32"/>
        </w:rPr>
        <w:t>反映行政事业单位按人力资源和社会保障部、财政部规定的基本工资和津贴补贴以及规定比例为职工缴纳的住房公积金。</w:t>
      </w:r>
      <w:r>
        <w:rPr>
          <w:rFonts w:hint="eastAsia" w:ascii="Times New Roman" w:hAnsi="Times New Roman" w:eastAsia="仿宋_GB2312" w:cs="Times New Roman"/>
          <w:sz w:val="32"/>
          <w:szCs w:val="32"/>
        </w:rPr>
        <w:t>https://xh.benxi.gov.cn/manage666/index</w:t>
      </w:r>
    </w:p>
    <w:p w14:paraId="58522A04">
      <w:pPr>
        <w:ind w:firstLine="640" w:firstLineChars="200"/>
        <w:jc w:val="left"/>
        <w:rPr>
          <w:rFonts w:hint="eastAsia" w:ascii="Times New Roman" w:hAnsi="Times New Roman" w:eastAsia="仿宋_GB2312" w:cs="Times New Roman"/>
          <w:lang w:eastAsia="zh-CN"/>
        </w:rPr>
      </w:pPr>
      <w:r>
        <w:rPr>
          <w:rFonts w:hint="eastAsia" w:ascii="Times New Roman" w:hAnsi="Times New Roman" w:eastAsia="仿宋_GB2312" w:cs="Times New Roman"/>
          <w:sz w:val="32"/>
          <w:szCs w:val="32"/>
        </w:rPr>
        <w:t>https://xh.benxi.gov.cn/manage666/index</w:t>
      </w: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仿宋_GB2312">
    <w:altName w:val="方正仿宋_GBK"/>
    <w:panose1 w:val="00000000000000000000"/>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GWZT-EN">
    <w:panose1 w:val="02020400000000000000"/>
    <w:charset w:val="86"/>
    <w:family w:val="auto"/>
    <w:pitch w:val="default"/>
    <w:sig w:usb0="A00002BF" w:usb1="38CF7CFA" w:usb2="00082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DB0B4">
    <w:pPr>
      <w:pStyle w:val="4"/>
      <w:jc w:val="center"/>
    </w:pPr>
  </w:p>
  <w:p w14:paraId="1CFA4263">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697200"/>
    </w:sdtPr>
    <w:sdtEndPr>
      <w:rPr>
        <w:rFonts w:asciiTheme="majorEastAsia" w:hAnsiTheme="majorEastAsia" w:eastAsiaTheme="majorEastAsia"/>
        <w:sz w:val="28"/>
        <w:szCs w:val="28"/>
      </w:rPr>
    </w:sdtEndPr>
    <w:sdtContent>
      <w:p w14:paraId="1CC5AD44">
        <w:pPr>
          <w:pStyle w:val="4"/>
          <w:jc w:val="cente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10</w:t>
        </w:r>
        <w:r>
          <w:rPr>
            <w:rFonts w:asciiTheme="majorEastAsia" w:hAnsiTheme="majorEastAsia" w:eastAsiaTheme="majorEastAsia"/>
            <w:sz w:val="28"/>
            <w:szCs w:val="28"/>
          </w:rPr>
          <w:fldChar w:fldCharType="end"/>
        </w:r>
      </w:p>
    </w:sdtContent>
  </w:sdt>
  <w:p w14:paraId="227F7041">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1D500A"/>
    <w:multiLevelType w:val="singleLevel"/>
    <w:tmpl w:val="681D500A"/>
    <w:lvl w:ilvl="0" w:tentative="0">
      <w:start w:val="1"/>
      <w:numFmt w:val="chineseCounting"/>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A6F"/>
    <w:rsid w:val="0000672A"/>
    <w:rsid w:val="000215EE"/>
    <w:rsid w:val="0004495C"/>
    <w:rsid w:val="00060027"/>
    <w:rsid w:val="000D63D1"/>
    <w:rsid w:val="000E7095"/>
    <w:rsid w:val="00150082"/>
    <w:rsid w:val="001770E9"/>
    <w:rsid w:val="00177A6F"/>
    <w:rsid w:val="0018703D"/>
    <w:rsid w:val="00260BF6"/>
    <w:rsid w:val="002670A8"/>
    <w:rsid w:val="002E321B"/>
    <w:rsid w:val="003177C2"/>
    <w:rsid w:val="003853CB"/>
    <w:rsid w:val="003B3C2A"/>
    <w:rsid w:val="00405E56"/>
    <w:rsid w:val="00467FB6"/>
    <w:rsid w:val="004E4C46"/>
    <w:rsid w:val="005137CD"/>
    <w:rsid w:val="005E7D42"/>
    <w:rsid w:val="00651DF7"/>
    <w:rsid w:val="00686DA1"/>
    <w:rsid w:val="006F51B7"/>
    <w:rsid w:val="0072085C"/>
    <w:rsid w:val="007F4D5A"/>
    <w:rsid w:val="00850C86"/>
    <w:rsid w:val="008A3765"/>
    <w:rsid w:val="008B0E94"/>
    <w:rsid w:val="008D6541"/>
    <w:rsid w:val="008D7A97"/>
    <w:rsid w:val="008F3FE7"/>
    <w:rsid w:val="0090712D"/>
    <w:rsid w:val="0091014E"/>
    <w:rsid w:val="009438BD"/>
    <w:rsid w:val="00944BD3"/>
    <w:rsid w:val="00A53B7E"/>
    <w:rsid w:val="00A55F6E"/>
    <w:rsid w:val="00AD603C"/>
    <w:rsid w:val="00B0451C"/>
    <w:rsid w:val="00B16203"/>
    <w:rsid w:val="00B218D5"/>
    <w:rsid w:val="00B47CC8"/>
    <w:rsid w:val="00B62861"/>
    <w:rsid w:val="00BB4C8F"/>
    <w:rsid w:val="00C3232E"/>
    <w:rsid w:val="00C34597"/>
    <w:rsid w:val="00DA2646"/>
    <w:rsid w:val="00E8664C"/>
    <w:rsid w:val="00ED54F7"/>
    <w:rsid w:val="00F27900"/>
    <w:rsid w:val="00F31A53"/>
    <w:rsid w:val="00F31C06"/>
    <w:rsid w:val="00F923E6"/>
    <w:rsid w:val="00FD0EAB"/>
    <w:rsid w:val="00FF5710"/>
    <w:rsid w:val="39C01CC6"/>
    <w:rsid w:val="5CF5648B"/>
    <w:rsid w:val="691343B6"/>
    <w:rsid w:val="6F7B4D37"/>
    <w:rsid w:val="77B39BC9"/>
    <w:rsid w:val="79F53858"/>
    <w:rsid w:val="7E9F06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basedOn w:val="8"/>
    <w:qFormat/>
    <w:uiPriority w:val="22"/>
    <w:rPr>
      <w:b/>
      <w:bCs/>
    </w:rPr>
  </w:style>
  <w:style w:type="paragraph" w:customStyle="1" w:styleId="10">
    <w:name w:val="列出段落1"/>
    <w:basedOn w:val="1"/>
    <w:qFormat/>
    <w:uiPriority w:val="34"/>
    <w:pPr>
      <w:ind w:firstLine="420" w:firstLineChars="200"/>
    </w:p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character" w:customStyle="1" w:styleId="13">
    <w:name w:val="批注框文本 Char"/>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 SelectedStyle=""/>
</file>

<file path=customXml/itemProps1.xml><?xml version="1.0" encoding="utf-8"?>
<ds:datastoreItem xmlns:ds="http://schemas.openxmlformats.org/officeDocument/2006/customXml" ds:itemID="{78D2DF98-4386-4227-833C-47F19FAF423E}">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16</Pages>
  <Words>807</Words>
  <Characters>4606</Characters>
  <Lines>38</Lines>
  <Paragraphs>10</Paragraphs>
  <TotalTime>126</TotalTime>
  <ScaleCrop>false</ScaleCrop>
  <LinksUpToDate>false</LinksUpToDate>
  <CharactersWithSpaces>5403</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2021-06-11T14:12:00Z</dcterms:created>
  <dc:creator>Administrator</dc:creator>
  <cp:lastModifiedBy>Ting</cp:lastModifiedBy>
  <dcterms:modified xsi:type="dcterms:W3CDTF">2026-08-12T10:17:29Z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54ED6295AEC7032E88897A6A769B2E47_42</vt:lpwstr>
  </property>
</Properties>
</file>