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641BE">
      <w:pPr>
        <w:spacing w:line="540" w:lineRule="exact"/>
        <w:rPr>
          <w:rFonts w:hint="eastAsia" w:ascii="仿宋_GB2312" w:eastAsia="仿宋_GB2312"/>
          <w:b/>
          <w:sz w:val="32"/>
          <w:szCs w:val="32"/>
        </w:rPr>
      </w:pPr>
      <w:bookmarkStart w:id="0" w:name="_GoBack"/>
      <w:bookmarkEnd w:id="0"/>
    </w:p>
    <w:p w14:paraId="5EE5F76E">
      <w:pPr>
        <w:spacing w:line="540" w:lineRule="exact"/>
        <w:rPr>
          <w:rFonts w:hint="eastAsia" w:ascii="仿宋_GB2312" w:eastAsia="仿宋_GB2312"/>
          <w:b/>
          <w:sz w:val="32"/>
          <w:szCs w:val="32"/>
        </w:rPr>
      </w:pPr>
      <w:r>
        <w:rPr>
          <w:rFonts w:hint="eastAsia" w:ascii="仿宋_GB2312" w:eastAsia="仿宋_GB2312"/>
          <w:b/>
          <w:sz w:val="32"/>
          <w:szCs w:val="32"/>
        </w:rPr>
        <w:t>附件2</w:t>
      </w:r>
    </w:p>
    <w:p w14:paraId="59D2708D">
      <w:pPr>
        <w:spacing w:line="540" w:lineRule="exact"/>
        <w:jc w:val="center"/>
        <w:rPr>
          <w:rFonts w:hint="eastAsia"/>
          <w:b/>
          <w:sz w:val="44"/>
          <w:szCs w:val="44"/>
          <w:u w:val="single"/>
        </w:rPr>
      </w:pPr>
    </w:p>
    <w:p w14:paraId="365E30A8">
      <w:pPr>
        <w:spacing w:line="540" w:lineRule="exact"/>
        <w:jc w:val="center"/>
        <w:rPr>
          <w:rFonts w:hint="eastAsia"/>
          <w:b/>
          <w:sz w:val="44"/>
          <w:szCs w:val="44"/>
          <w:u w:val="single"/>
        </w:rPr>
      </w:pPr>
    </w:p>
    <w:p w14:paraId="3A777260">
      <w:pPr>
        <w:spacing w:line="540" w:lineRule="exact"/>
        <w:jc w:val="center"/>
        <w:rPr>
          <w:rFonts w:hint="eastAsia"/>
          <w:b/>
          <w:sz w:val="44"/>
          <w:szCs w:val="44"/>
          <w:u w:val="single"/>
        </w:rPr>
      </w:pPr>
    </w:p>
    <w:p w14:paraId="50D6159C">
      <w:pPr>
        <w:spacing w:line="540" w:lineRule="exact"/>
        <w:jc w:val="center"/>
        <w:rPr>
          <w:rFonts w:hint="eastAsia"/>
          <w:b/>
          <w:sz w:val="44"/>
          <w:szCs w:val="44"/>
          <w:u w:val="single"/>
        </w:rPr>
      </w:pPr>
    </w:p>
    <w:p w14:paraId="5B6B776F">
      <w:pPr>
        <w:spacing w:line="540" w:lineRule="exact"/>
        <w:jc w:val="center"/>
        <w:rPr>
          <w:rFonts w:hint="eastAsia"/>
          <w:b/>
          <w:sz w:val="44"/>
          <w:szCs w:val="44"/>
          <w:u w:val="single"/>
        </w:rPr>
      </w:pPr>
    </w:p>
    <w:p w14:paraId="31B47FDB">
      <w:pPr>
        <w:spacing w:line="540" w:lineRule="exact"/>
        <w:jc w:val="center"/>
        <w:rPr>
          <w:rFonts w:hint="eastAsia" w:ascii="宋体" w:hAnsi="宋体"/>
          <w:b/>
          <w:sz w:val="44"/>
          <w:szCs w:val="44"/>
          <w:u w:val="single"/>
        </w:rPr>
      </w:pPr>
      <w:r>
        <w:rPr>
          <w:rFonts w:hint="eastAsia" w:ascii="宋体" w:hAnsi="宋体"/>
          <w:b/>
          <w:sz w:val="44"/>
          <w:szCs w:val="44"/>
        </w:rPr>
        <w:t>2020年溪湖区部门决算公开文本</w:t>
      </w:r>
    </w:p>
    <w:p w14:paraId="606F3540">
      <w:pPr>
        <w:spacing w:line="540" w:lineRule="exact"/>
        <w:jc w:val="center"/>
        <w:rPr>
          <w:rFonts w:hint="eastAsia"/>
          <w:b/>
          <w:sz w:val="44"/>
          <w:szCs w:val="44"/>
          <w:u w:val="single"/>
        </w:rPr>
      </w:pPr>
    </w:p>
    <w:p w14:paraId="76BE4256">
      <w:pPr>
        <w:spacing w:line="540" w:lineRule="exact"/>
        <w:jc w:val="center"/>
        <w:rPr>
          <w:rFonts w:hint="eastAsia"/>
          <w:b/>
          <w:sz w:val="44"/>
          <w:szCs w:val="44"/>
          <w:u w:val="single"/>
        </w:rPr>
      </w:pPr>
    </w:p>
    <w:p w14:paraId="23327A67">
      <w:pPr>
        <w:spacing w:line="540" w:lineRule="exact"/>
        <w:jc w:val="center"/>
        <w:rPr>
          <w:rFonts w:hint="eastAsia"/>
          <w:b/>
          <w:sz w:val="44"/>
          <w:szCs w:val="44"/>
          <w:u w:val="single"/>
        </w:rPr>
      </w:pPr>
    </w:p>
    <w:p w14:paraId="6A67C868">
      <w:pPr>
        <w:spacing w:line="540" w:lineRule="exact"/>
        <w:jc w:val="center"/>
        <w:rPr>
          <w:rFonts w:hint="eastAsia"/>
          <w:b/>
          <w:sz w:val="44"/>
          <w:szCs w:val="44"/>
          <w:u w:val="single"/>
        </w:rPr>
      </w:pPr>
    </w:p>
    <w:p w14:paraId="1F9B0BD5">
      <w:pPr>
        <w:spacing w:line="540" w:lineRule="exact"/>
        <w:jc w:val="center"/>
        <w:rPr>
          <w:rFonts w:hint="eastAsia"/>
          <w:b/>
          <w:sz w:val="44"/>
          <w:szCs w:val="44"/>
          <w:u w:val="single"/>
        </w:rPr>
      </w:pPr>
    </w:p>
    <w:p w14:paraId="20EC7155">
      <w:pPr>
        <w:spacing w:line="540" w:lineRule="exact"/>
        <w:jc w:val="center"/>
        <w:rPr>
          <w:rFonts w:hint="eastAsia"/>
          <w:b/>
          <w:sz w:val="44"/>
          <w:szCs w:val="44"/>
          <w:u w:val="single"/>
        </w:rPr>
      </w:pPr>
    </w:p>
    <w:p w14:paraId="2E965DB4">
      <w:pPr>
        <w:spacing w:line="540" w:lineRule="exact"/>
        <w:jc w:val="center"/>
        <w:rPr>
          <w:rFonts w:hint="eastAsia"/>
          <w:b/>
          <w:sz w:val="44"/>
          <w:szCs w:val="44"/>
          <w:u w:val="single"/>
        </w:rPr>
      </w:pPr>
    </w:p>
    <w:p w14:paraId="22C51B3B">
      <w:pPr>
        <w:spacing w:line="540" w:lineRule="exact"/>
        <w:jc w:val="center"/>
        <w:rPr>
          <w:rFonts w:hint="eastAsia"/>
          <w:b/>
          <w:sz w:val="44"/>
          <w:szCs w:val="44"/>
          <w:u w:val="single"/>
        </w:rPr>
      </w:pPr>
    </w:p>
    <w:p w14:paraId="0878B207">
      <w:pPr>
        <w:spacing w:line="540" w:lineRule="exact"/>
        <w:jc w:val="center"/>
        <w:rPr>
          <w:rFonts w:hint="eastAsia"/>
          <w:b/>
          <w:sz w:val="44"/>
          <w:szCs w:val="44"/>
          <w:u w:val="single"/>
        </w:rPr>
      </w:pPr>
    </w:p>
    <w:p w14:paraId="0D633467">
      <w:pPr>
        <w:spacing w:line="540" w:lineRule="exact"/>
        <w:jc w:val="center"/>
        <w:rPr>
          <w:rFonts w:hint="eastAsia"/>
          <w:b/>
          <w:sz w:val="44"/>
          <w:szCs w:val="44"/>
          <w:u w:val="single"/>
        </w:rPr>
      </w:pPr>
    </w:p>
    <w:p w14:paraId="7DB66234">
      <w:pPr>
        <w:spacing w:line="540" w:lineRule="exact"/>
        <w:jc w:val="center"/>
        <w:rPr>
          <w:rFonts w:hint="eastAsia"/>
          <w:b/>
          <w:sz w:val="44"/>
          <w:szCs w:val="44"/>
          <w:u w:val="single"/>
        </w:rPr>
      </w:pPr>
    </w:p>
    <w:p w14:paraId="615EA392">
      <w:pPr>
        <w:spacing w:line="540" w:lineRule="exact"/>
        <w:jc w:val="center"/>
        <w:rPr>
          <w:rFonts w:hint="eastAsia"/>
          <w:b/>
          <w:sz w:val="44"/>
          <w:szCs w:val="44"/>
          <w:u w:val="single"/>
        </w:rPr>
      </w:pPr>
    </w:p>
    <w:p w14:paraId="707451D8">
      <w:pPr>
        <w:spacing w:line="540" w:lineRule="exact"/>
        <w:jc w:val="center"/>
        <w:rPr>
          <w:rFonts w:hint="eastAsia"/>
          <w:b/>
          <w:sz w:val="44"/>
          <w:szCs w:val="44"/>
          <w:u w:val="single"/>
        </w:rPr>
      </w:pPr>
    </w:p>
    <w:p w14:paraId="27EC5AD5">
      <w:pPr>
        <w:spacing w:line="540" w:lineRule="exact"/>
        <w:jc w:val="center"/>
        <w:rPr>
          <w:rFonts w:hint="eastAsia"/>
          <w:b/>
          <w:sz w:val="44"/>
          <w:szCs w:val="44"/>
          <w:u w:val="single"/>
        </w:rPr>
      </w:pPr>
    </w:p>
    <w:p w14:paraId="4C08BBB9">
      <w:pPr>
        <w:spacing w:line="540" w:lineRule="exact"/>
        <w:jc w:val="center"/>
        <w:rPr>
          <w:rFonts w:hint="eastAsia"/>
          <w:b/>
          <w:sz w:val="44"/>
          <w:szCs w:val="44"/>
          <w:u w:val="single"/>
        </w:rPr>
      </w:pPr>
    </w:p>
    <w:p w14:paraId="1563B1E1">
      <w:pPr>
        <w:spacing w:line="540" w:lineRule="exact"/>
        <w:jc w:val="center"/>
        <w:rPr>
          <w:rFonts w:hint="eastAsia"/>
          <w:b/>
          <w:sz w:val="44"/>
          <w:szCs w:val="44"/>
          <w:u w:val="single"/>
        </w:rPr>
      </w:pPr>
    </w:p>
    <w:p w14:paraId="493FAEC3">
      <w:pPr>
        <w:spacing w:line="540" w:lineRule="exact"/>
        <w:jc w:val="center"/>
        <w:rPr>
          <w:rFonts w:hint="eastAsia"/>
          <w:b/>
          <w:sz w:val="44"/>
          <w:szCs w:val="44"/>
          <w:u w:val="single"/>
        </w:rPr>
      </w:pPr>
    </w:p>
    <w:p w14:paraId="0A3BED54">
      <w:pPr>
        <w:spacing w:line="540" w:lineRule="exact"/>
        <w:jc w:val="center"/>
        <w:rPr>
          <w:rFonts w:hint="eastAsia"/>
          <w:b/>
          <w:sz w:val="44"/>
          <w:szCs w:val="44"/>
          <w:u w:val="single"/>
        </w:rPr>
      </w:pPr>
    </w:p>
    <w:p w14:paraId="4F72528C">
      <w:pPr>
        <w:spacing w:line="540" w:lineRule="exact"/>
        <w:jc w:val="center"/>
        <w:rPr>
          <w:rFonts w:hint="eastAsia"/>
          <w:b/>
          <w:sz w:val="44"/>
          <w:szCs w:val="44"/>
          <w:u w:val="single"/>
        </w:rPr>
      </w:pPr>
    </w:p>
    <w:p w14:paraId="30E97673">
      <w:pPr>
        <w:spacing w:line="540" w:lineRule="exact"/>
        <w:jc w:val="center"/>
        <w:rPr>
          <w:rFonts w:hint="eastAsia"/>
          <w:b/>
          <w:sz w:val="44"/>
          <w:szCs w:val="44"/>
          <w:u w:val="single"/>
        </w:rPr>
      </w:pPr>
    </w:p>
    <w:p w14:paraId="35CAC83C">
      <w:pPr>
        <w:spacing w:line="540" w:lineRule="exact"/>
        <w:jc w:val="center"/>
        <w:rPr>
          <w:rFonts w:hint="eastAsia"/>
          <w:b/>
          <w:sz w:val="44"/>
          <w:szCs w:val="44"/>
          <w:u w:val="single"/>
        </w:rPr>
      </w:pPr>
    </w:p>
    <w:p w14:paraId="31F643A1">
      <w:pPr>
        <w:spacing w:line="540" w:lineRule="exact"/>
        <w:jc w:val="center"/>
        <w:rPr>
          <w:rFonts w:hint="eastAsia"/>
          <w:b/>
          <w:sz w:val="44"/>
          <w:szCs w:val="44"/>
          <w:u w:val="single"/>
        </w:rPr>
      </w:pPr>
    </w:p>
    <w:p w14:paraId="47F30D36">
      <w:pPr>
        <w:spacing w:line="540" w:lineRule="exact"/>
        <w:jc w:val="center"/>
        <w:rPr>
          <w:rFonts w:hint="eastAsia"/>
          <w:b/>
          <w:sz w:val="44"/>
          <w:szCs w:val="44"/>
          <w:u w:val="single"/>
        </w:rPr>
      </w:pPr>
    </w:p>
    <w:p w14:paraId="0EAC8BAD">
      <w:pPr>
        <w:spacing w:line="540" w:lineRule="exact"/>
        <w:jc w:val="center"/>
        <w:rPr>
          <w:rFonts w:hint="eastAsia"/>
          <w:b/>
          <w:sz w:val="44"/>
          <w:szCs w:val="44"/>
          <w:u w:val="single"/>
        </w:rPr>
      </w:pPr>
    </w:p>
    <w:p w14:paraId="6E32386D">
      <w:pPr>
        <w:spacing w:line="540" w:lineRule="exact"/>
        <w:jc w:val="center"/>
        <w:rPr>
          <w:rFonts w:hint="eastAsia"/>
          <w:b/>
          <w:sz w:val="44"/>
          <w:szCs w:val="44"/>
          <w:u w:val="single"/>
        </w:rPr>
      </w:pPr>
    </w:p>
    <w:p w14:paraId="2928F887">
      <w:pPr>
        <w:spacing w:line="540" w:lineRule="exact"/>
        <w:jc w:val="center"/>
        <w:rPr>
          <w:rFonts w:hint="eastAsia"/>
          <w:b/>
          <w:sz w:val="44"/>
          <w:szCs w:val="44"/>
          <w:u w:val="single"/>
        </w:rPr>
      </w:pPr>
    </w:p>
    <w:p w14:paraId="1DB5C472">
      <w:pPr>
        <w:spacing w:line="540" w:lineRule="exact"/>
        <w:jc w:val="center"/>
        <w:rPr>
          <w:rFonts w:hint="eastAsia"/>
          <w:b/>
          <w:sz w:val="44"/>
          <w:szCs w:val="44"/>
          <w:u w:val="single"/>
        </w:rPr>
      </w:pPr>
    </w:p>
    <w:p w14:paraId="049539A4">
      <w:pPr>
        <w:spacing w:line="540" w:lineRule="exact"/>
        <w:jc w:val="center"/>
        <w:rPr>
          <w:rFonts w:hint="eastAsia" w:ascii="宋体" w:hAnsi="宋体"/>
          <w:b/>
          <w:sz w:val="52"/>
          <w:szCs w:val="52"/>
        </w:rPr>
      </w:pPr>
      <w:r>
        <w:rPr>
          <w:rFonts w:hint="eastAsia" w:ascii="宋体" w:hAnsi="宋体"/>
          <w:b/>
          <w:sz w:val="52"/>
          <w:szCs w:val="52"/>
        </w:rPr>
        <w:t>辽宁省本溪市溪湖区商务局</w:t>
      </w:r>
    </w:p>
    <w:p w14:paraId="5DCD11E2">
      <w:pPr>
        <w:spacing w:line="540" w:lineRule="exact"/>
        <w:jc w:val="center"/>
        <w:rPr>
          <w:rFonts w:hint="eastAsia" w:ascii="宋体" w:hAnsi="宋体"/>
          <w:b/>
          <w:sz w:val="52"/>
          <w:szCs w:val="52"/>
        </w:rPr>
      </w:pPr>
      <w:r>
        <w:rPr>
          <w:rFonts w:hint="eastAsia" w:ascii="宋体" w:hAnsi="宋体"/>
          <w:b/>
          <w:sz w:val="52"/>
          <w:szCs w:val="52"/>
        </w:rPr>
        <w:t>2020年度部门决算</w:t>
      </w:r>
    </w:p>
    <w:p w14:paraId="6C244124">
      <w:pPr>
        <w:spacing w:line="540" w:lineRule="exact"/>
        <w:jc w:val="center"/>
        <w:rPr>
          <w:rFonts w:hint="eastAsia"/>
          <w:b/>
          <w:sz w:val="44"/>
          <w:szCs w:val="44"/>
          <w:u w:val="single"/>
        </w:rPr>
      </w:pPr>
    </w:p>
    <w:p w14:paraId="55598F53">
      <w:pPr>
        <w:spacing w:line="540" w:lineRule="exact"/>
        <w:jc w:val="center"/>
        <w:rPr>
          <w:rFonts w:hint="eastAsia"/>
          <w:b/>
          <w:sz w:val="44"/>
          <w:szCs w:val="44"/>
          <w:u w:val="single"/>
        </w:rPr>
      </w:pPr>
    </w:p>
    <w:p w14:paraId="4711C09E">
      <w:pPr>
        <w:spacing w:line="540" w:lineRule="exact"/>
        <w:jc w:val="center"/>
        <w:rPr>
          <w:rFonts w:hint="eastAsia"/>
          <w:b/>
          <w:sz w:val="44"/>
          <w:szCs w:val="44"/>
          <w:u w:val="single"/>
        </w:rPr>
      </w:pPr>
    </w:p>
    <w:p w14:paraId="52B5FE3B">
      <w:pPr>
        <w:spacing w:line="540" w:lineRule="exact"/>
        <w:jc w:val="center"/>
        <w:rPr>
          <w:rFonts w:hint="eastAsia"/>
          <w:b/>
          <w:sz w:val="44"/>
          <w:szCs w:val="44"/>
          <w:u w:val="single"/>
        </w:rPr>
      </w:pPr>
    </w:p>
    <w:p w14:paraId="429A279D">
      <w:pPr>
        <w:spacing w:line="540" w:lineRule="exact"/>
        <w:jc w:val="center"/>
        <w:rPr>
          <w:rFonts w:hint="eastAsia"/>
          <w:b/>
          <w:sz w:val="44"/>
          <w:szCs w:val="44"/>
          <w:u w:val="single"/>
        </w:rPr>
      </w:pPr>
    </w:p>
    <w:p w14:paraId="5CCF9775">
      <w:pPr>
        <w:spacing w:line="540" w:lineRule="exact"/>
        <w:jc w:val="center"/>
        <w:rPr>
          <w:rFonts w:hint="eastAsia"/>
          <w:b/>
          <w:sz w:val="44"/>
          <w:szCs w:val="44"/>
          <w:u w:val="single"/>
        </w:rPr>
      </w:pPr>
    </w:p>
    <w:p w14:paraId="2EFC109D">
      <w:pPr>
        <w:spacing w:line="540" w:lineRule="exact"/>
        <w:jc w:val="center"/>
        <w:rPr>
          <w:rFonts w:hint="eastAsia"/>
          <w:b/>
          <w:sz w:val="44"/>
          <w:szCs w:val="44"/>
          <w:u w:val="single"/>
        </w:rPr>
      </w:pPr>
    </w:p>
    <w:p w14:paraId="13856233">
      <w:pPr>
        <w:spacing w:line="540" w:lineRule="exact"/>
        <w:jc w:val="center"/>
        <w:rPr>
          <w:rFonts w:hint="eastAsia"/>
          <w:b/>
          <w:sz w:val="44"/>
          <w:szCs w:val="44"/>
          <w:u w:val="single"/>
        </w:rPr>
      </w:pPr>
    </w:p>
    <w:p w14:paraId="1AD5B0DF">
      <w:pPr>
        <w:spacing w:line="540" w:lineRule="exact"/>
        <w:jc w:val="center"/>
        <w:rPr>
          <w:rFonts w:hint="eastAsia"/>
          <w:b/>
          <w:sz w:val="44"/>
          <w:szCs w:val="44"/>
          <w:u w:val="single"/>
        </w:rPr>
      </w:pPr>
    </w:p>
    <w:p w14:paraId="3CF81865">
      <w:pPr>
        <w:spacing w:line="540" w:lineRule="exact"/>
        <w:jc w:val="center"/>
        <w:rPr>
          <w:rFonts w:hint="eastAsia"/>
          <w:b/>
          <w:sz w:val="44"/>
          <w:szCs w:val="44"/>
          <w:u w:val="single"/>
        </w:rPr>
      </w:pPr>
    </w:p>
    <w:p w14:paraId="0BF4AB15">
      <w:pPr>
        <w:spacing w:line="540" w:lineRule="exact"/>
        <w:jc w:val="center"/>
        <w:rPr>
          <w:rFonts w:hint="eastAsia"/>
          <w:b/>
          <w:sz w:val="44"/>
          <w:szCs w:val="44"/>
          <w:u w:val="single"/>
        </w:rPr>
      </w:pPr>
    </w:p>
    <w:p w14:paraId="430865E6">
      <w:pPr>
        <w:spacing w:line="540" w:lineRule="exact"/>
        <w:jc w:val="center"/>
        <w:rPr>
          <w:rFonts w:hint="eastAsia"/>
          <w:b/>
          <w:sz w:val="44"/>
          <w:szCs w:val="44"/>
        </w:rPr>
      </w:pPr>
    </w:p>
    <w:p w14:paraId="5613A194">
      <w:pPr>
        <w:spacing w:line="540" w:lineRule="exact"/>
        <w:jc w:val="center"/>
        <w:rPr>
          <w:rFonts w:hint="eastAsia"/>
          <w:b/>
          <w:sz w:val="44"/>
          <w:szCs w:val="44"/>
        </w:rPr>
      </w:pPr>
    </w:p>
    <w:p w14:paraId="4BDF0AB6">
      <w:pPr>
        <w:spacing w:line="540" w:lineRule="exact"/>
        <w:jc w:val="center"/>
        <w:rPr>
          <w:rFonts w:hint="eastAsia"/>
          <w:b/>
          <w:sz w:val="44"/>
          <w:szCs w:val="44"/>
        </w:rPr>
      </w:pPr>
    </w:p>
    <w:p w14:paraId="7E4FD28C">
      <w:pPr>
        <w:spacing w:line="540" w:lineRule="exact"/>
        <w:jc w:val="center"/>
        <w:rPr>
          <w:rFonts w:hint="eastAsia"/>
          <w:b/>
          <w:sz w:val="44"/>
          <w:szCs w:val="44"/>
        </w:rPr>
      </w:pPr>
      <w:r>
        <w:rPr>
          <w:rFonts w:hint="eastAsia"/>
          <w:b/>
          <w:sz w:val="44"/>
          <w:szCs w:val="44"/>
        </w:rPr>
        <w:t>目    录</w:t>
      </w:r>
    </w:p>
    <w:p w14:paraId="577461E1">
      <w:pPr>
        <w:spacing w:line="540" w:lineRule="exact"/>
        <w:rPr>
          <w:rFonts w:hint="eastAsia"/>
          <w:b/>
          <w:sz w:val="44"/>
          <w:szCs w:val="44"/>
          <w:u w:val="single"/>
        </w:rPr>
      </w:pPr>
    </w:p>
    <w:p w14:paraId="748DFB10">
      <w:pPr>
        <w:spacing w:line="540" w:lineRule="exact"/>
        <w:rPr>
          <w:rFonts w:hint="eastAsia"/>
          <w:b/>
          <w:sz w:val="44"/>
          <w:szCs w:val="44"/>
          <w:u w:val="single"/>
        </w:rPr>
      </w:pPr>
    </w:p>
    <w:p w14:paraId="3CC4244B">
      <w:pPr>
        <w:spacing w:line="540" w:lineRule="exact"/>
        <w:rPr>
          <w:rFonts w:hint="eastAsia" w:ascii="黑体" w:hAnsi="黑体" w:eastAsia="黑体"/>
          <w:sz w:val="32"/>
          <w:szCs w:val="32"/>
        </w:rPr>
      </w:pPr>
      <w:r>
        <w:rPr>
          <w:rFonts w:hint="eastAsia" w:ascii="黑体" w:hAnsi="黑体" w:eastAsia="黑体"/>
          <w:sz w:val="32"/>
          <w:szCs w:val="32"/>
        </w:rPr>
        <w:t>第一部分    辽宁省本溪市溪湖区商务局概况</w:t>
      </w:r>
    </w:p>
    <w:p w14:paraId="2C408298">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14:paraId="6F467CD5">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14:paraId="22829CD2">
      <w:pPr>
        <w:spacing w:line="540" w:lineRule="exact"/>
        <w:rPr>
          <w:rFonts w:hint="eastAsia" w:ascii="黑体" w:hAnsi="黑体" w:eastAsia="黑体"/>
          <w:sz w:val="32"/>
          <w:szCs w:val="32"/>
        </w:rPr>
      </w:pPr>
      <w:r>
        <w:rPr>
          <w:rFonts w:hint="eastAsia" w:ascii="黑体" w:hAnsi="黑体" w:eastAsia="黑体"/>
          <w:sz w:val="32"/>
          <w:szCs w:val="32"/>
        </w:rPr>
        <w:t>第二部分    辽宁省本溪市溪湖区商务局2020年度部门决算报表</w:t>
      </w:r>
    </w:p>
    <w:p w14:paraId="4CFDCF18">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2020年度收入支出决算总表</w:t>
      </w:r>
    </w:p>
    <w:p w14:paraId="6D7BF259">
      <w:pPr>
        <w:spacing w:line="540" w:lineRule="exact"/>
        <w:rPr>
          <w:rFonts w:hint="eastAsia" w:ascii="仿宋_GB2312" w:eastAsia="仿宋_GB2312"/>
          <w:sz w:val="32"/>
          <w:szCs w:val="32"/>
        </w:rPr>
      </w:pPr>
      <w:r>
        <w:rPr>
          <w:rFonts w:hint="eastAsia" w:ascii="仿宋_GB2312" w:eastAsia="仿宋_GB2312"/>
          <w:sz w:val="32"/>
          <w:szCs w:val="32"/>
        </w:rPr>
        <w:t>二、</w:t>
      </w:r>
      <w:r>
        <w:rPr>
          <w:rFonts w:hint="eastAsia" w:ascii="仿宋_GB2312" w:hAnsi="仿宋" w:eastAsia="仿宋_GB2312"/>
          <w:sz w:val="32"/>
          <w:szCs w:val="32"/>
        </w:rPr>
        <w:t>2020年度</w:t>
      </w:r>
      <w:r>
        <w:rPr>
          <w:rFonts w:hint="eastAsia" w:ascii="仿宋_GB2312" w:eastAsia="仿宋_GB2312"/>
          <w:sz w:val="32"/>
          <w:szCs w:val="32"/>
        </w:rPr>
        <w:t>收入决算表</w:t>
      </w:r>
    </w:p>
    <w:p w14:paraId="68AF36DA">
      <w:pPr>
        <w:spacing w:line="540" w:lineRule="exact"/>
        <w:rPr>
          <w:rFonts w:hint="eastAsia" w:ascii="仿宋_GB2312" w:eastAsia="仿宋_GB2312"/>
          <w:sz w:val="32"/>
          <w:szCs w:val="32"/>
        </w:rPr>
      </w:pPr>
      <w:r>
        <w:rPr>
          <w:rFonts w:hint="eastAsia" w:ascii="仿宋_GB2312" w:eastAsia="仿宋_GB2312"/>
          <w:sz w:val="32"/>
          <w:szCs w:val="32"/>
        </w:rPr>
        <w:t>三、2020</w:t>
      </w:r>
      <w:r>
        <w:rPr>
          <w:rFonts w:hint="eastAsia" w:ascii="仿宋_GB2312" w:hAnsi="仿宋" w:eastAsia="仿宋_GB2312"/>
          <w:sz w:val="32"/>
          <w:szCs w:val="32"/>
        </w:rPr>
        <w:t>年度</w:t>
      </w:r>
      <w:r>
        <w:rPr>
          <w:rFonts w:hint="eastAsia" w:ascii="仿宋_GB2312" w:eastAsia="仿宋_GB2312"/>
          <w:sz w:val="32"/>
          <w:szCs w:val="32"/>
        </w:rPr>
        <w:t>支出决算表</w:t>
      </w:r>
    </w:p>
    <w:p w14:paraId="2FC1C981">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2020年度财政拨款收入支出决算表</w:t>
      </w:r>
    </w:p>
    <w:p w14:paraId="2A86508A">
      <w:pPr>
        <w:spacing w:line="540" w:lineRule="exact"/>
        <w:rPr>
          <w:rFonts w:hint="eastAsia"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20</w:t>
      </w:r>
      <w:r>
        <w:rPr>
          <w:rFonts w:hint="eastAsia" w:ascii="仿宋_GB2312" w:eastAsia="仿宋_GB2312"/>
          <w:sz w:val="32"/>
          <w:szCs w:val="32"/>
        </w:rPr>
        <w:t>20</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14:paraId="2BF67D66">
      <w:pPr>
        <w:spacing w:line="540" w:lineRule="exact"/>
        <w:rPr>
          <w:rFonts w:hint="eastAsia"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20</w:t>
      </w:r>
      <w:r>
        <w:rPr>
          <w:rFonts w:hint="eastAsia" w:ascii="仿宋_GB2312" w:eastAsia="仿宋_GB2312"/>
          <w:sz w:val="32"/>
          <w:szCs w:val="32"/>
        </w:rPr>
        <w:t>20</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0552B603">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20</w:t>
      </w:r>
      <w:r>
        <w:rPr>
          <w:rFonts w:hint="eastAsia" w:ascii="仿宋_GB2312" w:eastAsia="仿宋_GB2312"/>
          <w:sz w:val="32"/>
          <w:szCs w:val="32"/>
        </w:rPr>
        <w:t>20</w:t>
      </w:r>
      <w:r>
        <w:rPr>
          <w:rFonts w:ascii="仿宋_GB2312" w:eastAsia="仿宋_GB2312"/>
          <w:sz w:val="32"/>
          <w:szCs w:val="32"/>
        </w:rPr>
        <w:t>年度</w:t>
      </w:r>
      <w:r>
        <w:rPr>
          <w:rFonts w:hint="eastAsia" w:ascii="仿宋_GB2312" w:eastAsia="仿宋_GB2312"/>
          <w:sz w:val="32"/>
          <w:szCs w:val="32"/>
        </w:rPr>
        <w:t>一般公共预算财政拨款“三公”经费支出决算表</w:t>
      </w:r>
    </w:p>
    <w:p w14:paraId="61E9D082">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rPr>
        <w:t>2020年度</w:t>
      </w:r>
      <w:r>
        <w:rPr>
          <w:rFonts w:ascii="仿宋_GB2312" w:eastAsia="仿宋_GB2312"/>
          <w:sz w:val="32"/>
          <w:szCs w:val="32"/>
        </w:rPr>
        <w:t>政府性基金预算财政拨款收入支出决算表</w:t>
      </w:r>
    </w:p>
    <w:p w14:paraId="5CA0BF39">
      <w:pPr>
        <w:spacing w:line="540" w:lineRule="exact"/>
        <w:rPr>
          <w:rFonts w:hint="eastAsia"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20</w:t>
      </w:r>
      <w:r>
        <w:rPr>
          <w:rFonts w:hint="eastAsia" w:ascii="仿宋_GB2312" w:eastAsia="仿宋_GB2312"/>
          <w:sz w:val="32"/>
          <w:szCs w:val="32"/>
        </w:rPr>
        <w:t>20</w:t>
      </w:r>
      <w:r>
        <w:rPr>
          <w:rFonts w:hint="eastAsia" w:ascii="仿宋_GB2312" w:hAnsi="仿宋" w:eastAsia="仿宋_GB2312"/>
          <w:sz w:val="32"/>
          <w:szCs w:val="32"/>
        </w:rPr>
        <w:t>年度国有资本经营预算财政拨款支出决算表</w:t>
      </w:r>
    </w:p>
    <w:p w14:paraId="00614E02">
      <w:pPr>
        <w:spacing w:line="540" w:lineRule="exact"/>
        <w:ind w:left="640" w:hanging="640" w:hangingChars="200"/>
        <w:rPr>
          <w:rFonts w:hint="eastAsia" w:ascii="仿宋_GB2312" w:eastAsia="仿宋_GB2312"/>
          <w:sz w:val="32"/>
          <w:szCs w:val="32"/>
        </w:rPr>
      </w:pPr>
    </w:p>
    <w:p w14:paraId="617D3EAF">
      <w:pPr>
        <w:spacing w:line="540" w:lineRule="exact"/>
        <w:rPr>
          <w:rFonts w:hint="eastAsia" w:ascii="黑体" w:hAnsi="黑体" w:eastAsia="黑体"/>
          <w:sz w:val="32"/>
          <w:szCs w:val="32"/>
        </w:rPr>
      </w:pPr>
      <w:r>
        <w:rPr>
          <w:rFonts w:hint="eastAsia" w:ascii="黑体" w:hAnsi="黑体" w:eastAsia="黑体"/>
          <w:sz w:val="32"/>
          <w:szCs w:val="32"/>
        </w:rPr>
        <w:t>第三部分    辽宁省本溪市溪湖区商务局2020年度部门决算情况说明</w:t>
      </w:r>
    </w:p>
    <w:p w14:paraId="2CA3EBF5">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14:paraId="4EA65375">
      <w:pPr>
        <w:spacing w:line="540" w:lineRule="exact"/>
        <w:jc w:val="center"/>
        <w:rPr>
          <w:rFonts w:hint="eastAsia" w:ascii="黑体" w:hAnsi="黑体" w:eastAsia="黑体"/>
          <w:b/>
          <w:sz w:val="44"/>
          <w:szCs w:val="44"/>
          <w:u w:val="single"/>
        </w:rPr>
      </w:pPr>
    </w:p>
    <w:p w14:paraId="72134B95">
      <w:pPr>
        <w:spacing w:line="540" w:lineRule="exact"/>
        <w:jc w:val="center"/>
        <w:rPr>
          <w:rFonts w:hint="eastAsia"/>
          <w:b/>
          <w:sz w:val="44"/>
          <w:szCs w:val="44"/>
          <w:u w:val="single"/>
        </w:rPr>
      </w:pPr>
    </w:p>
    <w:p w14:paraId="7D3E08DE">
      <w:pPr>
        <w:spacing w:line="540" w:lineRule="exact"/>
        <w:jc w:val="center"/>
        <w:rPr>
          <w:rFonts w:hint="eastAsia"/>
          <w:b/>
          <w:sz w:val="44"/>
          <w:szCs w:val="44"/>
          <w:u w:val="single"/>
        </w:rPr>
      </w:pPr>
    </w:p>
    <w:p w14:paraId="0D4D4217">
      <w:pPr>
        <w:spacing w:line="540" w:lineRule="exact"/>
        <w:jc w:val="center"/>
        <w:rPr>
          <w:rFonts w:hint="eastAsia" w:ascii="黑体" w:eastAsia="黑体"/>
          <w:sz w:val="32"/>
          <w:szCs w:val="32"/>
        </w:rPr>
      </w:pPr>
    </w:p>
    <w:p w14:paraId="5634A340">
      <w:pPr>
        <w:spacing w:line="540" w:lineRule="exact"/>
        <w:jc w:val="center"/>
        <w:rPr>
          <w:rFonts w:hint="eastAsia" w:ascii="黑体" w:eastAsia="黑体"/>
          <w:sz w:val="32"/>
          <w:szCs w:val="32"/>
        </w:rPr>
      </w:pPr>
    </w:p>
    <w:p w14:paraId="7F60E07C">
      <w:pPr>
        <w:spacing w:line="540" w:lineRule="exact"/>
        <w:jc w:val="center"/>
        <w:rPr>
          <w:rFonts w:hint="eastAsia" w:ascii="宋体" w:hAnsi="宋体"/>
          <w:b/>
          <w:sz w:val="36"/>
          <w:szCs w:val="36"/>
        </w:rPr>
      </w:pPr>
      <w:r>
        <w:rPr>
          <w:rFonts w:hint="eastAsia" w:ascii="宋体" w:hAnsi="宋体"/>
          <w:b/>
          <w:sz w:val="36"/>
          <w:szCs w:val="36"/>
        </w:rPr>
        <w:t>第一部分 辽宁省本溪市溪湖区商务局概况</w:t>
      </w:r>
    </w:p>
    <w:p w14:paraId="680A7216">
      <w:pPr>
        <w:spacing w:line="540" w:lineRule="exact"/>
        <w:ind w:firstLine="640" w:firstLineChars="200"/>
        <w:jc w:val="left"/>
        <w:rPr>
          <w:rFonts w:hint="eastAsia" w:ascii="黑体" w:eastAsia="黑体"/>
          <w:sz w:val="32"/>
          <w:szCs w:val="32"/>
        </w:rPr>
      </w:pPr>
    </w:p>
    <w:p w14:paraId="1522969D">
      <w:pPr>
        <w:numPr>
          <w:ilvl w:val="0"/>
          <w:numId w:val="2"/>
        </w:numPr>
        <w:spacing w:line="540" w:lineRule="exact"/>
        <w:jc w:val="left"/>
        <w:rPr>
          <w:rFonts w:hint="eastAsia" w:ascii="黑体" w:eastAsia="黑体"/>
          <w:sz w:val="32"/>
          <w:szCs w:val="32"/>
        </w:rPr>
      </w:pPr>
      <w:r>
        <w:rPr>
          <w:rFonts w:hint="eastAsia" w:ascii="黑体" w:eastAsia="黑体"/>
          <w:sz w:val="32"/>
          <w:szCs w:val="32"/>
        </w:rPr>
        <w:t>主要职责</w:t>
      </w:r>
    </w:p>
    <w:p w14:paraId="62D951D6">
      <w:pPr>
        <w:spacing w:line="540" w:lineRule="exact"/>
        <w:ind w:firstLine="640" w:firstLineChars="200"/>
        <w:jc w:val="left"/>
        <w:rPr>
          <w:rFonts w:ascii="黑体" w:eastAsia="黑体"/>
          <w:sz w:val="32"/>
          <w:szCs w:val="32"/>
        </w:rPr>
      </w:pPr>
      <w:r>
        <w:rPr>
          <w:rFonts w:hint="eastAsia" w:ascii="仿宋_GB2312" w:hAnsi="微软雅黑" w:eastAsia="仿宋_GB2312" w:cs="宋体"/>
          <w:color w:val="333333"/>
          <w:kern w:val="0"/>
          <w:sz w:val="32"/>
          <w:szCs w:val="32"/>
        </w:rPr>
        <w:t>溪湖区商务局是区政府工作部门，为正科级，加挂溪湖区人民政府外事办公室牌子。中共溪湖区委外事工作委员会办公室（</w:t>
      </w:r>
      <w:r>
        <w:rPr>
          <w:rFonts w:hint="eastAsia" w:ascii="仿宋_GB2312" w:hAnsi="微软雅黑" w:eastAsia="仿宋_GB2312" w:cs="宋体"/>
          <w:color w:val="333333"/>
          <w:kern w:val="0"/>
          <w:sz w:val="32"/>
          <w:szCs w:val="32"/>
          <w:lang w:eastAsia="zh-CN"/>
        </w:rPr>
        <w:t>以下简称</w:t>
      </w:r>
      <w:r>
        <w:rPr>
          <w:rFonts w:hint="eastAsia" w:ascii="仿宋_GB2312" w:hAnsi="微软雅黑" w:eastAsia="仿宋_GB2312" w:cs="宋体"/>
          <w:color w:val="333333"/>
          <w:kern w:val="0"/>
          <w:sz w:val="32"/>
          <w:szCs w:val="32"/>
        </w:rPr>
        <w:t>区委外办）设在区商务局（区政府外事办公室），接受区委外事委员会的直接领导，承担区委外事工作委员会具体工作，组织开展外事重大问题的政策研究，协调督促有关方面落实区委外事工作委员会决定事项，工作部署和要求等。</w:t>
      </w:r>
    </w:p>
    <w:p w14:paraId="61C6A449">
      <w:pPr>
        <w:spacing w:line="540" w:lineRule="exact"/>
        <w:ind w:left="1360"/>
        <w:jc w:val="left"/>
        <w:rPr>
          <w:rFonts w:hint="eastAsia" w:ascii="黑体" w:eastAsia="黑体"/>
          <w:sz w:val="32"/>
          <w:szCs w:val="32"/>
        </w:rPr>
      </w:pPr>
    </w:p>
    <w:p w14:paraId="0F1670A3">
      <w:pPr>
        <w:spacing w:line="540" w:lineRule="exact"/>
        <w:ind w:firstLine="640" w:firstLineChars="200"/>
        <w:jc w:val="left"/>
        <w:rPr>
          <w:rFonts w:hint="eastAsia" w:ascii="黑体" w:eastAsia="黑体"/>
          <w:sz w:val="32"/>
          <w:szCs w:val="32"/>
        </w:rPr>
      </w:pPr>
      <w:r>
        <w:rPr>
          <w:rFonts w:hint="eastAsia" w:ascii="黑体" w:eastAsia="黑体"/>
          <w:sz w:val="32"/>
          <w:szCs w:val="32"/>
        </w:rPr>
        <w:t>二、部门决算单位构成</w:t>
      </w:r>
    </w:p>
    <w:p w14:paraId="16C1A43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纳入辽宁省本溪市溪湖区商务局2020年部门决算编制范围的预算单位包括：</w:t>
      </w:r>
    </w:p>
    <w:p w14:paraId="1DE30FFC">
      <w:pPr>
        <w:ind w:firstLine="640" w:firstLineChars="200"/>
        <w:jc w:val="left"/>
        <w:rPr>
          <w:rFonts w:hint="eastAsia" w:ascii="仿宋_GB2312" w:eastAsia="仿宋_GB2312"/>
          <w:sz w:val="32"/>
          <w:szCs w:val="32"/>
        </w:rPr>
      </w:pPr>
      <w:r>
        <w:rPr>
          <w:rFonts w:hint="eastAsia" w:ascii="仿宋_GB2312" w:eastAsia="仿宋_GB2312"/>
          <w:sz w:val="32"/>
          <w:szCs w:val="32"/>
        </w:rPr>
        <w:t>1.辽宁省本溪市溪湖区商务局(本级)</w:t>
      </w:r>
    </w:p>
    <w:p w14:paraId="16314375">
      <w:pPr>
        <w:spacing w:line="540" w:lineRule="exact"/>
        <w:rPr>
          <w:rFonts w:hint="eastAsia" w:ascii="宋体" w:hAnsi="宋体"/>
          <w:b/>
          <w:sz w:val="36"/>
          <w:szCs w:val="36"/>
        </w:rPr>
      </w:pPr>
    </w:p>
    <w:p w14:paraId="1766641A">
      <w:pPr>
        <w:spacing w:line="540" w:lineRule="exact"/>
        <w:rPr>
          <w:rFonts w:hint="eastAsia" w:ascii="宋体" w:hAnsi="宋体"/>
          <w:b/>
          <w:sz w:val="36"/>
          <w:szCs w:val="36"/>
        </w:rPr>
      </w:pPr>
    </w:p>
    <w:p w14:paraId="3CDE94C0">
      <w:pPr>
        <w:spacing w:line="540" w:lineRule="exact"/>
        <w:jc w:val="center"/>
        <w:rPr>
          <w:rFonts w:hint="eastAsia" w:ascii="宋体" w:hAnsi="宋体"/>
          <w:b/>
          <w:sz w:val="36"/>
          <w:szCs w:val="36"/>
        </w:rPr>
      </w:pPr>
      <w:r>
        <w:rPr>
          <w:rFonts w:hint="eastAsia" w:ascii="宋体" w:hAnsi="宋体"/>
          <w:b/>
          <w:sz w:val="36"/>
          <w:szCs w:val="36"/>
        </w:rPr>
        <w:t>第二部分 辽宁省本溪市溪湖区商务局2020年度部门决算公开报表</w:t>
      </w:r>
    </w:p>
    <w:p w14:paraId="0F6E7D7B">
      <w:pPr>
        <w:spacing w:line="540" w:lineRule="exact"/>
        <w:rPr>
          <w:rFonts w:hint="eastAsia" w:ascii="宋体" w:hAnsi="宋体"/>
          <w:b/>
          <w:sz w:val="36"/>
          <w:szCs w:val="36"/>
        </w:rPr>
      </w:pPr>
    </w:p>
    <w:p w14:paraId="3F899683">
      <w:pPr>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略</w:t>
      </w:r>
    </w:p>
    <w:p w14:paraId="32A72948">
      <w:pPr>
        <w:spacing w:line="540" w:lineRule="exact"/>
        <w:ind w:firstLine="640" w:firstLineChars="200"/>
        <w:rPr>
          <w:rFonts w:hint="eastAsia" w:ascii="仿宋" w:hAnsi="仿宋" w:eastAsia="仿宋" w:cs="仿宋"/>
          <w:bCs/>
          <w:sz w:val="32"/>
          <w:szCs w:val="32"/>
        </w:rPr>
      </w:pPr>
    </w:p>
    <w:p w14:paraId="6F8DA9BC">
      <w:pPr>
        <w:spacing w:line="540" w:lineRule="exact"/>
        <w:jc w:val="center"/>
        <w:rPr>
          <w:rFonts w:hint="eastAsia" w:ascii="宋体" w:hAnsi="宋体"/>
          <w:b/>
          <w:sz w:val="36"/>
          <w:szCs w:val="36"/>
        </w:rPr>
      </w:pPr>
      <w:r>
        <w:rPr>
          <w:rFonts w:hint="eastAsia" w:ascii="宋体" w:hAnsi="宋体"/>
          <w:b/>
          <w:sz w:val="36"/>
          <w:szCs w:val="36"/>
        </w:rPr>
        <w:t>第三部分 辽宁省本溪市溪湖区商务局2020年度部门决算情况说明</w:t>
      </w:r>
    </w:p>
    <w:p w14:paraId="497E28DD">
      <w:pPr>
        <w:spacing w:line="540" w:lineRule="exact"/>
        <w:rPr>
          <w:rFonts w:hint="eastAsia" w:ascii="宋体" w:hAnsi="宋体"/>
          <w:b/>
          <w:sz w:val="36"/>
          <w:szCs w:val="36"/>
        </w:rPr>
      </w:pPr>
    </w:p>
    <w:p w14:paraId="292F0679">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14:paraId="0D539382">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（一）收入总计373.38万元，包括：</w:t>
      </w:r>
    </w:p>
    <w:p w14:paraId="3270BD1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1.财政拨款收入337.84万元，其中：一般公共预算财政拨款收入337.84万元，政府性基金收入0万元，国有资本经营预算财政拨款0万元。</w:t>
      </w:r>
    </w:p>
    <w:p w14:paraId="1C3FBD7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2.上级补助收入0万元，主要是0等收入。</w:t>
      </w:r>
    </w:p>
    <w:p w14:paraId="3FA5F26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3.事业收入0万元，主要是0等收入。</w:t>
      </w:r>
    </w:p>
    <w:p w14:paraId="17386EF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4.经营收入0万元，主要是0等收入。</w:t>
      </w:r>
    </w:p>
    <w:p w14:paraId="6290279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5.附属单位上缴收入0万元，主要是0等收入。</w:t>
      </w:r>
    </w:p>
    <w:p w14:paraId="1796E27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6.其他收入0万元，主要是0等收入。</w:t>
      </w:r>
    </w:p>
    <w:p w14:paraId="45CC64A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7.使用非财政拨款结余0万元，主要是0等。</w:t>
      </w:r>
    </w:p>
    <w:p w14:paraId="7606164C">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8.年初结转和结余35.54万元，主要是涉外发展服务支出、商业流通事务等。</w:t>
      </w:r>
    </w:p>
    <w:p w14:paraId="725DE17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与上年相比，今年收入增加42.52万元，增长14.40%，主要原因本年度招商力度增加。</w:t>
      </w:r>
    </w:p>
    <w:p w14:paraId="2449BCD4">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（二）支出总计248.10万元，包括：</w:t>
      </w:r>
    </w:p>
    <w:p w14:paraId="4536389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1.基本支出126.73万元，主要是为保障机构正常运转、完成日常工作任务而发生的各项支出，其中：工资福利支出108.25万元，对个人和家庭的补助支出4.78万元，商品和服务支出13.71万元。</w:t>
      </w:r>
    </w:p>
    <w:p w14:paraId="5B25409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2.项目支出121.37万元，主要包括涉外发展服务支出、商业流通事务等业务支出。</w:t>
      </w:r>
    </w:p>
    <w:p w14:paraId="5717AEB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3.上缴上级支出0万元，主要包括0等业务支出。</w:t>
      </w:r>
    </w:p>
    <w:p w14:paraId="79999D8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4.经营支出0万元，主要包括0等业务支出。</w:t>
      </w:r>
    </w:p>
    <w:p w14:paraId="2B69294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5.对附属单位补助支出0万元，主要包括0等业务支出。</w:t>
      </w:r>
    </w:p>
    <w:p w14:paraId="54C278E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与上年相比，今年支出减少24.74万元，降低9.07%，主要原因是招商工作经费一部分由日常经费支出。</w:t>
      </w:r>
    </w:p>
    <w:p w14:paraId="2BACFBF6">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（三）年末结转和结余125.28万元</w:t>
      </w:r>
    </w:p>
    <w:p w14:paraId="47F00E7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主要是涉外发展服务支出等原因形成的结余。与上年相比，今年结转结余增加89.55万元，增长250.63%，主要原因是年末项目未支出。</w:t>
      </w:r>
    </w:p>
    <w:p w14:paraId="53D1F05A">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14:paraId="55EE67AB">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14:paraId="4856162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本单位2020年整体财政拨款支出情况，既包括使用当年财政拨款发生的支出，也包括使用以前年度财政拨款结转和结余资金发生的支出。2020年度财政拨款支出248.10万元，其中：基本支出126.73万元，项目支出121.73万元。</w:t>
      </w:r>
    </w:p>
    <w:p w14:paraId="585B9EC9">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14:paraId="7DB5BED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2020年度财政拨款支出248.10万元，比上年减少24.74万元，下降9.07%，主要原因是招商工作经费一部分由日常经费支出。其中：按支出功能分类科目分，包括一般公共服务支出43.56万元，社会保障和就业支出25.44万元，医疗卫生支出5.85万元，商业服务等支出166.97万元，住房保障支出6.29万元。</w:t>
      </w:r>
    </w:p>
    <w:p w14:paraId="54C93D1C">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1.一般公共服务支出43.56万元，包括：</w:t>
      </w:r>
    </w:p>
    <w:p w14:paraId="7AEA679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（1）行政运行32.47万元，主要是工资福利、商品服务等支出。</w:t>
      </w:r>
    </w:p>
    <w:p w14:paraId="7432FAFC">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（2）一般行政管理事务10万元，主要是专用材料费等支出。</w:t>
      </w:r>
    </w:p>
    <w:p w14:paraId="450815A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（3）招商引资1.09万元，主要是办公费用等支出。</w:t>
      </w:r>
    </w:p>
    <w:p w14:paraId="31D7F94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2.社会保障和就业支出25.44万元，包括：</w:t>
      </w:r>
    </w:p>
    <w:p w14:paraId="0591EC9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（1）基层政权建设和社区治理3.69万元，主要是生活补助等支出。</w:t>
      </w:r>
    </w:p>
    <w:p w14:paraId="723673D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（2）行政单位离退休0.09万元，主要是独生子女费等支出。</w:t>
      </w:r>
    </w:p>
    <w:p w14:paraId="5200C39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 xml:space="preserve"> （3）行政事业单位养老21.67万元，主要是机关事业单位养老保险缴费、职业年金缴费等</w:t>
      </w:r>
    </w:p>
    <w:p w14:paraId="12BBCC5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4.医疗卫生支出5.85</w:t>
      </w:r>
      <w:r>
        <w:rPr>
          <w:rFonts w:hint="eastAsia" w:ascii="仿宋_GB2312" w:hAnsi="宋体" w:eastAsia="仿宋_GB2312"/>
          <w:sz w:val="32"/>
          <w:szCs w:val="32"/>
          <w:lang w:val="en-US" w:eastAsia="zh-CN"/>
        </w:rPr>
        <w:t>包</w:t>
      </w:r>
      <w:r>
        <w:rPr>
          <w:rFonts w:hint="eastAsia" w:ascii="仿宋_GB2312" w:hAnsi="宋体" w:eastAsia="仿宋_GB2312"/>
          <w:sz w:val="32"/>
          <w:szCs w:val="32"/>
        </w:rPr>
        <w:t>括：</w:t>
      </w:r>
    </w:p>
    <w:p w14:paraId="392DF99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（1）行政单位医疗5.85万元，主要是医疗保险缴纳等支出。</w:t>
      </w:r>
    </w:p>
    <w:p w14:paraId="7A29425C">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5.住房保障支出6.29万元，包括：</w:t>
      </w:r>
    </w:p>
    <w:p w14:paraId="435072E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住房公积金6.29万元，主要是缴纳公积金等支出。</w:t>
      </w:r>
    </w:p>
    <w:p w14:paraId="3617B419">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14:paraId="19363CF4">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2020年度公共预算财政拨款安排的“三公”经费支出5.12万元，其中：因公出国（境）费0万元，公务接待费5.12万元，公务用车购置及运行维护费0万元。2020年度“三公”经费支出比2020年初预算少支出1.18万元，主要是压缩</w:t>
      </w:r>
      <w:r>
        <w:rPr>
          <w:rFonts w:hint="eastAsia" w:ascii="仿宋_GB2312" w:hAnsi="宋体" w:eastAsia="仿宋_GB2312"/>
          <w:sz w:val="32"/>
          <w:szCs w:val="32"/>
          <w:lang w:val="en-US" w:eastAsia="zh-CN"/>
        </w:rPr>
        <w:t>接待</w:t>
      </w:r>
      <w:r>
        <w:rPr>
          <w:rFonts w:hint="eastAsia" w:ascii="仿宋_GB2312" w:hAnsi="宋体" w:eastAsia="仿宋_GB2312"/>
          <w:sz w:val="32"/>
          <w:szCs w:val="32"/>
        </w:rPr>
        <w:t>人员等原因。比2019年决算增加1.09万元，增长27.14%，主要是本年度招商力度增加等原因。</w:t>
      </w:r>
    </w:p>
    <w:p w14:paraId="62D296EB">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1.因公出国（境）费0万元，主要用于0等，2020年参加出国（境）团组0个，累计0人次。</w:t>
      </w:r>
    </w:p>
    <w:p w14:paraId="0D8202B5">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2.公务接待费5.12万元，主要用于国内接待等，2020年国内公务接待累计16批次，191人，5.12万元。</w:t>
      </w:r>
    </w:p>
    <w:p w14:paraId="5A0017DE">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3.公务用车购置及运行维护费0万元，其中：公务用车购置费0万元，公务用车运行维护费0万元。2020年购置公务用车0辆，年末公务用车保有量0辆。</w:t>
      </w:r>
    </w:p>
    <w:p w14:paraId="766739BD">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14:paraId="0A9869C5">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14:paraId="22D205AB">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2020年机关运行经费支出13.71万元，比2019年增加11.25万元，增长456.81%，主要原因是增加日常经费的支出。</w:t>
      </w:r>
    </w:p>
    <w:p w14:paraId="61BCD657">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14:paraId="56EC9CDF">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2020年本单位政府采购支出总额0万元，其中：政府采购货物支出0万元，政府采购工程支出0万元，政府采购服务支出0万元。</w:t>
      </w:r>
      <w:r>
        <w:rPr>
          <w:rFonts w:hint="eastAsia" w:ascii="仿宋_GB2312" w:eastAsia="仿宋_GB2312"/>
          <w:sz w:val="32"/>
          <w:szCs w:val="32"/>
        </w:rPr>
        <w:t>其中：授予小微企业合同金额0万元，占政府采购支出总额的0%。</w:t>
      </w:r>
    </w:p>
    <w:p w14:paraId="67E9BDC6">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14:paraId="65EB9632">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2020年12月31日，本单位共有车辆0辆，其中：副局级以上领导干部用车0辆，一般公务用车0辆，一般执法执勤用车0辆，特种专业技术用车0辆，其他用车0辆；单位价值50万元以上设备0台（套）,单价100万元以上专用设备0台（套）。</w:t>
      </w:r>
    </w:p>
    <w:p w14:paraId="6A80A8E5">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14:paraId="47BDB05E">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根据财政预算管理要求，我单位组织对2020年度预算项目支出全面开展绩效自评，共涉及预算支出项目</w:t>
      </w:r>
      <w:r>
        <w:rPr>
          <w:rFonts w:hint="eastAsia" w:ascii="仿宋_GB2312" w:hAnsi="黑体" w:eastAsia="仿宋_GB2312"/>
          <w:sz w:val="32"/>
          <w:szCs w:val="32"/>
        </w:rPr>
        <w:t>7</w:t>
      </w:r>
      <w:r>
        <w:rPr>
          <w:rFonts w:hint="eastAsia" w:ascii="仿宋_GB2312" w:hAnsi="宋体" w:eastAsia="仿宋_GB2312" w:cs="宋体"/>
          <w:sz w:val="32"/>
          <w:szCs w:val="32"/>
        </w:rPr>
        <w:t>个，涉及资金</w:t>
      </w:r>
      <w:r>
        <w:rPr>
          <w:rFonts w:hint="eastAsia" w:ascii="仿宋_GB2312" w:hAnsi="黑体" w:eastAsia="仿宋_GB2312"/>
          <w:sz w:val="32"/>
          <w:szCs w:val="32"/>
        </w:rPr>
        <w:t>121.37</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黑体" w:eastAsia="仿宋_GB2312"/>
          <w:sz w:val="32"/>
          <w:szCs w:val="32"/>
        </w:rPr>
        <w:t>100</w:t>
      </w:r>
      <w:r>
        <w:rPr>
          <w:rFonts w:hint="eastAsia" w:ascii="仿宋_GB2312" w:hAnsi="宋体" w:eastAsia="仿宋_GB2312" w:cs="宋体"/>
          <w:sz w:val="32"/>
          <w:szCs w:val="32"/>
        </w:rPr>
        <w:t>%，自评平均分（开展绩效自评的项目分数总和/开展绩效自评的项目数）</w:t>
      </w:r>
      <w:r>
        <w:rPr>
          <w:rFonts w:hint="eastAsia" w:ascii="仿宋_GB2312" w:hAnsi="黑体" w:eastAsia="仿宋_GB2312"/>
          <w:sz w:val="32"/>
          <w:szCs w:val="32"/>
        </w:rPr>
        <w:t>100</w:t>
      </w:r>
      <w:r>
        <w:rPr>
          <w:rFonts w:hint="eastAsia" w:ascii="仿宋_GB2312" w:hAnsi="宋体" w:eastAsia="仿宋_GB2312" w:cs="宋体"/>
          <w:sz w:val="32"/>
          <w:szCs w:val="32"/>
        </w:rPr>
        <w:t>分。</w:t>
      </w:r>
    </w:p>
    <w:p w14:paraId="742821AE">
      <w:pPr>
        <w:ind w:firstLine="640" w:firstLineChars="200"/>
        <w:rPr>
          <w:rFonts w:hint="eastAsia" w:ascii="仿宋_GB2312" w:hAnsi="仿宋" w:eastAsia="仿宋_GB2312"/>
          <w:sz w:val="32"/>
          <w:szCs w:val="32"/>
          <w:highlight w:val="yellow"/>
        </w:rPr>
      </w:pPr>
      <w:r>
        <w:rPr>
          <w:rFonts w:hint="eastAsia" w:ascii="仿宋_GB2312" w:hAnsi="仿宋" w:eastAsia="仿宋_GB2312"/>
          <w:sz w:val="32"/>
          <w:szCs w:val="32"/>
        </w:rPr>
        <w:t>通过绩效自评发现预算项目管理主要存在以下问题：一是预算项目支出绩效管理工作的理念还需要进一步加强，对预算项目支出绩效管理工作的主动性和积极性需进一步提高；二是预算项目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w:t>
      </w:r>
      <w:r>
        <w:rPr>
          <w:rFonts w:hint="eastAsia" w:ascii="仿宋_GB2312" w:hAnsi="仿宋" w:eastAsia="仿宋_GB2312"/>
          <w:vanish/>
          <w:sz w:val="32"/>
          <w:szCs w:val="32"/>
          <w:u w:val="none"/>
        </w:rPr>
        <w:t>通过绩效自评发现预算项目管理主要存在以下问题：一是预算项目支出绩效管理工作的理念还需要进一步加强，对预算项目支出绩效管理工作的主动性和积极性需进一步提高；二是预算项目支出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通过绩效自评发现预算项目管理主要存在以下问题：一是预算项目支出绩效管理工作的理念还需要进一步加强，对预算项目支出绩效管理工作的主动性和积极性需进一步提高；二是预算项目支出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通过绩效自评发现预算项目管理主要存在以下问题：一是预算项目支出绩效管理工作的理念还需要进一步加强，对预算项目支出绩效管理工作的主动性和积极性需进一步提高；二是预算项目支出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通过绩效自评发现预算项目管理主要存在以下问题：一是预算项目支出绩效管理工作的理念还需要进一步加强，对预算项目支出绩效管理工作的主动性和积极性需进一步提高；二是预算项目支出绩效管理制度还不够完善，操作性不强。下一步将采取以下措施加以改进：一是强化预算支出责任意识，增强绩效管理理念；二是完善制度，推进落实。进一步完善绩效管理工作制度和办法，力求规范、完整、可操作；加强事前、事中、事后的全过程控制，使绩效管理各环节有效衔接，提高绩效管理行为的连续性和完整性。三是加强预算执行的管理，对预算项目绩效进行监控。开展重点项目跟踪问效，掌握项目的实施进度、项目资金管理使用情况、效益实现情况、项目存在的问题及原因，对绩效目标完成情况进行评价，并按规定对绩效信息进行公开，接受监督，全面提高资金使用效益。</w:t>
      </w:r>
    </w:p>
    <w:p w14:paraId="0A816933">
      <w:pPr>
        <w:ind w:firstLine="723" w:firstLineChars="200"/>
        <w:rPr>
          <w:rFonts w:hint="eastAsia" w:ascii="宋体" w:hAnsi="宋体"/>
          <w:b/>
          <w:sz w:val="36"/>
          <w:szCs w:val="36"/>
          <w:highlight w:val="yellow"/>
        </w:rPr>
      </w:pPr>
    </w:p>
    <w:p w14:paraId="387D981C">
      <w:pPr>
        <w:spacing w:line="540" w:lineRule="exact"/>
        <w:jc w:val="center"/>
        <w:rPr>
          <w:rFonts w:hint="eastAsia" w:ascii="宋体" w:hAnsi="宋体"/>
          <w:b/>
          <w:sz w:val="36"/>
          <w:szCs w:val="36"/>
        </w:rPr>
      </w:pPr>
      <w:r>
        <w:rPr>
          <w:rFonts w:hint="eastAsia" w:ascii="宋体" w:hAnsi="宋体"/>
          <w:b/>
          <w:sz w:val="36"/>
          <w:szCs w:val="36"/>
        </w:rPr>
        <w:t>第四部分 名词解释</w:t>
      </w:r>
    </w:p>
    <w:p w14:paraId="231BF7B3">
      <w:pPr>
        <w:spacing w:line="540" w:lineRule="exact"/>
        <w:jc w:val="center"/>
        <w:rPr>
          <w:rFonts w:hint="eastAsia" w:ascii="黑体" w:eastAsia="黑体"/>
          <w:sz w:val="36"/>
          <w:szCs w:val="36"/>
        </w:rPr>
      </w:pPr>
    </w:p>
    <w:p w14:paraId="6F6DFA8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14:paraId="36174E6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2111C2F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58823641">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3FBCBB8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7D1A471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14:paraId="7C82FD2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209E010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7693927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27D4FC6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14:paraId="1CBE4EB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1D1CC62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37B5F84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3D6FD6C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605152E">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14:paraId="633CCC78">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47DFFFE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14:paraId="11012FFF">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14:paraId="0A39221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14:paraId="75B56D1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14:paraId="5BBBBB5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4116BE8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14:paraId="07D5BBAE">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14:paraId="184F5D21">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026198E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14:paraId="49D8C6B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14:paraId="16BC790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14:paraId="3B25BB6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14:paraId="515AB38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14:paraId="6AC825C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14:paraId="6BD45D9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14:paraId="4E2C460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14:paraId="68C360C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14:paraId="532983BE">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30A9F03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14:paraId="469A519E">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6C2855">
      <w:pPr>
        <w:spacing w:line="540" w:lineRule="exact"/>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A4FC3">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lang/>
      </w:rPr>
      <w:t>8</w:t>
    </w:r>
    <w:r>
      <w:fldChar w:fldCharType="end"/>
    </w:r>
  </w:p>
  <w:p w14:paraId="3C05B23B">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FAB0A">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9</w:t>
    </w:r>
    <w:r>
      <w:fldChar w:fldCharType="end"/>
    </w:r>
  </w:p>
  <w:p w14:paraId="16296177">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D6536"/>
    <w:multiLevelType w:val="multilevel"/>
    <w:tmpl w:val="1BAD6536"/>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1ZGVhNGRiMzU5N2I2YjZlOTMxYWQxNDAyMTlhNGIifQ=="/>
  </w:docVars>
  <w:rsids>
    <w:rsidRoot w:val="00172A27"/>
    <w:rsid w:val="0005562F"/>
    <w:rsid w:val="000C5BFA"/>
    <w:rsid w:val="000E33F0"/>
    <w:rsid w:val="000E34C2"/>
    <w:rsid w:val="001618EB"/>
    <w:rsid w:val="00262FB0"/>
    <w:rsid w:val="00291018"/>
    <w:rsid w:val="004A4335"/>
    <w:rsid w:val="00540D15"/>
    <w:rsid w:val="00587112"/>
    <w:rsid w:val="005F13D6"/>
    <w:rsid w:val="006E15FF"/>
    <w:rsid w:val="006E4438"/>
    <w:rsid w:val="007545EC"/>
    <w:rsid w:val="00801FD9"/>
    <w:rsid w:val="00894EC1"/>
    <w:rsid w:val="008B5DE7"/>
    <w:rsid w:val="008D1C79"/>
    <w:rsid w:val="009552A0"/>
    <w:rsid w:val="009B1D86"/>
    <w:rsid w:val="009B5324"/>
    <w:rsid w:val="00A07416"/>
    <w:rsid w:val="00A91E7D"/>
    <w:rsid w:val="00B025EC"/>
    <w:rsid w:val="00B1747C"/>
    <w:rsid w:val="00B36483"/>
    <w:rsid w:val="00C22B12"/>
    <w:rsid w:val="00C835E6"/>
    <w:rsid w:val="00CD014C"/>
    <w:rsid w:val="00D43D14"/>
    <w:rsid w:val="00E04239"/>
    <w:rsid w:val="00E60C2A"/>
    <w:rsid w:val="00F26F80"/>
    <w:rsid w:val="3C1D6030"/>
    <w:rsid w:val="4B1730BE"/>
    <w:rsid w:val="502C0E06"/>
    <w:rsid w:val="52597D94"/>
    <w:rsid w:val="5D3C4A70"/>
    <w:rsid w:val="617A152B"/>
    <w:rsid w:val="67471E77"/>
    <w:rsid w:val="7E3C302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page number"/>
    <w:uiPriority w:val="0"/>
  </w:style>
  <w:style w:type="character" w:customStyle="1" w:styleId="8">
    <w:name w:val="批注框文本 Char"/>
    <w:link w:val="2"/>
    <w:uiPriority w:val="0"/>
    <w:rPr>
      <w:kern w:val="2"/>
      <w:sz w:val="18"/>
      <w:szCs w:val="18"/>
    </w:rPr>
  </w:style>
  <w:style w:type="character" w:customStyle="1" w:styleId="9">
    <w:name w:val="页眉 Char"/>
    <w:link w:val="4"/>
    <w:uiPriority w:val="0"/>
    <w:rPr>
      <w:kern w:val="2"/>
      <w:sz w:val="18"/>
      <w:szCs w:val="18"/>
    </w:rPr>
  </w:style>
  <w:style w:type="paragraph" w:customStyle="1" w:styleId="10">
    <w:name w:val=" Char"/>
    <w:basedOn w:val="1"/>
    <w:uiPriority w:val="0"/>
    <w:pPr>
      <w:widowControl/>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6366</Words>
  <Characters>6762</Characters>
  <Lines>49</Lines>
  <Paragraphs>13</Paragraphs>
  <TotalTime>0</TotalTime>
  <ScaleCrop>false</ScaleCrop>
  <LinksUpToDate>false</LinksUpToDate>
  <CharactersWithSpaces>6789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2021-09-17T01:29:00Z</dcterms:created>
  <dc:creator>lenovo</dc:creator>
  <cp:lastModifiedBy>白樱桃小严</cp:lastModifiedBy>
  <cp:lastPrinted>2019-01-22T03:22:00Z</cp:lastPrinted>
  <dcterms:modified xsi:type="dcterms:W3CDTF">2026-06-05T01:17:58Z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22B08E3F24544562A874F83C39D58EDC_13</vt:lpwstr>
  </property>
  <property fmtid="{D5CDD505-2E9C-101B-9397-08002B2CF9AE}" pid="4" name="KSOTemplateDocerSaveRecord">
    <vt:lpwstr>eyJoZGlkIjoiMjMyNGNhNWU2ZTRlZDc2NTg1YTgxODI1MGYxZmY2NTMiLCJ1c2VySWQiOiIxMDg3MTc1NjE3In0=</vt:lpwstr>
  </property>
</Properties>
</file>