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59310">
      <w:pPr>
        <w:spacing w:line="620" w:lineRule="exact"/>
        <w:jc w:val="center"/>
        <w:rPr>
          <w:rFonts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关于2023年度区本级</w:t>
      </w:r>
    </w:p>
    <w:p w14:paraId="517ACF49">
      <w:pPr>
        <w:spacing w:line="620" w:lineRule="exact"/>
        <w:jc w:val="center"/>
        <w:rPr>
          <w:rFonts w:asciiTheme="majorEastAsia" w:hAnsiTheme="majorEastAsia" w:eastAsiaTheme="majorEastAsia"/>
          <w:color w:val="000000"/>
          <w:sz w:val="44"/>
          <w:szCs w:val="44"/>
        </w:rPr>
      </w:pPr>
      <w:r>
        <w:rPr>
          <w:rFonts w:hint="eastAsia" w:asciiTheme="majorEastAsia" w:hAnsiTheme="majorEastAsia" w:eastAsiaTheme="majorEastAsia"/>
          <w:color w:val="000000"/>
          <w:sz w:val="44"/>
          <w:szCs w:val="44"/>
        </w:rPr>
        <w:t>一般公共预算收支决算的说明</w:t>
      </w:r>
    </w:p>
    <w:p w14:paraId="4B465100">
      <w:pPr>
        <w:spacing w:line="620" w:lineRule="exact"/>
        <w:jc w:val="center"/>
        <w:rPr>
          <w:rFonts w:asciiTheme="majorEastAsia" w:hAnsiTheme="majorEastAsia" w:eastAsiaTheme="majorEastAsia"/>
          <w:color w:val="000000"/>
          <w:sz w:val="44"/>
          <w:szCs w:val="44"/>
        </w:rPr>
      </w:pPr>
    </w:p>
    <w:p w14:paraId="635EBA01">
      <w:pPr>
        <w:ind w:firstLine="615"/>
        <w:rPr>
          <w:rFonts w:eastAsia="仿宋_GB2312"/>
        </w:rPr>
      </w:pPr>
      <w:r>
        <w:rPr>
          <w:rFonts w:hint="eastAsia" w:eastAsia="仿宋_GB2312"/>
        </w:rPr>
        <w:t>溪湖区本级</w:t>
      </w:r>
      <w:r>
        <w:rPr>
          <w:rFonts w:eastAsia="仿宋_GB2312"/>
        </w:rPr>
        <w:t>一般公共预算收入</w:t>
      </w:r>
      <w:r>
        <w:rPr>
          <w:rFonts w:hint="eastAsia" w:eastAsia="仿宋_GB2312"/>
        </w:rPr>
        <w:t>完成6.32</w:t>
      </w:r>
      <w:r>
        <w:rPr>
          <w:rFonts w:eastAsia="仿宋_GB2312"/>
        </w:rPr>
        <w:t>亿元，</w:t>
      </w:r>
      <w:r>
        <w:rPr>
          <w:rFonts w:hint="eastAsia" w:eastAsia="仿宋_GB2312"/>
        </w:rPr>
        <w:t>为预算的120.7%，同比增长27.2%。加上市以上补助收入、地方债券收入等，收入总计16.66亿元。区本级一般公共</w:t>
      </w:r>
      <w:r>
        <w:rPr>
          <w:rFonts w:hint="eastAsia" w:eastAsia="仿宋_GB2312"/>
          <w:lang w:eastAsia="zh-CN"/>
        </w:rPr>
        <w:t>预</w:t>
      </w:r>
      <w:bookmarkStart w:id="0" w:name="_GoBack"/>
      <w:bookmarkEnd w:id="0"/>
      <w:r>
        <w:rPr>
          <w:rFonts w:hint="eastAsia" w:eastAsia="仿宋_GB2312"/>
        </w:rPr>
        <w:t>算支出完成8.91亿元，为年初预算的121.5%，同比增长6.2%，加上上解上级支出、政府债务还本支出、结转下年继续使用专项支出等，支出总计16.66亿元。2023年收支相抵，实现收支平衡。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2F"/>
    <w:rsid w:val="0000052F"/>
    <w:rsid w:val="0011478E"/>
    <w:rsid w:val="001B305F"/>
    <w:rsid w:val="001C5E72"/>
    <w:rsid w:val="0058511D"/>
    <w:rsid w:val="006006FF"/>
    <w:rsid w:val="00652771"/>
    <w:rsid w:val="00776CA5"/>
    <w:rsid w:val="00A95DF7"/>
    <w:rsid w:val="00C37720"/>
    <w:rsid w:val="00CD3F8C"/>
    <w:rsid w:val="00D3226E"/>
    <w:rsid w:val="00DD4DEF"/>
    <w:rsid w:val="18C750A1"/>
    <w:rsid w:val="1F9C3E46"/>
    <w:rsid w:val="2D576ECE"/>
    <w:rsid w:val="38B87827"/>
    <w:rsid w:val="38FE15FE"/>
    <w:rsid w:val="586F7E37"/>
    <w:rsid w:val="5C26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Char1"/>
    <w:basedOn w:val="1"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163</Words>
  <Characters>200</Characters>
  <Lines>1</Lines>
  <Paragraphs>1</Paragraphs>
  <TotalTime>12</TotalTime>
  <ScaleCrop>false</ScaleCrop>
  <LinksUpToDate>false</LinksUpToDate>
  <CharactersWithSpaces>200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2019-08-12T06:05:00Z</dcterms:created>
  <dc:creator>admin</dc:creator>
  <cp:lastModifiedBy>樹</cp:lastModifiedBy>
  <dcterms:modified xsi:type="dcterms:W3CDTF">2026-04-26T01:12:26Z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49E080BF6AFE404CA466BC30FDB49935_13</vt:lpwstr>
  </property>
</Properties>
</file>