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CB04F6">
      <w:pPr>
        <w:widowControl/>
        <w:shd w:val="clear" w:color="auto" w:fill="FFFFFF"/>
        <w:jc w:val="center"/>
        <w:rPr>
          <w:rFonts w:ascii="宋体" w:hAnsi="宋体" w:eastAsia="宋体" w:cs="宋体"/>
          <w:b/>
          <w:bCs/>
          <w:kern w:val="0"/>
          <w:sz w:val="53"/>
          <w:szCs w:val="53"/>
        </w:rPr>
      </w:pPr>
    </w:p>
    <w:p w14:paraId="71649381">
      <w:pPr>
        <w:widowControl/>
        <w:shd w:val="clear" w:color="auto" w:fill="FFFFFF"/>
        <w:jc w:val="center"/>
        <w:rPr>
          <w:rFonts w:ascii="宋体" w:hAnsi="宋体" w:eastAsia="宋体" w:cs="宋体"/>
          <w:b/>
          <w:bCs/>
          <w:kern w:val="0"/>
          <w:sz w:val="53"/>
          <w:szCs w:val="53"/>
        </w:rPr>
      </w:pPr>
    </w:p>
    <w:p w14:paraId="1E19F79D">
      <w:pPr>
        <w:widowControl/>
        <w:shd w:val="clear" w:color="auto" w:fill="FFFFFF"/>
        <w:jc w:val="center"/>
        <w:rPr>
          <w:rFonts w:ascii="宋体" w:hAnsi="宋体" w:eastAsia="宋体" w:cs="宋体"/>
          <w:b/>
          <w:bCs/>
          <w:kern w:val="0"/>
          <w:sz w:val="53"/>
          <w:szCs w:val="53"/>
        </w:rPr>
      </w:pPr>
    </w:p>
    <w:p w14:paraId="43333495">
      <w:pPr>
        <w:widowControl/>
        <w:shd w:val="clear" w:color="auto" w:fill="FFFFFF"/>
        <w:jc w:val="center"/>
        <w:rPr>
          <w:rFonts w:ascii="宋体" w:hAnsi="宋体" w:eastAsia="宋体" w:cs="宋体"/>
          <w:b/>
          <w:bCs/>
          <w:kern w:val="0"/>
          <w:sz w:val="53"/>
          <w:szCs w:val="53"/>
        </w:rPr>
      </w:pPr>
    </w:p>
    <w:p w14:paraId="04768C84">
      <w:pPr>
        <w:widowControl/>
        <w:shd w:val="clear" w:color="auto" w:fill="FFFFFF"/>
        <w:jc w:val="center"/>
        <w:rPr>
          <w:rFonts w:ascii="宋体" w:hAnsi="宋体" w:eastAsia="宋体" w:cs="宋体"/>
          <w:b/>
          <w:bCs/>
          <w:kern w:val="0"/>
          <w:sz w:val="53"/>
          <w:szCs w:val="53"/>
        </w:rPr>
      </w:pPr>
    </w:p>
    <w:p w14:paraId="428EC058">
      <w:pPr>
        <w:widowControl/>
        <w:shd w:val="clear" w:color="auto" w:fill="FFFFFF"/>
        <w:jc w:val="center"/>
        <w:rPr>
          <w:rFonts w:ascii="微软雅黑" w:hAnsi="微软雅黑" w:eastAsia="微软雅黑" w:cs="宋体"/>
          <w:kern w:val="0"/>
          <w:sz w:val="24"/>
          <w:szCs w:val="24"/>
        </w:rPr>
      </w:pPr>
      <w:r>
        <w:rPr>
          <w:rFonts w:hint="eastAsia" w:ascii="宋体" w:hAnsi="宋体" w:eastAsia="宋体" w:cs="宋体"/>
          <w:b/>
          <w:bCs/>
          <w:kern w:val="0"/>
          <w:sz w:val="53"/>
          <w:szCs w:val="53"/>
        </w:rPr>
        <w:t>本溪市溪湖区商务局2023年部门预算</w:t>
      </w:r>
    </w:p>
    <w:p w14:paraId="5C14BD3C">
      <w:pPr>
        <w:widowControl/>
        <w:shd w:val="clear" w:color="auto" w:fill="FFFFFF"/>
        <w:jc w:val="center"/>
        <w:rPr>
          <w:rFonts w:ascii="微软雅黑" w:hAnsi="微软雅黑" w:eastAsia="微软雅黑" w:cs="宋体"/>
          <w:kern w:val="0"/>
          <w:sz w:val="24"/>
          <w:szCs w:val="24"/>
        </w:rPr>
      </w:pPr>
    </w:p>
    <w:p w14:paraId="47EE8936">
      <w:pPr>
        <w:widowControl/>
        <w:shd w:val="clear" w:color="auto" w:fill="FFFFFF"/>
        <w:jc w:val="center"/>
        <w:rPr>
          <w:rFonts w:ascii="微软雅黑" w:hAnsi="微软雅黑" w:eastAsia="微软雅黑" w:cs="宋体"/>
          <w:kern w:val="0"/>
          <w:sz w:val="24"/>
          <w:szCs w:val="24"/>
        </w:rPr>
      </w:pPr>
    </w:p>
    <w:p w14:paraId="467E6286">
      <w:pPr>
        <w:widowControl/>
        <w:shd w:val="clear" w:color="auto" w:fill="FFFFFF"/>
        <w:jc w:val="center"/>
        <w:rPr>
          <w:rFonts w:ascii="微软雅黑" w:hAnsi="微软雅黑" w:eastAsia="微软雅黑" w:cs="宋体"/>
          <w:kern w:val="0"/>
          <w:sz w:val="24"/>
          <w:szCs w:val="24"/>
        </w:rPr>
      </w:pPr>
    </w:p>
    <w:p w14:paraId="4480A06D">
      <w:pPr>
        <w:widowControl/>
        <w:shd w:val="clear" w:color="auto" w:fill="FFFFFF"/>
        <w:jc w:val="center"/>
        <w:rPr>
          <w:rFonts w:ascii="微软雅黑" w:hAnsi="微软雅黑" w:eastAsia="微软雅黑" w:cs="宋体"/>
          <w:kern w:val="0"/>
          <w:sz w:val="24"/>
          <w:szCs w:val="24"/>
        </w:rPr>
      </w:pPr>
    </w:p>
    <w:p w14:paraId="47B94B9A">
      <w:pPr>
        <w:widowControl/>
        <w:shd w:val="clear" w:color="auto" w:fill="FFFFFF"/>
        <w:jc w:val="center"/>
        <w:rPr>
          <w:rFonts w:ascii="微软雅黑" w:hAnsi="微软雅黑" w:eastAsia="微软雅黑" w:cs="宋体"/>
          <w:kern w:val="0"/>
          <w:sz w:val="24"/>
          <w:szCs w:val="24"/>
        </w:rPr>
      </w:pPr>
    </w:p>
    <w:p w14:paraId="1139C188">
      <w:pPr>
        <w:widowControl/>
        <w:shd w:val="clear" w:color="auto" w:fill="FFFFFF"/>
        <w:jc w:val="center"/>
        <w:rPr>
          <w:rFonts w:ascii="微软雅黑" w:hAnsi="微软雅黑" w:eastAsia="微软雅黑" w:cs="宋体"/>
          <w:kern w:val="0"/>
          <w:sz w:val="24"/>
          <w:szCs w:val="24"/>
        </w:rPr>
      </w:pPr>
    </w:p>
    <w:p w14:paraId="36496AE4">
      <w:pPr>
        <w:widowControl/>
        <w:shd w:val="clear" w:color="auto" w:fill="FFFFFF"/>
        <w:jc w:val="center"/>
        <w:rPr>
          <w:rFonts w:ascii="微软雅黑" w:hAnsi="微软雅黑" w:eastAsia="微软雅黑" w:cs="宋体"/>
          <w:kern w:val="0"/>
          <w:sz w:val="24"/>
          <w:szCs w:val="24"/>
        </w:rPr>
      </w:pPr>
    </w:p>
    <w:p w14:paraId="5D449D57">
      <w:pPr>
        <w:widowControl/>
        <w:shd w:val="clear" w:color="auto" w:fill="FFFFFF"/>
        <w:jc w:val="center"/>
        <w:rPr>
          <w:rFonts w:ascii="微软雅黑" w:hAnsi="微软雅黑" w:eastAsia="微软雅黑" w:cs="宋体"/>
          <w:kern w:val="0"/>
          <w:sz w:val="24"/>
          <w:szCs w:val="24"/>
        </w:rPr>
      </w:pPr>
    </w:p>
    <w:p w14:paraId="6E2BEBC6">
      <w:pPr>
        <w:widowControl/>
        <w:shd w:val="clear" w:color="auto" w:fill="FFFFFF"/>
        <w:jc w:val="center"/>
        <w:rPr>
          <w:rFonts w:ascii="微软雅黑" w:hAnsi="微软雅黑" w:eastAsia="微软雅黑" w:cs="宋体"/>
          <w:kern w:val="0"/>
          <w:sz w:val="24"/>
          <w:szCs w:val="24"/>
        </w:rPr>
      </w:pPr>
    </w:p>
    <w:p w14:paraId="7EF68C0A">
      <w:pPr>
        <w:widowControl/>
        <w:shd w:val="clear" w:color="auto" w:fill="FFFFFF"/>
        <w:jc w:val="center"/>
        <w:rPr>
          <w:rFonts w:ascii="微软雅黑" w:hAnsi="微软雅黑" w:eastAsia="微软雅黑" w:cs="宋体"/>
          <w:kern w:val="0"/>
          <w:sz w:val="24"/>
          <w:szCs w:val="24"/>
        </w:rPr>
      </w:pPr>
    </w:p>
    <w:p w14:paraId="3CC9F41B">
      <w:pPr>
        <w:widowControl/>
        <w:shd w:val="clear" w:color="auto" w:fill="FFFFFF"/>
        <w:jc w:val="center"/>
        <w:rPr>
          <w:rFonts w:ascii="微软雅黑" w:hAnsi="微软雅黑" w:eastAsia="微软雅黑" w:cs="宋体"/>
          <w:kern w:val="0"/>
          <w:sz w:val="24"/>
          <w:szCs w:val="24"/>
        </w:rPr>
      </w:pPr>
    </w:p>
    <w:p w14:paraId="678ABDF4">
      <w:pPr>
        <w:widowControl/>
        <w:shd w:val="clear" w:color="auto" w:fill="FFFFFF"/>
        <w:jc w:val="center"/>
        <w:rPr>
          <w:rFonts w:ascii="微软雅黑" w:hAnsi="微软雅黑" w:eastAsia="微软雅黑" w:cs="宋体"/>
          <w:kern w:val="0"/>
          <w:sz w:val="24"/>
          <w:szCs w:val="24"/>
        </w:rPr>
      </w:pPr>
    </w:p>
    <w:p w14:paraId="25A68748">
      <w:pPr>
        <w:widowControl/>
        <w:shd w:val="clear" w:color="auto" w:fill="FFFFFF"/>
        <w:jc w:val="center"/>
        <w:rPr>
          <w:rFonts w:ascii="微软雅黑" w:hAnsi="微软雅黑" w:eastAsia="宋体" w:cs="宋体"/>
          <w:kern w:val="0"/>
          <w:sz w:val="24"/>
          <w:szCs w:val="24"/>
        </w:rPr>
      </w:pPr>
      <w:r>
        <w:rPr>
          <w:rFonts w:hint="eastAsia" w:ascii="宋体" w:hAnsi="宋体" w:eastAsia="宋体" w:cs="宋体"/>
          <w:b/>
          <w:bCs/>
          <w:kern w:val="0"/>
          <w:sz w:val="44"/>
          <w:szCs w:val="44"/>
        </w:rPr>
        <w:t>本溪市溪湖区商务局</w:t>
      </w:r>
    </w:p>
    <w:p w14:paraId="48C6CCFE">
      <w:pPr>
        <w:widowControl/>
        <w:shd w:val="clear" w:color="auto" w:fill="FFFFFF"/>
        <w:jc w:val="center"/>
        <w:rPr>
          <w:rFonts w:ascii="微软雅黑" w:hAnsi="微软雅黑" w:eastAsia="微软雅黑" w:cs="宋体"/>
          <w:kern w:val="0"/>
          <w:sz w:val="24"/>
          <w:szCs w:val="24"/>
        </w:rPr>
      </w:pPr>
      <w:r>
        <w:rPr>
          <w:rFonts w:hint="eastAsia" w:ascii="宋体" w:hAnsi="宋体" w:eastAsia="宋体" w:cs="宋体"/>
          <w:b/>
          <w:bCs/>
          <w:kern w:val="0"/>
          <w:sz w:val="44"/>
          <w:szCs w:val="44"/>
        </w:rPr>
        <w:t>目录</w:t>
      </w:r>
    </w:p>
    <w:p w14:paraId="4385F9BD">
      <w:pPr>
        <w:widowControl/>
        <w:shd w:val="clear" w:color="auto" w:fill="FFFFFF"/>
        <w:spacing w:line="560" w:lineRule="exact"/>
        <w:jc w:val="left"/>
        <w:rPr>
          <w:rFonts w:ascii="微软雅黑" w:hAnsi="微软雅黑" w:eastAsia="微软雅黑" w:cs="宋体"/>
          <w:kern w:val="0"/>
          <w:sz w:val="24"/>
          <w:szCs w:val="24"/>
        </w:rPr>
      </w:pPr>
      <w:r>
        <w:rPr>
          <w:rFonts w:hint="eastAsia" w:ascii="黑体" w:hAnsi="黑体" w:eastAsia="黑体" w:cs="宋体"/>
          <w:kern w:val="0"/>
          <w:sz w:val="32"/>
          <w:szCs w:val="32"/>
        </w:rPr>
        <w:t>第一部分 部门预算公开管理文件</w:t>
      </w:r>
    </w:p>
    <w:p w14:paraId="43DDC2F0">
      <w:pPr>
        <w:widowControl/>
        <w:shd w:val="clear" w:color="auto" w:fill="FFFFFF"/>
        <w:spacing w:line="560" w:lineRule="exact"/>
        <w:jc w:val="left"/>
        <w:rPr>
          <w:rFonts w:ascii="微软雅黑" w:hAnsi="微软雅黑" w:eastAsia="微软雅黑" w:cs="宋体"/>
          <w:kern w:val="0"/>
          <w:sz w:val="24"/>
          <w:szCs w:val="24"/>
        </w:rPr>
      </w:pPr>
      <w:r>
        <w:rPr>
          <w:rFonts w:hint="eastAsia" w:ascii="黑体" w:hAnsi="黑体" w:eastAsia="黑体" w:cs="宋体"/>
          <w:kern w:val="0"/>
          <w:sz w:val="32"/>
          <w:szCs w:val="32"/>
        </w:rPr>
        <w:t>第二部分 本溪市溪湖区商务局概况</w:t>
      </w:r>
    </w:p>
    <w:p w14:paraId="704C9512">
      <w:pPr>
        <w:widowControl/>
        <w:shd w:val="clear" w:color="auto" w:fill="FFFFFF"/>
        <w:spacing w:line="560" w:lineRule="exact"/>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一、主要职责</w:t>
      </w:r>
    </w:p>
    <w:p w14:paraId="17F2FA62">
      <w:pPr>
        <w:widowControl/>
        <w:shd w:val="clear" w:color="auto" w:fill="FFFFFF"/>
        <w:spacing w:line="560" w:lineRule="exact"/>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二、机构设置</w:t>
      </w:r>
    </w:p>
    <w:p w14:paraId="15252A25">
      <w:pPr>
        <w:widowControl/>
        <w:shd w:val="clear" w:color="auto" w:fill="FFFFFF"/>
        <w:spacing w:line="560" w:lineRule="exact"/>
        <w:jc w:val="left"/>
        <w:rPr>
          <w:rFonts w:ascii="微软雅黑" w:hAnsi="微软雅黑" w:eastAsia="微软雅黑" w:cs="宋体"/>
          <w:kern w:val="0"/>
          <w:sz w:val="24"/>
          <w:szCs w:val="24"/>
        </w:rPr>
      </w:pPr>
      <w:r>
        <w:rPr>
          <w:rFonts w:hint="eastAsia" w:ascii="黑体" w:hAnsi="黑体" w:eastAsia="黑体" w:cs="宋体"/>
          <w:kern w:val="0"/>
          <w:sz w:val="32"/>
          <w:szCs w:val="32"/>
        </w:rPr>
        <w:t>第三部分 本溪市溪湖区商务局2023年部门预算情况说明</w:t>
      </w:r>
    </w:p>
    <w:p w14:paraId="5C2B8D3E">
      <w:pPr>
        <w:widowControl/>
        <w:shd w:val="clear" w:color="auto" w:fill="FFFFFF"/>
        <w:spacing w:line="560" w:lineRule="exact"/>
        <w:jc w:val="left"/>
        <w:rPr>
          <w:rFonts w:ascii="微软雅黑" w:hAnsi="微软雅黑" w:eastAsia="微软雅黑" w:cs="宋体"/>
          <w:kern w:val="0"/>
          <w:sz w:val="24"/>
          <w:szCs w:val="24"/>
        </w:rPr>
      </w:pPr>
      <w:r>
        <w:rPr>
          <w:rFonts w:hint="eastAsia" w:ascii="黑体" w:hAnsi="黑体" w:eastAsia="黑体" w:cs="宋体"/>
          <w:kern w:val="0"/>
          <w:sz w:val="32"/>
          <w:szCs w:val="32"/>
        </w:rPr>
        <w:t>第四部分 名词解释</w:t>
      </w:r>
    </w:p>
    <w:p w14:paraId="18B2417C">
      <w:pPr>
        <w:widowControl/>
        <w:shd w:val="clear" w:color="auto" w:fill="FFFFFF"/>
        <w:spacing w:line="560" w:lineRule="exact"/>
        <w:jc w:val="left"/>
        <w:rPr>
          <w:rFonts w:ascii="微软雅黑" w:hAnsi="微软雅黑" w:eastAsia="微软雅黑" w:cs="宋体"/>
          <w:kern w:val="0"/>
          <w:sz w:val="24"/>
          <w:szCs w:val="24"/>
        </w:rPr>
      </w:pPr>
      <w:r>
        <w:rPr>
          <w:rFonts w:hint="eastAsia" w:ascii="黑体" w:hAnsi="黑体" w:eastAsia="黑体" w:cs="宋体"/>
          <w:kern w:val="0"/>
          <w:sz w:val="32"/>
          <w:szCs w:val="32"/>
        </w:rPr>
        <w:t>第五部分 2023年本溪市溪湖区部门预算批复公开表</w:t>
      </w:r>
    </w:p>
    <w:p w14:paraId="51D0B45F">
      <w:pPr>
        <w:widowControl/>
        <w:shd w:val="clear" w:color="auto" w:fill="FFFFFF"/>
        <w:spacing w:line="560" w:lineRule="exact"/>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一、财政拨款收支预算总表</w:t>
      </w:r>
    </w:p>
    <w:p w14:paraId="436F64CC">
      <w:pPr>
        <w:widowControl/>
        <w:shd w:val="clear" w:color="auto" w:fill="FFFFFF"/>
        <w:spacing w:line="560" w:lineRule="exact"/>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二、一般公共预算支出表</w:t>
      </w:r>
    </w:p>
    <w:p w14:paraId="6AB15C21">
      <w:pPr>
        <w:widowControl/>
        <w:shd w:val="clear" w:color="auto" w:fill="FFFFFF"/>
        <w:spacing w:line="560" w:lineRule="exact"/>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三、一般公共预算基本支出表</w:t>
      </w:r>
    </w:p>
    <w:p w14:paraId="39F4A995">
      <w:pPr>
        <w:widowControl/>
        <w:shd w:val="clear" w:color="auto" w:fill="FFFFFF"/>
        <w:spacing w:line="560" w:lineRule="exact"/>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四、一般公共预算“三公”经费支出表</w:t>
      </w:r>
    </w:p>
    <w:p w14:paraId="19E6DAE7">
      <w:pPr>
        <w:widowControl/>
        <w:shd w:val="clear" w:color="auto" w:fill="FFFFFF"/>
        <w:spacing w:line="560" w:lineRule="exact"/>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五、政府性基金预算支出表</w:t>
      </w:r>
    </w:p>
    <w:p w14:paraId="02F41EF5">
      <w:pPr>
        <w:widowControl/>
        <w:shd w:val="clear" w:color="auto" w:fill="FFFFFF"/>
        <w:spacing w:line="560" w:lineRule="exact"/>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六、部门收支预算总表</w:t>
      </w:r>
    </w:p>
    <w:p w14:paraId="41395E2B">
      <w:pPr>
        <w:widowControl/>
        <w:shd w:val="clear" w:color="auto" w:fill="FFFFFF"/>
        <w:spacing w:line="560" w:lineRule="exact"/>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七、部门收入预算总表</w:t>
      </w:r>
    </w:p>
    <w:p w14:paraId="50FEBC35">
      <w:pPr>
        <w:widowControl/>
        <w:shd w:val="clear" w:color="auto" w:fill="FFFFFF"/>
        <w:spacing w:line="560" w:lineRule="exact"/>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八、部门支出预算总表（一）</w:t>
      </w:r>
    </w:p>
    <w:p w14:paraId="2D18DE99">
      <w:pPr>
        <w:widowControl/>
        <w:shd w:val="clear" w:color="auto" w:fill="FFFFFF"/>
        <w:spacing w:line="560" w:lineRule="exact"/>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九、部门支出预算总表（二）</w:t>
      </w:r>
    </w:p>
    <w:p w14:paraId="18911E7D">
      <w:pPr>
        <w:widowControl/>
        <w:shd w:val="clear" w:color="auto" w:fill="FFFFFF"/>
        <w:spacing w:line="560" w:lineRule="exact"/>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十、项目支出明细表</w:t>
      </w:r>
    </w:p>
    <w:p w14:paraId="62AEF3F3">
      <w:pPr>
        <w:widowControl/>
        <w:shd w:val="clear" w:color="auto" w:fill="FFFFFF"/>
        <w:spacing w:line="560" w:lineRule="exact"/>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十一、政府采购计划表</w:t>
      </w:r>
    </w:p>
    <w:p w14:paraId="1ACECC58">
      <w:pPr>
        <w:widowControl/>
        <w:shd w:val="clear" w:color="auto" w:fill="FFFFFF"/>
        <w:spacing w:line="560" w:lineRule="exact"/>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十二、三公经费汇总表</w:t>
      </w:r>
    </w:p>
    <w:p w14:paraId="58090DC4">
      <w:pPr>
        <w:widowControl/>
        <w:shd w:val="clear" w:color="auto" w:fill="FFFFFF"/>
        <w:spacing w:line="560" w:lineRule="exact"/>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十三、项目绩效目标情况表</w:t>
      </w:r>
    </w:p>
    <w:p w14:paraId="14666F8C">
      <w:pPr>
        <w:widowControl/>
        <w:shd w:val="clear" w:color="auto" w:fill="FFFFFF"/>
        <w:spacing w:line="560" w:lineRule="exact"/>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十四、政府预算经济分类支出预算表</w:t>
      </w:r>
    </w:p>
    <w:p w14:paraId="2C03B696">
      <w:pPr>
        <w:widowControl/>
        <w:shd w:val="clear" w:color="auto" w:fill="FFFFFF"/>
        <w:spacing w:line="560" w:lineRule="exact"/>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十五、部门整体绩效目标情况表</w:t>
      </w:r>
    </w:p>
    <w:p w14:paraId="760BC703">
      <w:pPr>
        <w:keepLines/>
        <w:widowControl/>
        <w:shd w:val="clear" w:color="auto" w:fill="FFFFFF"/>
        <w:jc w:val="center"/>
        <w:rPr>
          <w:rFonts w:ascii="微软雅黑" w:hAnsi="微软雅黑" w:eastAsia="微软雅黑" w:cs="宋体"/>
          <w:kern w:val="0"/>
          <w:sz w:val="24"/>
          <w:szCs w:val="24"/>
        </w:rPr>
      </w:pPr>
      <w:r>
        <w:rPr>
          <w:rFonts w:hint="eastAsia" w:ascii="宋体" w:hAnsi="宋体" w:eastAsia="宋体" w:cs="宋体"/>
          <w:b/>
          <w:bCs/>
          <w:kern w:val="0"/>
          <w:sz w:val="36"/>
          <w:szCs w:val="36"/>
        </w:rPr>
        <w:t>第一部分 部门预算公开管理文件</w:t>
      </w:r>
    </w:p>
    <w:p w14:paraId="670ED118">
      <w:pPr>
        <w:keepLines/>
        <w:widowControl/>
        <w:shd w:val="clear" w:color="auto" w:fill="FFFFFF"/>
        <w:spacing w:line="480" w:lineRule="atLeast"/>
        <w:ind w:firstLine="645"/>
        <w:jc w:val="left"/>
        <w:rPr>
          <w:rFonts w:ascii="微软雅黑" w:hAnsi="微软雅黑" w:eastAsia="微软雅黑" w:cs="宋体"/>
          <w:kern w:val="0"/>
          <w:sz w:val="24"/>
          <w:szCs w:val="24"/>
        </w:rPr>
      </w:pPr>
    </w:p>
    <w:p w14:paraId="69BE0466">
      <w:pPr>
        <w:keepLines/>
        <w:widowControl/>
        <w:shd w:val="clear" w:color="auto" w:fill="FFFFFF"/>
        <w:spacing w:line="480" w:lineRule="atLeast"/>
        <w:ind w:firstLine="645"/>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《关于印发&lt;本溪市财政局部门预决算信息公开管理办法（试行）&gt;的通知》(本财发〔2020〕36号)、本溪市财政局部门预决算信息公开管理办法（试行）</w:t>
      </w:r>
    </w:p>
    <w:p w14:paraId="14E056FB">
      <w:pPr>
        <w:keepLines/>
        <w:widowControl/>
        <w:shd w:val="clear" w:color="auto" w:fill="FFFFFF"/>
        <w:spacing w:line="480" w:lineRule="atLeast"/>
        <w:ind w:firstLine="645"/>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第一条为推进和规范预决算信息公开工作，强化社会监督，促进依法理财，建立透明预算制度，根据《中华人民共和国预算法》和《中华人民共和国政府信息公开条例》等有关规定，结合我局实际，制定本办法。</w:t>
      </w:r>
    </w:p>
    <w:p w14:paraId="1F715DC7">
      <w:pPr>
        <w:keepLines/>
        <w:widowControl/>
        <w:shd w:val="clear" w:color="auto" w:fill="FFFFFF"/>
        <w:spacing w:line="480" w:lineRule="atLeast"/>
        <w:ind w:firstLine="645"/>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第二条本办法适用于本溪市溪湖区商务局部门预决算信息公开管理。</w:t>
      </w:r>
    </w:p>
    <w:p w14:paraId="20187C9A">
      <w:pPr>
        <w:keepLines/>
        <w:widowControl/>
        <w:shd w:val="clear" w:color="auto" w:fill="FFFFFF"/>
        <w:spacing w:line="480" w:lineRule="atLeast"/>
        <w:ind w:firstLine="645"/>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第三条本办法所称部门预决算信息包括预算收支安排、预算执行、决算数据等。</w:t>
      </w:r>
    </w:p>
    <w:p w14:paraId="0295AEF1">
      <w:pPr>
        <w:keepLines/>
        <w:widowControl/>
        <w:shd w:val="clear" w:color="auto" w:fill="FFFFFF"/>
        <w:spacing w:line="480" w:lineRule="atLeast"/>
        <w:ind w:firstLine="645"/>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第四条预决算信息公开的原则：以公开为常态，不公开为例外，依法依规公开预决算。除涉及国家秘密外，不得少公开、不公开应当公开的事项，确保预决算信息公开及时、准确和完整。</w:t>
      </w:r>
    </w:p>
    <w:p w14:paraId="6D16347E">
      <w:pPr>
        <w:keepLines/>
        <w:widowControl/>
        <w:shd w:val="clear" w:color="auto" w:fill="FFFFFF"/>
        <w:spacing w:line="480" w:lineRule="atLeast"/>
        <w:ind w:firstLine="645"/>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第五条财务核算部负责我局部门预决算信息公开工作，履行下列职责：</w:t>
      </w:r>
    </w:p>
    <w:p w14:paraId="167E44C7">
      <w:pPr>
        <w:keepLines/>
        <w:widowControl/>
        <w:shd w:val="clear" w:color="auto" w:fill="FFFFFF"/>
        <w:spacing w:line="480" w:lineRule="atLeast"/>
        <w:ind w:firstLine="645"/>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（一）制定我局部门预决算信息公开的工作方案；</w:t>
      </w:r>
    </w:p>
    <w:p w14:paraId="3BFE137C">
      <w:pPr>
        <w:keepLines/>
        <w:widowControl/>
        <w:shd w:val="clear" w:color="auto" w:fill="FFFFFF"/>
        <w:spacing w:line="480" w:lineRule="atLeast"/>
        <w:ind w:firstLine="645"/>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（二）按规定公开我局部门预决算信息；</w:t>
      </w:r>
    </w:p>
    <w:p w14:paraId="3535AABF">
      <w:pPr>
        <w:keepLines/>
        <w:widowControl/>
        <w:shd w:val="clear" w:color="auto" w:fill="FFFFFF"/>
        <w:spacing w:line="480" w:lineRule="atLeast"/>
        <w:ind w:firstLine="645"/>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（三）按规定做好公民、法人或者其他组织依申请公开部门预决算信息的答复工作。</w:t>
      </w:r>
    </w:p>
    <w:p w14:paraId="0106A0B5">
      <w:pPr>
        <w:keepLines/>
        <w:widowControl/>
        <w:shd w:val="clear" w:color="auto" w:fill="FFFFFF"/>
        <w:spacing w:line="480" w:lineRule="atLeast"/>
        <w:ind w:firstLine="645"/>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第六条部门预决算信息公开内容包括：</w:t>
      </w:r>
    </w:p>
    <w:p w14:paraId="3CEAE02C">
      <w:pPr>
        <w:keepLines/>
        <w:widowControl/>
        <w:shd w:val="clear" w:color="auto" w:fill="FFFFFF"/>
        <w:spacing w:line="480" w:lineRule="atLeast"/>
        <w:ind w:firstLine="645"/>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（一）部门文件。部门预决算信息公开管理办法。</w:t>
      </w:r>
    </w:p>
    <w:p w14:paraId="6698411C">
      <w:pPr>
        <w:keepLines/>
        <w:widowControl/>
        <w:shd w:val="clear" w:color="auto" w:fill="FFFFFF"/>
        <w:spacing w:line="480" w:lineRule="atLeast"/>
        <w:ind w:firstLine="645"/>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（二）部门概况。包括部门职责、机构设置、实有人员等情况。</w:t>
      </w:r>
    </w:p>
    <w:p w14:paraId="3F488CC0">
      <w:pPr>
        <w:keepLines/>
        <w:widowControl/>
        <w:shd w:val="clear" w:color="auto" w:fill="FFFFFF"/>
        <w:spacing w:line="480" w:lineRule="atLeast"/>
        <w:ind w:firstLine="645"/>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（三）预决算收支情况表。包括部门收支总体情况、财政拨款安排使用情况、“三公”经费财政拨款安排使用情况等。</w:t>
      </w:r>
    </w:p>
    <w:p w14:paraId="5E1CE329">
      <w:pPr>
        <w:keepLines/>
        <w:widowControl/>
        <w:shd w:val="clear" w:color="auto" w:fill="FFFFFF"/>
        <w:spacing w:line="480" w:lineRule="atLeast"/>
        <w:ind w:firstLine="645"/>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（四）情况说明。包括预决算年度收支、机关运行经费、政府采购、“三公”经费、国有资产占有使用和项目支出绩效目标等情况说明。</w:t>
      </w:r>
    </w:p>
    <w:p w14:paraId="27D3E73C">
      <w:pPr>
        <w:keepLines/>
        <w:widowControl/>
        <w:shd w:val="clear" w:color="auto" w:fill="FFFFFF"/>
        <w:spacing w:line="480" w:lineRule="atLeast"/>
        <w:ind w:firstLine="645"/>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（五）名词解释。对预决算相关专业名词进行解释说明。</w:t>
      </w:r>
    </w:p>
    <w:p w14:paraId="5758138F">
      <w:pPr>
        <w:keepLines/>
        <w:widowControl/>
        <w:shd w:val="clear" w:color="auto" w:fill="FFFFFF"/>
        <w:spacing w:line="480" w:lineRule="atLeast"/>
        <w:ind w:firstLine="645"/>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第七条部门预决算信息在我局门户网站“财政预决算”专栏公开，并保持长期公开状态，便于社会公众查询监督。</w:t>
      </w:r>
    </w:p>
    <w:p w14:paraId="5C06BAE1">
      <w:pPr>
        <w:keepLines/>
        <w:widowControl/>
        <w:shd w:val="clear" w:color="auto" w:fill="FFFFFF"/>
        <w:spacing w:line="480" w:lineRule="atLeast"/>
        <w:ind w:firstLine="645"/>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第八条经市财政局批复的部门预决算及报表，应当在批复后20日内公开。</w:t>
      </w:r>
    </w:p>
    <w:p w14:paraId="68595FE6">
      <w:pPr>
        <w:keepLines/>
        <w:widowControl/>
        <w:shd w:val="clear" w:color="auto" w:fill="FFFFFF"/>
        <w:spacing w:line="480" w:lineRule="atLeast"/>
        <w:ind w:firstLine="645"/>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第九条本办法自印发之日起实行。</w:t>
      </w:r>
    </w:p>
    <w:p w14:paraId="07B562BF">
      <w:pPr>
        <w:keepLines/>
        <w:widowControl/>
        <w:shd w:val="clear" w:color="auto" w:fill="FFFFFF"/>
        <w:jc w:val="center"/>
        <w:rPr>
          <w:rFonts w:ascii="微软雅黑" w:hAnsi="微软雅黑" w:eastAsia="微软雅黑" w:cs="宋体"/>
          <w:kern w:val="0"/>
          <w:sz w:val="24"/>
          <w:szCs w:val="24"/>
        </w:rPr>
      </w:pPr>
    </w:p>
    <w:p w14:paraId="5ABC2433">
      <w:pPr>
        <w:keepLines/>
        <w:widowControl/>
        <w:shd w:val="clear" w:color="auto" w:fill="FFFFFF"/>
        <w:jc w:val="center"/>
        <w:rPr>
          <w:rFonts w:ascii="微软雅黑" w:hAnsi="微软雅黑" w:eastAsia="微软雅黑" w:cs="宋体"/>
          <w:kern w:val="0"/>
          <w:sz w:val="24"/>
          <w:szCs w:val="24"/>
        </w:rPr>
      </w:pPr>
    </w:p>
    <w:p w14:paraId="3FC4C79D">
      <w:pPr>
        <w:keepLines/>
        <w:widowControl/>
        <w:shd w:val="clear" w:color="auto" w:fill="FFFFFF"/>
        <w:jc w:val="center"/>
        <w:rPr>
          <w:rFonts w:ascii="微软雅黑" w:hAnsi="微软雅黑" w:eastAsia="微软雅黑" w:cs="宋体"/>
          <w:kern w:val="0"/>
          <w:sz w:val="24"/>
          <w:szCs w:val="24"/>
        </w:rPr>
      </w:pPr>
    </w:p>
    <w:p w14:paraId="73084C44">
      <w:pPr>
        <w:keepLines/>
        <w:widowControl/>
        <w:shd w:val="clear" w:color="auto" w:fill="FFFFFF"/>
        <w:jc w:val="center"/>
        <w:rPr>
          <w:rFonts w:ascii="微软雅黑" w:hAnsi="微软雅黑" w:eastAsia="微软雅黑" w:cs="宋体"/>
          <w:kern w:val="0"/>
          <w:sz w:val="24"/>
          <w:szCs w:val="24"/>
        </w:rPr>
      </w:pPr>
    </w:p>
    <w:p w14:paraId="2F055C75">
      <w:pPr>
        <w:keepLines/>
        <w:widowControl/>
        <w:shd w:val="clear" w:color="auto" w:fill="FFFFFF"/>
        <w:jc w:val="center"/>
        <w:rPr>
          <w:rFonts w:ascii="微软雅黑" w:hAnsi="微软雅黑" w:eastAsia="微软雅黑" w:cs="宋体"/>
          <w:kern w:val="0"/>
          <w:sz w:val="24"/>
          <w:szCs w:val="24"/>
        </w:rPr>
      </w:pPr>
      <w:r>
        <w:rPr>
          <w:rFonts w:hint="eastAsia" w:ascii="宋体" w:hAnsi="宋体" w:eastAsia="宋体" w:cs="宋体"/>
          <w:b/>
          <w:bCs/>
          <w:kern w:val="0"/>
          <w:sz w:val="36"/>
          <w:szCs w:val="36"/>
        </w:rPr>
        <w:t>第二部分 本溪市溪湖区商务局概况</w:t>
      </w:r>
    </w:p>
    <w:p w14:paraId="4586751E">
      <w:pPr>
        <w:keepLines/>
        <w:widowControl/>
        <w:shd w:val="clear" w:color="auto" w:fill="FFFFFF"/>
        <w:ind w:firstLine="645"/>
        <w:jc w:val="left"/>
        <w:rPr>
          <w:rFonts w:ascii="微软雅黑" w:hAnsi="微软雅黑" w:eastAsia="微软雅黑" w:cs="宋体"/>
          <w:kern w:val="0"/>
          <w:sz w:val="24"/>
          <w:szCs w:val="24"/>
        </w:rPr>
      </w:pPr>
    </w:p>
    <w:p w14:paraId="1EE743D0">
      <w:pPr>
        <w:keepLines/>
        <w:widowControl/>
        <w:numPr>
          <w:ilvl w:val="0"/>
          <w:numId w:val="1"/>
        </w:numPr>
        <w:shd w:val="clear" w:color="auto" w:fill="FFFFFF"/>
        <w:ind w:firstLine="645"/>
        <w:jc w:val="left"/>
        <w:rPr>
          <w:rFonts w:ascii="黑体" w:hAnsi="黑体" w:eastAsia="黑体" w:cs="宋体"/>
          <w:kern w:val="0"/>
          <w:sz w:val="32"/>
          <w:szCs w:val="32"/>
        </w:rPr>
      </w:pPr>
      <w:r>
        <w:rPr>
          <w:rFonts w:hint="eastAsia" w:ascii="黑体" w:hAnsi="黑体" w:eastAsia="黑体" w:cs="宋体"/>
          <w:kern w:val="0"/>
          <w:sz w:val="32"/>
          <w:szCs w:val="32"/>
        </w:rPr>
        <w:t>部门职责</w:t>
      </w:r>
    </w:p>
    <w:p w14:paraId="11165343">
      <w:pPr>
        <w:keepLines/>
        <w:widowControl/>
        <w:shd w:val="clear" w:color="auto" w:fill="FFFFFF"/>
        <w:jc w:val="left"/>
        <w:rPr>
          <w:rFonts w:ascii="黑体" w:hAnsi="黑体" w:eastAsia="黑体" w:cs="宋体"/>
          <w:kern w:val="0"/>
          <w:sz w:val="32"/>
          <w:szCs w:val="32"/>
        </w:rPr>
      </w:pPr>
      <w:r>
        <w:rPr>
          <w:rFonts w:ascii="黑体" w:hAnsi="黑体" w:eastAsia="黑体" w:cs="宋体"/>
          <w:kern w:val="0"/>
          <w:sz w:val="32"/>
          <w:szCs w:val="32"/>
        </w:rPr>
        <w:t>（一）贯彻执行国家和省市有关国内外贸易、利用外资和国际经济技术合作的发展战略、方针、政策。</w:t>
      </w:r>
    </w:p>
    <w:p w14:paraId="54B75BA9">
      <w:pPr>
        <w:keepLines/>
        <w:widowControl/>
        <w:shd w:val="clear" w:color="auto" w:fill="FFFFFF"/>
        <w:jc w:val="left"/>
        <w:rPr>
          <w:rFonts w:ascii="黑体" w:hAnsi="黑体" w:eastAsia="黑体" w:cs="宋体"/>
          <w:kern w:val="0"/>
          <w:sz w:val="32"/>
          <w:szCs w:val="32"/>
        </w:rPr>
      </w:pPr>
      <w:r>
        <w:rPr>
          <w:rFonts w:ascii="黑体" w:hAnsi="黑体" w:eastAsia="黑体" w:cs="宋体"/>
          <w:kern w:val="0"/>
          <w:sz w:val="32"/>
          <w:szCs w:val="32"/>
        </w:rPr>
        <w:t>（二）贯彻执行国家的对外方针政策、涉外法规以及区委和区政府关于外事、港澳工作的决定。          </w:t>
      </w:r>
    </w:p>
    <w:p w14:paraId="4F1D5A10">
      <w:pPr>
        <w:keepLines/>
        <w:widowControl/>
        <w:shd w:val="clear" w:color="auto" w:fill="FFFFFF"/>
        <w:jc w:val="left"/>
        <w:rPr>
          <w:rFonts w:ascii="黑体" w:hAnsi="黑体" w:eastAsia="黑体" w:cs="宋体"/>
          <w:kern w:val="0"/>
          <w:sz w:val="32"/>
          <w:szCs w:val="32"/>
        </w:rPr>
      </w:pPr>
      <w:r>
        <w:rPr>
          <w:rFonts w:ascii="黑体" w:hAnsi="黑体" w:eastAsia="黑体" w:cs="宋体"/>
          <w:kern w:val="0"/>
          <w:sz w:val="32"/>
          <w:szCs w:val="32"/>
        </w:rPr>
        <w:t>（三）负责研究全区内、外贸发展及招商引资等重大问题，负责汇总全区内、外贸发展及招商引资的总体情况。     </w:t>
      </w:r>
    </w:p>
    <w:p w14:paraId="0621BE75">
      <w:pPr>
        <w:keepLines/>
        <w:widowControl/>
        <w:shd w:val="clear" w:color="auto" w:fill="FFFFFF"/>
        <w:jc w:val="left"/>
        <w:rPr>
          <w:rFonts w:ascii="黑体" w:hAnsi="黑体" w:eastAsia="黑体" w:cs="宋体"/>
          <w:kern w:val="0"/>
          <w:sz w:val="32"/>
          <w:szCs w:val="32"/>
        </w:rPr>
      </w:pPr>
      <w:r>
        <w:rPr>
          <w:rFonts w:ascii="黑体" w:hAnsi="黑体" w:eastAsia="黑体" w:cs="宋体"/>
          <w:kern w:val="0"/>
          <w:sz w:val="32"/>
          <w:szCs w:val="32"/>
        </w:rPr>
        <w:t>（四）负责推进商贸流通产业机构调整，指导商贸流通业改革、商贸服务业和社区商业发展。    </w:t>
      </w:r>
    </w:p>
    <w:p w14:paraId="51DE1576">
      <w:pPr>
        <w:keepLines/>
        <w:widowControl/>
        <w:shd w:val="clear" w:color="auto" w:fill="FFFFFF"/>
        <w:jc w:val="left"/>
        <w:rPr>
          <w:rFonts w:ascii="黑体" w:hAnsi="黑体" w:eastAsia="黑体" w:cs="宋体"/>
          <w:kern w:val="0"/>
          <w:sz w:val="32"/>
          <w:szCs w:val="32"/>
        </w:rPr>
      </w:pPr>
      <w:r>
        <w:rPr>
          <w:rFonts w:ascii="黑体" w:hAnsi="黑体" w:eastAsia="黑体" w:cs="宋体"/>
          <w:kern w:val="0"/>
          <w:sz w:val="32"/>
          <w:szCs w:val="32"/>
        </w:rPr>
        <w:t>（五）拟订全区商贸流通业发展规划，促进城乡市场发展。     </w:t>
      </w:r>
    </w:p>
    <w:p w14:paraId="05CA4FC8">
      <w:pPr>
        <w:keepLines/>
        <w:widowControl/>
        <w:shd w:val="clear" w:color="auto" w:fill="FFFFFF"/>
        <w:jc w:val="left"/>
        <w:rPr>
          <w:rFonts w:ascii="黑体" w:hAnsi="黑体" w:eastAsia="黑体" w:cs="宋体"/>
          <w:kern w:val="0"/>
          <w:sz w:val="32"/>
          <w:szCs w:val="32"/>
        </w:rPr>
      </w:pPr>
      <w:r>
        <w:rPr>
          <w:rFonts w:ascii="黑体" w:hAnsi="黑体" w:eastAsia="黑体" w:cs="宋体"/>
          <w:kern w:val="0"/>
          <w:sz w:val="32"/>
          <w:szCs w:val="32"/>
        </w:rPr>
        <w:t>（六）承担牵头协调整顿和规范市场经济秩序工作的责任。</w:t>
      </w:r>
    </w:p>
    <w:p w14:paraId="64F6D20D">
      <w:pPr>
        <w:keepLines/>
        <w:widowControl/>
        <w:shd w:val="clear" w:color="auto" w:fill="FFFFFF"/>
        <w:jc w:val="left"/>
        <w:rPr>
          <w:rFonts w:ascii="黑体" w:hAnsi="黑体" w:eastAsia="黑体" w:cs="宋体"/>
          <w:kern w:val="0"/>
          <w:sz w:val="32"/>
          <w:szCs w:val="32"/>
        </w:rPr>
      </w:pPr>
      <w:r>
        <w:rPr>
          <w:rFonts w:ascii="黑体" w:hAnsi="黑体" w:eastAsia="黑体" w:cs="宋体"/>
          <w:kern w:val="0"/>
          <w:sz w:val="32"/>
          <w:szCs w:val="32"/>
        </w:rPr>
        <w:t>（七）承担组织实施重要消费品市场调控和重要生产资料流通管理职责。</w:t>
      </w:r>
    </w:p>
    <w:p w14:paraId="55AE7EB3">
      <w:pPr>
        <w:keepLines/>
        <w:widowControl/>
        <w:shd w:val="clear" w:color="auto" w:fill="FFFFFF"/>
        <w:jc w:val="left"/>
        <w:rPr>
          <w:rFonts w:ascii="黑体" w:hAnsi="黑体" w:eastAsia="黑体" w:cs="宋体"/>
          <w:kern w:val="0"/>
          <w:sz w:val="32"/>
          <w:szCs w:val="32"/>
        </w:rPr>
      </w:pPr>
      <w:r>
        <w:rPr>
          <w:rFonts w:ascii="黑体" w:hAnsi="黑体" w:eastAsia="黑体" w:cs="宋体"/>
          <w:kern w:val="0"/>
          <w:sz w:val="32"/>
          <w:szCs w:val="32"/>
        </w:rPr>
        <w:t>（八）指导全区招商引资工作，拟定和修改全区有关招商引资工作的规划计划、政策措施，组织、管理和协调全区招商引资工作。负责收集、整理、统计招商引资项目，组织实施全区招商引资活动。</w:t>
      </w:r>
    </w:p>
    <w:p w14:paraId="40F3E528">
      <w:pPr>
        <w:keepLines/>
        <w:widowControl/>
        <w:shd w:val="clear" w:color="auto" w:fill="FFFFFF"/>
        <w:jc w:val="left"/>
        <w:rPr>
          <w:rFonts w:ascii="黑体" w:hAnsi="黑体" w:eastAsia="黑体" w:cs="宋体"/>
          <w:kern w:val="0"/>
          <w:sz w:val="32"/>
          <w:szCs w:val="32"/>
        </w:rPr>
      </w:pPr>
      <w:r>
        <w:rPr>
          <w:rFonts w:ascii="黑体" w:hAnsi="黑体" w:eastAsia="黑体" w:cs="宋体"/>
          <w:kern w:val="0"/>
          <w:sz w:val="32"/>
          <w:szCs w:val="32"/>
        </w:rPr>
        <w:t>（九）贯彻落实国家对外贸易政策，拟订全区对外贸易中长期发展规划、政策和措施，推进全区对外贸易发展体系建设。</w:t>
      </w:r>
    </w:p>
    <w:p w14:paraId="7719FF05">
      <w:pPr>
        <w:keepLines/>
        <w:widowControl/>
        <w:shd w:val="clear" w:color="auto" w:fill="FFFFFF"/>
        <w:jc w:val="left"/>
        <w:rPr>
          <w:rFonts w:ascii="黑体" w:hAnsi="黑体" w:eastAsia="黑体" w:cs="宋体"/>
          <w:kern w:val="0"/>
          <w:sz w:val="32"/>
          <w:szCs w:val="32"/>
        </w:rPr>
      </w:pPr>
      <w:r>
        <w:rPr>
          <w:rFonts w:ascii="黑体" w:hAnsi="黑体" w:eastAsia="黑体" w:cs="宋体"/>
          <w:kern w:val="0"/>
          <w:sz w:val="32"/>
          <w:szCs w:val="32"/>
        </w:rPr>
        <w:t>（十）执行国家对外技术贸易、出口管制以及鼓励技术和成套设备进出口的贸易政策。</w:t>
      </w:r>
    </w:p>
    <w:p w14:paraId="039CEAF5">
      <w:pPr>
        <w:keepLines/>
        <w:widowControl/>
        <w:shd w:val="clear" w:color="auto" w:fill="FFFFFF"/>
        <w:jc w:val="left"/>
        <w:rPr>
          <w:rFonts w:ascii="黑体" w:hAnsi="黑体" w:eastAsia="黑体" w:cs="宋体"/>
          <w:kern w:val="0"/>
          <w:sz w:val="32"/>
          <w:szCs w:val="32"/>
        </w:rPr>
      </w:pPr>
      <w:r>
        <w:rPr>
          <w:rFonts w:ascii="黑体" w:hAnsi="黑体" w:eastAsia="黑体" w:cs="宋体"/>
          <w:kern w:val="0"/>
          <w:sz w:val="32"/>
          <w:szCs w:val="32"/>
        </w:rPr>
        <w:t>（十一）牵头拟订全区服务贸易中长期发展规划并开展相关工作，组织实施服务出口和服务外包发展计划，推动服务外包平台建设。</w:t>
      </w:r>
    </w:p>
    <w:p w14:paraId="0560A386">
      <w:pPr>
        <w:keepLines/>
        <w:widowControl/>
        <w:shd w:val="clear" w:color="auto" w:fill="FFFFFF"/>
        <w:jc w:val="left"/>
        <w:rPr>
          <w:rFonts w:ascii="黑体" w:hAnsi="黑体" w:eastAsia="黑体" w:cs="宋体"/>
          <w:kern w:val="0"/>
          <w:sz w:val="32"/>
          <w:szCs w:val="32"/>
        </w:rPr>
      </w:pPr>
      <w:r>
        <w:rPr>
          <w:rFonts w:ascii="黑体" w:hAnsi="黑体" w:eastAsia="黑体" w:cs="宋体"/>
          <w:kern w:val="0"/>
          <w:sz w:val="32"/>
          <w:szCs w:val="32"/>
        </w:rPr>
        <w:t>（十二）承担组织协调反倾销、反补贴、保障措施及其他与进出口公平贸易相关工作的责任。</w:t>
      </w:r>
    </w:p>
    <w:p w14:paraId="17306384">
      <w:pPr>
        <w:keepLines/>
        <w:widowControl/>
        <w:shd w:val="clear" w:color="auto" w:fill="FFFFFF"/>
        <w:jc w:val="left"/>
        <w:rPr>
          <w:rFonts w:ascii="黑体" w:hAnsi="黑体" w:eastAsia="黑体" w:cs="宋体"/>
          <w:kern w:val="0"/>
          <w:sz w:val="32"/>
          <w:szCs w:val="32"/>
        </w:rPr>
      </w:pPr>
      <w:r>
        <w:rPr>
          <w:rFonts w:ascii="黑体" w:hAnsi="黑体" w:eastAsia="黑体" w:cs="宋体"/>
          <w:kern w:val="0"/>
          <w:sz w:val="32"/>
          <w:szCs w:val="32"/>
        </w:rPr>
        <w:t>（十三）负责对外经济贸易协调工作，参与区域间自由贸易试验区合作建设，参与开展政府间多双边经贸交流合作。</w:t>
      </w:r>
    </w:p>
    <w:p w14:paraId="2248E812">
      <w:pPr>
        <w:keepLines/>
        <w:widowControl/>
        <w:shd w:val="clear" w:color="auto" w:fill="FFFFFF"/>
        <w:jc w:val="left"/>
        <w:rPr>
          <w:rFonts w:ascii="黑体" w:hAnsi="黑体" w:eastAsia="黑体" w:cs="宋体"/>
          <w:kern w:val="0"/>
          <w:sz w:val="32"/>
          <w:szCs w:val="32"/>
        </w:rPr>
      </w:pPr>
      <w:r>
        <w:rPr>
          <w:rFonts w:ascii="黑体" w:hAnsi="黑体" w:eastAsia="黑体" w:cs="宋体"/>
          <w:kern w:val="0"/>
          <w:sz w:val="32"/>
          <w:szCs w:val="32"/>
        </w:rPr>
        <w:t>（十四）指导协调全区外商投资工作，按规定审核区级权限内外商投资企业的设立及变更事项。</w:t>
      </w:r>
    </w:p>
    <w:p w14:paraId="41B8480B">
      <w:pPr>
        <w:keepLines/>
        <w:widowControl/>
        <w:shd w:val="clear" w:color="auto" w:fill="FFFFFF"/>
        <w:jc w:val="left"/>
        <w:rPr>
          <w:rFonts w:ascii="黑体" w:hAnsi="黑体" w:eastAsia="黑体" w:cs="宋体"/>
          <w:kern w:val="0"/>
          <w:sz w:val="32"/>
          <w:szCs w:val="32"/>
        </w:rPr>
      </w:pPr>
      <w:r>
        <w:rPr>
          <w:rFonts w:ascii="黑体" w:hAnsi="黑体" w:eastAsia="黑体" w:cs="宋体"/>
          <w:kern w:val="0"/>
          <w:sz w:val="32"/>
          <w:szCs w:val="32"/>
        </w:rPr>
        <w:t>（十五）负责国有商业企业改革和国有、集体商业企业的处置工作及资产监管工作。</w:t>
      </w:r>
    </w:p>
    <w:p w14:paraId="62B3A7D1">
      <w:pPr>
        <w:keepLines/>
        <w:widowControl/>
        <w:shd w:val="clear" w:color="auto" w:fill="FFFFFF"/>
        <w:jc w:val="left"/>
        <w:rPr>
          <w:rFonts w:ascii="黑体" w:hAnsi="黑体" w:eastAsia="黑体" w:cs="宋体"/>
          <w:kern w:val="0"/>
          <w:sz w:val="32"/>
          <w:szCs w:val="32"/>
        </w:rPr>
      </w:pPr>
      <w:r>
        <w:rPr>
          <w:rFonts w:ascii="黑体" w:hAnsi="黑体" w:eastAsia="黑体" w:cs="宋体"/>
          <w:kern w:val="0"/>
          <w:sz w:val="32"/>
          <w:szCs w:val="32"/>
        </w:rPr>
        <w:t>（十六）负责全区对外投资与经济合作工作，执行促进对外经济技术合作的政策。</w:t>
      </w:r>
    </w:p>
    <w:p w14:paraId="55050464">
      <w:pPr>
        <w:keepLines/>
        <w:widowControl/>
        <w:shd w:val="clear" w:color="auto" w:fill="FFFFFF"/>
        <w:jc w:val="left"/>
        <w:rPr>
          <w:rFonts w:ascii="黑体" w:hAnsi="黑体" w:eastAsia="黑体" w:cs="宋体"/>
          <w:kern w:val="0"/>
          <w:sz w:val="32"/>
          <w:szCs w:val="32"/>
        </w:rPr>
      </w:pPr>
      <w:r>
        <w:rPr>
          <w:rFonts w:ascii="黑体" w:hAnsi="黑体" w:eastAsia="黑体" w:cs="宋体"/>
          <w:kern w:val="0"/>
          <w:sz w:val="32"/>
          <w:szCs w:val="32"/>
        </w:rPr>
        <w:t>（十七）管理我区与外国友好城市、友好区（县）以及其他结好单位的交往活动，办理对外结好的报批手续，指导我区民间对外交往工作。</w:t>
      </w:r>
    </w:p>
    <w:p w14:paraId="3E0223A4">
      <w:pPr>
        <w:keepLines/>
        <w:widowControl/>
        <w:shd w:val="clear" w:color="auto" w:fill="FFFFFF"/>
        <w:jc w:val="left"/>
        <w:rPr>
          <w:rFonts w:ascii="黑体" w:hAnsi="黑体" w:eastAsia="黑体" w:cs="宋体"/>
          <w:kern w:val="0"/>
          <w:sz w:val="32"/>
          <w:szCs w:val="32"/>
        </w:rPr>
      </w:pPr>
      <w:r>
        <w:rPr>
          <w:rFonts w:ascii="黑体" w:hAnsi="黑体" w:eastAsia="黑体" w:cs="宋体"/>
          <w:kern w:val="0"/>
          <w:sz w:val="32"/>
          <w:szCs w:val="32"/>
        </w:rPr>
        <w:t>（十八）贯彻执行国家对香港、澳门工作的方针、政策，负责我区涉及香港、澳门有关事务。</w:t>
      </w:r>
    </w:p>
    <w:p w14:paraId="12B264B0">
      <w:pPr>
        <w:keepLines/>
        <w:widowControl/>
        <w:shd w:val="clear" w:color="auto" w:fill="FFFFFF"/>
        <w:jc w:val="left"/>
        <w:rPr>
          <w:rFonts w:ascii="黑体" w:hAnsi="黑体" w:eastAsia="黑体" w:cs="宋体"/>
          <w:kern w:val="0"/>
          <w:sz w:val="32"/>
          <w:szCs w:val="32"/>
        </w:rPr>
      </w:pPr>
      <w:r>
        <w:rPr>
          <w:rFonts w:ascii="黑体" w:hAnsi="黑体" w:eastAsia="黑体" w:cs="宋体"/>
          <w:kern w:val="0"/>
          <w:sz w:val="32"/>
          <w:szCs w:val="32"/>
        </w:rPr>
        <w:t>（十九）组织接待来我区进行公务活动的国宾、党宾、外国驻华外交人员和其他重要外宾，统筹安排区委、区人大、区政府和区政协领导的外事活动。</w:t>
      </w:r>
    </w:p>
    <w:p w14:paraId="79D67772">
      <w:pPr>
        <w:keepLines/>
        <w:widowControl/>
        <w:shd w:val="clear" w:color="auto" w:fill="FFFFFF"/>
        <w:jc w:val="left"/>
        <w:rPr>
          <w:rFonts w:ascii="黑体" w:hAnsi="黑体" w:eastAsia="黑体" w:cs="宋体"/>
          <w:kern w:val="0"/>
          <w:sz w:val="32"/>
          <w:szCs w:val="32"/>
        </w:rPr>
      </w:pPr>
      <w:r>
        <w:rPr>
          <w:rFonts w:ascii="黑体" w:hAnsi="黑体" w:eastAsia="黑体" w:cs="宋体"/>
          <w:kern w:val="0"/>
          <w:sz w:val="32"/>
          <w:szCs w:val="32"/>
        </w:rPr>
        <w:t>（二十）承办区委、区政府和区委外事工作委员</w:t>
      </w:r>
      <w:r>
        <w:rPr>
          <w:rFonts w:hint="eastAsia" w:ascii="黑体" w:hAnsi="黑体" w:eastAsia="黑体" w:cs="宋体"/>
          <w:kern w:val="0"/>
          <w:sz w:val="32"/>
          <w:szCs w:val="32"/>
          <w:lang w:val="en-US" w:eastAsia="zh-CN"/>
        </w:rPr>
        <w:t>会</w:t>
      </w:r>
      <w:bookmarkStart w:id="1" w:name="_GoBack"/>
      <w:bookmarkEnd w:id="1"/>
      <w:r>
        <w:rPr>
          <w:rFonts w:ascii="黑体" w:hAnsi="黑体" w:eastAsia="黑体" w:cs="宋体"/>
          <w:kern w:val="0"/>
          <w:sz w:val="32"/>
          <w:szCs w:val="32"/>
        </w:rPr>
        <w:t>交办的其他事项。</w:t>
      </w:r>
    </w:p>
    <w:p w14:paraId="5BB6DDAB">
      <w:pPr>
        <w:keepLines/>
        <w:widowControl/>
        <w:shd w:val="clear" w:color="auto" w:fill="FFFFFF"/>
        <w:ind w:firstLine="645"/>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 xml:space="preserve"> </w:t>
      </w:r>
    </w:p>
    <w:p w14:paraId="71663162">
      <w:pPr>
        <w:keepLines/>
        <w:widowControl/>
        <w:shd w:val="clear" w:color="auto" w:fill="FFFFFF"/>
        <w:ind w:firstLine="645"/>
        <w:jc w:val="left"/>
        <w:rPr>
          <w:rFonts w:ascii="微软雅黑" w:hAnsi="微软雅黑" w:eastAsia="微软雅黑" w:cs="宋体"/>
          <w:kern w:val="0"/>
          <w:sz w:val="24"/>
          <w:szCs w:val="24"/>
        </w:rPr>
      </w:pPr>
      <w:r>
        <w:rPr>
          <w:rFonts w:hint="eastAsia" w:ascii="黑体" w:hAnsi="黑体" w:eastAsia="黑体" w:cs="宋体"/>
          <w:kern w:val="0"/>
          <w:sz w:val="32"/>
          <w:szCs w:val="32"/>
        </w:rPr>
        <w:t>二、机构设置</w:t>
      </w:r>
    </w:p>
    <w:p w14:paraId="7E50957E">
      <w:pPr>
        <w:keepLines/>
        <w:widowControl/>
        <w:shd w:val="clear" w:color="auto" w:fill="FFFFFF"/>
        <w:ind w:firstLine="645"/>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纳入本溪市溪湖区商务局2023年部门预算编制范围的二级预算单位包括：</w:t>
      </w:r>
    </w:p>
    <w:p w14:paraId="66955BEF">
      <w:pPr>
        <w:keepLines/>
        <w:widowControl/>
        <w:shd w:val="clear" w:color="auto" w:fill="FFFFFF"/>
        <w:jc w:val="left"/>
        <w:rPr>
          <w:rFonts w:ascii="微软雅黑" w:hAnsi="微软雅黑" w:eastAsia="仿宋_GB2312" w:cs="宋体"/>
          <w:kern w:val="0"/>
          <w:sz w:val="24"/>
          <w:szCs w:val="24"/>
        </w:rPr>
      </w:pPr>
      <w:r>
        <w:rPr>
          <w:rFonts w:hint="eastAsia" w:ascii="仿宋_GB2312" w:hAnsi="微软雅黑" w:eastAsia="仿宋_GB2312" w:cs="宋体"/>
          <w:kern w:val="0"/>
          <w:sz w:val="32"/>
          <w:szCs w:val="32"/>
        </w:rPr>
        <w:t>（一） 本溪市溪湖区商务局本级</w:t>
      </w:r>
    </w:p>
    <w:p w14:paraId="3ACEEC98">
      <w:pPr>
        <w:keepLines/>
        <w:widowControl/>
        <w:shd w:val="clear" w:color="auto" w:fill="FFFFFF"/>
        <w:ind w:firstLine="645"/>
        <w:jc w:val="left"/>
        <w:rPr>
          <w:rFonts w:ascii="微软雅黑" w:hAnsi="微软雅黑" w:eastAsia="微软雅黑" w:cs="宋体"/>
          <w:kern w:val="0"/>
          <w:sz w:val="24"/>
          <w:szCs w:val="24"/>
        </w:rPr>
      </w:pPr>
    </w:p>
    <w:p w14:paraId="3AFE8213">
      <w:pPr>
        <w:keepLines/>
        <w:widowControl/>
        <w:shd w:val="clear" w:color="auto" w:fill="FFFFFF"/>
        <w:jc w:val="center"/>
        <w:rPr>
          <w:rFonts w:ascii="微软雅黑" w:hAnsi="微软雅黑" w:eastAsia="微软雅黑" w:cs="宋体"/>
          <w:kern w:val="0"/>
          <w:sz w:val="24"/>
          <w:szCs w:val="24"/>
        </w:rPr>
      </w:pPr>
    </w:p>
    <w:p w14:paraId="757DF25C">
      <w:pPr>
        <w:keepLines/>
        <w:widowControl/>
        <w:shd w:val="clear" w:color="auto" w:fill="FFFFFF"/>
        <w:jc w:val="center"/>
        <w:rPr>
          <w:rFonts w:ascii="微软雅黑" w:hAnsi="微软雅黑" w:eastAsia="微软雅黑" w:cs="宋体"/>
          <w:kern w:val="0"/>
          <w:sz w:val="24"/>
          <w:szCs w:val="24"/>
        </w:rPr>
      </w:pPr>
    </w:p>
    <w:p w14:paraId="0D515776">
      <w:pPr>
        <w:keepLines/>
        <w:widowControl/>
        <w:shd w:val="clear" w:color="auto" w:fill="FFFFFF"/>
        <w:jc w:val="center"/>
        <w:rPr>
          <w:rFonts w:ascii="微软雅黑" w:hAnsi="微软雅黑" w:eastAsia="微软雅黑" w:cs="宋体"/>
          <w:kern w:val="0"/>
          <w:sz w:val="24"/>
          <w:szCs w:val="24"/>
        </w:rPr>
      </w:pPr>
    </w:p>
    <w:p w14:paraId="2A95FC61">
      <w:pPr>
        <w:keepLines/>
        <w:widowControl/>
        <w:shd w:val="clear" w:color="auto" w:fill="FFFFFF"/>
        <w:jc w:val="center"/>
        <w:rPr>
          <w:rFonts w:ascii="微软雅黑" w:hAnsi="微软雅黑" w:eastAsia="微软雅黑" w:cs="宋体"/>
          <w:kern w:val="0"/>
          <w:sz w:val="24"/>
          <w:szCs w:val="24"/>
        </w:rPr>
      </w:pPr>
    </w:p>
    <w:p w14:paraId="24072B3B">
      <w:pPr>
        <w:keepLines/>
        <w:widowControl/>
        <w:shd w:val="clear" w:color="auto" w:fill="FFFFFF"/>
        <w:jc w:val="center"/>
        <w:rPr>
          <w:rFonts w:ascii="微软雅黑" w:hAnsi="微软雅黑" w:eastAsia="微软雅黑" w:cs="宋体"/>
          <w:kern w:val="0"/>
          <w:sz w:val="24"/>
          <w:szCs w:val="24"/>
        </w:rPr>
      </w:pPr>
    </w:p>
    <w:p w14:paraId="4861800A">
      <w:pPr>
        <w:keepLines/>
        <w:widowControl/>
        <w:shd w:val="clear" w:color="auto" w:fill="FFFFFF"/>
        <w:jc w:val="center"/>
        <w:rPr>
          <w:rFonts w:ascii="微软雅黑" w:hAnsi="微软雅黑" w:eastAsia="微软雅黑" w:cs="宋体"/>
          <w:kern w:val="0"/>
          <w:sz w:val="24"/>
          <w:szCs w:val="24"/>
        </w:rPr>
      </w:pPr>
    </w:p>
    <w:p w14:paraId="550A87F9">
      <w:pPr>
        <w:keepLines/>
        <w:widowControl/>
        <w:shd w:val="clear" w:color="auto" w:fill="FFFFFF"/>
        <w:jc w:val="center"/>
        <w:rPr>
          <w:rFonts w:ascii="微软雅黑" w:hAnsi="微软雅黑" w:eastAsia="微软雅黑" w:cs="宋体"/>
          <w:kern w:val="0"/>
          <w:sz w:val="24"/>
          <w:szCs w:val="24"/>
        </w:rPr>
      </w:pPr>
    </w:p>
    <w:p w14:paraId="3A9678E2">
      <w:pPr>
        <w:keepLines/>
        <w:widowControl/>
        <w:shd w:val="clear" w:color="auto" w:fill="FFFFFF"/>
        <w:jc w:val="center"/>
        <w:rPr>
          <w:rFonts w:ascii="微软雅黑" w:hAnsi="微软雅黑" w:eastAsia="微软雅黑" w:cs="宋体"/>
          <w:kern w:val="0"/>
          <w:sz w:val="24"/>
          <w:szCs w:val="24"/>
        </w:rPr>
      </w:pPr>
    </w:p>
    <w:p w14:paraId="5D38364C">
      <w:pPr>
        <w:keepLines/>
        <w:widowControl/>
        <w:shd w:val="clear" w:color="auto" w:fill="FFFFFF"/>
        <w:jc w:val="center"/>
        <w:rPr>
          <w:rFonts w:ascii="微软雅黑" w:hAnsi="微软雅黑" w:eastAsia="微软雅黑" w:cs="宋体"/>
          <w:kern w:val="0"/>
          <w:sz w:val="24"/>
          <w:szCs w:val="24"/>
        </w:rPr>
      </w:pPr>
    </w:p>
    <w:p w14:paraId="5A55EB2A">
      <w:pPr>
        <w:keepLines/>
        <w:widowControl/>
        <w:shd w:val="clear" w:color="auto" w:fill="FFFFFF"/>
        <w:jc w:val="center"/>
        <w:rPr>
          <w:rFonts w:ascii="微软雅黑" w:hAnsi="微软雅黑" w:eastAsia="微软雅黑" w:cs="宋体"/>
          <w:kern w:val="0"/>
          <w:sz w:val="24"/>
          <w:szCs w:val="24"/>
        </w:rPr>
      </w:pPr>
    </w:p>
    <w:p w14:paraId="2C151ECB">
      <w:pPr>
        <w:keepLines/>
        <w:widowControl/>
        <w:shd w:val="clear" w:color="auto" w:fill="FFFFFF"/>
        <w:jc w:val="center"/>
        <w:rPr>
          <w:rFonts w:ascii="微软雅黑" w:hAnsi="微软雅黑" w:eastAsia="微软雅黑" w:cs="宋体"/>
          <w:kern w:val="0"/>
          <w:sz w:val="24"/>
          <w:szCs w:val="24"/>
        </w:rPr>
      </w:pPr>
    </w:p>
    <w:p w14:paraId="74F92438">
      <w:pPr>
        <w:keepLines/>
        <w:widowControl/>
        <w:shd w:val="clear" w:color="auto" w:fill="FFFFFF"/>
        <w:jc w:val="center"/>
        <w:rPr>
          <w:rFonts w:ascii="微软雅黑" w:hAnsi="微软雅黑" w:eastAsia="微软雅黑" w:cs="宋体"/>
          <w:kern w:val="0"/>
          <w:sz w:val="24"/>
          <w:szCs w:val="24"/>
        </w:rPr>
      </w:pPr>
    </w:p>
    <w:p w14:paraId="16379DEF">
      <w:pPr>
        <w:keepLines/>
        <w:widowControl/>
        <w:shd w:val="clear" w:color="auto" w:fill="FFFFFF"/>
        <w:jc w:val="center"/>
        <w:rPr>
          <w:rFonts w:ascii="微软雅黑" w:hAnsi="微软雅黑" w:eastAsia="微软雅黑" w:cs="宋体"/>
          <w:kern w:val="0"/>
          <w:sz w:val="24"/>
          <w:szCs w:val="24"/>
        </w:rPr>
      </w:pPr>
    </w:p>
    <w:p w14:paraId="514F344C">
      <w:pPr>
        <w:keepLines/>
        <w:widowControl/>
        <w:shd w:val="clear" w:color="auto" w:fill="FFFFFF"/>
        <w:jc w:val="center"/>
        <w:rPr>
          <w:rFonts w:ascii="微软雅黑" w:hAnsi="微软雅黑" w:eastAsia="微软雅黑" w:cs="宋体"/>
          <w:kern w:val="0"/>
          <w:sz w:val="24"/>
          <w:szCs w:val="24"/>
        </w:rPr>
      </w:pPr>
      <w:r>
        <w:rPr>
          <w:rFonts w:hint="eastAsia" w:ascii="宋体" w:hAnsi="宋体" w:eastAsia="宋体" w:cs="宋体"/>
          <w:b/>
          <w:bCs/>
          <w:kern w:val="0"/>
          <w:sz w:val="36"/>
          <w:szCs w:val="36"/>
        </w:rPr>
        <w:t>第三部分本溪市溪湖区商务局2023年部门预算情况说明</w:t>
      </w:r>
    </w:p>
    <w:p w14:paraId="1123D055">
      <w:pPr>
        <w:keepLines/>
        <w:widowControl/>
        <w:shd w:val="clear" w:color="auto" w:fill="FFFFFF"/>
        <w:jc w:val="left"/>
        <w:rPr>
          <w:rFonts w:ascii="微软雅黑" w:hAnsi="微软雅黑" w:eastAsia="微软雅黑" w:cs="宋体"/>
          <w:kern w:val="0"/>
          <w:sz w:val="24"/>
          <w:szCs w:val="24"/>
        </w:rPr>
      </w:pPr>
    </w:p>
    <w:p w14:paraId="1AC8E36A">
      <w:pPr>
        <w:keepLines/>
        <w:widowControl/>
        <w:shd w:val="clear" w:color="auto" w:fill="FFFFFF"/>
        <w:ind w:firstLine="630"/>
        <w:jc w:val="left"/>
        <w:rPr>
          <w:rFonts w:ascii="微软雅黑" w:hAnsi="微软雅黑" w:eastAsia="微软雅黑" w:cs="宋体"/>
          <w:kern w:val="0"/>
          <w:sz w:val="24"/>
          <w:szCs w:val="24"/>
        </w:rPr>
      </w:pPr>
      <w:r>
        <w:rPr>
          <w:rFonts w:hint="eastAsia" w:ascii="黑体" w:hAnsi="黑体" w:eastAsia="黑体" w:cs="宋体"/>
          <w:kern w:val="0"/>
          <w:sz w:val="32"/>
          <w:szCs w:val="32"/>
        </w:rPr>
        <w:t>一、收支预算的总体情况</w:t>
      </w:r>
    </w:p>
    <w:p w14:paraId="355F79A4">
      <w:pPr>
        <w:keepLines/>
        <w:widowControl/>
        <w:shd w:val="clear" w:color="auto" w:fill="FFFFFF"/>
        <w:ind w:firstLine="660"/>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按照综合预算的原则，本溪市溪湖区商务局所有收入和支出均纳入部门预算管理。其中：</w:t>
      </w:r>
    </w:p>
    <w:p w14:paraId="70DD3784">
      <w:pPr>
        <w:keepLines/>
        <w:widowControl/>
        <w:shd w:val="clear" w:color="auto" w:fill="FFFFFF"/>
        <w:ind w:firstLine="660"/>
        <w:jc w:val="left"/>
        <w:rPr>
          <w:rFonts w:ascii="微软雅黑" w:hAnsi="微软雅黑" w:eastAsia="微软雅黑" w:cs="宋体"/>
          <w:kern w:val="0"/>
          <w:sz w:val="24"/>
          <w:szCs w:val="24"/>
        </w:rPr>
      </w:pPr>
      <w:r>
        <w:rPr>
          <w:rFonts w:hint="eastAsia" w:ascii="仿宋_GB2312" w:hAnsi="微软雅黑" w:eastAsia="仿宋_GB2312" w:cs="宋体"/>
          <w:b/>
          <w:bCs/>
          <w:kern w:val="0"/>
          <w:sz w:val="32"/>
          <w:szCs w:val="32"/>
        </w:rPr>
        <w:t>（一）收入预算143.95万元，</w:t>
      </w:r>
      <w:r>
        <w:rPr>
          <w:rFonts w:hint="eastAsia" w:ascii="仿宋_GB2312" w:hAnsi="微软雅黑" w:eastAsia="仿宋_GB2312" w:cs="宋体"/>
          <w:kern w:val="0"/>
          <w:sz w:val="32"/>
          <w:szCs w:val="32"/>
        </w:rPr>
        <w:t>包括：</w:t>
      </w:r>
    </w:p>
    <w:p w14:paraId="219AC0D8">
      <w:pPr>
        <w:keepLines/>
        <w:widowControl/>
        <w:shd w:val="clear" w:color="auto" w:fill="FFFFFF"/>
        <w:ind w:firstLine="660"/>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1.财政拨款收入143.95万元；</w:t>
      </w:r>
    </w:p>
    <w:p w14:paraId="0CD74B1C">
      <w:pPr>
        <w:keepLines/>
        <w:widowControl/>
        <w:shd w:val="clear" w:color="auto" w:fill="FFFFFF"/>
        <w:ind w:firstLine="660"/>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2.纳入预算管理的行政事业性收费等非税收入0万元；</w:t>
      </w:r>
    </w:p>
    <w:p w14:paraId="1C24AFAA">
      <w:pPr>
        <w:keepLines/>
        <w:widowControl/>
        <w:shd w:val="clear" w:color="auto" w:fill="FFFFFF"/>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3.纳入预算管理的政府性基金收入0万元；</w:t>
      </w:r>
    </w:p>
    <w:p w14:paraId="1BD6578D">
      <w:pPr>
        <w:keepLines/>
        <w:widowControl/>
        <w:shd w:val="clear" w:color="auto" w:fill="FFFFFF"/>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4.纳入专户管理的行政事业性收费收入0万元；</w:t>
      </w:r>
    </w:p>
    <w:p w14:paraId="67A93A09">
      <w:pPr>
        <w:keepLines/>
        <w:widowControl/>
        <w:shd w:val="clear" w:color="auto" w:fill="FFFFFF"/>
        <w:ind w:firstLine="645"/>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5.转移性收入0万元。</w:t>
      </w:r>
    </w:p>
    <w:p w14:paraId="76C9A0FE">
      <w:pPr>
        <w:keepLines/>
        <w:widowControl/>
        <w:shd w:val="clear" w:color="auto" w:fill="FFFFFF"/>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6.其他收入0万元。</w:t>
      </w:r>
    </w:p>
    <w:p w14:paraId="40C7056C">
      <w:pPr>
        <w:keepLines/>
        <w:widowControl/>
        <w:shd w:val="clear" w:color="auto" w:fill="FFFFFF"/>
        <w:ind w:firstLine="645"/>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w:t>
      </w:r>
    </w:p>
    <w:p w14:paraId="7A07ACE5">
      <w:pPr>
        <w:keepLines/>
        <w:widowControl/>
        <w:shd w:val="clear" w:color="auto" w:fill="FFFFFF"/>
        <w:ind w:firstLine="660"/>
        <w:jc w:val="left"/>
        <w:rPr>
          <w:rFonts w:ascii="微软雅黑" w:hAnsi="微软雅黑" w:eastAsia="微软雅黑" w:cs="宋体"/>
          <w:kern w:val="0"/>
          <w:sz w:val="24"/>
          <w:szCs w:val="24"/>
        </w:rPr>
      </w:pPr>
      <w:r>
        <w:rPr>
          <w:rFonts w:hint="eastAsia" w:ascii="仿宋_GB2312" w:hAnsi="微软雅黑" w:eastAsia="仿宋_GB2312" w:cs="宋体"/>
          <w:b/>
          <w:bCs/>
          <w:kern w:val="0"/>
          <w:sz w:val="32"/>
          <w:szCs w:val="32"/>
        </w:rPr>
        <w:t>（二）支出预算143.95万元，</w:t>
      </w:r>
      <w:r>
        <w:rPr>
          <w:rFonts w:hint="eastAsia" w:ascii="仿宋_GB2312" w:hAnsi="微软雅黑" w:eastAsia="仿宋_GB2312" w:cs="宋体"/>
          <w:kern w:val="0"/>
          <w:sz w:val="32"/>
          <w:szCs w:val="32"/>
        </w:rPr>
        <w:t>包括：</w:t>
      </w:r>
    </w:p>
    <w:p w14:paraId="77A0F7BA">
      <w:pPr>
        <w:keepLines/>
        <w:widowControl/>
        <w:shd w:val="clear" w:color="auto" w:fill="FFFFFF"/>
        <w:ind w:firstLine="660"/>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1.基本支出75.67万元,</w:t>
      </w:r>
      <w:r>
        <w:rPr>
          <w:rFonts w:hint="eastAsia" w:ascii="仿宋_GB2312" w:hAnsi="宋体" w:eastAsia="仿宋_GB2312"/>
          <w:sz w:val="32"/>
          <w:szCs w:val="32"/>
        </w:rPr>
        <w:t xml:space="preserve"> 其中：人员经费73.91万元，公用经费1.76万元</w:t>
      </w:r>
      <w:r>
        <w:rPr>
          <w:rFonts w:hint="eastAsia" w:ascii="仿宋_GB2312" w:hAnsi="微软雅黑" w:eastAsia="仿宋_GB2312" w:cs="宋体"/>
          <w:kern w:val="0"/>
          <w:sz w:val="32"/>
          <w:szCs w:val="32"/>
        </w:rPr>
        <w:t>；</w:t>
      </w:r>
    </w:p>
    <w:p w14:paraId="12AA8C94">
      <w:pPr>
        <w:keepLines/>
        <w:widowControl/>
        <w:shd w:val="clear" w:color="auto" w:fill="FFFFFF"/>
        <w:ind w:firstLine="660"/>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2.项目支出68.28万元,</w:t>
      </w:r>
      <w:r>
        <w:rPr>
          <w:rFonts w:hint="eastAsia" w:ascii="仿宋_GB2312" w:hAnsi="宋体" w:eastAsia="仿宋_GB2312"/>
          <w:sz w:val="32"/>
          <w:szCs w:val="32"/>
        </w:rPr>
        <w:t xml:space="preserve"> 其中：特定目标类项目支出0万元，其他运转类项目支出68.28万元。</w:t>
      </w:r>
    </w:p>
    <w:p w14:paraId="3D4D2AE6">
      <w:pPr>
        <w:keepLines/>
        <w:widowControl/>
        <w:shd w:val="clear" w:color="auto" w:fill="FFFFFF"/>
        <w:ind w:firstLine="645"/>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2023年预算收支比2022年减少0万元，</w:t>
      </w:r>
      <w:r>
        <w:rPr>
          <w:rFonts w:hint="eastAsia" w:ascii="仿宋_GB2312" w:hAnsi="微软雅黑" w:eastAsia="仿宋_GB2312" w:cs="宋体"/>
          <w:kern w:val="0"/>
          <w:sz w:val="32"/>
          <w:szCs w:val="32"/>
          <w:lang w:val="en-US" w:eastAsia="zh-CN"/>
        </w:rPr>
        <w:t>无</w:t>
      </w:r>
      <w:r>
        <w:rPr>
          <w:rFonts w:hint="eastAsia" w:ascii="仿宋_GB2312" w:hAnsi="微软雅黑" w:eastAsia="仿宋_GB2312" w:cs="宋体"/>
          <w:kern w:val="0"/>
          <w:sz w:val="32"/>
          <w:szCs w:val="32"/>
        </w:rPr>
        <w:t>增减变化。</w:t>
      </w:r>
    </w:p>
    <w:p w14:paraId="3A162A5F">
      <w:pPr>
        <w:keepLines/>
        <w:widowControl/>
        <w:shd w:val="clear" w:color="auto" w:fill="FFFFFF"/>
        <w:ind w:firstLine="660"/>
        <w:jc w:val="left"/>
        <w:rPr>
          <w:rFonts w:ascii="微软雅黑" w:hAnsi="微软雅黑" w:eastAsia="微软雅黑" w:cs="宋体"/>
          <w:kern w:val="0"/>
          <w:sz w:val="24"/>
          <w:szCs w:val="24"/>
        </w:rPr>
      </w:pPr>
      <w:r>
        <w:rPr>
          <w:rFonts w:hint="eastAsia" w:ascii="黑体" w:hAnsi="黑体" w:eastAsia="黑体" w:cs="宋体"/>
          <w:kern w:val="0"/>
          <w:sz w:val="32"/>
          <w:szCs w:val="32"/>
        </w:rPr>
        <w:t>二、机关运行经费安排情况</w:t>
      </w:r>
    </w:p>
    <w:p w14:paraId="698417DB">
      <w:pPr>
        <w:keepLines/>
        <w:widowControl/>
        <w:shd w:val="clear" w:color="auto" w:fill="FFFFFF"/>
        <w:ind w:firstLine="645"/>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2023年本溪市溪湖区商务局机关运行经费预算为1.76万元，主要包括办公及印刷费、邮电费、差旅费、会议费、福利费、日常维修费、专用材料及一般设备购置费、办公用房水电费、办公用房取暖费、办公用房物业管理费、公务用车运行维护费以及其他费用。2023年预算比2022年减少5.4万元，主要原因是压减开支。</w:t>
      </w:r>
    </w:p>
    <w:p w14:paraId="597F02BA">
      <w:pPr>
        <w:keepLines/>
        <w:widowControl/>
        <w:shd w:val="clear" w:color="auto" w:fill="FFFFFF"/>
        <w:ind w:firstLine="660"/>
        <w:jc w:val="left"/>
        <w:rPr>
          <w:rFonts w:ascii="微软雅黑" w:hAnsi="微软雅黑" w:eastAsia="微软雅黑" w:cs="宋体"/>
          <w:kern w:val="0"/>
          <w:sz w:val="24"/>
          <w:szCs w:val="24"/>
        </w:rPr>
      </w:pPr>
      <w:r>
        <w:rPr>
          <w:rFonts w:hint="eastAsia" w:ascii="黑体" w:hAnsi="黑体" w:eastAsia="黑体" w:cs="宋体"/>
          <w:kern w:val="0"/>
          <w:sz w:val="32"/>
          <w:szCs w:val="32"/>
        </w:rPr>
        <w:t>三、政府采购情况</w:t>
      </w:r>
    </w:p>
    <w:p w14:paraId="0D1A1D00">
      <w:pPr>
        <w:keepLines/>
        <w:widowControl/>
        <w:shd w:val="clear" w:color="auto" w:fill="FFFFFF"/>
        <w:ind w:firstLine="645"/>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2023年本溪市溪湖区商务局安排政府采购预算0万元，其中：政府采购货物支出0万元，政府购买服务支出0万元，政府采购工程支出0万元。</w:t>
      </w:r>
    </w:p>
    <w:p w14:paraId="28891BC0">
      <w:pPr>
        <w:keepLines/>
        <w:widowControl/>
        <w:shd w:val="clear" w:color="auto" w:fill="FFFFFF"/>
        <w:ind w:firstLine="660"/>
        <w:jc w:val="left"/>
        <w:rPr>
          <w:rFonts w:ascii="微软雅黑" w:hAnsi="微软雅黑" w:eastAsia="微软雅黑" w:cs="宋体"/>
          <w:kern w:val="0"/>
          <w:sz w:val="24"/>
          <w:szCs w:val="24"/>
        </w:rPr>
      </w:pPr>
      <w:r>
        <w:rPr>
          <w:rFonts w:hint="eastAsia" w:ascii="黑体" w:hAnsi="黑体" w:eastAsia="黑体" w:cs="宋体"/>
          <w:kern w:val="0"/>
          <w:sz w:val="32"/>
          <w:szCs w:val="32"/>
        </w:rPr>
        <w:t>四、“三公”经费预算情况</w:t>
      </w:r>
    </w:p>
    <w:p w14:paraId="09BA5C22">
      <w:pPr>
        <w:keepLines/>
        <w:widowControl/>
        <w:shd w:val="clear" w:color="auto" w:fill="FFFFFF"/>
        <w:ind w:firstLine="645"/>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2023年，本溪市溪湖区商务局一般公共预算安排“三公”经费预算为0万元，比2022年减少0万元，下降0%。其中：</w:t>
      </w:r>
    </w:p>
    <w:p w14:paraId="48C69B54">
      <w:pPr>
        <w:keepLines/>
        <w:widowControl/>
        <w:shd w:val="clear" w:color="auto" w:fill="FFFFFF"/>
        <w:ind w:firstLine="645"/>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1.因公出国（境）费0万元，比2022年持平。</w:t>
      </w:r>
    </w:p>
    <w:p w14:paraId="6560AE36">
      <w:pPr>
        <w:keepLines/>
        <w:widowControl/>
        <w:shd w:val="clear" w:color="auto" w:fill="FFFFFF"/>
        <w:ind w:firstLine="645"/>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2.公务接待费0万元，比2022年增加/减少/持平0万元，主要原因是增加/减少/持平0人。</w:t>
      </w:r>
    </w:p>
    <w:p w14:paraId="4C21EC9D">
      <w:pPr>
        <w:keepLines/>
        <w:widowControl/>
        <w:shd w:val="clear" w:color="auto" w:fill="FFFFFF"/>
        <w:ind w:firstLine="645"/>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3.公务用车购置及运行费0万元，比2022年增加/减少/持平0万元，主要原因是……。</w:t>
      </w:r>
    </w:p>
    <w:p w14:paraId="15DDDFF4">
      <w:pPr>
        <w:keepLines/>
        <w:widowControl/>
        <w:shd w:val="clear" w:color="auto" w:fill="FFFFFF"/>
        <w:jc w:val="center"/>
        <w:rPr>
          <w:rFonts w:ascii="微软雅黑" w:hAnsi="微软雅黑" w:eastAsia="微软雅黑" w:cs="宋体"/>
          <w:kern w:val="0"/>
          <w:sz w:val="24"/>
          <w:szCs w:val="24"/>
        </w:rPr>
      </w:pPr>
      <w:r>
        <w:rPr>
          <w:rFonts w:hint="eastAsia" w:ascii="仿宋_GB2312" w:hAnsi="微软雅黑" w:eastAsia="仿宋_GB2312" w:cs="宋体"/>
          <w:b/>
          <w:bCs/>
          <w:kern w:val="0"/>
          <w:sz w:val="32"/>
          <w:szCs w:val="32"/>
        </w:rPr>
        <w:t>2023年本溪市溪湖区商务局“三公”经费预算表</w:t>
      </w:r>
    </w:p>
    <w:p w14:paraId="2D42B362">
      <w:pPr>
        <w:keepLines/>
        <w:widowControl/>
        <w:shd w:val="clear" w:color="auto" w:fill="FFFFFF"/>
        <w:jc w:val="right"/>
        <w:rPr>
          <w:rFonts w:ascii="微软雅黑" w:hAnsi="微软雅黑" w:eastAsia="微软雅黑" w:cs="宋体"/>
          <w:kern w:val="0"/>
          <w:sz w:val="24"/>
          <w:szCs w:val="24"/>
        </w:rPr>
      </w:pPr>
      <w:r>
        <w:rPr>
          <w:rFonts w:hint="eastAsia" w:ascii="仿宋_GB2312" w:hAnsi="微软雅黑" w:eastAsia="仿宋_GB2312" w:cs="宋体"/>
          <w:b/>
          <w:bCs/>
          <w:kern w:val="0"/>
          <w:sz w:val="29"/>
          <w:szCs w:val="29"/>
        </w:rPr>
        <w:t>单位：万元</w:t>
      </w:r>
    </w:p>
    <w:tbl>
      <w:tblPr>
        <w:tblStyle w:val="5"/>
        <w:tblW w:w="8625" w:type="dxa"/>
        <w:tblInd w:w="0" w:type="dxa"/>
        <w:tblLayout w:type="autofit"/>
        <w:tblCellMar>
          <w:top w:w="0" w:type="dxa"/>
          <w:left w:w="0" w:type="dxa"/>
          <w:bottom w:w="0" w:type="dxa"/>
          <w:right w:w="0" w:type="dxa"/>
        </w:tblCellMar>
      </w:tblPr>
      <w:tblGrid>
        <w:gridCol w:w="4125"/>
        <w:gridCol w:w="2145"/>
        <w:gridCol w:w="2355"/>
      </w:tblGrid>
      <w:tr w14:paraId="30DF0822">
        <w:tblPrEx>
          <w:tblCellMar>
            <w:top w:w="0" w:type="dxa"/>
            <w:left w:w="0" w:type="dxa"/>
            <w:bottom w:w="0" w:type="dxa"/>
            <w:right w:w="0" w:type="dxa"/>
          </w:tblCellMar>
        </w:tblPrEx>
        <w:trPr>
          <w:trHeight w:val="480" w:hRule="atLeast"/>
        </w:trPr>
        <w:tc>
          <w:tcPr>
            <w:tcW w:w="4125" w:type="dxa"/>
            <w:vMerge w:val="restart"/>
            <w:tcBorders>
              <w:top w:val="single" w:color="000000"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14:paraId="294C9094">
            <w:pPr>
              <w:keepLines/>
              <w:widowControl/>
              <w:jc w:val="center"/>
              <w:textAlignment w:val="center"/>
              <w:rPr>
                <w:rFonts w:ascii="宋体" w:hAnsi="宋体" w:eastAsia="宋体" w:cs="宋体"/>
                <w:kern w:val="0"/>
                <w:sz w:val="24"/>
                <w:szCs w:val="24"/>
              </w:rPr>
            </w:pPr>
            <w:r>
              <w:rPr>
                <w:rFonts w:hint="eastAsia" w:ascii="宋体" w:hAnsi="宋体" w:eastAsia="宋体" w:cs="宋体"/>
                <w:b/>
                <w:bCs/>
                <w:kern w:val="0"/>
                <w:sz w:val="24"/>
                <w:szCs w:val="24"/>
              </w:rPr>
              <w:t>项目</w:t>
            </w:r>
          </w:p>
        </w:tc>
        <w:tc>
          <w:tcPr>
            <w:tcW w:w="4500" w:type="dxa"/>
            <w:gridSpan w:val="2"/>
            <w:tcBorders>
              <w:top w:val="single" w:color="000000" w:sz="6" w:space="0"/>
              <w:left w:val="nil"/>
              <w:bottom w:val="single" w:color="DDDDDD" w:sz="6" w:space="0"/>
              <w:right w:val="single" w:color="000000" w:sz="6" w:space="0"/>
            </w:tcBorders>
            <w:tcMar>
              <w:top w:w="15" w:type="dxa"/>
              <w:left w:w="15" w:type="dxa"/>
              <w:bottom w:w="15" w:type="dxa"/>
              <w:right w:w="15" w:type="dxa"/>
            </w:tcMar>
            <w:vAlign w:val="center"/>
          </w:tcPr>
          <w:p w14:paraId="02D1E456">
            <w:pPr>
              <w:keepLines/>
              <w:widowControl/>
              <w:jc w:val="center"/>
              <w:rPr>
                <w:rFonts w:ascii="宋体" w:hAnsi="宋体" w:eastAsia="宋体" w:cs="宋体"/>
                <w:kern w:val="0"/>
                <w:sz w:val="24"/>
                <w:szCs w:val="24"/>
              </w:rPr>
            </w:pPr>
            <w:r>
              <w:rPr>
                <w:rFonts w:hint="eastAsia" w:ascii="宋体" w:hAnsi="宋体" w:eastAsia="宋体" w:cs="宋体"/>
                <w:b/>
                <w:bCs/>
                <w:kern w:val="0"/>
                <w:sz w:val="24"/>
                <w:szCs w:val="24"/>
              </w:rPr>
              <w:t>金额</w:t>
            </w:r>
          </w:p>
        </w:tc>
      </w:tr>
      <w:tr w14:paraId="0960E835">
        <w:tblPrEx>
          <w:tblCellMar>
            <w:top w:w="0" w:type="dxa"/>
            <w:left w:w="0" w:type="dxa"/>
            <w:bottom w:w="0" w:type="dxa"/>
            <w:right w:w="0" w:type="dxa"/>
          </w:tblCellMar>
        </w:tblPrEx>
        <w:trPr>
          <w:trHeight w:val="510" w:hRule="atLeast"/>
        </w:trPr>
        <w:tc>
          <w:tcPr>
            <w:tcW w:w="0" w:type="auto"/>
            <w:vMerge w:val="continue"/>
            <w:tcBorders>
              <w:top w:val="single" w:color="000000" w:sz="6" w:space="0"/>
              <w:left w:val="single" w:color="000000" w:sz="6" w:space="0"/>
              <w:bottom w:val="single" w:color="000000" w:sz="6" w:space="0"/>
              <w:right w:val="single" w:color="000000" w:sz="6" w:space="0"/>
            </w:tcBorders>
            <w:vAlign w:val="center"/>
          </w:tcPr>
          <w:p w14:paraId="2705CFB1">
            <w:pPr>
              <w:keepLines/>
              <w:widowControl/>
              <w:jc w:val="left"/>
              <w:rPr>
                <w:rFonts w:ascii="宋体" w:hAnsi="宋体" w:eastAsia="宋体" w:cs="宋体"/>
                <w:kern w:val="0"/>
                <w:sz w:val="24"/>
                <w:szCs w:val="24"/>
              </w:rPr>
            </w:pPr>
          </w:p>
        </w:tc>
        <w:tc>
          <w:tcPr>
            <w:tcW w:w="2145" w:type="dxa"/>
            <w:tcBorders>
              <w:top w:val="single" w:color="000000" w:sz="6" w:space="0"/>
              <w:left w:val="nil"/>
              <w:bottom w:val="single" w:color="000000" w:sz="6" w:space="0"/>
              <w:right w:val="single" w:color="000000" w:sz="6" w:space="0"/>
            </w:tcBorders>
            <w:tcMar>
              <w:top w:w="15" w:type="dxa"/>
              <w:left w:w="15" w:type="dxa"/>
              <w:bottom w:w="15" w:type="dxa"/>
              <w:right w:w="15" w:type="dxa"/>
            </w:tcMar>
            <w:vAlign w:val="center"/>
          </w:tcPr>
          <w:p w14:paraId="6AE42BE1">
            <w:pPr>
              <w:keepLines/>
              <w:widowControl/>
              <w:jc w:val="center"/>
              <w:textAlignment w:val="center"/>
              <w:rPr>
                <w:rFonts w:ascii="宋体" w:hAnsi="宋体" w:eastAsia="宋体" w:cs="宋体"/>
                <w:kern w:val="0"/>
                <w:sz w:val="24"/>
                <w:szCs w:val="24"/>
              </w:rPr>
            </w:pPr>
            <w:r>
              <w:rPr>
                <w:rFonts w:hint="eastAsia" w:ascii="宋体" w:hAnsi="宋体" w:eastAsia="宋体" w:cs="宋体"/>
                <w:b/>
                <w:bCs/>
                <w:kern w:val="0"/>
                <w:sz w:val="24"/>
                <w:szCs w:val="24"/>
              </w:rPr>
              <w:t>2022年</w:t>
            </w:r>
          </w:p>
        </w:tc>
        <w:tc>
          <w:tcPr>
            <w:tcW w:w="2355" w:type="dxa"/>
            <w:tcBorders>
              <w:top w:val="single" w:color="000000" w:sz="6" w:space="0"/>
              <w:left w:val="nil"/>
              <w:bottom w:val="single" w:color="000000" w:sz="6" w:space="0"/>
              <w:right w:val="single" w:color="000000" w:sz="6" w:space="0"/>
            </w:tcBorders>
            <w:tcMar>
              <w:top w:w="15" w:type="dxa"/>
              <w:left w:w="15" w:type="dxa"/>
              <w:bottom w:w="15" w:type="dxa"/>
              <w:right w:w="15" w:type="dxa"/>
            </w:tcMar>
            <w:vAlign w:val="center"/>
          </w:tcPr>
          <w:p w14:paraId="64596482">
            <w:pPr>
              <w:keepLines/>
              <w:widowControl/>
              <w:jc w:val="center"/>
              <w:textAlignment w:val="center"/>
              <w:rPr>
                <w:rFonts w:ascii="宋体" w:hAnsi="宋体" w:eastAsia="宋体" w:cs="宋体"/>
                <w:kern w:val="0"/>
                <w:sz w:val="24"/>
                <w:szCs w:val="24"/>
              </w:rPr>
            </w:pPr>
            <w:r>
              <w:rPr>
                <w:rFonts w:hint="eastAsia" w:ascii="宋体" w:hAnsi="宋体" w:eastAsia="宋体" w:cs="宋体"/>
                <w:b/>
                <w:bCs/>
                <w:kern w:val="0"/>
                <w:sz w:val="24"/>
                <w:szCs w:val="24"/>
              </w:rPr>
              <w:t>2023年</w:t>
            </w:r>
          </w:p>
        </w:tc>
      </w:tr>
      <w:tr w14:paraId="15C0E196">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000000" w:sz="6" w:space="0"/>
            </w:tcBorders>
            <w:tcMar>
              <w:top w:w="15" w:type="dxa"/>
              <w:left w:w="15" w:type="dxa"/>
              <w:bottom w:w="15" w:type="dxa"/>
              <w:right w:w="15" w:type="dxa"/>
            </w:tcMar>
            <w:vAlign w:val="center"/>
          </w:tcPr>
          <w:p w14:paraId="3F6F3634">
            <w:pPr>
              <w:keepLines/>
              <w:widowControl/>
              <w:jc w:val="center"/>
              <w:textAlignment w:val="center"/>
              <w:rPr>
                <w:rFonts w:ascii="宋体" w:hAnsi="宋体" w:eastAsia="宋体" w:cs="宋体"/>
                <w:kern w:val="0"/>
                <w:sz w:val="24"/>
                <w:szCs w:val="24"/>
              </w:rPr>
            </w:pPr>
            <w:r>
              <w:rPr>
                <w:rFonts w:hint="eastAsia" w:ascii="宋体" w:hAnsi="宋体" w:eastAsia="宋体" w:cs="宋体"/>
                <w:b/>
                <w:bCs/>
                <w:kern w:val="0"/>
                <w:sz w:val="24"/>
                <w:szCs w:val="24"/>
              </w:rPr>
              <w:t>合计</w:t>
            </w:r>
          </w:p>
        </w:tc>
        <w:tc>
          <w:tcPr>
            <w:tcW w:w="2145" w:type="dxa"/>
            <w:tcBorders>
              <w:top w:val="nil"/>
              <w:left w:val="nil"/>
              <w:bottom w:val="single" w:color="DDDDDD" w:sz="6" w:space="0"/>
              <w:right w:val="single" w:color="000000" w:sz="6" w:space="0"/>
            </w:tcBorders>
            <w:tcMar>
              <w:top w:w="15" w:type="dxa"/>
              <w:left w:w="15" w:type="dxa"/>
              <w:bottom w:w="15" w:type="dxa"/>
              <w:right w:w="15" w:type="dxa"/>
            </w:tcMar>
            <w:vAlign w:val="center"/>
          </w:tcPr>
          <w:p w14:paraId="6A1F3D60">
            <w:pPr>
              <w:keepLines/>
              <w:widowControl/>
              <w:jc w:val="left"/>
              <w:rPr>
                <w:rFonts w:ascii="宋体" w:hAnsi="宋体" w:eastAsia="宋体" w:cs="宋体"/>
                <w:kern w:val="0"/>
                <w:sz w:val="24"/>
                <w:szCs w:val="24"/>
              </w:rPr>
            </w:pPr>
          </w:p>
        </w:tc>
        <w:tc>
          <w:tcPr>
            <w:tcW w:w="2355" w:type="dxa"/>
            <w:tcBorders>
              <w:top w:val="nil"/>
              <w:left w:val="nil"/>
              <w:bottom w:val="single" w:color="DDDDDD" w:sz="6" w:space="0"/>
              <w:right w:val="single" w:color="000000" w:sz="6" w:space="0"/>
            </w:tcBorders>
            <w:tcMar>
              <w:top w:w="15" w:type="dxa"/>
              <w:left w:w="15" w:type="dxa"/>
              <w:bottom w:w="15" w:type="dxa"/>
              <w:right w:w="15" w:type="dxa"/>
            </w:tcMar>
            <w:vAlign w:val="center"/>
          </w:tcPr>
          <w:p w14:paraId="5A837A2A">
            <w:pPr>
              <w:keepLines/>
              <w:widowControl/>
              <w:jc w:val="right"/>
              <w:rPr>
                <w:rFonts w:ascii="宋体" w:hAnsi="宋体" w:eastAsia="宋体" w:cs="宋体"/>
                <w:kern w:val="0"/>
                <w:sz w:val="24"/>
                <w:szCs w:val="24"/>
              </w:rPr>
            </w:pPr>
          </w:p>
        </w:tc>
      </w:tr>
      <w:tr w14:paraId="39787BC6">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14:paraId="350F054E">
            <w:pPr>
              <w:keepLines/>
              <w:widowControl/>
              <w:jc w:val="left"/>
              <w:textAlignment w:val="center"/>
              <w:rPr>
                <w:rFonts w:ascii="宋体" w:hAnsi="宋体" w:eastAsia="宋体" w:cs="宋体"/>
                <w:kern w:val="0"/>
                <w:sz w:val="24"/>
                <w:szCs w:val="24"/>
              </w:rPr>
            </w:pPr>
            <w:r>
              <w:rPr>
                <w:rFonts w:hint="eastAsia" w:ascii="宋体" w:hAnsi="宋体" w:eastAsia="宋体" w:cs="宋体"/>
                <w:kern w:val="0"/>
                <w:sz w:val="24"/>
                <w:szCs w:val="24"/>
              </w:rPr>
              <w:t>1、因公出国（境）费</w:t>
            </w:r>
          </w:p>
        </w:tc>
        <w:tc>
          <w:tcPr>
            <w:tcW w:w="2145" w:type="dxa"/>
            <w:tcBorders>
              <w:top w:val="single" w:color="000000" w:sz="6" w:space="0"/>
              <w:left w:val="single" w:color="000000" w:sz="6" w:space="0"/>
              <w:bottom w:val="single" w:color="DDDDDD" w:sz="6" w:space="0"/>
              <w:right w:val="single" w:color="DDDDDD" w:sz="6" w:space="0"/>
            </w:tcBorders>
            <w:tcMar>
              <w:top w:w="15" w:type="dxa"/>
              <w:left w:w="15" w:type="dxa"/>
              <w:bottom w:w="15" w:type="dxa"/>
              <w:right w:w="15" w:type="dxa"/>
            </w:tcMar>
            <w:vAlign w:val="center"/>
          </w:tcPr>
          <w:p w14:paraId="53C6C9C0">
            <w:pPr>
              <w:keepLines/>
              <w:widowControl/>
              <w:jc w:val="left"/>
              <w:rPr>
                <w:rFonts w:ascii="宋体" w:hAnsi="宋体" w:eastAsia="宋体" w:cs="宋体"/>
                <w:kern w:val="0"/>
                <w:sz w:val="24"/>
                <w:szCs w:val="24"/>
              </w:rPr>
            </w:pPr>
            <w:r>
              <w:rPr>
                <w:rFonts w:hint="eastAsia" w:ascii="宋体" w:hAnsi="宋体" w:eastAsia="宋体" w:cs="宋体"/>
                <w:kern w:val="0"/>
                <w:sz w:val="24"/>
                <w:szCs w:val="24"/>
              </w:rPr>
              <w:t>0</w:t>
            </w:r>
          </w:p>
        </w:tc>
        <w:tc>
          <w:tcPr>
            <w:tcW w:w="2355" w:type="dxa"/>
            <w:tcBorders>
              <w:top w:val="single" w:color="000000"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14:paraId="623FD215">
            <w:pPr>
              <w:keepLines/>
              <w:widowControl/>
              <w:jc w:val="left"/>
              <w:rPr>
                <w:rFonts w:ascii="宋体" w:hAnsi="宋体" w:eastAsia="宋体" w:cs="宋体"/>
                <w:kern w:val="0"/>
                <w:sz w:val="24"/>
                <w:szCs w:val="24"/>
              </w:rPr>
            </w:pPr>
            <w:r>
              <w:rPr>
                <w:rFonts w:hint="eastAsia" w:ascii="宋体" w:hAnsi="宋体" w:eastAsia="宋体" w:cs="宋体"/>
                <w:kern w:val="0"/>
                <w:sz w:val="24"/>
                <w:szCs w:val="24"/>
              </w:rPr>
              <w:t>0</w:t>
            </w:r>
          </w:p>
        </w:tc>
      </w:tr>
      <w:tr w14:paraId="1AAF40F4">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14:paraId="06FBE6A0">
            <w:pPr>
              <w:keepLines/>
              <w:widowControl/>
              <w:jc w:val="left"/>
              <w:textAlignment w:val="center"/>
              <w:rPr>
                <w:rFonts w:ascii="宋体" w:hAnsi="宋体" w:eastAsia="宋体" w:cs="宋体"/>
                <w:kern w:val="0"/>
                <w:sz w:val="24"/>
                <w:szCs w:val="24"/>
              </w:rPr>
            </w:pPr>
            <w:r>
              <w:rPr>
                <w:rFonts w:hint="eastAsia" w:ascii="宋体" w:hAnsi="宋体" w:eastAsia="宋体" w:cs="宋体"/>
                <w:kern w:val="0"/>
                <w:sz w:val="24"/>
                <w:szCs w:val="24"/>
              </w:rPr>
              <w:t>2、公务接待费</w:t>
            </w:r>
          </w:p>
        </w:tc>
        <w:tc>
          <w:tcPr>
            <w:tcW w:w="2145" w:type="dxa"/>
            <w:tcBorders>
              <w:top w:val="single" w:color="000000" w:sz="6" w:space="0"/>
              <w:left w:val="single" w:color="000000" w:sz="6" w:space="0"/>
              <w:bottom w:val="single" w:color="000000" w:sz="6" w:space="0"/>
              <w:right w:val="single" w:color="DDDDDD" w:sz="6" w:space="0"/>
            </w:tcBorders>
            <w:tcMar>
              <w:top w:w="15" w:type="dxa"/>
              <w:left w:w="15" w:type="dxa"/>
              <w:bottom w:w="15" w:type="dxa"/>
              <w:right w:w="15" w:type="dxa"/>
            </w:tcMar>
            <w:vAlign w:val="center"/>
          </w:tcPr>
          <w:p w14:paraId="6D1CF269">
            <w:pPr>
              <w:keepLines/>
              <w:widowControl/>
              <w:jc w:val="left"/>
              <w:rPr>
                <w:rFonts w:ascii="宋体" w:hAnsi="宋体" w:eastAsia="宋体" w:cs="宋体"/>
                <w:kern w:val="0"/>
                <w:sz w:val="24"/>
                <w:szCs w:val="24"/>
              </w:rPr>
            </w:pPr>
          </w:p>
        </w:tc>
        <w:tc>
          <w:tcPr>
            <w:tcW w:w="2355" w:type="dxa"/>
            <w:tcBorders>
              <w:top w:val="single" w:color="DDDDDD"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14:paraId="6DE98544">
            <w:pPr>
              <w:keepLines/>
              <w:widowControl/>
              <w:jc w:val="right"/>
              <w:rPr>
                <w:rFonts w:ascii="宋体" w:hAnsi="宋体" w:eastAsia="宋体" w:cs="宋体"/>
                <w:kern w:val="0"/>
                <w:sz w:val="24"/>
                <w:szCs w:val="24"/>
              </w:rPr>
            </w:pPr>
          </w:p>
        </w:tc>
      </w:tr>
      <w:tr w14:paraId="0B717A4C">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14:paraId="276AC36B">
            <w:pPr>
              <w:keepLines/>
              <w:widowControl/>
              <w:jc w:val="left"/>
              <w:textAlignment w:val="center"/>
              <w:rPr>
                <w:rFonts w:ascii="宋体" w:hAnsi="宋体" w:eastAsia="宋体" w:cs="宋体"/>
                <w:kern w:val="0"/>
                <w:sz w:val="24"/>
                <w:szCs w:val="24"/>
              </w:rPr>
            </w:pPr>
            <w:r>
              <w:rPr>
                <w:rFonts w:hint="eastAsia" w:ascii="宋体" w:hAnsi="宋体" w:eastAsia="宋体" w:cs="宋体"/>
                <w:kern w:val="0"/>
                <w:sz w:val="24"/>
                <w:szCs w:val="24"/>
              </w:rPr>
              <w:t>3、公务用车购置及运行费</w:t>
            </w:r>
          </w:p>
        </w:tc>
        <w:tc>
          <w:tcPr>
            <w:tcW w:w="2145" w:type="dxa"/>
            <w:tcBorders>
              <w:top w:val="single" w:color="DDDDDD" w:sz="6" w:space="0"/>
              <w:left w:val="single" w:color="000000" w:sz="6" w:space="0"/>
              <w:bottom w:val="single" w:color="DDDDDD" w:sz="6" w:space="0"/>
              <w:right w:val="single" w:color="DDDDDD" w:sz="6" w:space="0"/>
            </w:tcBorders>
            <w:tcMar>
              <w:top w:w="15" w:type="dxa"/>
              <w:left w:w="15" w:type="dxa"/>
              <w:bottom w:w="15" w:type="dxa"/>
              <w:right w:w="15" w:type="dxa"/>
            </w:tcMar>
            <w:vAlign w:val="center"/>
          </w:tcPr>
          <w:p w14:paraId="05CB8538">
            <w:pPr>
              <w:keepLines/>
              <w:widowControl/>
              <w:jc w:val="left"/>
              <w:rPr>
                <w:rFonts w:ascii="宋体" w:hAnsi="宋体" w:eastAsia="宋体" w:cs="宋体"/>
                <w:kern w:val="0"/>
                <w:sz w:val="24"/>
                <w:szCs w:val="24"/>
              </w:rPr>
            </w:pPr>
            <w:r>
              <w:rPr>
                <w:rFonts w:hint="eastAsia" w:ascii="宋体" w:hAnsi="宋体" w:eastAsia="宋体" w:cs="宋体"/>
                <w:kern w:val="0"/>
                <w:sz w:val="24"/>
                <w:szCs w:val="24"/>
              </w:rPr>
              <w:t>0</w:t>
            </w:r>
          </w:p>
        </w:tc>
        <w:tc>
          <w:tcPr>
            <w:tcW w:w="2355" w:type="dxa"/>
            <w:tcBorders>
              <w:top w:val="single" w:color="DDDDDD" w:sz="6" w:space="0"/>
              <w:left w:val="single" w:color="000000" w:sz="6" w:space="0"/>
              <w:bottom w:val="single" w:color="DDDDDD" w:sz="6" w:space="0"/>
              <w:right w:val="single" w:color="000000" w:sz="6" w:space="0"/>
            </w:tcBorders>
            <w:tcMar>
              <w:top w:w="15" w:type="dxa"/>
              <w:left w:w="15" w:type="dxa"/>
              <w:bottom w:w="15" w:type="dxa"/>
              <w:right w:w="15" w:type="dxa"/>
            </w:tcMar>
            <w:vAlign w:val="center"/>
          </w:tcPr>
          <w:p w14:paraId="7A74AC2B">
            <w:pPr>
              <w:keepLines/>
              <w:widowControl/>
              <w:jc w:val="left"/>
              <w:rPr>
                <w:rFonts w:ascii="宋体" w:hAnsi="宋体" w:eastAsia="宋体" w:cs="宋体"/>
                <w:kern w:val="0"/>
                <w:sz w:val="24"/>
                <w:szCs w:val="24"/>
              </w:rPr>
            </w:pPr>
          </w:p>
        </w:tc>
      </w:tr>
      <w:tr w14:paraId="457A2DE7">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14:paraId="295D5C58">
            <w:pPr>
              <w:keepLines/>
              <w:widowControl/>
              <w:jc w:val="left"/>
              <w:textAlignment w:val="center"/>
              <w:rPr>
                <w:rFonts w:ascii="宋体" w:hAnsi="宋体" w:eastAsia="宋体" w:cs="宋体"/>
                <w:kern w:val="0"/>
                <w:sz w:val="24"/>
                <w:szCs w:val="24"/>
              </w:rPr>
            </w:pPr>
            <w:r>
              <w:rPr>
                <w:rFonts w:hint="eastAsia" w:ascii="宋体" w:hAnsi="宋体" w:eastAsia="宋体" w:cs="宋体"/>
                <w:kern w:val="0"/>
                <w:sz w:val="24"/>
                <w:szCs w:val="24"/>
              </w:rPr>
              <w:t>其中：公务用车购置</w:t>
            </w:r>
          </w:p>
        </w:tc>
        <w:tc>
          <w:tcPr>
            <w:tcW w:w="2145" w:type="dxa"/>
            <w:tcBorders>
              <w:top w:val="single" w:color="000000" w:sz="6" w:space="0"/>
              <w:left w:val="single" w:color="000000" w:sz="6" w:space="0"/>
              <w:bottom w:val="single" w:color="DDDDDD" w:sz="6" w:space="0"/>
              <w:right w:val="single" w:color="DDDDDD" w:sz="6" w:space="0"/>
            </w:tcBorders>
            <w:tcMar>
              <w:top w:w="15" w:type="dxa"/>
              <w:left w:w="15" w:type="dxa"/>
              <w:bottom w:w="15" w:type="dxa"/>
              <w:right w:w="15" w:type="dxa"/>
            </w:tcMar>
            <w:vAlign w:val="center"/>
          </w:tcPr>
          <w:p w14:paraId="17EB2779">
            <w:pPr>
              <w:keepLines/>
              <w:widowControl/>
              <w:jc w:val="left"/>
              <w:rPr>
                <w:rFonts w:ascii="宋体" w:hAnsi="宋体" w:eastAsia="宋体" w:cs="宋体"/>
                <w:kern w:val="0"/>
                <w:sz w:val="24"/>
                <w:szCs w:val="24"/>
              </w:rPr>
            </w:pPr>
          </w:p>
        </w:tc>
        <w:tc>
          <w:tcPr>
            <w:tcW w:w="2355" w:type="dxa"/>
            <w:tcBorders>
              <w:top w:val="single" w:color="000000"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14:paraId="4BA489CE">
            <w:pPr>
              <w:keepLines/>
              <w:widowControl/>
              <w:jc w:val="left"/>
              <w:rPr>
                <w:rFonts w:ascii="宋体" w:hAnsi="宋体" w:eastAsia="宋体" w:cs="宋体"/>
                <w:kern w:val="0"/>
                <w:sz w:val="24"/>
                <w:szCs w:val="24"/>
              </w:rPr>
            </w:pPr>
          </w:p>
        </w:tc>
      </w:tr>
      <w:tr w14:paraId="3A931AAA">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14:paraId="157A5177">
            <w:pPr>
              <w:keepLines/>
              <w:widowControl/>
              <w:jc w:val="left"/>
              <w:textAlignment w:val="center"/>
              <w:rPr>
                <w:rFonts w:ascii="宋体" w:hAnsi="宋体" w:eastAsia="宋体" w:cs="宋体"/>
                <w:kern w:val="0"/>
                <w:sz w:val="24"/>
                <w:szCs w:val="24"/>
              </w:rPr>
            </w:pPr>
            <w:r>
              <w:rPr>
                <w:rFonts w:hint="eastAsia" w:ascii="宋体" w:hAnsi="宋体" w:eastAsia="宋体" w:cs="宋体"/>
                <w:kern w:val="0"/>
                <w:sz w:val="24"/>
                <w:szCs w:val="24"/>
              </w:rPr>
              <w:t>公务用车运行费</w:t>
            </w:r>
          </w:p>
        </w:tc>
        <w:tc>
          <w:tcPr>
            <w:tcW w:w="2145" w:type="dxa"/>
            <w:tcBorders>
              <w:top w:val="single" w:color="000000" w:sz="6" w:space="0"/>
              <w:left w:val="single" w:color="000000" w:sz="6" w:space="0"/>
              <w:bottom w:val="single" w:color="000000" w:sz="6" w:space="0"/>
              <w:right w:val="single" w:color="DDDDDD" w:sz="6" w:space="0"/>
            </w:tcBorders>
            <w:tcMar>
              <w:top w:w="15" w:type="dxa"/>
              <w:left w:w="15" w:type="dxa"/>
              <w:bottom w:w="15" w:type="dxa"/>
              <w:right w:w="15" w:type="dxa"/>
            </w:tcMar>
            <w:vAlign w:val="center"/>
          </w:tcPr>
          <w:p w14:paraId="762B69B4">
            <w:pPr>
              <w:keepLines/>
              <w:widowControl/>
              <w:jc w:val="left"/>
              <w:rPr>
                <w:rFonts w:ascii="宋体" w:hAnsi="宋体" w:eastAsia="宋体" w:cs="宋体"/>
                <w:kern w:val="0"/>
                <w:sz w:val="24"/>
                <w:szCs w:val="24"/>
              </w:rPr>
            </w:pPr>
          </w:p>
        </w:tc>
        <w:tc>
          <w:tcPr>
            <w:tcW w:w="2355" w:type="dxa"/>
            <w:tcBorders>
              <w:top w:val="single" w:color="DDDDDD"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14:paraId="4ED09068">
            <w:pPr>
              <w:keepLines/>
              <w:widowControl/>
              <w:jc w:val="center"/>
              <w:rPr>
                <w:rFonts w:ascii="宋体" w:hAnsi="宋体" w:eastAsia="宋体" w:cs="宋体"/>
                <w:kern w:val="0"/>
                <w:sz w:val="24"/>
                <w:szCs w:val="24"/>
              </w:rPr>
            </w:pPr>
          </w:p>
        </w:tc>
      </w:tr>
    </w:tbl>
    <w:p w14:paraId="1032C4E5">
      <w:pPr>
        <w:keepLines/>
        <w:widowControl/>
        <w:shd w:val="clear" w:color="auto" w:fill="FFFFFF"/>
        <w:jc w:val="left"/>
        <w:rPr>
          <w:rFonts w:ascii="微软雅黑" w:hAnsi="微软雅黑" w:eastAsia="微软雅黑" w:cs="宋体"/>
          <w:kern w:val="0"/>
          <w:sz w:val="24"/>
          <w:szCs w:val="24"/>
        </w:rPr>
      </w:pPr>
    </w:p>
    <w:p w14:paraId="53F729D4">
      <w:pPr>
        <w:keepLines/>
        <w:widowControl/>
        <w:shd w:val="clear" w:color="auto" w:fill="FFFFFF"/>
        <w:ind w:firstLine="645"/>
        <w:jc w:val="left"/>
        <w:rPr>
          <w:rFonts w:ascii="微软雅黑" w:hAnsi="微软雅黑" w:eastAsia="微软雅黑" w:cs="宋体"/>
          <w:kern w:val="0"/>
          <w:sz w:val="24"/>
          <w:szCs w:val="24"/>
        </w:rPr>
      </w:pPr>
      <w:r>
        <w:rPr>
          <w:rFonts w:hint="eastAsia" w:ascii="黑体" w:hAnsi="黑体" w:eastAsia="黑体" w:cs="宋体"/>
          <w:kern w:val="0"/>
          <w:sz w:val="32"/>
          <w:szCs w:val="32"/>
        </w:rPr>
        <w:t>五、国有资产占用情况</w:t>
      </w:r>
    </w:p>
    <w:p w14:paraId="162B21CB">
      <w:pPr>
        <w:keepLines/>
        <w:widowControl/>
        <w:shd w:val="clear" w:color="auto" w:fill="FFFFFF"/>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本溪市溪湖区商务局共有车辆0台，其中：一般公务用车0。其他国有资产情况无</w:t>
      </w:r>
    </w:p>
    <w:p w14:paraId="639ACF9D">
      <w:pPr>
        <w:keepLines/>
        <w:widowControl/>
        <w:shd w:val="clear" w:color="auto" w:fill="FFFFFF"/>
        <w:ind w:firstLine="645"/>
        <w:jc w:val="left"/>
        <w:rPr>
          <w:rFonts w:ascii="微软雅黑" w:hAnsi="微软雅黑" w:eastAsia="微软雅黑" w:cs="宋体"/>
          <w:kern w:val="0"/>
          <w:sz w:val="24"/>
          <w:szCs w:val="24"/>
        </w:rPr>
      </w:pPr>
      <w:r>
        <w:rPr>
          <w:rFonts w:hint="eastAsia" w:ascii="黑体" w:hAnsi="黑体" w:eastAsia="黑体" w:cs="宋体"/>
          <w:kern w:val="0"/>
          <w:sz w:val="32"/>
          <w:szCs w:val="32"/>
        </w:rPr>
        <w:t>六、绩效情况</w:t>
      </w:r>
    </w:p>
    <w:p w14:paraId="6170901B">
      <w:pPr>
        <w:keepLines/>
        <w:widowControl/>
        <w:shd w:val="clear" w:color="auto" w:fill="FFFFFF"/>
        <w:ind w:firstLine="645"/>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根据预算绩效管理要求，本溪市溪湖区商务局2023年应编制绩效目标的特定目标类项目共0个，实际编制绩效目标项目共4个，编制绩效目标的项目覆盖率（实际编制绩效目标的项目/应编制绩效目标的项目）为100%，涉及资金68.28万元。</w:t>
      </w:r>
    </w:p>
    <w:p w14:paraId="08171050">
      <w:pPr>
        <w:keepLines/>
      </w:pPr>
    </w:p>
    <w:p w14:paraId="462C6700">
      <w:pPr>
        <w:keepLines/>
      </w:pPr>
    </w:p>
    <w:p w14:paraId="5E25BB25">
      <w:pPr>
        <w:keepLines/>
      </w:pPr>
    </w:p>
    <w:p w14:paraId="7B1871CD">
      <w:pPr>
        <w:keepLines/>
      </w:pPr>
    </w:p>
    <w:p w14:paraId="74038AD8">
      <w:pPr>
        <w:keepLines/>
      </w:pPr>
    </w:p>
    <w:p w14:paraId="1781D752">
      <w:pPr>
        <w:keepLines/>
      </w:pPr>
    </w:p>
    <w:p w14:paraId="47082C2C">
      <w:pPr>
        <w:keepLines/>
      </w:pPr>
    </w:p>
    <w:p w14:paraId="40F4AF71">
      <w:pPr>
        <w:keepLines/>
      </w:pPr>
    </w:p>
    <w:p w14:paraId="2C507995">
      <w:pPr>
        <w:keepLines/>
      </w:pPr>
    </w:p>
    <w:p w14:paraId="663DC50F">
      <w:pPr>
        <w:keepLines/>
      </w:pPr>
    </w:p>
    <w:p w14:paraId="748EFB4C">
      <w:pPr>
        <w:keepLines/>
      </w:pPr>
    </w:p>
    <w:p w14:paraId="1105B36B">
      <w:pPr>
        <w:keepLines/>
      </w:pPr>
    </w:p>
    <w:p w14:paraId="67256459"/>
    <w:p w14:paraId="27C5DE95">
      <w:pPr>
        <w:jc w:val="center"/>
        <w:rPr>
          <w:rFonts w:ascii="宋体" w:hAnsi="宋体"/>
          <w:b/>
          <w:sz w:val="36"/>
          <w:szCs w:val="36"/>
        </w:rPr>
      </w:pPr>
      <w:r>
        <w:rPr>
          <w:rFonts w:hint="eastAsia" w:ascii="宋体" w:hAnsi="宋体"/>
          <w:b/>
          <w:sz w:val="36"/>
          <w:szCs w:val="36"/>
        </w:rPr>
        <w:t>第四部分 名词解释</w:t>
      </w:r>
    </w:p>
    <w:p w14:paraId="4FDB8B0F">
      <w:pPr>
        <w:jc w:val="center"/>
        <w:rPr>
          <w:rFonts w:ascii="黑体" w:eastAsia="黑体"/>
          <w:sz w:val="36"/>
          <w:szCs w:val="36"/>
        </w:rPr>
      </w:pPr>
    </w:p>
    <w:p w14:paraId="402E3352">
      <w:pPr>
        <w:ind w:firstLine="643" w:firstLineChars="200"/>
        <w:jc w:val="left"/>
        <w:rPr>
          <w:rFonts w:ascii="仿宋_GB2312" w:eastAsia="仿宋_GB2312"/>
          <w:sz w:val="32"/>
          <w:szCs w:val="32"/>
        </w:rPr>
      </w:pPr>
      <w:r>
        <w:rPr>
          <w:rFonts w:hint="eastAsia" w:ascii="仿宋_GB2312" w:eastAsia="仿宋_GB2312"/>
          <w:b/>
          <w:sz w:val="32"/>
          <w:szCs w:val="32"/>
        </w:rPr>
        <w:t>1.财政拨款收入：</w:t>
      </w:r>
      <w:r>
        <w:rPr>
          <w:rFonts w:hint="eastAsia" w:ascii="仿宋_GB2312" w:eastAsia="仿宋_GB2312"/>
          <w:sz w:val="32"/>
          <w:szCs w:val="32"/>
        </w:rPr>
        <w:t>指市级财政当年拨付的资金。</w:t>
      </w:r>
    </w:p>
    <w:p w14:paraId="74711AE2">
      <w:pPr>
        <w:ind w:firstLine="643" w:firstLineChars="200"/>
        <w:jc w:val="left"/>
        <w:rPr>
          <w:rFonts w:ascii="仿宋_GB2312" w:eastAsia="仿宋_GB2312"/>
          <w:sz w:val="32"/>
          <w:szCs w:val="32"/>
        </w:rPr>
      </w:pPr>
      <w:r>
        <w:rPr>
          <w:rFonts w:hint="eastAsia" w:ascii="仿宋_GB2312" w:eastAsia="仿宋_GB2312"/>
          <w:b/>
          <w:sz w:val="32"/>
          <w:szCs w:val="32"/>
        </w:rPr>
        <w:t>2.基本支出：</w:t>
      </w:r>
      <w:r>
        <w:rPr>
          <w:rFonts w:hint="eastAsia" w:ascii="仿宋_GB2312" w:eastAsia="仿宋_GB2312"/>
          <w:sz w:val="32"/>
          <w:szCs w:val="32"/>
        </w:rPr>
        <w:t>指保障机构正常运转、完成日常工作任务而发生的人员支出和公用支出。</w:t>
      </w:r>
    </w:p>
    <w:p w14:paraId="12FC95F3">
      <w:pPr>
        <w:ind w:firstLine="643" w:firstLineChars="200"/>
        <w:jc w:val="left"/>
        <w:rPr>
          <w:rFonts w:ascii="仿宋_GB2312" w:eastAsia="仿宋_GB2312"/>
          <w:b/>
          <w:sz w:val="32"/>
          <w:szCs w:val="32"/>
        </w:rPr>
      </w:pPr>
      <w:r>
        <w:rPr>
          <w:rFonts w:hint="eastAsia" w:ascii="仿宋_GB2312" w:eastAsia="仿宋_GB2312"/>
          <w:b/>
          <w:sz w:val="32"/>
          <w:szCs w:val="32"/>
        </w:rPr>
        <w:t>3.项目支出：</w:t>
      </w:r>
      <w:r>
        <w:rPr>
          <w:rFonts w:hint="eastAsia" w:ascii="仿宋_GB2312" w:eastAsia="仿宋_GB2312"/>
          <w:sz w:val="32"/>
          <w:szCs w:val="32"/>
        </w:rPr>
        <w:t>指在基本支出之外为完成特定行政任务和事业发展目标所发生的支出。</w:t>
      </w:r>
    </w:p>
    <w:p w14:paraId="51D85B1C">
      <w:pPr>
        <w:ind w:firstLine="643" w:firstLineChars="200"/>
        <w:rPr>
          <w:rFonts w:ascii="仿宋_GB2312" w:eastAsia="仿宋_GB2312"/>
          <w:sz w:val="32"/>
          <w:szCs w:val="32"/>
        </w:rPr>
      </w:pPr>
      <w:r>
        <w:rPr>
          <w:rFonts w:hint="eastAsia" w:ascii="仿宋_GB2312" w:eastAsia="仿宋_GB2312"/>
          <w:b/>
          <w:sz w:val="32"/>
        </w:rPr>
        <w:t>4.机关运行经费：</w:t>
      </w:r>
      <w:r>
        <w:rPr>
          <w:rFonts w:hint="eastAsia" w:ascii="仿宋_GB2312" w:eastAsia="仿宋_GB2312"/>
          <w:sz w:val="32"/>
          <w:szCs w:val="32"/>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787CF6DD">
      <w:pPr>
        <w:ind w:firstLine="643" w:firstLineChars="200"/>
        <w:jc w:val="left"/>
        <w:rPr>
          <w:rFonts w:ascii="仿宋_GB2312" w:eastAsia="仿宋_GB2312"/>
          <w:b/>
          <w:sz w:val="32"/>
          <w:szCs w:val="32"/>
        </w:rPr>
      </w:pPr>
      <w:r>
        <w:rPr>
          <w:rFonts w:hint="eastAsia" w:ascii="仿宋_GB2312" w:eastAsia="仿宋_GB2312"/>
          <w:b/>
          <w:sz w:val="32"/>
          <w:szCs w:val="32"/>
        </w:rPr>
        <w:t>5.行政事业性收费收入：</w:t>
      </w:r>
      <w:r>
        <w:rPr>
          <w:rFonts w:hint="eastAsia" w:ascii="仿宋_GB2312" w:eastAsia="仿宋_GB2312"/>
          <w:sz w:val="32"/>
          <w:szCs w:val="32"/>
        </w:rPr>
        <w:t>指依据法律、行政法规、国务院有关规定、国务院财政部门会同价格主管部门共同发布的规章或者规定，省、自治区、直辖市人民政府财政部门会同价格主管部门共同发布的规定所收取的各项收费收入。</w:t>
      </w:r>
    </w:p>
    <w:p w14:paraId="5D432BAC">
      <w:pPr>
        <w:ind w:firstLine="643" w:firstLineChars="200"/>
        <w:jc w:val="left"/>
        <w:rPr>
          <w:rFonts w:ascii="仿宋_GB2312" w:eastAsia="仿宋_GB2312"/>
          <w:b/>
          <w:sz w:val="32"/>
          <w:szCs w:val="32"/>
        </w:rPr>
      </w:pPr>
      <w:bookmarkStart w:id="0" w:name="OLE_LINK1"/>
      <w:r>
        <w:rPr>
          <w:rFonts w:hint="eastAsia" w:ascii="仿宋_GB2312" w:eastAsia="仿宋_GB2312"/>
          <w:b/>
          <w:sz w:val="32"/>
          <w:szCs w:val="32"/>
        </w:rPr>
        <w:t>6.政府性基金收入</w:t>
      </w:r>
      <w:bookmarkEnd w:id="0"/>
      <w:r>
        <w:rPr>
          <w:rFonts w:hint="eastAsia" w:ascii="仿宋_GB2312" w:eastAsia="仿宋_GB2312"/>
          <w:b/>
          <w:sz w:val="32"/>
          <w:szCs w:val="32"/>
        </w:rPr>
        <w:t>：</w:t>
      </w:r>
      <w:r>
        <w:rPr>
          <w:rFonts w:hint="eastAsia" w:ascii="仿宋_GB2312" w:eastAsia="仿宋_GB2312"/>
          <w:sz w:val="32"/>
          <w:szCs w:val="32"/>
        </w:rPr>
        <w:t>反应各级政府及其所属部门根据法律、行政法规规定并经国务院或财政部批准，向公民、法人和其他组织征收的政府性基金，以及参照政府性基金管理或纳入基金预算、具有特定用途的财政资金。</w:t>
      </w:r>
    </w:p>
    <w:p w14:paraId="36458EFD">
      <w:pPr>
        <w:ind w:firstLine="643" w:firstLineChars="200"/>
        <w:jc w:val="left"/>
        <w:rPr>
          <w:rFonts w:ascii="仿宋_GB2312" w:eastAsia="仿宋_GB2312"/>
          <w:sz w:val="32"/>
          <w:szCs w:val="32"/>
        </w:rPr>
      </w:pPr>
      <w:r>
        <w:rPr>
          <w:rFonts w:hint="eastAsia" w:ascii="仿宋_GB2312" w:eastAsia="仿宋_GB2312"/>
          <w:b/>
          <w:sz w:val="32"/>
          <w:szCs w:val="32"/>
        </w:rPr>
        <w:t>7.其他收入：</w:t>
      </w:r>
      <w:r>
        <w:rPr>
          <w:rFonts w:hint="eastAsia" w:ascii="仿宋_GB2312" w:eastAsia="仿宋_GB2312"/>
          <w:sz w:val="32"/>
          <w:szCs w:val="32"/>
        </w:rPr>
        <w:t>指除上述“财政拨款收入”、“行政事业性收费收入”、“政府性基金收入”以外的收入。</w:t>
      </w:r>
    </w:p>
    <w:p w14:paraId="25DA0D94">
      <w:pPr>
        <w:ind w:firstLine="643" w:firstLineChars="200"/>
        <w:jc w:val="left"/>
        <w:rPr>
          <w:rFonts w:ascii="仿宋_GB2312" w:eastAsia="仿宋_GB2312"/>
          <w:sz w:val="32"/>
          <w:szCs w:val="32"/>
        </w:rPr>
      </w:pPr>
      <w:r>
        <w:rPr>
          <w:rFonts w:hint="eastAsia" w:ascii="仿宋_GB2312" w:eastAsia="仿宋_GB2312"/>
          <w:b/>
          <w:sz w:val="32"/>
          <w:szCs w:val="32"/>
        </w:rPr>
        <w:t>8.“三公”经费</w:t>
      </w:r>
      <w:r>
        <w:rPr>
          <w:rFonts w:hint="eastAsia" w:ascii="仿宋_GB2312" w:eastAsia="仿宋_GB2312"/>
          <w:sz w:val="32"/>
          <w:szCs w:val="32"/>
        </w:rPr>
        <w:t>：指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费及燃料费、维修费、过桥过路费、保险费、安全奖励费用等支出；公务接待费反映单位按规定开支的各类公务接待（含外宾接待）费用。</w:t>
      </w:r>
    </w:p>
    <w:p w14:paraId="21FC4109">
      <w:pPr>
        <w:ind w:firstLine="643" w:firstLineChars="200"/>
        <w:jc w:val="left"/>
        <w:rPr>
          <w:rFonts w:ascii="仿宋_GB2312" w:eastAsia="仿宋_GB2312"/>
          <w:sz w:val="32"/>
          <w:szCs w:val="32"/>
        </w:rPr>
      </w:pPr>
      <w:r>
        <w:rPr>
          <w:rFonts w:hint="eastAsia" w:ascii="仿宋_GB2312" w:eastAsia="仿宋_GB2312"/>
          <w:b/>
          <w:sz w:val="32"/>
          <w:szCs w:val="32"/>
        </w:rPr>
        <w:t>9.一般公共服务（类）财政事务（款）行政运行（项）：</w:t>
      </w:r>
      <w:r>
        <w:rPr>
          <w:rFonts w:hint="eastAsia" w:ascii="仿宋_GB2312" w:eastAsia="仿宋_GB2312"/>
          <w:sz w:val="32"/>
          <w:szCs w:val="32"/>
        </w:rPr>
        <w:t>反映行政单位（包括实行公务员管理的事业单位）的基本支出。</w:t>
      </w:r>
    </w:p>
    <w:p w14:paraId="7A7606A1">
      <w:pPr>
        <w:ind w:firstLine="643" w:firstLineChars="200"/>
        <w:jc w:val="left"/>
        <w:rPr>
          <w:rFonts w:ascii="仿宋_GB2312" w:eastAsia="仿宋_GB2312"/>
          <w:sz w:val="32"/>
          <w:szCs w:val="32"/>
        </w:rPr>
      </w:pPr>
      <w:r>
        <w:rPr>
          <w:rFonts w:hint="eastAsia" w:ascii="仿宋_GB2312" w:eastAsia="仿宋_GB2312"/>
          <w:b/>
          <w:sz w:val="32"/>
          <w:szCs w:val="32"/>
        </w:rPr>
        <w:t>10.一般公共服务（类）财政事务（款）事业运行（项）：</w:t>
      </w:r>
      <w:r>
        <w:rPr>
          <w:rFonts w:hint="eastAsia" w:ascii="仿宋_GB2312" w:eastAsia="仿宋_GB2312"/>
          <w:sz w:val="32"/>
          <w:szCs w:val="32"/>
        </w:rPr>
        <w:t>反映事业单位的基本支出，不包括行政单位（包括实行公务员管理的事业单位）后勤服务中心、医务室等附属事业单位。</w:t>
      </w:r>
    </w:p>
    <w:p w14:paraId="07A2F695">
      <w:pPr>
        <w:ind w:firstLine="643" w:firstLineChars="200"/>
        <w:jc w:val="left"/>
        <w:rPr>
          <w:rFonts w:ascii="仿宋_GB2312" w:eastAsia="仿宋_GB2312"/>
          <w:sz w:val="32"/>
          <w:szCs w:val="32"/>
        </w:rPr>
      </w:pPr>
      <w:r>
        <w:rPr>
          <w:rFonts w:hint="eastAsia" w:ascii="仿宋_GB2312" w:eastAsia="仿宋_GB2312"/>
          <w:b/>
          <w:sz w:val="32"/>
          <w:szCs w:val="32"/>
        </w:rPr>
        <w:t>11.一般公共服务（类）财政事务（款）其他财政事务支出（项）：</w:t>
      </w:r>
      <w:r>
        <w:rPr>
          <w:rFonts w:hint="eastAsia" w:ascii="仿宋_GB2312" w:eastAsia="仿宋_GB2312"/>
          <w:sz w:val="32"/>
          <w:szCs w:val="32"/>
        </w:rPr>
        <w:t>反映除上述项目以外其他财政事务方面的支出。</w:t>
      </w:r>
    </w:p>
    <w:p w14:paraId="5C38D44C">
      <w:pPr>
        <w:ind w:firstLine="643" w:firstLineChars="200"/>
        <w:jc w:val="left"/>
        <w:rPr>
          <w:rFonts w:ascii="仿宋_GB2312" w:eastAsia="仿宋_GB2312"/>
          <w:sz w:val="32"/>
          <w:szCs w:val="32"/>
        </w:rPr>
      </w:pPr>
      <w:r>
        <w:rPr>
          <w:rFonts w:hint="eastAsia" w:ascii="仿宋_GB2312" w:eastAsia="仿宋_GB2312"/>
          <w:b/>
          <w:sz w:val="32"/>
          <w:szCs w:val="32"/>
        </w:rPr>
        <w:t>12.社会保障和就业（类）行政事业单位离退休（款）归口管理的行政单位离退休（项）：</w:t>
      </w:r>
      <w:r>
        <w:rPr>
          <w:rFonts w:hint="eastAsia" w:ascii="仿宋_GB2312" w:eastAsia="仿宋_GB2312"/>
          <w:sz w:val="32"/>
          <w:szCs w:val="32"/>
        </w:rPr>
        <w:t>反映实行归口管理的行政单位（包括实行公务员管理的事业单位）开支的离退休经费。</w:t>
      </w:r>
    </w:p>
    <w:p w14:paraId="6676CC1D">
      <w:pPr>
        <w:ind w:firstLine="643" w:firstLineChars="200"/>
        <w:jc w:val="left"/>
        <w:rPr>
          <w:rFonts w:ascii="仿宋_GB2312" w:eastAsia="仿宋_GB2312"/>
          <w:sz w:val="32"/>
          <w:szCs w:val="32"/>
        </w:rPr>
      </w:pPr>
      <w:r>
        <w:rPr>
          <w:rFonts w:hint="eastAsia" w:ascii="仿宋_GB2312" w:eastAsia="仿宋_GB2312"/>
          <w:b/>
          <w:sz w:val="32"/>
          <w:szCs w:val="32"/>
        </w:rPr>
        <w:t>13.社会保障和就业（类）行政事业单位离退休（款）事业单位离退休（项）：</w:t>
      </w:r>
      <w:r>
        <w:rPr>
          <w:rFonts w:hint="eastAsia" w:ascii="仿宋_GB2312" w:eastAsia="仿宋_GB2312"/>
          <w:sz w:val="32"/>
          <w:szCs w:val="32"/>
        </w:rPr>
        <w:t>反映实行归口管理的事业单位开支的离退休经费。</w:t>
      </w:r>
    </w:p>
    <w:p w14:paraId="7D49C9AD">
      <w:pPr>
        <w:ind w:firstLine="643" w:firstLineChars="200"/>
        <w:jc w:val="left"/>
      </w:pPr>
      <w:r>
        <w:rPr>
          <w:rFonts w:hint="eastAsia" w:ascii="仿宋_GB2312" w:eastAsia="仿宋_GB2312"/>
          <w:b/>
          <w:sz w:val="32"/>
          <w:szCs w:val="32"/>
        </w:rPr>
        <w:t>14.住房保障（类）住房改革（款）住房公积金（项）：</w:t>
      </w:r>
      <w:r>
        <w:rPr>
          <w:rFonts w:hint="eastAsia" w:ascii="仿宋_GB2312" w:eastAsia="仿宋_GB2312"/>
          <w:sz w:val="32"/>
          <w:szCs w:val="32"/>
        </w:rPr>
        <w:t>反映行政事业单位按人力资源和社会保障部、财政部规定的基本工资和津贴补贴以及规定比例为职工缴纳的住房公积金。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15E7BB"/>
    <w:multiLevelType w:val="singleLevel"/>
    <w:tmpl w:val="2C15E7B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yNGNhNWU2ZTRlZDc2NTg1YTgxODI1MGYxZmY2NTMifQ=="/>
  </w:docVars>
  <w:rsids>
    <w:rsidRoot w:val="00177A6F"/>
    <w:rsid w:val="001770E9"/>
    <w:rsid w:val="00177A6F"/>
    <w:rsid w:val="0018703D"/>
    <w:rsid w:val="003B3C2A"/>
    <w:rsid w:val="00467FB6"/>
    <w:rsid w:val="00686DA1"/>
    <w:rsid w:val="006F51B7"/>
    <w:rsid w:val="007F4D5A"/>
    <w:rsid w:val="008A3765"/>
    <w:rsid w:val="008A7166"/>
    <w:rsid w:val="008D7A97"/>
    <w:rsid w:val="00A55F6E"/>
    <w:rsid w:val="00B218D5"/>
    <w:rsid w:val="00B47CC8"/>
    <w:rsid w:val="00B62861"/>
    <w:rsid w:val="00BB4C8F"/>
    <w:rsid w:val="00C1223F"/>
    <w:rsid w:val="00D46018"/>
    <w:rsid w:val="00F27900"/>
    <w:rsid w:val="00F31C06"/>
    <w:rsid w:val="0A3502E6"/>
    <w:rsid w:val="2832138D"/>
    <w:rsid w:val="2EF150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unhideWhenUsed/>
    <w:uiPriority w:val="99"/>
    <w:pPr>
      <w:tabs>
        <w:tab w:val="center" w:pos="4153"/>
        <w:tab w:val="right" w:pos="8306"/>
      </w:tabs>
      <w:snapToGrid w:val="0"/>
      <w:jc w:val="left"/>
    </w:pPr>
    <w:rPr>
      <w:sz w:val="18"/>
      <w:szCs w:val="18"/>
    </w:rPr>
  </w:style>
  <w:style w:type="paragraph" w:styleId="3">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paragraph" w:styleId="8">
    <w:name w:val="List Paragraph"/>
    <w:basedOn w:val="1"/>
    <w:qFormat/>
    <w:uiPriority w:val="34"/>
    <w:pPr>
      <w:ind w:firstLine="420" w:firstLineChars="200"/>
    </w:pPr>
  </w:style>
  <w:style w:type="character" w:customStyle="1" w:styleId="9">
    <w:name w:val="页眉 Char"/>
    <w:basedOn w:val="6"/>
    <w:link w:val="3"/>
    <w:uiPriority w:val="99"/>
    <w:rPr>
      <w:sz w:val="18"/>
      <w:szCs w:val="18"/>
    </w:rPr>
  </w:style>
  <w:style w:type="character" w:customStyle="1" w:styleId="10">
    <w:name w:val="页脚 Char"/>
    <w:basedOn w:val="6"/>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13</Pages>
  <Words>3921</Words>
  <Characters>4063</Characters>
  <Lines>30</Lines>
  <Paragraphs>8</Paragraphs>
  <TotalTime>155</TotalTime>
  <ScaleCrop>false</ScaleCrop>
  <LinksUpToDate>false</LinksUpToDate>
  <CharactersWithSpaces>4099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2021-06-10T06:12:00Z</dcterms:created>
  <dc:creator>Administrator</dc:creator>
  <cp:lastModifiedBy>白樱桃小严</cp:lastModifiedBy>
  <dcterms:modified xsi:type="dcterms:W3CDTF">2026-03-26T07:49:40Z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FB2C4DD86BC44435B8710862CB8BF1F3</vt:lpwstr>
  </property>
  <property fmtid="{D5CDD505-2E9C-101B-9397-08002B2CF9AE}" pid="4" name="KSOTemplateDocerSaveRecord">
    <vt:lpwstr>eyJoZGlkIjoiMjMyNGNhNWU2ZTRlZDc2NTg1YTgxODI1MGYxZmY2NTMiLCJ1c2VySWQiOiIxMDg3MTc1NjE3In0=</vt:lpwstr>
  </property>
</Properties>
</file>