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A6BF99">
      <w:pPr>
        <w:ind w:firstLine="720"/>
        <w:rPr>
          <w:rFonts w:hint="default" w:ascii="Times New Roman" w:hAnsi="Times New Roman" w:eastAsia="仿宋_GB2312" w:cs="Times New Roman"/>
          <w:color w:val="000000" w:themeColor="text1"/>
          <w:sz w:val="36"/>
          <w:szCs w:val="36"/>
          <w:highlight w:val="none"/>
          <w14:textFill>
            <w14:solidFill>
              <w14:schemeClr w14:val="tx1"/>
            </w14:solidFill>
          </w14:textFill>
        </w:rPr>
      </w:pPr>
    </w:p>
    <w:p w14:paraId="362DA34D">
      <w:pPr>
        <w:ind w:firstLine="720"/>
        <w:rPr>
          <w:rFonts w:hint="default" w:ascii="Times New Roman" w:hAnsi="Times New Roman" w:eastAsia="仿宋_GB2312" w:cs="Times New Roman"/>
          <w:color w:val="000000" w:themeColor="text1"/>
          <w:sz w:val="36"/>
          <w:szCs w:val="36"/>
          <w:highlight w:val="none"/>
          <w14:textFill>
            <w14:solidFill>
              <w14:schemeClr w14:val="tx1"/>
            </w14:solidFill>
          </w14:textFill>
        </w:rPr>
      </w:pPr>
    </w:p>
    <w:p w14:paraId="13756469">
      <w:pPr>
        <w:ind w:firstLine="720"/>
        <w:rPr>
          <w:rFonts w:hint="default" w:ascii="Times New Roman" w:hAnsi="Times New Roman" w:eastAsia="仿宋_GB2312" w:cs="Times New Roman"/>
          <w:color w:val="000000" w:themeColor="text1"/>
          <w:sz w:val="36"/>
          <w:szCs w:val="36"/>
          <w:highlight w:val="none"/>
          <w14:textFill>
            <w14:solidFill>
              <w14:schemeClr w14:val="tx1"/>
            </w14:solidFill>
          </w14:textFill>
        </w:rPr>
      </w:pPr>
    </w:p>
    <w:p w14:paraId="25E8E2A4">
      <w:pPr>
        <w:ind w:firstLine="720"/>
        <w:rPr>
          <w:rFonts w:hint="default" w:ascii="Times New Roman" w:hAnsi="Times New Roman" w:eastAsia="仿宋_GB2312" w:cs="Times New Roman"/>
          <w:color w:val="000000" w:themeColor="text1"/>
          <w:sz w:val="36"/>
          <w:szCs w:val="36"/>
          <w:highlight w:val="none"/>
          <w14:textFill>
            <w14:solidFill>
              <w14:schemeClr w14:val="tx1"/>
            </w14:solidFill>
          </w14:textFill>
        </w:rPr>
      </w:pPr>
    </w:p>
    <w:p w14:paraId="04618B4C">
      <w:pPr>
        <w:ind w:firstLine="720"/>
        <w:rPr>
          <w:rFonts w:hint="default" w:ascii="Times New Roman" w:hAnsi="Times New Roman" w:eastAsia="仿宋_GB2312" w:cs="Times New Roman"/>
          <w:color w:val="000000" w:themeColor="text1"/>
          <w:sz w:val="36"/>
          <w:szCs w:val="36"/>
          <w:highlight w:val="none"/>
          <w14:textFill>
            <w14:solidFill>
              <w14:schemeClr w14:val="tx1"/>
            </w14:solidFill>
          </w14:textFill>
        </w:rPr>
      </w:pPr>
    </w:p>
    <w:p w14:paraId="6421EA7A">
      <w:pPr>
        <w:adjustRightInd w:val="0"/>
        <w:snapToGrid w:val="0"/>
        <w:jc w:val="center"/>
        <w:outlineLvl w:val="0"/>
        <w:rPr>
          <w:rFonts w:hint="default" w:ascii="Times New Roman" w:hAnsi="Times New Roman" w:eastAsia="方正小标宋_GBK" w:cs="Times New Roman"/>
          <w:bCs/>
          <w:color w:val="000000" w:themeColor="text1"/>
          <w:sz w:val="72"/>
          <w:szCs w:val="72"/>
          <w:highlight w:val="none"/>
          <w14:textFill>
            <w14:solidFill>
              <w14:schemeClr w14:val="tx1"/>
            </w14:solidFill>
          </w14:textFill>
        </w:rPr>
      </w:pPr>
      <w:r>
        <w:rPr>
          <w:rFonts w:hint="default" w:ascii="Times New Roman" w:hAnsi="Times New Roman" w:eastAsia="方正小标宋_GBK" w:cs="Times New Roman"/>
          <w:bCs/>
          <w:color w:val="000000" w:themeColor="text1"/>
          <w:sz w:val="72"/>
          <w:szCs w:val="72"/>
          <w:highlight w:val="none"/>
          <w14:textFill>
            <w14:solidFill>
              <w14:schemeClr w14:val="tx1"/>
            </w14:solidFill>
          </w14:textFill>
        </w:rPr>
        <w:t>建设项目环境影响报告表</w:t>
      </w:r>
    </w:p>
    <w:p w14:paraId="71171A65">
      <w:pPr>
        <w:adjustRightInd w:val="0"/>
        <w:snapToGrid w:val="0"/>
        <w:spacing w:beforeLines="80"/>
        <w:jc w:val="center"/>
        <w:rPr>
          <w:rFonts w:hint="default" w:ascii="Times New Roman" w:hAnsi="Times New Roman" w:eastAsia="楷体_GB2312" w:cs="Times New Roman"/>
          <w:bCs/>
          <w:color w:val="000000" w:themeColor="text1"/>
          <w:sz w:val="48"/>
          <w:szCs w:val="48"/>
          <w:highlight w:val="none"/>
          <w14:textFill>
            <w14:solidFill>
              <w14:schemeClr w14:val="tx1"/>
            </w14:solidFill>
          </w14:textFill>
        </w:rPr>
      </w:pPr>
      <w:r>
        <w:rPr>
          <w:rFonts w:hint="default" w:ascii="Times New Roman" w:hAnsi="Times New Roman" w:eastAsia="楷体_GB2312" w:cs="Times New Roman"/>
          <w:bCs/>
          <w:color w:val="000000" w:themeColor="text1"/>
          <w:sz w:val="48"/>
          <w:szCs w:val="48"/>
          <w:highlight w:val="none"/>
          <w14:textFill>
            <w14:solidFill>
              <w14:schemeClr w14:val="tx1"/>
            </w14:solidFill>
          </w14:textFill>
        </w:rPr>
        <w:t>（污染影响类）</w:t>
      </w:r>
    </w:p>
    <w:p w14:paraId="23960AD2">
      <w:pPr>
        <w:ind w:firstLine="880"/>
        <w:jc w:val="center"/>
        <w:rPr>
          <w:rFonts w:hint="default" w:ascii="Times New Roman" w:hAnsi="Times New Roman" w:eastAsia="华文仿宋" w:cs="Times New Roman"/>
          <w:color w:val="000000" w:themeColor="text1"/>
          <w:kern w:val="44"/>
          <w:sz w:val="44"/>
          <w:szCs w:val="44"/>
          <w:highlight w:val="none"/>
          <w14:textFill>
            <w14:solidFill>
              <w14:schemeClr w14:val="tx1"/>
            </w14:solidFill>
          </w14:textFill>
        </w:rPr>
      </w:pPr>
    </w:p>
    <w:p w14:paraId="32A9E1A9">
      <w:pPr>
        <w:ind w:firstLine="1040"/>
        <w:jc w:val="center"/>
        <w:rPr>
          <w:rFonts w:hint="default" w:ascii="Times New Roman" w:hAnsi="Times New Roman" w:eastAsia="仿宋" w:cs="Times New Roman"/>
          <w:color w:val="000000" w:themeColor="text1"/>
          <w:sz w:val="52"/>
          <w:szCs w:val="52"/>
          <w:highlight w:val="none"/>
          <w14:textFill>
            <w14:solidFill>
              <w14:schemeClr w14:val="tx1"/>
            </w14:solidFill>
          </w14:textFill>
        </w:rPr>
      </w:pPr>
    </w:p>
    <w:p w14:paraId="04C06D68">
      <w:pPr>
        <w:ind w:firstLine="880"/>
        <w:rPr>
          <w:rFonts w:hint="default" w:ascii="Times New Roman" w:hAnsi="Times New Roman" w:eastAsia="仿宋" w:cs="Times New Roman"/>
          <w:color w:val="000000" w:themeColor="text1"/>
          <w:sz w:val="44"/>
          <w:szCs w:val="44"/>
          <w:highlight w:val="none"/>
          <w14:textFill>
            <w14:solidFill>
              <w14:schemeClr w14:val="tx1"/>
            </w14:solidFill>
          </w14:textFill>
        </w:rPr>
      </w:pPr>
    </w:p>
    <w:p w14:paraId="3BE29C2A">
      <w:pPr>
        <w:ind w:firstLine="880"/>
        <w:rPr>
          <w:rFonts w:hint="default" w:ascii="Times New Roman" w:hAnsi="Times New Roman" w:eastAsia="仿宋" w:cs="Times New Roman"/>
          <w:color w:val="000000" w:themeColor="text1"/>
          <w:sz w:val="44"/>
          <w:szCs w:val="44"/>
          <w:highlight w:val="none"/>
          <w14:textFill>
            <w14:solidFill>
              <w14:schemeClr w14:val="tx1"/>
            </w14:solidFill>
          </w14:textFill>
        </w:rPr>
      </w:pPr>
    </w:p>
    <w:p w14:paraId="16769E46">
      <w:pPr>
        <w:ind w:firstLine="880"/>
        <w:rPr>
          <w:rFonts w:hint="default" w:ascii="Times New Roman" w:hAnsi="Times New Roman" w:eastAsia="仿宋" w:cs="Times New Roman"/>
          <w:color w:val="000000" w:themeColor="text1"/>
          <w:sz w:val="44"/>
          <w:szCs w:val="44"/>
          <w:highlight w:val="none"/>
          <w14:textFill>
            <w14:solidFill>
              <w14:schemeClr w14:val="tx1"/>
            </w14:solidFill>
          </w14:textFill>
        </w:rPr>
      </w:pPr>
    </w:p>
    <w:p w14:paraId="387571AD">
      <w:pPr>
        <w:ind w:firstLine="880"/>
        <w:rPr>
          <w:rFonts w:hint="default" w:ascii="Times New Roman" w:hAnsi="Times New Roman" w:eastAsia="仿宋" w:cs="Times New Roman"/>
          <w:color w:val="000000" w:themeColor="text1"/>
          <w:sz w:val="44"/>
          <w:szCs w:val="44"/>
          <w:highlight w:val="none"/>
          <w14:textFill>
            <w14:solidFill>
              <w14:schemeClr w14:val="tx1"/>
            </w14:solidFill>
          </w14:textFill>
        </w:rPr>
      </w:pPr>
    </w:p>
    <w:p w14:paraId="23F5D659">
      <w:pPr>
        <w:adjustRightInd w:val="0"/>
        <w:snapToGrid w:val="0"/>
        <w:spacing w:line="480" w:lineRule="auto"/>
        <w:rPr>
          <w:rFonts w:hint="default" w:ascii="Times New Roman" w:hAnsi="Times New Roman" w:cs="Times New Roman"/>
          <w:b/>
          <w:color w:val="000000" w:themeColor="text1"/>
          <w:sz w:val="30"/>
          <w:szCs w:val="30"/>
          <w:highlight w:val="none"/>
          <w14:textFill>
            <w14:solidFill>
              <w14:schemeClr w14:val="tx1"/>
            </w14:solidFill>
          </w14:textFill>
        </w:rPr>
      </w:pPr>
    </w:p>
    <w:p w14:paraId="2580D985">
      <w:pPr>
        <w:adjustRightInd w:val="0"/>
        <w:snapToGrid w:val="0"/>
        <w:spacing w:line="480" w:lineRule="auto"/>
        <w:ind w:left="1506" w:hanging="1506" w:hangingChars="500"/>
        <w:rPr>
          <w:rFonts w:hint="default" w:ascii="Times New Roman" w:hAnsi="Times New Roman" w:cs="Times New Roman"/>
          <w:b/>
          <w:color w:val="000000" w:themeColor="text1"/>
          <w:sz w:val="30"/>
          <w:szCs w:val="30"/>
          <w:highlight w:val="none"/>
          <w14:textFill>
            <w14:solidFill>
              <w14:schemeClr w14:val="tx1"/>
            </w14:solidFill>
          </w14:textFill>
        </w:rPr>
      </w:pPr>
      <w:r>
        <w:rPr>
          <w:rFonts w:hint="default" w:ascii="Times New Roman" w:hAnsi="Times New Roman" w:cs="Times New Roman"/>
          <w:b/>
          <w:color w:val="000000" w:themeColor="text1"/>
          <w:sz w:val="30"/>
          <w:szCs w:val="30"/>
          <w:highlight w:val="none"/>
          <w14:textFill>
            <w14:solidFill>
              <w14:schemeClr w14:val="tx1"/>
            </w14:solidFill>
          </w14:textFill>
        </w:rPr>
        <w:t>项目名称：</w:t>
      </w:r>
      <w:r>
        <w:rPr>
          <w:rFonts w:hint="default" w:ascii="Times New Roman" w:hAnsi="Times New Roman" w:cs="Times New Roman"/>
          <w:b/>
          <w:color w:val="000000" w:themeColor="text1"/>
          <w:sz w:val="30"/>
          <w:szCs w:val="30"/>
          <w:highlight w:val="none"/>
          <w:u w:val="single"/>
          <w14:textFill>
            <w14:solidFill>
              <w14:schemeClr w14:val="tx1"/>
            </w14:solidFill>
          </w14:textFill>
        </w:rPr>
        <w:t xml:space="preserve"> </w:t>
      </w:r>
      <w:r>
        <w:rPr>
          <w:rFonts w:hint="eastAsia" w:cs="Times New Roman"/>
          <w:b/>
          <w:color w:val="000000" w:themeColor="text1"/>
          <w:sz w:val="30"/>
          <w:szCs w:val="30"/>
          <w:highlight w:val="none"/>
          <w:u w:val="single"/>
          <w:lang w:val="en-US" w:eastAsia="zh-CN"/>
          <w14:textFill>
            <w14:solidFill>
              <w14:schemeClr w14:val="tx1"/>
            </w14:solidFill>
          </w14:textFill>
        </w:rPr>
        <w:t>本溪申源生态环保工程有限公司年经营1000吨废矿物油新建项目</w:t>
      </w:r>
      <w:r>
        <w:rPr>
          <w:rFonts w:hint="default" w:ascii="Times New Roman" w:hAnsi="Times New Roman" w:cs="Times New Roman"/>
          <w:b/>
          <w:color w:val="000000" w:themeColor="text1"/>
          <w:sz w:val="30"/>
          <w:szCs w:val="30"/>
          <w:highlight w:val="none"/>
          <w:u w:val="single"/>
          <w14:textFill>
            <w14:solidFill>
              <w14:schemeClr w14:val="tx1"/>
            </w14:solidFill>
          </w14:textFill>
        </w:rPr>
        <w:t xml:space="preserve">     </w:t>
      </w:r>
      <w:r>
        <w:rPr>
          <w:rFonts w:hint="eastAsia" w:cs="Times New Roman"/>
          <w:b/>
          <w:color w:val="000000" w:themeColor="text1"/>
          <w:sz w:val="30"/>
          <w:szCs w:val="30"/>
          <w:highlight w:val="none"/>
          <w:u w:val="single"/>
          <w:lang w:val="en-US" w:eastAsia="zh-CN"/>
          <w14:textFill>
            <w14:solidFill>
              <w14:schemeClr w14:val="tx1"/>
            </w14:solidFill>
          </w14:textFill>
        </w:rPr>
        <w:t xml:space="preserve">                            </w:t>
      </w:r>
      <w:r>
        <w:rPr>
          <w:rFonts w:hint="default" w:ascii="Times New Roman" w:hAnsi="Times New Roman" w:cs="Times New Roman"/>
          <w:b/>
          <w:color w:val="000000" w:themeColor="text1"/>
          <w:sz w:val="30"/>
          <w:szCs w:val="30"/>
          <w:highlight w:val="none"/>
          <w:u w:val="single"/>
          <w14:textFill>
            <w14:solidFill>
              <w14:schemeClr w14:val="tx1"/>
            </w14:solidFill>
          </w14:textFill>
        </w:rPr>
        <w:t xml:space="preserve">      </w:t>
      </w:r>
      <w:r>
        <w:rPr>
          <w:rFonts w:hint="default" w:ascii="Times New Roman" w:hAnsi="Times New Roman" w:cs="Times New Roman"/>
          <w:b/>
          <w:color w:val="000000" w:themeColor="text1"/>
          <w:sz w:val="30"/>
          <w:szCs w:val="30"/>
          <w:highlight w:val="none"/>
          <w14:textFill>
            <w14:solidFill>
              <w14:schemeClr w14:val="tx1"/>
            </w14:solidFill>
          </w14:textFill>
        </w:rPr>
        <w:t xml:space="preserve">             </w:t>
      </w:r>
    </w:p>
    <w:p w14:paraId="2EAD3345">
      <w:pPr>
        <w:adjustRightInd w:val="0"/>
        <w:snapToGrid w:val="0"/>
        <w:spacing w:line="480" w:lineRule="auto"/>
        <w:rPr>
          <w:rFonts w:hint="default" w:ascii="Times New Roman" w:hAnsi="Times New Roman" w:cs="Times New Roman"/>
          <w:b/>
          <w:color w:val="000000" w:themeColor="text1"/>
          <w:sz w:val="30"/>
          <w:szCs w:val="30"/>
          <w:highlight w:val="none"/>
          <w14:textFill>
            <w14:solidFill>
              <w14:schemeClr w14:val="tx1"/>
            </w14:solidFill>
          </w14:textFill>
        </w:rPr>
      </w:pPr>
      <w:r>
        <w:rPr>
          <w:rFonts w:hint="default" w:ascii="Times New Roman" w:hAnsi="Times New Roman" w:cs="Times New Roman"/>
          <w:b/>
          <w:color w:val="000000" w:themeColor="text1"/>
          <w:sz w:val="30"/>
          <w:szCs w:val="30"/>
          <w:highlight w:val="none"/>
          <w14:textFill>
            <w14:solidFill>
              <w14:schemeClr w14:val="tx1"/>
            </w14:solidFill>
          </w14:textFill>
        </w:rPr>
        <w:t>建设单位（盖章）：</w:t>
      </w:r>
      <w:r>
        <w:rPr>
          <w:rFonts w:hint="default" w:ascii="Times New Roman" w:hAnsi="Times New Roman" w:cs="Times New Roman"/>
          <w:b/>
          <w:color w:val="000000" w:themeColor="text1"/>
          <w:sz w:val="30"/>
          <w:szCs w:val="30"/>
          <w:highlight w:val="none"/>
          <w:u w:val="single"/>
          <w14:textFill>
            <w14:solidFill>
              <w14:schemeClr w14:val="tx1"/>
            </w14:solidFill>
          </w14:textFill>
        </w:rPr>
        <w:t xml:space="preserve">      </w:t>
      </w:r>
      <w:r>
        <w:rPr>
          <w:rFonts w:hint="eastAsia" w:cs="Times New Roman"/>
          <w:b/>
          <w:color w:val="000000" w:themeColor="text1"/>
          <w:sz w:val="30"/>
          <w:szCs w:val="30"/>
          <w:highlight w:val="none"/>
          <w:u w:val="single"/>
          <w:lang w:val="en-US" w:eastAsia="zh-CN"/>
          <w14:textFill>
            <w14:solidFill>
              <w14:schemeClr w14:val="tx1"/>
            </w14:solidFill>
          </w14:textFill>
        </w:rPr>
        <w:t>本溪申源生态环保工程有限公司</w:t>
      </w:r>
      <w:r>
        <w:rPr>
          <w:rFonts w:hint="default" w:ascii="Times New Roman" w:hAnsi="Times New Roman" w:cs="Times New Roman"/>
          <w:b/>
          <w:color w:val="000000" w:themeColor="text1"/>
          <w:sz w:val="30"/>
          <w:szCs w:val="30"/>
          <w:highlight w:val="none"/>
          <w:u w:val="single"/>
          <w14:textFill>
            <w14:solidFill>
              <w14:schemeClr w14:val="tx1"/>
            </w14:solidFill>
          </w14:textFill>
        </w:rPr>
        <w:t xml:space="preserve">                 </w:t>
      </w:r>
      <w:r>
        <w:rPr>
          <w:rFonts w:hint="default" w:ascii="Times New Roman" w:hAnsi="Times New Roman" w:cs="Times New Roman"/>
          <w:b/>
          <w:color w:val="000000" w:themeColor="text1"/>
          <w:sz w:val="30"/>
          <w:szCs w:val="30"/>
          <w:highlight w:val="none"/>
          <w14:textFill>
            <w14:solidFill>
              <w14:schemeClr w14:val="tx1"/>
            </w14:solidFill>
          </w14:textFill>
        </w:rPr>
        <w:t xml:space="preserve"> </w:t>
      </w:r>
    </w:p>
    <w:p w14:paraId="0B9F7C81">
      <w:pPr>
        <w:adjustRightInd w:val="0"/>
        <w:snapToGrid w:val="0"/>
        <w:spacing w:line="480" w:lineRule="auto"/>
        <w:rPr>
          <w:rFonts w:hint="default" w:ascii="Times New Roman" w:hAnsi="Times New Roman" w:cs="Times New Roman"/>
          <w:b/>
          <w:color w:val="000000" w:themeColor="text1"/>
          <w:sz w:val="30"/>
          <w:szCs w:val="30"/>
          <w:highlight w:val="none"/>
          <w:u w:val="single"/>
          <w14:textFill>
            <w14:solidFill>
              <w14:schemeClr w14:val="tx1"/>
            </w14:solidFill>
          </w14:textFill>
        </w:rPr>
      </w:pPr>
      <w:r>
        <w:rPr>
          <w:rFonts w:hint="default" w:ascii="Times New Roman" w:hAnsi="Times New Roman" w:cs="Times New Roman"/>
          <w:b/>
          <w:color w:val="000000" w:themeColor="text1"/>
          <w:sz w:val="30"/>
          <w:szCs w:val="30"/>
          <w:highlight w:val="none"/>
          <w14:textFill>
            <w14:solidFill>
              <w14:schemeClr w14:val="tx1"/>
            </w14:solidFill>
          </w14:textFill>
        </w:rPr>
        <w:t>编制日期：</w:t>
      </w:r>
      <w:r>
        <w:rPr>
          <w:rFonts w:hint="default" w:ascii="Times New Roman" w:hAnsi="Times New Roman" w:cs="Times New Roman"/>
          <w:color w:val="000000" w:themeColor="text1"/>
          <w:sz w:val="30"/>
          <w:szCs w:val="30"/>
          <w:highlight w:val="none"/>
          <w:u w:val="single"/>
          <w14:textFill>
            <w14:solidFill>
              <w14:schemeClr w14:val="tx1"/>
            </w14:solidFill>
          </w14:textFill>
        </w:rPr>
        <w:t xml:space="preserve">                    </w:t>
      </w:r>
      <w:r>
        <w:rPr>
          <w:rFonts w:hint="default" w:ascii="Times New Roman" w:hAnsi="Times New Roman" w:cs="Times New Roman"/>
          <w:b/>
          <w:color w:val="000000" w:themeColor="text1"/>
          <w:sz w:val="30"/>
          <w:szCs w:val="30"/>
          <w:highlight w:val="none"/>
          <w:u w:val="single"/>
          <w14:textFill>
            <w14:solidFill>
              <w14:schemeClr w14:val="tx1"/>
            </w14:solidFill>
          </w14:textFill>
        </w:rPr>
        <w:t>2022年</w:t>
      </w:r>
      <w:r>
        <w:rPr>
          <w:rFonts w:hint="eastAsia" w:cs="Times New Roman"/>
          <w:b/>
          <w:color w:val="000000" w:themeColor="text1"/>
          <w:sz w:val="30"/>
          <w:szCs w:val="30"/>
          <w:highlight w:val="none"/>
          <w:u w:val="single"/>
          <w:lang w:val="en-US" w:eastAsia="zh-CN"/>
          <w14:textFill>
            <w14:solidFill>
              <w14:schemeClr w14:val="tx1"/>
            </w14:solidFill>
          </w14:textFill>
        </w:rPr>
        <w:t>8</w:t>
      </w:r>
      <w:r>
        <w:rPr>
          <w:rFonts w:hint="default" w:ascii="Times New Roman" w:hAnsi="Times New Roman" w:cs="Times New Roman"/>
          <w:b/>
          <w:color w:val="000000" w:themeColor="text1"/>
          <w:sz w:val="30"/>
          <w:szCs w:val="30"/>
          <w:highlight w:val="none"/>
          <w:u w:val="single"/>
          <w14:textFill>
            <w14:solidFill>
              <w14:schemeClr w14:val="tx1"/>
            </w14:solidFill>
          </w14:textFill>
        </w:rPr>
        <w:t>月</w:t>
      </w:r>
      <w:r>
        <w:rPr>
          <w:rFonts w:hint="default" w:ascii="Times New Roman" w:hAnsi="Times New Roman" w:cs="Times New Roman"/>
          <w:color w:val="000000" w:themeColor="text1"/>
          <w:sz w:val="30"/>
          <w:szCs w:val="30"/>
          <w:highlight w:val="none"/>
          <w:u w:val="single"/>
          <w14:textFill>
            <w14:solidFill>
              <w14:schemeClr w14:val="tx1"/>
            </w14:solidFill>
          </w14:textFill>
        </w:rPr>
        <w:t xml:space="preserve">                   </w:t>
      </w:r>
    </w:p>
    <w:p w14:paraId="215E1B92">
      <w:pPr>
        <w:adjustRightInd w:val="0"/>
        <w:snapToGrid w:val="0"/>
        <w:spacing w:line="288" w:lineRule="auto"/>
        <w:ind w:firstLine="720"/>
        <w:rPr>
          <w:rFonts w:hint="default" w:ascii="Times New Roman" w:hAnsi="Times New Roman" w:eastAsia="仿宋_GB2312" w:cs="Times New Roman"/>
          <w:color w:val="000000" w:themeColor="text1"/>
          <w:sz w:val="36"/>
          <w:szCs w:val="36"/>
          <w:highlight w:val="none"/>
          <w:u w:val="single"/>
          <w14:textFill>
            <w14:solidFill>
              <w14:schemeClr w14:val="tx1"/>
            </w14:solidFill>
          </w14:textFill>
        </w:rPr>
      </w:pPr>
      <w:bookmarkStart w:id="0" w:name="_Hlk57884087"/>
    </w:p>
    <w:p w14:paraId="03870D7D">
      <w:pPr>
        <w:adjustRightInd w:val="0"/>
        <w:snapToGrid w:val="0"/>
        <w:spacing w:line="288" w:lineRule="auto"/>
        <w:rPr>
          <w:rFonts w:hint="default" w:ascii="Times New Roman" w:hAnsi="Times New Roman" w:eastAsia="仿宋_GB2312" w:cs="Times New Roman"/>
          <w:color w:val="000000" w:themeColor="text1"/>
          <w:sz w:val="36"/>
          <w:szCs w:val="36"/>
          <w:highlight w:val="none"/>
          <w14:textFill>
            <w14:solidFill>
              <w14:schemeClr w14:val="tx1"/>
            </w14:solidFill>
          </w14:textFill>
        </w:rPr>
      </w:pPr>
    </w:p>
    <w:p w14:paraId="49E4D7FB">
      <w:pPr>
        <w:adjustRightInd w:val="0"/>
        <w:snapToGrid w:val="0"/>
        <w:spacing w:line="288" w:lineRule="auto"/>
        <w:ind w:firstLine="720"/>
        <w:rPr>
          <w:rFonts w:hint="default" w:ascii="Times New Roman" w:hAnsi="Times New Roman" w:eastAsia="仿宋_GB2312" w:cs="Times New Roman"/>
          <w:color w:val="000000" w:themeColor="text1"/>
          <w:sz w:val="36"/>
          <w:szCs w:val="36"/>
          <w:highlight w:val="none"/>
          <w14:textFill>
            <w14:solidFill>
              <w14:schemeClr w14:val="tx1"/>
            </w14:solidFill>
          </w14:textFill>
        </w:rPr>
      </w:pPr>
    </w:p>
    <w:bookmarkEnd w:id="0"/>
    <w:p w14:paraId="3953758B">
      <w:pPr>
        <w:adjustRightInd w:val="0"/>
        <w:snapToGrid w:val="0"/>
        <w:spacing w:line="288" w:lineRule="auto"/>
        <w:jc w:val="center"/>
        <w:rPr>
          <w:rFonts w:hint="default" w:ascii="Times New Roman" w:hAnsi="Times New Roman" w:eastAsia="楷体_GB2312" w:cs="Times New Roman"/>
          <w:b/>
          <w:color w:val="000000" w:themeColor="text1"/>
          <w:sz w:val="30"/>
          <w:szCs w:val="30"/>
          <w:highlight w:val="none"/>
          <w14:textFill>
            <w14:solidFill>
              <w14:schemeClr w14:val="tx1"/>
            </w14:solidFill>
          </w14:textFill>
        </w:rPr>
      </w:pPr>
      <w:r>
        <w:rPr>
          <w:rFonts w:hint="default" w:ascii="Times New Roman" w:hAnsi="Times New Roman" w:eastAsia="楷体_GB2312" w:cs="Times New Roman"/>
          <w:b/>
          <w:color w:val="000000" w:themeColor="text1"/>
          <w:sz w:val="30"/>
          <w:szCs w:val="30"/>
          <w:highlight w:val="none"/>
          <w14:textFill>
            <w14:solidFill>
              <w14:schemeClr w14:val="tx1"/>
            </w14:solidFill>
          </w14:textFill>
        </w:rPr>
        <w:t>中华人民共和国生态环境部制</w:t>
      </w:r>
    </w:p>
    <w:p w14:paraId="7D2F6B36">
      <w:pPr>
        <w:adjustRightInd w:val="0"/>
        <w:snapToGrid w:val="0"/>
        <w:spacing w:line="288" w:lineRule="auto"/>
        <w:ind w:firstLine="720"/>
        <w:rPr>
          <w:rFonts w:hint="default" w:ascii="Times New Roman" w:hAnsi="Times New Roman" w:eastAsia="仿宋_GB2312" w:cs="Times New Roman"/>
          <w:color w:val="000000" w:themeColor="text1"/>
          <w:sz w:val="36"/>
          <w:szCs w:val="36"/>
          <w:highlight w:val="none"/>
          <w14:textFill>
            <w14:solidFill>
              <w14:schemeClr w14:val="tx1"/>
            </w14:solidFill>
          </w14:textFill>
        </w:rPr>
        <w:sectPr>
          <w:headerReference r:id="rId3" w:type="default"/>
          <w:footerReference r:id="rId4" w:type="default"/>
          <w:footerReference r:id="rId5" w:type="even"/>
          <w:pgSz w:w="11906" w:h="16838"/>
          <w:pgMar w:top="1701" w:right="1531" w:bottom="1701" w:left="1531" w:header="851" w:footer="1077" w:gutter="0"/>
          <w:pgBorders>
            <w:top w:val="none" w:sz="0" w:space="0"/>
            <w:left w:val="none" w:sz="0" w:space="0"/>
            <w:bottom w:val="none" w:sz="0" w:space="0"/>
            <w:right w:val="none" w:sz="0" w:space="0"/>
          </w:pgBorders>
          <w:pgNumType w:start="3"/>
          <w:cols w:space="720" w:num="1"/>
          <w:docGrid w:linePitch="312" w:charSpace="0"/>
        </w:sectPr>
      </w:pPr>
    </w:p>
    <w:p w14:paraId="2221C3C0">
      <w:pPr>
        <w:pStyle w:val="23"/>
        <w:jc w:val="center"/>
        <w:outlineLvl w:val="0"/>
        <w:rPr>
          <w:rFonts w:hint="default" w:ascii="Times New Roman" w:hAnsi="Times New Roman" w:eastAsia="黑体" w:cs="Times New Roman"/>
          <w:snapToGrid w:val="0"/>
          <w:color w:val="000000" w:themeColor="text1"/>
          <w:sz w:val="30"/>
          <w:szCs w:val="30"/>
          <w:highlight w:val="none"/>
          <w14:textFill>
            <w14:solidFill>
              <w14:schemeClr w14:val="tx1"/>
            </w14:solidFill>
          </w14:textFill>
        </w:rPr>
      </w:pPr>
      <w:r>
        <w:rPr>
          <w:rFonts w:hint="default" w:ascii="Times New Roman" w:hAnsi="Times New Roman" w:eastAsia="黑体" w:cs="Times New Roman"/>
          <w:snapToGrid w:val="0"/>
          <w:color w:val="000000" w:themeColor="text1"/>
          <w:sz w:val="30"/>
          <w:szCs w:val="30"/>
          <w:highlight w:val="none"/>
          <w14:textFill>
            <w14:solidFill>
              <w14:schemeClr w14:val="tx1"/>
            </w14:solidFill>
          </w14:textFill>
        </w:rPr>
        <w:t>一、建设项目基本情况</w:t>
      </w:r>
    </w:p>
    <w:tbl>
      <w:tblPr>
        <w:tblStyle w:val="27"/>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1727"/>
        <w:gridCol w:w="2004"/>
        <w:gridCol w:w="1818"/>
        <w:gridCol w:w="318"/>
        <w:gridCol w:w="3003"/>
      </w:tblGrid>
      <w:tr w14:paraId="0024BB8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727" w:type="dxa"/>
            <w:tcMar>
              <w:top w:w="16" w:type="dxa"/>
              <w:left w:w="16" w:type="dxa"/>
              <w:right w:w="16" w:type="dxa"/>
            </w:tcMar>
            <w:vAlign w:val="center"/>
          </w:tcPr>
          <w:p w14:paraId="2C32C722">
            <w:pPr>
              <w:adjustRightInd w:val="0"/>
              <w:snapToGrid w:val="0"/>
              <w:jc w:val="center"/>
              <w:rPr>
                <w:rFonts w:hint="default" w:ascii="Times New Roman" w:hAnsi="Times New Roman" w:cs="Times New Roman"/>
                <w:color w:val="000000" w:themeColor="text1"/>
                <w:sz w:val="24"/>
                <w:highlight w:val="none"/>
                <w14:textFill>
                  <w14:solidFill>
                    <w14:schemeClr w14:val="tx1"/>
                  </w14:solidFill>
                </w14:textFill>
              </w:rPr>
            </w:pPr>
            <w:r>
              <w:rPr>
                <w:rFonts w:hint="default" w:ascii="Times New Roman" w:hAnsi="Times New Roman" w:cs="Times New Roman"/>
                <w:color w:val="000000" w:themeColor="text1"/>
                <w:sz w:val="24"/>
                <w:highlight w:val="none"/>
                <w14:textFill>
                  <w14:solidFill>
                    <w14:schemeClr w14:val="tx1"/>
                  </w14:solidFill>
                </w14:textFill>
              </w:rPr>
              <w:t>建设项目名称</w:t>
            </w:r>
          </w:p>
        </w:tc>
        <w:tc>
          <w:tcPr>
            <w:tcW w:w="7143" w:type="dxa"/>
            <w:gridSpan w:val="4"/>
            <w:vAlign w:val="center"/>
          </w:tcPr>
          <w:p w14:paraId="481C4252">
            <w:pPr>
              <w:adjustRightInd w:val="0"/>
              <w:snapToGrid w:val="0"/>
              <w:jc w:val="center"/>
              <w:rPr>
                <w:rFonts w:hint="default" w:ascii="Times New Roman" w:hAnsi="Times New Roman" w:cs="Times New Roman"/>
                <w:color w:val="000000" w:themeColor="text1"/>
                <w:sz w:val="24"/>
                <w:highlight w:val="none"/>
                <w14:textFill>
                  <w14:solidFill>
                    <w14:schemeClr w14:val="tx1"/>
                  </w14:solidFill>
                </w14:textFill>
              </w:rPr>
            </w:pPr>
            <w:r>
              <w:rPr>
                <w:rFonts w:hint="default" w:ascii="Times New Roman" w:hAnsi="Times New Roman" w:cs="Times New Roman"/>
                <w:color w:val="000000" w:themeColor="text1"/>
                <w:sz w:val="24"/>
                <w:highlight w:val="none"/>
                <w:lang w:val="en-US" w:eastAsia="zh-CN"/>
                <w14:textFill>
                  <w14:solidFill>
                    <w14:schemeClr w14:val="tx1"/>
                  </w14:solidFill>
                </w14:textFill>
              </w:rPr>
              <w:t>本溪申源生态环保工程有限公司年经营1000吨废矿物油新建项目</w:t>
            </w:r>
          </w:p>
        </w:tc>
      </w:tr>
      <w:tr w14:paraId="20B03B4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727" w:type="dxa"/>
            <w:tcMar>
              <w:top w:w="16" w:type="dxa"/>
              <w:left w:w="16" w:type="dxa"/>
              <w:right w:w="16" w:type="dxa"/>
            </w:tcMar>
            <w:vAlign w:val="center"/>
          </w:tcPr>
          <w:p w14:paraId="2A5CF19F">
            <w:pPr>
              <w:adjustRightInd w:val="0"/>
              <w:snapToGrid w:val="0"/>
              <w:jc w:val="center"/>
              <w:rPr>
                <w:rFonts w:hint="default" w:ascii="Times New Roman" w:hAnsi="Times New Roman" w:cs="Times New Roman"/>
                <w:color w:val="000000" w:themeColor="text1"/>
                <w:sz w:val="24"/>
                <w:highlight w:val="none"/>
                <w14:textFill>
                  <w14:solidFill>
                    <w14:schemeClr w14:val="tx1"/>
                  </w14:solidFill>
                </w14:textFill>
              </w:rPr>
            </w:pPr>
            <w:r>
              <w:rPr>
                <w:rFonts w:hint="default" w:ascii="Times New Roman" w:hAnsi="Times New Roman" w:cs="Times New Roman"/>
                <w:color w:val="000000" w:themeColor="text1"/>
                <w:sz w:val="24"/>
                <w:highlight w:val="none"/>
                <w14:textFill>
                  <w14:solidFill>
                    <w14:schemeClr w14:val="tx1"/>
                  </w14:solidFill>
                </w14:textFill>
              </w:rPr>
              <w:t>项目代码</w:t>
            </w:r>
          </w:p>
        </w:tc>
        <w:tc>
          <w:tcPr>
            <w:tcW w:w="7143" w:type="dxa"/>
            <w:gridSpan w:val="4"/>
            <w:vAlign w:val="center"/>
          </w:tcPr>
          <w:p w14:paraId="555A6F37">
            <w:pPr>
              <w:adjustRightInd w:val="0"/>
              <w:snapToGrid w:val="0"/>
              <w:jc w:val="cente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pPr>
            <w:r>
              <w:rPr>
                <w:rFonts w:hint="eastAsia" w:cs="Times New Roman"/>
                <w:color w:val="000000" w:themeColor="text1"/>
                <w:sz w:val="24"/>
                <w:highlight w:val="none"/>
                <w:lang w:val="en-US" w:eastAsia="zh-CN"/>
                <w14:textFill>
                  <w14:solidFill>
                    <w14:schemeClr w14:val="tx1"/>
                  </w14:solidFill>
                </w14:textFill>
              </w:rPr>
              <w:t>2207-210503-04-01-669009</w:t>
            </w:r>
          </w:p>
        </w:tc>
      </w:tr>
      <w:tr w14:paraId="471511F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00" w:hRule="atLeast"/>
          <w:jc w:val="center"/>
        </w:trPr>
        <w:tc>
          <w:tcPr>
            <w:tcW w:w="1727" w:type="dxa"/>
            <w:tcMar>
              <w:top w:w="16" w:type="dxa"/>
              <w:left w:w="16" w:type="dxa"/>
              <w:right w:w="16" w:type="dxa"/>
            </w:tcMar>
            <w:vAlign w:val="center"/>
          </w:tcPr>
          <w:p w14:paraId="643C822C">
            <w:pPr>
              <w:adjustRightInd w:val="0"/>
              <w:snapToGrid w:val="0"/>
              <w:jc w:val="center"/>
              <w:rPr>
                <w:rFonts w:hint="default" w:ascii="Times New Roman" w:hAnsi="Times New Roman" w:cs="Times New Roman"/>
                <w:color w:val="000000" w:themeColor="text1"/>
                <w:sz w:val="24"/>
                <w:highlight w:val="none"/>
                <w14:textFill>
                  <w14:solidFill>
                    <w14:schemeClr w14:val="tx1"/>
                  </w14:solidFill>
                </w14:textFill>
              </w:rPr>
            </w:pPr>
            <w:r>
              <w:rPr>
                <w:rFonts w:hint="default" w:ascii="Times New Roman" w:hAnsi="Times New Roman" w:cs="Times New Roman"/>
                <w:color w:val="000000" w:themeColor="text1"/>
                <w:sz w:val="24"/>
                <w:highlight w:val="none"/>
                <w14:textFill>
                  <w14:solidFill>
                    <w14:schemeClr w14:val="tx1"/>
                  </w14:solidFill>
                </w14:textFill>
              </w:rPr>
              <w:t>建设单位联系人</w:t>
            </w:r>
          </w:p>
        </w:tc>
        <w:tc>
          <w:tcPr>
            <w:tcW w:w="2004" w:type="dxa"/>
            <w:vAlign w:val="center"/>
          </w:tcPr>
          <w:p w14:paraId="04EAA21E">
            <w:pPr>
              <w:adjustRightInd w:val="0"/>
              <w:snapToGrid w:val="0"/>
              <w:jc w:val="cente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pPr>
            <w:r>
              <w:rPr>
                <w:rFonts w:hint="eastAsia" w:cs="Times New Roman"/>
                <w:color w:val="000000" w:themeColor="text1"/>
                <w:sz w:val="24"/>
                <w:highlight w:val="none"/>
                <w:lang w:val="en-US" w:eastAsia="zh-CN"/>
                <w14:textFill>
                  <w14:solidFill>
                    <w14:schemeClr w14:val="tx1"/>
                  </w14:solidFill>
                </w14:textFill>
              </w:rPr>
              <w:t>王剑</w:t>
            </w:r>
          </w:p>
        </w:tc>
        <w:tc>
          <w:tcPr>
            <w:tcW w:w="2136" w:type="dxa"/>
            <w:gridSpan w:val="2"/>
            <w:vAlign w:val="center"/>
          </w:tcPr>
          <w:p w14:paraId="16108798">
            <w:pPr>
              <w:adjustRightInd w:val="0"/>
              <w:snapToGrid w:val="0"/>
              <w:jc w:val="center"/>
              <w:rPr>
                <w:rFonts w:hint="default" w:ascii="Times New Roman" w:hAnsi="Times New Roman" w:cs="Times New Roman"/>
                <w:color w:val="000000" w:themeColor="text1"/>
                <w:sz w:val="24"/>
                <w:highlight w:val="none"/>
                <w14:textFill>
                  <w14:solidFill>
                    <w14:schemeClr w14:val="tx1"/>
                  </w14:solidFill>
                </w14:textFill>
              </w:rPr>
            </w:pPr>
            <w:r>
              <w:rPr>
                <w:rFonts w:hint="default" w:ascii="Times New Roman" w:hAnsi="Times New Roman" w:cs="Times New Roman"/>
                <w:color w:val="000000" w:themeColor="text1"/>
                <w:sz w:val="24"/>
                <w:highlight w:val="none"/>
                <w14:textFill>
                  <w14:solidFill>
                    <w14:schemeClr w14:val="tx1"/>
                  </w14:solidFill>
                </w14:textFill>
              </w:rPr>
              <w:t>联系方式</w:t>
            </w:r>
          </w:p>
        </w:tc>
        <w:tc>
          <w:tcPr>
            <w:tcW w:w="3003" w:type="dxa"/>
            <w:vAlign w:val="center"/>
          </w:tcPr>
          <w:p w14:paraId="313E6CE0">
            <w:pPr>
              <w:adjustRightInd w:val="0"/>
              <w:snapToGrid w:val="0"/>
              <w:jc w:val="center"/>
              <w:rPr>
                <w:rFonts w:hint="default" w:ascii="Times New Roman" w:hAnsi="Times New Roman" w:cs="Times New Roman"/>
                <w:color w:val="000000" w:themeColor="text1"/>
                <w:sz w:val="24"/>
                <w:highlight w:val="none"/>
                <w14:textFill>
                  <w14:solidFill>
                    <w14:schemeClr w14:val="tx1"/>
                  </w14:solidFill>
                </w14:textFill>
              </w:rPr>
            </w:pPr>
            <w:r>
              <w:rPr>
                <w:rFonts w:hint="default" w:ascii="Times New Roman" w:hAnsi="Times New Roman" w:cs="Times New Roman"/>
                <w:color w:val="000000" w:themeColor="text1"/>
                <w:sz w:val="24"/>
                <w:highlight w:val="none"/>
                <w14:textFill>
                  <w14:solidFill>
                    <w14:schemeClr w14:val="tx1"/>
                  </w14:solidFill>
                </w14:textFill>
              </w:rPr>
              <w:t>187401</w:t>
            </w:r>
            <w:r>
              <w:rPr>
                <w:rFonts w:hint="eastAsia" w:cs="Times New Roman"/>
                <w:color w:val="000000" w:themeColor="text1"/>
                <w:sz w:val="24"/>
                <w:highlight w:val="none"/>
                <w:lang w:val="en-US" w:eastAsia="zh-CN"/>
                <w14:textFill>
                  <w14:solidFill>
                    <w14:schemeClr w14:val="tx1"/>
                  </w14:solidFill>
                </w14:textFill>
              </w:rPr>
              <w:t>****</w:t>
            </w:r>
            <w:r>
              <w:rPr>
                <w:rFonts w:hint="default" w:ascii="Times New Roman" w:hAnsi="Times New Roman" w:cs="Times New Roman"/>
                <w:color w:val="000000" w:themeColor="text1"/>
                <w:sz w:val="24"/>
                <w:highlight w:val="none"/>
                <w14:textFill>
                  <w14:solidFill>
                    <w14:schemeClr w14:val="tx1"/>
                  </w14:solidFill>
                </w14:textFill>
              </w:rPr>
              <w:t>0</w:t>
            </w:r>
          </w:p>
        </w:tc>
      </w:tr>
      <w:tr w14:paraId="4670361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727" w:type="dxa"/>
            <w:tcMar>
              <w:top w:w="16" w:type="dxa"/>
              <w:left w:w="16" w:type="dxa"/>
              <w:right w:w="16" w:type="dxa"/>
            </w:tcMar>
            <w:vAlign w:val="center"/>
          </w:tcPr>
          <w:p w14:paraId="1E021ABE">
            <w:pPr>
              <w:adjustRightInd w:val="0"/>
              <w:snapToGrid w:val="0"/>
              <w:jc w:val="center"/>
              <w:rPr>
                <w:rFonts w:hint="default" w:ascii="Times New Roman" w:hAnsi="Times New Roman" w:cs="Times New Roman"/>
                <w:color w:val="000000" w:themeColor="text1"/>
                <w:sz w:val="24"/>
                <w:highlight w:val="none"/>
                <w14:textFill>
                  <w14:solidFill>
                    <w14:schemeClr w14:val="tx1"/>
                  </w14:solidFill>
                </w14:textFill>
              </w:rPr>
            </w:pPr>
            <w:r>
              <w:rPr>
                <w:rFonts w:hint="default" w:ascii="Times New Roman" w:hAnsi="Times New Roman" w:cs="Times New Roman"/>
                <w:color w:val="000000" w:themeColor="text1"/>
                <w:sz w:val="24"/>
                <w:highlight w:val="none"/>
                <w14:textFill>
                  <w14:solidFill>
                    <w14:schemeClr w14:val="tx1"/>
                  </w14:solidFill>
                </w14:textFill>
              </w:rPr>
              <w:t>建设地点</w:t>
            </w:r>
          </w:p>
        </w:tc>
        <w:tc>
          <w:tcPr>
            <w:tcW w:w="7143" w:type="dxa"/>
            <w:gridSpan w:val="4"/>
            <w:vAlign w:val="center"/>
          </w:tcPr>
          <w:p w14:paraId="20EE3AEC">
            <w:pPr>
              <w:jc w:val="cente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pPr>
            <w:r>
              <w:rPr>
                <w:rFonts w:hint="default" w:ascii="Times New Roman" w:hAnsi="Times New Roman" w:cs="Times New Roman"/>
                <w:color w:val="000000" w:themeColor="text1"/>
                <w:sz w:val="24"/>
                <w:highlight w:val="none"/>
                <w14:textFill>
                  <w14:solidFill>
                    <w14:schemeClr w14:val="tx1"/>
                  </w14:solidFill>
                </w14:textFill>
              </w:rPr>
              <w:t>辽宁省</w:t>
            </w:r>
            <w:r>
              <w:rPr>
                <w:rFonts w:hint="eastAsia" w:cs="Times New Roman"/>
                <w:color w:val="000000" w:themeColor="text1"/>
                <w:sz w:val="24"/>
                <w:highlight w:val="none"/>
                <w:lang w:val="en-US" w:eastAsia="zh-CN"/>
                <w14:textFill>
                  <w14:solidFill>
                    <w14:schemeClr w14:val="tx1"/>
                  </w14:solidFill>
                </w14:textFill>
              </w:rPr>
              <w:t>本溪市溪湖区郑家建材龙山街土地号5395311</w:t>
            </w:r>
          </w:p>
        </w:tc>
      </w:tr>
      <w:tr w14:paraId="4CA7732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727" w:type="dxa"/>
            <w:tcMar>
              <w:top w:w="16" w:type="dxa"/>
              <w:left w:w="16" w:type="dxa"/>
              <w:right w:w="16" w:type="dxa"/>
            </w:tcMar>
            <w:vAlign w:val="center"/>
          </w:tcPr>
          <w:p w14:paraId="02E63509">
            <w:pPr>
              <w:adjustRightInd w:val="0"/>
              <w:snapToGrid w:val="0"/>
              <w:jc w:val="center"/>
              <w:rPr>
                <w:rFonts w:hint="default" w:ascii="Times New Roman" w:hAnsi="Times New Roman" w:cs="Times New Roman"/>
                <w:color w:val="000000" w:themeColor="text1"/>
                <w:sz w:val="24"/>
                <w:highlight w:val="none"/>
                <w14:textFill>
                  <w14:solidFill>
                    <w14:schemeClr w14:val="tx1"/>
                  </w14:solidFill>
                </w14:textFill>
              </w:rPr>
            </w:pPr>
            <w:r>
              <w:rPr>
                <w:rFonts w:hint="default" w:ascii="Times New Roman" w:hAnsi="Times New Roman" w:cs="Times New Roman"/>
                <w:color w:val="000000" w:themeColor="text1"/>
                <w:sz w:val="24"/>
                <w:highlight w:val="none"/>
                <w14:textFill>
                  <w14:solidFill>
                    <w14:schemeClr w14:val="tx1"/>
                  </w14:solidFill>
                </w14:textFill>
              </w:rPr>
              <w:t>地理坐标</w:t>
            </w:r>
          </w:p>
        </w:tc>
        <w:tc>
          <w:tcPr>
            <w:tcW w:w="7143" w:type="dxa"/>
            <w:gridSpan w:val="4"/>
            <w:vAlign w:val="center"/>
          </w:tcPr>
          <w:p w14:paraId="702CCF88">
            <w:pPr>
              <w:jc w:val="center"/>
              <w:rPr>
                <w:rFonts w:hint="default" w:ascii="Times New Roman" w:hAnsi="Times New Roman" w:cs="Times New Roman"/>
                <w:color w:val="000000" w:themeColor="text1"/>
                <w:sz w:val="24"/>
                <w:highlight w:val="none"/>
                <w14:textFill>
                  <w14:solidFill>
                    <w14:schemeClr w14:val="tx1"/>
                  </w14:solidFill>
                </w14:textFill>
              </w:rPr>
            </w:pPr>
            <w:r>
              <w:rPr>
                <w:rFonts w:hint="default" w:ascii="Times New Roman" w:hAnsi="Times New Roman" w:cs="Times New Roman"/>
                <w:color w:val="auto"/>
                <w:sz w:val="24"/>
                <w:highlight w:val="none"/>
              </w:rPr>
              <w:t>（</w:t>
            </w:r>
            <w:r>
              <w:rPr>
                <w:rFonts w:hint="default" w:ascii="Times New Roman" w:hAnsi="Times New Roman" w:cs="Times New Roman"/>
                <w:color w:val="auto"/>
                <w:sz w:val="24"/>
                <w:highlight w:val="none"/>
                <w:u w:val="single"/>
              </w:rPr>
              <w:t>123</w:t>
            </w:r>
            <w:r>
              <w:rPr>
                <w:rFonts w:hint="default" w:ascii="Times New Roman" w:hAnsi="Times New Roman" w:cs="Times New Roman"/>
                <w:color w:val="auto"/>
                <w:sz w:val="24"/>
                <w:highlight w:val="none"/>
              </w:rPr>
              <w:t>度</w:t>
            </w:r>
            <w:r>
              <w:rPr>
                <w:rFonts w:hint="eastAsia" w:cs="Times New Roman"/>
                <w:color w:val="auto"/>
                <w:sz w:val="24"/>
                <w:highlight w:val="none"/>
                <w:u w:val="single"/>
                <w:lang w:val="en-US" w:eastAsia="zh-CN"/>
              </w:rPr>
              <w:t>43</w:t>
            </w:r>
            <w:r>
              <w:rPr>
                <w:rFonts w:hint="default" w:ascii="Times New Roman" w:hAnsi="Times New Roman" w:cs="Times New Roman"/>
                <w:color w:val="auto"/>
                <w:sz w:val="24"/>
                <w:highlight w:val="none"/>
              </w:rPr>
              <w:t>分</w:t>
            </w:r>
            <w:r>
              <w:rPr>
                <w:rFonts w:hint="eastAsia" w:cs="Times New Roman"/>
                <w:color w:val="auto"/>
                <w:sz w:val="24"/>
                <w:highlight w:val="none"/>
                <w:u w:val="single"/>
                <w:lang w:val="en-US" w:eastAsia="zh-CN"/>
              </w:rPr>
              <w:t>6.966</w:t>
            </w:r>
            <w:r>
              <w:rPr>
                <w:rFonts w:hint="default" w:ascii="Times New Roman" w:hAnsi="Times New Roman" w:cs="Times New Roman"/>
                <w:color w:val="auto"/>
                <w:sz w:val="24"/>
                <w:highlight w:val="none"/>
              </w:rPr>
              <w:t>秒，</w:t>
            </w:r>
            <w:r>
              <w:rPr>
                <w:rFonts w:hint="default" w:ascii="Times New Roman" w:hAnsi="Times New Roman" w:cs="Times New Roman"/>
                <w:color w:val="auto"/>
                <w:sz w:val="24"/>
                <w:highlight w:val="none"/>
                <w:u w:val="single"/>
              </w:rPr>
              <w:t>41</w:t>
            </w:r>
            <w:r>
              <w:rPr>
                <w:rFonts w:hint="default" w:ascii="Times New Roman" w:hAnsi="Times New Roman" w:cs="Times New Roman"/>
                <w:color w:val="auto"/>
                <w:sz w:val="24"/>
                <w:highlight w:val="none"/>
              </w:rPr>
              <w:t>度</w:t>
            </w:r>
            <w:r>
              <w:rPr>
                <w:rFonts w:hint="default" w:ascii="Times New Roman" w:hAnsi="Times New Roman" w:cs="Times New Roman"/>
                <w:color w:val="auto"/>
                <w:sz w:val="24"/>
                <w:highlight w:val="none"/>
                <w:u w:val="single"/>
              </w:rPr>
              <w:t>1</w:t>
            </w:r>
            <w:r>
              <w:rPr>
                <w:rFonts w:hint="eastAsia" w:cs="Times New Roman"/>
                <w:color w:val="auto"/>
                <w:sz w:val="24"/>
                <w:highlight w:val="none"/>
                <w:u w:val="single"/>
                <w:lang w:val="en-US" w:eastAsia="zh-CN"/>
              </w:rPr>
              <w:t>7</w:t>
            </w:r>
            <w:r>
              <w:rPr>
                <w:rFonts w:hint="default" w:ascii="Times New Roman" w:hAnsi="Times New Roman" w:cs="Times New Roman"/>
                <w:color w:val="auto"/>
                <w:sz w:val="24"/>
                <w:highlight w:val="none"/>
              </w:rPr>
              <w:t>分</w:t>
            </w:r>
            <w:r>
              <w:rPr>
                <w:rFonts w:hint="eastAsia" w:cs="Times New Roman"/>
                <w:color w:val="auto"/>
                <w:sz w:val="24"/>
                <w:highlight w:val="none"/>
                <w:u w:val="single"/>
                <w:lang w:val="en-US" w:eastAsia="zh-CN"/>
              </w:rPr>
              <w:t>51.046</w:t>
            </w:r>
            <w:r>
              <w:rPr>
                <w:rFonts w:hint="default" w:ascii="Times New Roman" w:hAnsi="Times New Roman" w:cs="Times New Roman"/>
                <w:color w:val="auto"/>
                <w:sz w:val="24"/>
                <w:highlight w:val="none"/>
              </w:rPr>
              <w:t>秒）</w:t>
            </w:r>
          </w:p>
        </w:tc>
      </w:tr>
      <w:tr w14:paraId="4045919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61" w:hRule="atLeast"/>
          <w:jc w:val="center"/>
        </w:trPr>
        <w:tc>
          <w:tcPr>
            <w:tcW w:w="1727" w:type="dxa"/>
            <w:tcMar>
              <w:top w:w="16" w:type="dxa"/>
              <w:left w:w="16" w:type="dxa"/>
              <w:right w:w="16" w:type="dxa"/>
            </w:tcMar>
            <w:vAlign w:val="center"/>
          </w:tcPr>
          <w:p w14:paraId="00D5F7D6">
            <w:pPr>
              <w:adjustRightInd w:val="0"/>
              <w:snapToGrid w:val="0"/>
              <w:jc w:val="center"/>
              <w:rPr>
                <w:rFonts w:hint="default" w:ascii="Times New Roman" w:hAnsi="Times New Roman" w:cs="Times New Roman"/>
                <w:color w:val="000000" w:themeColor="text1"/>
                <w:sz w:val="24"/>
                <w:highlight w:val="none"/>
                <w14:textFill>
                  <w14:solidFill>
                    <w14:schemeClr w14:val="tx1"/>
                  </w14:solidFill>
                </w14:textFill>
              </w:rPr>
            </w:pPr>
            <w:r>
              <w:rPr>
                <w:rFonts w:hint="default" w:ascii="Times New Roman" w:hAnsi="Times New Roman" w:cs="Times New Roman"/>
                <w:color w:val="000000" w:themeColor="text1"/>
                <w:sz w:val="24"/>
                <w:highlight w:val="none"/>
                <w14:textFill>
                  <w14:solidFill>
                    <w14:schemeClr w14:val="tx1"/>
                  </w14:solidFill>
                </w14:textFill>
              </w:rPr>
              <w:t>国民经济</w:t>
            </w:r>
          </w:p>
          <w:p w14:paraId="21540D89">
            <w:pPr>
              <w:adjustRightInd w:val="0"/>
              <w:snapToGrid w:val="0"/>
              <w:jc w:val="center"/>
              <w:rPr>
                <w:rFonts w:hint="default" w:ascii="Times New Roman" w:hAnsi="Times New Roman" w:cs="Times New Roman"/>
                <w:color w:val="000000" w:themeColor="text1"/>
                <w:sz w:val="24"/>
                <w:highlight w:val="none"/>
                <w14:textFill>
                  <w14:solidFill>
                    <w14:schemeClr w14:val="tx1"/>
                  </w14:solidFill>
                </w14:textFill>
              </w:rPr>
            </w:pPr>
            <w:r>
              <w:rPr>
                <w:rFonts w:hint="default" w:ascii="Times New Roman" w:hAnsi="Times New Roman" w:cs="Times New Roman"/>
                <w:color w:val="000000" w:themeColor="text1"/>
                <w:sz w:val="24"/>
                <w:highlight w:val="none"/>
                <w14:textFill>
                  <w14:solidFill>
                    <w14:schemeClr w14:val="tx1"/>
                  </w14:solidFill>
                </w14:textFill>
              </w:rPr>
              <w:t>行业类别</w:t>
            </w:r>
          </w:p>
        </w:tc>
        <w:tc>
          <w:tcPr>
            <w:tcW w:w="2004" w:type="dxa"/>
            <w:vAlign w:val="center"/>
          </w:tcPr>
          <w:p w14:paraId="47E39875">
            <w:pPr>
              <w:adjustRightInd w:val="0"/>
              <w:snapToGrid w:val="0"/>
              <w:jc w:val="center"/>
              <w:rPr>
                <w:rFonts w:hint="default" w:ascii="Times New Roman" w:hAnsi="Times New Roman" w:cs="Times New Roman"/>
                <w:color w:val="000000" w:themeColor="text1"/>
                <w:sz w:val="24"/>
                <w:highlight w:val="none"/>
                <w14:textFill>
                  <w14:solidFill>
                    <w14:schemeClr w14:val="tx1"/>
                  </w14:solidFill>
                </w14:textFill>
              </w:rPr>
            </w:pPr>
            <w:r>
              <w:rPr>
                <w:rFonts w:hint="default" w:ascii="Times New Roman" w:hAnsi="Times New Roman" w:cs="Times New Roman"/>
                <w:color w:val="000000" w:themeColor="text1"/>
                <w:sz w:val="24"/>
                <w:highlight w:val="none"/>
                <w14:textFill>
                  <w14:solidFill>
                    <w14:schemeClr w14:val="tx1"/>
                  </w14:solidFill>
                </w14:textFill>
              </w:rPr>
              <w:t>危险废物治理N7724</w:t>
            </w:r>
          </w:p>
        </w:tc>
        <w:tc>
          <w:tcPr>
            <w:tcW w:w="1818" w:type="dxa"/>
            <w:vAlign w:val="center"/>
          </w:tcPr>
          <w:p w14:paraId="40568191">
            <w:pPr>
              <w:adjustRightInd w:val="0"/>
              <w:snapToGrid w:val="0"/>
              <w:jc w:val="center"/>
              <w:rPr>
                <w:rFonts w:hint="default" w:ascii="Times New Roman" w:hAnsi="Times New Roman" w:cs="Times New Roman"/>
                <w:color w:val="000000" w:themeColor="text1"/>
                <w:sz w:val="24"/>
                <w:highlight w:val="none"/>
                <w14:textFill>
                  <w14:solidFill>
                    <w14:schemeClr w14:val="tx1"/>
                  </w14:solidFill>
                </w14:textFill>
              </w:rPr>
            </w:pPr>
            <w:bookmarkStart w:id="1" w:name="_Hlk49843745"/>
            <w:r>
              <w:rPr>
                <w:rFonts w:hint="default" w:ascii="Times New Roman" w:hAnsi="Times New Roman" w:cs="Times New Roman"/>
                <w:color w:val="000000" w:themeColor="text1"/>
                <w:sz w:val="24"/>
                <w:highlight w:val="none"/>
                <w14:textFill>
                  <w14:solidFill>
                    <w14:schemeClr w14:val="tx1"/>
                  </w14:solidFill>
                </w14:textFill>
              </w:rPr>
              <w:t>建设项目</w:t>
            </w:r>
          </w:p>
          <w:p w14:paraId="7281AF7A">
            <w:pPr>
              <w:adjustRightInd w:val="0"/>
              <w:snapToGrid w:val="0"/>
              <w:jc w:val="center"/>
              <w:rPr>
                <w:rFonts w:hint="default" w:ascii="Times New Roman" w:hAnsi="Times New Roman" w:cs="Times New Roman"/>
                <w:color w:val="000000" w:themeColor="text1"/>
                <w:sz w:val="24"/>
                <w:highlight w:val="none"/>
                <w14:textFill>
                  <w14:solidFill>
                    <w14:schemeClr w14:val="tx1"/>
                  </w14:solidFill>
                </w14:textFill>
              </w:rPr>
            </w:pPr>
            <w:r>
              <w:rPr>
                <w:rFonts w:hint="default" w:ascii="Times New Roman" w:hAnsi="Times New Roman" w:cs="Times New Roman"/>
                <w:color w:val="000000" w:themeColor="text1"/>
                <w:sz w:val="24"/>
                <w:highlight w:val="none"/>
                <w14:textFill>
                  <w14:solidFill>
                    <w14:schemeClr w14:val="tx1"/>
                  </w14:solidFill>
                </w14:textFill>
              </w:rPr>
              <w:t>行业类别</w:t>
            </w:r>
            <w:bookmarkEnd w:id="1"/>
          </w:p>
        </w:tc>
        <w:tc>
          <w:tcPr>
            <w:tcW w:w="3321" w:type="dxa"/>
            <w:gridSpan w:val="2"/>
            <w:vAlign w:val="center"/>
          </w:tcPr>
          <w:p w14:paraId="4A9A909F">
            <w:pPr>
              <w:adjustRightInd w:val="0"/>
              <w:snapToGrid w:val="0"/>
              <w:jc w:val="center"/>
              <w:rPr>
                <w:rFonts w:hint="default" w:ascii="Times New Roman" w:hAnsi="Times New Roman" w:cs="Times New Roman"/>
                <w:color w:val="000000" w:themeColor="text1"/>
                <w:sz w:val="24"/>
                <w:highlight w:val="none"/>
                <w14:textFill>
                  <w14:solidFill>
                    <w14:schemeClr w14:val="tx1"/>
                  </w14:solidFill>
                </w14:textFill>
              </w:rPr>
            </w:pPr>
            <w:r>
              <w:rPr>
                <w:rFonts w:hint="default" w:ascii="Times New Roman" w:hAnsi="Times New Roman" w:cs="Times New Roman"/>
                <w:color w:val="000000" w:themeColor="text1"/>
                <w:sz w:val="24"/>
                <w:highlight w:val="none"/>
                <w14:textFill>
                  <w14:solidFill>
                    <w14:schemeClr w14:val="tx1"/>
                  </w14:solidFill>
                </w14:textFill>
              </w:rPr>
              <w:t>四十七、生态保护和环境治理业，101危险废物（不含医疗废物）利用及处置</w:t>
            </w:r>
          </w:p>
        </w:tc>
      </w:tr>
      <w:tr w14:paraId="6EA041B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219" w:hRule="atLeast"/>
          <w:jc w:val="center"/>
        </w:trPr>
        <w:tc>
          <w:tcPr>
            <w:tcW w:w="1727" w:type="dxa"/>
            <w:tcMar>
              <w:top w:w="16" w:type="dxa"/>
              <w:left w:w="16" w:type="dxa"/>
              <w:right w:w="16" w:type="dxa"/>
            </w:tcMar>
            <w:vAlign w:val="center"/>
          </w:tcPr>
          <w:p w14:paraId="0CF49A49">
            <w:pPr>
              <w:adjustRightInd w:val="0"/>
              <w:snapToGrid w:val="0"/>
              <w:jc w:val="center"/>
              <w:rPr>
                <w:rFonts w:hint="default" w:ascii="Times New Roman" w:hAnsi="Times New Roman" w:cs="Times New Roman"/>
                <w:color w:val="000000" w:themeColor="text1"/>
                <w:sz w:val="24"/>
                <w:highlight w:val="none"/>
                <w14:textFill>
                  <w14:solidFill>
                    <w14:schemeClr w14:val="tx1"/>
                  </w14:solidFill>
                </w14:textFill>
              </w:rPr>
            </w:pPr>
            <w:r>
              <w:rPr>
                <w:rFonts w:hint="default" w:ascii="Times New Roman" w:hAnsi="Times New Roman" w:cs="Times New Roman"/>
                <w:color w:val="000000" w:themeColor="text1"/>
                <w:sz w:val="24"/>
                <w:highlight w:val="none"/>
                <w14:textFill>
                  <w14:solidFill>
                    <w14:schemeClr w14:val="tx1"/>
                  </w14:solidFill>
                </w14:textFill>
              </w:rPr>
              <w:t>建设性质</w:t>
            </w:r>
          </w:p>
        </w:tc>
        <w:tc>
          <w:tcPr>
            <w:tcW w:w="2004" w:type="dxa"/>
            <w:vAlign w:val="center"/>
          </w:tcPr>
          <w:p w14:paraId="19A80B8A">
            <w:pPr>
              <w:jc w:val="left"/>
              <w:rPr>
                <w:rFonts w:hint="default" w:ascii="Times New Roman" w:hAnsi="Times New Roman" w:cs="Times New Roman"/>
                <w:color w:val="000000" w:themeColor="text1"/>
                <w:sz w:val="24"/>
                <w:highlight w:val="none"/>
                <w14:textFill>
                  <w14:solidFill>
                    <w14:schemeClr w14:val="tx1"/>
                  </w14:solidFill>
                </w14:textFill>
              </w:rPr>
            </w:pPr>
            <w:r>
              <w:rPr>
                <w:rFonts w:hint="default" w:ascii="Times New Roman" w:hAnsi="Times New Roman" w:cs="Times New Roman"/>
                <w:color w:val="000000" w:themeColor="text1"/>
                <w:sz w:val="24"/>
                <w:highlight w:val="none"/>
                <w14:textFill>
                  <w14:solidFill>
                    <w14:schemeClr w14:val="tx1"/>
                  </w14:solidFill>
                </w14:textFill>
              </w:rPr>
              <w:sym w:font="Wingdings" w:char="00FE"/>
            </w:r>
            <w:r>
              <w:rPr>
                <w:rFonts w:hint="default" w:ascii="Times New Roman" w:hAnsi="Times New Roman" w:cs="Times New Roman"/>
                <w:color w:val="000000" w:themeColor="text1"/>
                <w:sz w:val="24"/>
                <w:highlight w:val="none"/>
                <w14:textFill>
                  <w14:solidFill>
                    <w14:schemeClr w14:val="tx1"/>
                  </w14:solidFill>
                </w14:textFill>
              </w:rPr>
              <w:t>新建（迁建）</w:t>
            </w:r>
          </w:p>
          <w:p w14:paraId="2BA8208B">
            <w:pPr>
              <w:jc w:val="left"/>
              <w:rPr>
                <w:rFonts w:hint="default" w:ascii="Times New Roman" w:hAnsi="Times New Roman" w:cs="Times New Roman"/>
                <w:color w:val="000000" w:themeColor="text1"/>
                <w:sz w:val="24"/>
                <w:highlight w:val="none"/>
                <w14:textFill>
                  <w14:solidFill>
                    <w14:schemeClr w14:val="tx1"/>
                  </w14:solidFill>
                </w14:textFill>
              </w:rPr>
            </w:pPr>
            <w:r>
              <w:rPr>
                <w:rFonts w:hint="default" w:ascii="Times New Roman" w:hAnsi="Times New Roman" w:cs="Times New Roman"/>
                <w:color w:val="000000" w:themeColor="text1"/>
                <w:sz w:val="24"/>
                <w:highlight w:val="none"/>
                <w14:textFill>
                  <w14:solidFill>
                    <w14:schemeClr w14:val="tx1"/>
                  </w14:solidFill>
                </w14:textFill>
              </w:rPr>
              <w:sym w:font="Wingdings" w:char="00A8"/>
            </w:r>
            <w:r>
              <w:rPr>
                <w:rFonts w:hint="default" w:ascii="Times New Roman" w:hAnsi="Times New Roman" w:cs="Times New Roman"/>
                <w:color w:val="000000" w:themeColor="text1"/>
                <w:sz w:val="24"/>
                <w:highlight w:val="none"/>
                <w14:textFill>
                  <w14:solidFill>
                    <w14:schemeClr w14:val="tx1"/>
                  </w14:solidFill>
                </w14:textFill>
              </w:rPr>
              <w:t>改建</w:t>
            </w:r>
          </w:p>
          <w:p w14:paraId="2630D190">
            <w:pPr>
              <w:jc w:val="left"/>
              <w:rPr>
                <w:rFonts w:hint="default" w:ascii="Times New Roman" w:hAnsi="Times New Roman" w:cs="Times New Roman"/>
                <w:color w:val="000000" w:themeColor="text1"/>
                <w:sz w:val="24"/>
                <w:highlight w:val="none"/>
                <w14:textFill>
                  <w14:solidFill>
                    <w14:schemeClr w14:val="tx1"/>
                  </w14:solidFill>
                </w14:textFill>
              </w:rPr>
            </w:pPr>
            <w:r>
              <w:rPr>
                <w:rFonts w:hint="default" w:ascii="Times New Roman" w:hAnsi="Times New Roman" w:cs="Times New Roman"/>
                <w:color w:val="000000" w:themeColor="text1"/>
                <w:sz w:val="24"/>
                <w:highlight w:val="none"/>
                <w14:textFill>
                  <w14:solidFill>
                    <w14:schemeClr w14:val="tx1"/>
                  </w14:solidFill>
                </w14:textFill>
              </w:rPr>
              <w:sym w:font="Wingdings" w:char="00A8"/>
            </w:r>
            <w:r>
              <w:rPr>
                <w:rFonts w:hint="default" w:ascii="Times New Roman" w:hAnsi="Times New Roman" w:cs="Times New Roman"/>
                <w:color w:val="000000" w:themeColor="text1"/>
                <w:sz w:val="24"/>
                <w:highlight w:val="none"/>
                <w14:textFill>
                  <w14:solidFill>
                    <w14:schemeClr w14:val="tx1"/>
                  </w14:solidFill>
                </w14:textFill>
              </w:rPr>
              <w:t>扩建</w:t>
            </w:r>
          </w:p>
          <w:p w14:paraId="09C04F8E">
            <w:pPr>
              <w:jc w:val="left"/>
              <w:rPr>
                <w:rFonts w:hint="default" w:ascii="Times New Roman" w:hAnsi="Times New Roman" w:cs="Times New Roman"/>
                <w:color w:val="000000" w:themeColor="text1"/>
                <w:sz w:val="24"/>
                <w:highlight w:val="none"/>
                <w14:textFill>
                  <w14:solidFill>
                    <w14:schemeClr w14:val="tx1"/>
                  </w14:solidFill>
                </w14:textFill>
              </w:rPr>
            </w:pPr>
            <w:r>
              <w:rPr>
                <w:rFonts w:hint="default" w:ascii="Times New Roman" w:hAnsi="Times New Roman" w:cs="Times New Roman"/>
                <w:color w:val="000000" w:themeColor="text1"/>
                <w:sz w:val="24"/>
                <w:highlight w:val="none"/>
                <w14:textFill>
                  <w14:solidFill>
                    <w14:schemeClr w14:val="tx1"/>
                  </w14:solidFill>
                </w14:textFill>
              </w:rPr>
              <w:sym w:font="Wingdings" w:char="00A8"/>
            </w:r>
            <w:r>
              <w:rPr>
                <w:rFonts w:hint="default" w:ascii="Times New Roman" w:hAnsi="Times New Roman" w:cs="Times New Roman"/>
                <w:color w:val="000000" w:themeColor="text1"/>
                <w:sz w:val="24"/>
                <w:highlight w:val="none"/>
                <w14:textFill>
                  <w14:solidFill>
                    <w14:schemeClr w14:val="tx1"/>
                  </w14:solidFill>
                </w14:textFill>
              </w:rPr>
              <w:t>技术改造</w:t>
            </w:r>
          </w:p>
        </w:tc>
        <w:tc>
          <w:tcPr>
            <w:tcW w:w="1818" w:type="dxa"/>
            <w:vAlign w:val="center"/>
          </w:tcPr>
          <w:p w14:paraId="338074B7">
            <w:pPr>
              <w:adjustRightInd w:val="0"/>
              <w:snapToGrid w:val="0"/>
              <w:jc w:val="center"/>
              <w:rPr>
                <w:rFonts w:hint="default" w:ascii="Times New Roman" w:hAnsi="Times New Roman" w:cs="Times New Roman"/>
                <w:color w:val="000000" w:themeColor="text1"/>
                <w:sz w:val="24"/>
                <w:highlight w:val="none"/>
                <w14:textFill>
                  <w14:solidFill>
                    <w14:schemeClr w14:val="tx1"/>
                  </w14:solidFill>
                </w14:textFill>
              </w:rPr>
            </w:pPr>
            <w:r>
              <w:rPr>
                <w:rFonts w:hint="default" w:ascii="Times New Roman" w:hAnsi="Times New Roman" w:cs="Times New Roman"/>
                <w:color w:val="000000" w:themeColor="text1"/>
                <w:sz w:val="24"/>
                <w:highlight w:val="none"/>
                <w14:textFill>
                  <w14:solidFill>
                    <w14:schemeClr w14:val="tx1"/>
                  </w14:solidFill>
                </w14:textFill>
              </w:rPr>
              <w:t>建设项目</w:t>
            </w:r>
          </w:p>
          <w:p w14:paraId="07DAA9C7">
            <w:pPr>
              <w:adjustRightInd w:val="0"/>
              <w:snapToGrid w:val="0"/>
              <w:jc w:val="center"/>
              <w:rPr>
                <w:rFonts w:hint="default" w:ascii="Times New Roman" w:hAnsi="Times New Roman" w:cs="Times New Roman"/>
                <w:color w:val="000000" w:themeColor="text1"/>
                <w:sz w:val="24"/>
                <w:highlight w:val="none"/>
                <w14:textFill>
                  <w14:solidFill>
                    <w14:schemeClr w14:val="tx1"/>
                  </w14:solidFill>
                </w14:textFill>
              </w:rPr>
            </w:pPr>
            <w:r>
              <w:rPr>
                <w:rFonts w:hint="default" w:ascii="Times New Roman" w:hAnsi="Times New Roman" w:cs="Times New Roman"/>
                <w:color w:val="000000" w:themeColor="text1"/>
                <w:sz w:val="24"/>
                <w:highlight w:val="none"/>
                <w14:textFill>
                  <w14:solidFill>
                    <w14:schemeClr w14:val="tx1"/>
                  </w14:solidFill>
                </w14:textFill>
              </w:rPr>
              <w:t>申报情形</w:t>
            </w:r>
          </w:p>
        </w:tc>
        <w:tc>
          <w:tcPr>
            <w:tcW w:w="3321" w:type="dxa"/>
            <w:gridSpan w:val="2"/>
            <w:vAlign w:val="center"/>
          </w:tcPr>
          <w:p w14:paraId="27641E1D">
            <w:pPr>
              <w:jc w:val="left"/>
              <w:rPr>
                <w:rFonts w:hint="default" w:ascii="Times New Roman" w:hAnsi="Times New Roman" w:cs="Times New Roman"/>
                <w:color w:val="000000" w:themeColor="text1"/>
                <w:sz w:val="24"/>
                <w:highlight w:val="none"/>
                <w14:textFill>
                  <w14:solidFill>
                    <w14:schemeClr w14:val="tx1"/>
                  </w14:solidFill>
                </w14:textFill>
              </w:rPr>
            </w:pPr>
            <w:r>
              <w:rPr>
                <w:rFonts w:hint="default" w:ascii="Times New Roman" w:hAnsi="Times New Roman" w:cs="Times New Roman"/>
                <w:color w:val="000000" w:themeColor="text1"/>
                <w:sz w:val="24"/>
                <w:highlight w:val="none"/>
                <w14:textFill>
                  <w14:solidFill>
                    <w14:schemeClr w14:val="tx1"/>
                  </w14:solidFill>
                </w14:textFill>
              </w:rPr>
              <w:sym w:font="Wingdings" w:char="00FE"/>
            </w:r>
            <w:r>
              <w:rPr>
                <w:rFonts w:hint="default" w:ascii="Times New Roman" w:hAnsi="Times New Roman" w:cs="Times New Roman"/>
                <w:color w:val="000000" w:themeColor="text1"/>
                <w:sz w:val="24"/>
                <w:highlight w:val="none"/>
                <w14:textFill>
                  <w14:solidFill>
                    <w14:schemeClr w14:val="tx1"/>
                  </w14:solidFill>
                </w14:textFill>
              </w:rPr>
              <w:t xml:space="preserve">首次申报项目             </w:t>
            </w:r>
          </w:p>
          <w:p w14:paraId="0F2032A5">
            <w:pPr>
              <w:jc w:val="left"/>
              <w:rPr>
                <w:rFonts w:hint="default" w:ascii="Times New Roman" w:hAnsi="Times New Roman" w:cs="Times New Roman"/>
                <w:color w:val="000000" w:themeColor="text1"/>
                <w:sz w:val="24"/>
                <w:highlight w:val="none"/>
                <w14:textFill>
                  <w14:solidFill>
                    <w14:schemeClr w14:val="tx1"/>
                  </w14:solidFill>
                </w14:textFill>
              </w:rPr>
            </w:pPr>
            <w:r>
              <w:rPr>
                <w:rFonts w:hint="default" w:ascii="Times New Roman" w:hAnsi="Times New Roman" w:cs="Times New Roman"/>
                <w:color w:val="000000" w:themeColor="text1"/>
                <w:sz w:val="24"/>
                <w:highlight w:val="none"/>
                <w14:textFill>
                  <w14:solidFill>
                    <w14:schemeClr w14:val="tx1"/>
                  </w14:solidFill>
                </w14:textFill>
              </w:rPr>
              <w:sym w:font="Wingdings" w:char="00A8"/>
            </w:r>
            <w:r>
              <w:rPr>
                <w:rFonts w:hint="default" w:ascii="Times New Roman" w:hAnsi="Times New Roman" w:cs="Times New Roman"/>
                <w:color w:val="000000" w:themeColor="text1"/>
                <w:sz w:val="24"/>
                <w:highlight w:val="none"/>
                <w14:textFill>
                  <w14:solidFill>
                    <w14:schemeClr w14:val="tx1"/>
                  </w14:solidFill>
                </w14:textFill>
              </w:rPr>
              <w:t>不予批准后再次申报项目</w:t>
            </w:r>
          </w:p>
          <w:p w14:paraId="710B4CB6">
            <w:pPr>
              <w:jc w:val="left"/>
              <w:rPr>
                <w:rFonts w:hint="default" w:ascii="Times New Roman" w:hAnsi="Times New Roman" w:cs="Times New Roman"/>
                <w:color w:val="000000" w:themeColor="text1"/>
                <w:sz w:val="24"/>
                <w:highlight w:val="none"/>
                <w14:textFill>
                  <w14:solidFill>
                    <w14:schemeClr w14:val="tx1"/>
                  </w14:solidFill>
                </w14:textFill>
              </w:rPr>
            </w:pPr>
            <w:r>
              <w:rPr>
                <w:rFonts w:hint="default" w:ascii="Times New Roman" w:hAnsi="Times New Roman" w:cs="Times New Roman"/>
                <w:color w:val="000000" w:themeColor="text1"/>
                <w:sz w:val="24"/>
                <w:highlight w:val="none"/>
                <w14:textFill>
                  <w14:solidFill>
                    <w14:schemeClr w14:val="tx1"/>
                  </w14:solidFill>
                </w14:textFill>
              </w:rPr>
              <w:sym w:font="Wingdings" w:char="00A8"/>
            </w:r>
            <w:r>
              <w:rPr>
                <w:rFonts w:hint="default" w:ascii="Times New Roman" w:hAnsi="Times New Roman" w:cs="Times New Roman"/>
                <w:color w:val="000000" w:themeColor="text1"/>
                <w:sz w:val="24"/>
                <w:highlight w:val="none"/>
                <w14:textFill>
                  <w14:solidFill>
                    <w14:schemeClr w14:val="tx1"/>
                  </w14:solidFill>
                </w14:textFill>
              </w:rPr>
              <w:t xml:space="preserve">超五年重新审核项目     </w:t>
            </w:r>
          </w:p>
          <w:p w14:paraId="7862537C">
            <w:pPr>
              <w:jc w:val="left"/>
              <w:rPr>
                <w:rFonts w:hint="default" w:ascii="Times New Roman" w:hAnsi="Times New Roman" w:cs="Times New Roman"/>
                <w:color w:val="000000" w:themeColor="text1"/>
                <w:sz w:val="24"/>
                <w:highlight w:val="none"/>
                <w14:textFill>
                  <w14:solidFill>
                    <w14:schemeClr w14:val="tx1"/>
                  </w14:solidFill>
                </w14:textFill>
              </w:rPr>
            </w:pPr>
            <w:r>
              <w:rPr>
                <w:rFonts w:hint="default" w:ascii="Times New Roman" w:hAnsi="Times New Roman" w:cs="Times New Roman"/>
                <w:color w:val="000000" w:themeColor="text1"/>
                <w:sz w:val="24"/>
                <w:highlight w:val="none"/>
                <w14:textFill>
                  <w14:solidFill>
                    <w14:schemeClr w14:val="tx1"/>
                  </w14:solidFill>
                </w14:textFill>
              </w:rPr>
              <w:sym w:font="Wingdings" w:char="00A8"/>
            </w:r>
            <w:r>
              <w:rPr>
                <w:rFonts w:hint="default" w:ascii="Times New Roman" w:hAnsi="Times New Roman" w:cs="Times New Roman"/>
                <w:color w:val="000000" w:themeColor="text1"/>
                <w:sz w:val="24"/>
                <w:highlight w:val="none"/>
                <w14:textFill>
                  <w14:solidFill>
                    <w14:schemeClr w14:val="tx1"/>
                  </w14:solidFill>
                </w14:textFill>
              </w:rPr>
              <w:t>重大变动重新报批项目</w:t>
            </w:r>
          </w:p>
        </w:tc>
      </w:tr>
      <w:tr w14:paraId="0E02A44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851" w:hRule="atLeast"/>
          <w:jc w:val="center"/>
        </w:trPr>
        <w:tc>
          <w:tcPr>
            <w:tcW w:w="1727" w:type="dxa"/>
            <w:tcMar>
              <w:top w:w="16" w:type="dxa"/>
              <w:left w:w="16" w:type="dxa"/>
              <w:right w:w="16" w:type="dxa"/>
            </w:tcMar>
            <w:vAlign w:val="center"/>
          </w:tcPr>
          <w:p w14:paraId="070C0446">
            <w:pPr>
              <w:adjustRightInd w:val="0"/>
              <w:snapToGrid w:val="0"/>
              <w:jc w:val="center"/>
              <w:rPr>
                <w:rFonts w:hint="default" w:ascii="Times New Roman" w:hAnsi="Times New Roman" w:cs="Times New Roman"/>
                <w:color w:val="000000" w:themeColor="text1"/>
                <w:sz w:val="24"/>
                <w:highlight w:val="none"/>
                <w14:textFill>
                  <w14:solidFill>
                    <w14:schemeClr w14:val="tx1"/>
                  </w14:solidFill>
                </w14:textFill>
              </w:rPr>
            </w:pPr>
            <w:r>
              <w:rPr>
                <w:rFonts w:hint="default" w:ascii="Times New Roman" w:hAnsi="Times New Roman" w:cs="Times New Roman"/>
                <w:color w:val="000000" w:themeColor="text1"/>
                <w:sz w:val="24"/>
                <w:highlight w:val="none"/>
                <w14:textFill>
                  <w14:solidFill>
                    <w14:schemeClr w14:val="tx1"/>
                  </w14:solidFill>
                </w14:textFill>
              </w:rPr>
              <w:t>项目审批（核准/</w:t>
            </w:r>
          </w:p>
          <w:p w14:paraId="4ED32F44">
            <w:pPr>
              <w:adjustRightInd w:val="0"/>
              <w:snapToGrid w:val="0"/>
              <w:jc w:val="center"/>
              <w:rPr>
                <w:rFonts w:hint="default" w:ascii="Times New Roman" w:hAnsi="Times New Roman" w:cs="Times New Roman"/>
                <w:color w:val="000000" w:themeColor="text1"/>
                <w:sz w:val="24"/>
                <w:highlight w:val="none"/>
                <w14:textFill>
                  <w14:solidFill>
                    <w14:schemeClr w14:val="tx1"/>
                  </w14:solidFill>
                </w14:textFill>
              </w:rPr>
            </w:pPr>
            <w:r>
              <w:rPr>
                <w:rFonts w:hint="default" w:ascii="Times New Roman" w:hAnsi="Times New Roman" w:cs="Times New Roman"/>
                <w:color w:val="000000" w:themeColor="text1"/>
                <w:sz w:val="24"/>
                <w:highlight w:val="none"/>
                <w14:textFill>
                  <w14:solidFill>
                    <w14:schemeClr w14:val="tx1"/>
                  </w14:solidFill>
                </w14:textFill>
              </w:rPr>
              <w:t>备案）部门）</w:t>
            </w:r>
          </w:p>
        </w:tc>
        <w:tc>
          <w:tcPr>
            <w:tcW w:w="2004" w:type="dxa"/>
            <w:vAlign w:val="center"/>
          </w:tcPr>
          <w:p w14:paraId="23E5E188">
            <w:pPr>
              <w:adjustRightInd w:val="0"/>
              <w:snapToGrid w:val="0"/>
              <w:jc w:val="cente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pPr>
            <w:r>
              <w:rPr>
                <w:rFonts w:hint="eastAsia" w:cs="Times New Roman"/>
                <w:color w:val="000000" w:themeColor="text1"/>
                <w:sz w:val="24"/>
                <w:highlight w:val="none"/>
                <w:lang w:val="en-US" w:eastAsia="zh-CN"/>
                <w14:textFill>
                  <w14:solidFill>
                    <w14:schemeClr w14:val="tx1"/>
                  </w14:solidFill>
                </w14:textFill>
              </w:rPr>
              <w:t>本溪市溪湖区发展和改革局</w:t>
            </w:r>
          </w:p>
        </w:tc>
        <w:tc>
          <w:tcPr>
            <w:tcW w:w="1818" w:type="dxa"/>
            <w:vAlign w:val="center"/>
          </w:tcPr>
          <w:p w14:paraId="0AFC9790">
            <w:pPr>
              <w:adjustRightInd w:val="0"/>
              <w:snapToGrid w:val="0"/>
              <w:jc w:val="center"/>
              <w:rPr>
                <w:rFonts w:hint="default" w:ascii="Times New Roman" w:hAnsi="Times New Roman" w:cs="Times New Roman"/>
                <w:color w:val="000000" w:themeColor="text1"/>
                <w:sz w:val="24"/>
                <w:highlight w:val="none"/>
                <w14:textFill>
                  <w14:solidFill>
                    <w14:schemeClr w14:val="tx1"/>
                  </w14:solidFill>
                </w14:textFill>
              </w:rPr>
            </w:pPr>
            <w:r>
              <w:rPr>
                <w:rFonts w:hint="default" w:ascii="Times New Roman" w:hAnsi="Times New Roman" w:cs="Times New Roman"/>
                <w:color w:val="000000" w:themeColor="text1"/>
                <w:sz w:val="24"/>
                <w:highlight w:val="none"/>
                <w14:textFill>
                  <w14:solidFill>
                    <w14:schemeClr w14:val="tx1"/>
                  </w14:solidFill>
                </w14:textFill>
              </w:rPr>
              <w:t>项目审批（核准/</w:t>
            </w:r>
          </w:p>
          <w:p w14:paraId="1840986D">
            <w:pPr>
              <w:adjustRightInd w:val="0"/>
              <w:snapToGrid w:val="0"/>
              <w:jc w:val="center"/>
              <w:rPr>
                <w:rFonts w:hint="default" w:ascii="Times New Roman" w:hAnsi="Times New Roman" w:cs="Times New Roman"/>
                <w:color w:val="000000" w:themeColor="text1"/>
                <w:sz w:val="24"/>
                <w:highlight w:val="none"/>
                <w14:textFill>
                  <w14:solidFill>
                    <w14:schemeClr w14:val="tx1"/>
                  </w14:solidFill>
                </w14:textFill>
              </w:rPr>
            </w:pPr>
            <w:r>
              <w:rPr>
                <w:rFonts w:hint="default" w:ascii="Times New Roman" w:hAnsi="Times New Roman" w:cs="Times New Roman"/>
                <w:color w:val="000000" w:themeColor="text1"/>
                <w:sz w:val="24"/>
                <w:highlight w:val="none"/>
                <w14:textFill>
                  <w14:solidFill>
                    <w14:schemeClr w14:val="tx1"/>
                  </w14:solidFill>
                </w14:textFill>
              </w:rPr>
              <w:t>备案）文号（选填）</w:t>
            </w:r>
          </w:p>
        </w:tc>
        <w:tc>
          <w:tcPr>
            <w:tcW w:w="3321" w:type="dxa"/>
            <w:gridSpan w:val="2"/>
            <w:vAlign w:val="center"/>
          </w:tcPr>
          <w:p w14:paraId="1CAD5040">
            <w:pPr>
              <w:adjustRightInd w:val="0"/>
              <w:snapToGrid w:val="0"/>
              <w:jc w:val="center"/>
              <w:rPr>
                <w:rFonts w:hint="default" w:ascii="Times New Roman" w:hAnsi="Times New Roman" w:cs="Times New Roman"/>
                <w:color w:val="000000" w:themeColor="text1"/>
                <w:sz w:val="24"/>
                <w:highlight w:val="none"/>
                <w14:textFill>
                  <w14:solidFill>
                    <w14:schemeClr w14:val="tx1"/>
                  </w14:solidFill>
                </w14:textFill>
              </w:rPr>
            </w:pPr>
            <w:r>
              <w:rPr>
                <w:rFonts w:hint="eastAsia" w:cs="Times New Roman"/>
                <w:color w:val="000000" w:themeColor="text1"/>
                <w:sz w:val="24"/>
                <w:highlight w:val="none"/>
                <w:lang w:val="en-US" w:eastAsia="zh-CN"/>
                <w14:textFill>
                  <w14:solidFill>
                    <w14:schemeClr w14:val="tx1"/>
                  </w14:solidFill>
                </w14:textFill>
              </w:rPr>
              <w:t>溪发改</w:t>
            </w:r>
            <w:r>
              <w:rPr>
                <w:rFonts w:hint="default" w:ascii="Times New Roman" w:hAnsi="Times New Roman" w:cs="Times New Roman"/>
                <w:color w:val="000000" w:themeColor="text1"/>
                <w:sz w:val="24"/>
                <w:highlight w:val="none"/>
                <w14:textFill>
                  <w14:solidFill>
                    <w14:schemeClr w14:val="tx1"/>
                  </w14:solidFill>
                </w14:textFill>
              </w:rPr>
              <w:t>备（2022）</w:t>
            </w:r>
            <w:r>
              <w:rPr>
                <w:rFonts w:hint="eastAsia" w:cs="Times New Roman"/>
                <w:color w:val="000000" w:themeColor="text1"/>
                <w:sz w:val="24"/>
                <w:highlight w:val="none"/>
                <w:lang w:val="en-US" w:eastAsia="zh-CN"/>
                <w14:textFill>
                  <w14:solidFill>
                    <w14:schemeClr w14:val="tx1"/>
                  </w14:solidFill>
                </w14:textFill>
              </w:rPr>
              <w:t>38</w:t>
            </w:r>
            <w:r>
              <w:rPr>
                <w:rFonts w:hint="default" w:ascii="Times New Roman" w:hAnsi="Times New Roman" w:cs="Times New Roman"/>
                <w:color w:val="000000" w:themeColor="text1"/>
                <w:sz w:val="24"/>
                <w:highlight w:val="none"/>
                <w14:textFill>
                  <w14:solidFill>
                    <w14:schemeClr w14:val="tx1"/>
                  </w14:solidFill>
                </w14:textFill>
              </w:rPr>
              <w:t>号</w:t>
            </w:r>
          </w:p>
        </w:tc>
      </w:tr>
      <w:tr w14:paraId="69905B2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727" w:type="dxa"/>
            <w:tcMar>
              <w:top w:w="16" w:type="dxa"/>
              <w:left w:w="16" w:type="dxa"/>
              <w:right w:w="16" w:type="dxa"/>
            </w:tcMar>
            <w:vAlign w:val="center"/>
          </w:tcPr>
          <w:p w14:paraId="3B00CA49">
            <w:pPr>
              <w:adjustRightInd w:val="0"/>
              <w:snapToGrid w:val="0"/>
              <w:jc w:val="center"/>
              <w:rPr>
                <w:rFonts w:hint="default" w:ascii="Times New Roman" w:hAnsi="Times New Roman" w:cs="Times New Roman"/>
                <w:color w:val="000000" w:themeColor="text1"/>
                <w:sz w:val="24"/>
                <w:highlight w:val="none"/>
                <w14:textFill>
                  <w14:solidFill>
                    <w14:schemeClr w14:val="tx1"/>
                  </w14:solidFill>
                </w14:textFill>
              </w:rPr>
            </w:pPr>
            <w:r>
              <w:rPr>
                <w:rFonts w:hint="default" w:ascii="Times New Roman" w:hAnsi="Times New Roman" w:cs="Times New Roman"/>
                <w:color w:val="000000" w:themeColor="text1"/>
                <w:sz w:val="24"/>
                <w:highlight w:val="none"/>
                <w14:textFill>
                  <w14:solidFill>
                    <w14:schemeClr w14:val="tx1"/>
                  </w14:solidFill>
                </w14:textFill>
              </w:rPr>
              <w:t>总投资（万元）</w:t>
            </w:r>
          </w:p>
        </w:tc>
        <w:tc>
          <w:tcPr>
            <w:tcW w:w="2004" w:type="dxa"/>
            <w:vAlign w:val="center"/>
          </w:tcPr>
          <w:p w14:paraId="670CEA60">
            <w:pPr>
              <w:adjustRightInd w:val="0"/>
              <w:snapToGrid w:val="0"/>
              <w:jc w:val="center"/>
              <w:rPr>
                <w:rFonts w:hint="default" w:ascii="Times New Roman" w:hAnsi="Times New Roman" w:eastAsia="宋体" w:cs="Times New Roman"/>
                <w:color w:val="auto"/>
                <w:sz w:val="24"/>
                <w:highlight w:val="none"/>
                <w:lang w:val="en-US" w:eastAsia="zh-CN"/>
              </w:rPr>
            </w:pPr>
            <w:r>
              <w:rPr>
                <w:rFonts w:hint="default" w:ascii="Times New Roman" w:hAnsi="Times New Roman" w:cs="Times New Roman"/>
                <w:color w:val="auto"/>
                <w:sz w:val="24"/>
                <w:highlight w:val="none"/>
              </w:rPr>
              <w:t>1</w:t>
            </w:r>
            <w:r>
              <w:rPr>
                <w:rFonts w:hint="eastAsia" w:cs="Times New Roman"/>
                <w:color w:val="auto"/>
                <w:sz w:val="24"/>
                <w:highlight w:val="none"/>
                <w:lang w:val="en-US" w:eastAsia="zh-CN"/>
              </w:rPr>
              <w:t>500</w:t>
            </w:r>
          </w:p>
        </w:tc>
        <w:tc>
          <w:tcPr>
            <w:tcW w:w="1818" w:type="dxa"/>
            <w:tcMar>
              <w:top w:w="16" w:type="dxa"/>
              <w:left w:w="16" w:type="dxa"/>
              <w:right w:w="16" w:type="dxa"/>
            </w:tcMar>
            <w:vAlign w:val="center"/>
          </w:tcPr>
          <w:p w14:paraId="63225693">
            <w:pPr>
              <w:adjustRightInd w:val="0"/>
              <w:snapToGrid w:val="0"/>
              <w:jc w:val="center"/>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环保投资（万元）</w:t>
            </w:r>
          </w:p>
        </w:tc>
        <w:tc>
          <w:tcPr>
            <w:tcW w:w="3321" w:type="dxa"/>
            <w:gridSpan w:val="2"/>
            <w:vAlign w:val="center"/>
          </w:tcPr>
          <w:p w14:paraId="4F91ED52">
            <w:pPr>
              <w:adjustRightInd w:val="0"/>
              <w:snapToGrid w:val="0"/>
              <w:jc w:val="center"/>
              <w:rPr>
                <w:rFonts w:hint="default" w:ascii="Times New Roman" w:hAnsi="Times New Roman" w:eastAsia="宋体" w:cs="Times New Roman"/>
                <w:color w:val="auto"/>
                <w:sz w:val="24"/>
                <w:highlight w:val="none"/>
                <w:lang w:val="en-US" w:eastAsia="zh-CN"/>
              </w:rPr>
            </w:pPr>
            <w:r>
              <w:rPr>
                <w:rFonts w:hint="eastAsia" w:cs="Times New Roman"/>
                <w:color w:val="auto"/>
                <w:sz w:val="24"/>
                <w:highlight w:val="none"/>
                <w:lang w:val="en-US" w:eastAsia="zh-CN"/>
              </w:rPr>
              <w:t>20</w:t>
            </w:r>
          </w:p>
        </w:tc>
      </w:tr>
      <w:tr w14:paraId="711F2F4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727" w:type="dxa"/>
            <w:tcMar>
              <w:top w:w="16" w:type="dxa"/>
              <w:left w:w="16" w:type="dxa"/>
              <w:right w:w="16" w:type="dxa"/>
            </w:tcMar>
            <w:vAlign w:val="center"/>
          </w:tcPr>
          <w:p w14:paraId="0D78C614">
            <w:pPr>
              <w:adjustRightInd w:val="0"/>
              <w:snapToGrid w:val="0"/>
              <w:jc w:val="center"/>
              <w:rPr>
                <w:rFonts w:hint="default" w:ascii="Times New Roman" w:hAnsi="Times New Roman" w:cs="Times New Roman"/>
                <w:color w:val="000000" w:themeColor="text1"/>
                <w:sz w:val="24"/>
                <w:highlight w:val="none"/>
                <w14:textFill>
                  <w14:solidFill>
                    <w14:schemeClr w14:val="tx1"/>
                  </w14:solidFill>
                </w14:textFill>
              </w:rPr>
            </w:pPr>
            <w:r>
              <w:rPr>
                <w:rFonts w:hint="default" w:ascii="Times New Roman" w:hAnsi="Times New Roman" w:cs="Times New Roman"/>
                <w:color w:val="000000" w:themeColor="text1"/>
                <w:sz w:val="24"/>
                <w:highlight w:val="none"/>
                <w14:textFill>
                  <w14:solidFill>
                    <w14:schemeClr w14:val="tx1"/>
                  </w14:solidFill>
                </w14:textFill>
              </w:rPr>
              <w:t>环保投资占比（%）</w:t>
            </w:r>
          </w:p>
        </w:tc>
        <w:tc>
          <w:tcPr>
            <w:tcW w:w="2004" w:type="dxa"/>
            <w:vAlign w:val="center"/>
          </w:tcPr>
          <w:p w14:paraId="07841B72">
            <w:pPr>
              <w:adjustRightInd w:val="0"/>
              <w:snapToGrid w:val="0"/>
              <w:jc w:val="center"/>
              <w:rPr>
                <w:rFonts w:hint="default" w:ascii="Times New Roman" w:hAnsi="Times New Roman" w:eastAsia="宋体" w:cs="Times New Roman"/>
                <w:color w:val="auto"/>
                <w:sz w:val="24"/>
                <w:highlight w:val="none"/>
                <w:lang w:val="en-US" w:eastAsia="zh-CN"/>
              </w:rPr>
            </w:pPr>
            <w:r>
              <w:rPr>
                <w:rFonts w:hint="eastAsia" w:cs="Times New Roman"/>
                <w:color w:val="auto"/>
                <w:sz w:val="24"/>
                <w:highlight w:val="none"/>
                <w:lang w:val="en-US" w:eastAsia="zh-CN"/>
              </w:rPr>
              <w:t>1.33</w:t>
            </w:r>
          </w:p>
        </w:tc>
        <w:tc>
          <w:tcPr>
            <w:tcW w:w="1818" w:type="dxa"/>
            <w:tcMar>
              <w:top w:w="16" w:type="dxa"/>
              <w:left w:w="16" w:type="dxa"/>
              <w:right w:w="16" w:type="dxa"/>
            </w:tcMar>
            <w:vAlign w:val="center"/>
          </w:tcPr>
          <w:p w14:paraId="26E5A723">
            <w:pPr>
              <w:adjustRightInd w:val="0"/>
              <w:snapToGrid w:val="0"/>
              <w:jc w:val="center"/>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施工工期</w:t>
            </w:r>
          </w:p>
        </w:tc>
        <w:tc>
          <w:tcPr>
            <w:tcW w:w="3321" w:type="dxa"/>
            <w:gridSpan w:val="2"/>
            <w:vAlign w:val="center"/>
          </w:tcPr>
          <w:p w14:paraId="2E51F551">
            <w:pPr>
              <w:adjustRightInd w:val="0"/>
              <w:snapToGrid w:val="0"/>
              <w:jc w:val="center"/>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3个月</w:t>
            </w:r>
          </w:p>
        </w:tc>
      </w:tr>
      <w:tr w14:paraId="6FCCFF7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727" w:type="dxa"/>
            <w:tcMar>
              <w:top w:w="16" w:type="dxa"/>
              <w:left w:w="16" w:type="dxa"/>
              <w:right w:w="16" w:type="dxa"/>
            </w:tcMar>
            <w:vAlign w:val="center"/>
          </w:tcPr>
          <w:p w14:paraId="0E3EEAA0">
            <w:pPr>
              <w:adjustRightInd w:val="0"/>
              <w:snapToGrid w:val="0"/>
              <w:jc w:val="center"/>
              <w:rPr>
                <w:rFonts w:hint="default" w:ascii="Times New Roman" w:hAnsi="Times New Roman" w:cs="Times New Roman"/>
                <w:color w:val="000000" w:themeColor="text1"/>
                <w:sz w:val="24"/>
                <w:highlight w:val="none"/>
                <w14:textFill>
                  <w14:solidFill>
                    <w14:schemeClr w14:val="tx1"/>
                  </w14:solidFill>
                </w14:textFill>
              </w:rPr>
            </w:pPr>
            <w:r>
              <w:rPr>
                <w:rFonts w:hint="default" w:ascii="Times New Roman" w:hAnsi="Times New Roman" w:cs="Times New Roman"/>
                <w:color w:val="000000" w:themeColor="text1"/>
                <w:sz w:val="24"/>
                <w:highlight w:val="none"/>
                <w14:textFill>
                  <w14:solidFill>
                    <w14:schemeClr w14:val="tx1"/>
                  </w14:solidFill>
                </w14:textFill>
              </w:rPr>
              <w:t>是否开工建设</w:t>
            </w:r>
          </w:p>
        </w:tc>
        <w:tc>
          <w:tcPr>
            <w:tcW w:w="2004" w:type="dxa"/>
            <w:vAlign w:val="center"/>
          </w:tcPr>
          <w:p w14:paraId="540BD536">
            <w:pPr>
              <w:adjustRightInd w:val="0"/>
              <w:snapToGrid w:val="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sym w:font="Wingdings" w:char="00FE"/>
            </w:r>
            <w:r>
              <w:rPr>
                <w:rFonts w:hint="default" w:ascii="Times New Roman" w:hAnsi="Times New Roman" w:cs="Times New Roman"/>
                <w:color w:val="auto"/>
                <w:sz w:val="24"/>
                <w:highlight w:val="none"/>
              </w:rPr>
              <w:t>否</w:t>
            </w:r>
          </w:p>
          <w:p w14:paraId="68DE52A1">
            <w:pPr>
              <w:adjustRightInd w:val="0"/>
              <w:snapToGrid w:val="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sym w:font="Wingdings" w:char="00A8"/>
            </w:r>
            <w:r>
              <w:rPr>
                <w:rFonts w:hint="default" w:ascii="Times New Roman" w:hAnsi="Times New Roman" w:cs="Times New Roman"/>
                <w:color w:val="auto"/>
                <w:sz w:val="24"/>
                <w:highlight w:val="none"/>
              </w:rPr>
              <w:t>是</w:t>
            </w:r>
          </w:p>
        </w:tc>
        <w:tc>
          <w:tcPr>
            <w:tcW w:w="1818" w:type="dxa"/>
            <w:tcMar>
              <w:top w:w="16" w:type="dxa"/>
              <w:left w:w="16" w:type="dxa"/>
              <w:right w:w="16" w:type="dxa"/>
            </w:tcMar>
            <w:vAlign w:val="center"/>
          </w:tcPr>
          <w:p w14:paraId="2FF689C5">
            <w:pPr>
              <w:adjustRightInd w:val="0"/>
              <w:snapToGrid w:val="0"/>
              <w:jc w:val="center"/>
              <w:rPr>
                <w:rFonts w:hint="default" w:ascii="Times New Roman" w:hAnsi="Times New Roman" w:cs="Times New Roman"/>
                <w:color w:val="auto"/>
                <w:spacing w:val="-6"/>
                <w:sz w:val="24"/>
                <w:highlight w:val="none"/>
              </w:rPr>
            </w:pPr>
            <w:r>
              <w:rPr>
                <w:rFonts w:hint="default" w:ascii="Times New Roman" w:hAnsi="Times New Roman" w:cs="Times New Roman"/>
                <w:color w:val="auto"/>
                <w:spacing w:val="-6"/>
                <w:sz w:val="24"/>
                <w:highlight w:val="none"/>
              </w:rPr>
              <w:t>用地面积（m</w:t>
            </w:r>
            <w:r>
              <w:rPr>
                <w:rFonts w:hint="default" w:ascii="Times New Roman" w:hAnsi="Times New Roman" w:cs="Times New Roman"/>
                <w:color w:val="auto"/>
                <w:spacing w:val="-6"/>
                <w:sz w:val="24"/>
                <w:highlight w:val="none"/>
                <w:vertAlign w:val="superscript"/>
              </w:rPr>
              <w:t>2</w:t>
            </w:r>
            <w:r>
              <w:rPr>
                <w:rFonts w:hint="default" w:ascii="Times New Roman" w:hAnsi="Times New Roman" w:cs="Times New Roman"/>
                <w:color w:val="auto"/>
                <w:spacing w:val="-6"/>
                <w:sz w:val="24"/>
                <w:highlight w:val="none"/>
              </w:rPr>
              <w:t>）</w:t>
            </w:r>
          </w:p>
        </w:tc>
        <w:tc>
          <w:tcPr>
            <w:tcW w:w="3321" w:type="dxa"/>
            <w:gridSpan w:val="2"/>
            <w:vAlign w:val="center"/>
          </w:tcPr>
          <w:p w14:paraId="56F5257F">
            <w:pPr>
              <w:adjustRightInd w:val="0"/>
              <w:snapToGrid w:val="0"/>
              <w:jc w:val="center"/>
              <w:rPr>
                <w:rFonts w:hint="default" w:ascii="Times New Roman" w:hAnsi="Times New Roman" w:eastAsia="宋体" w:cs="Times New Roman"/>
                <w:color w:val="auto"/>
                <w:sz w:val="24"/>
                <w:highlight w:val="none"/>
                <w:lang w:val="en-US" w:eastAsia="zh-CN"/>
              </w:rPr>
            </w:pPr>
            <w:r>
              <w:rPr>
                <w:rFonts w:hint="eastAsia" w:cs="Times New Roman"/>
                <w:color w:val="auto"/>
                <w:sz w:val="24"/>
                <w:highlight w:val="none"/>
                <w:lang w:val="en-US" w:eastAsia="zh-CN"/>
              </w:rPr>
              <w:t>400</w:t>
            </w:r>
          </w:p>
        </w:tc>
      </w:tr>
      <w:tr w14:paraId="03A5668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31" w:hRule="atLeast"/>
          <w:jc w:val="center"/>
        </w:trPr>
        <w:tc>
          <w:tcPr>
            <w:tcW w:w="1727" w:type="dxa"/>
            <w:vAlign w:val="center"/>
          </w:tcPr>
          <w:p w14:paraId="53ED4F47">
            <w:pPr>
              <w:autoSpaceDE w:val="0"/>
              <w:autoSpaceDN w:val="0"/>
              <w:adjustRightInd w:val="0"/>
              <w:snapToGrid w:val="0"/>
              <w:jc w:val="center"/>
              <w:rPr>
                <w:rFonts w:hint="default" w:ascii="Times New Roman" w:hAnsi="Times New Roman" w:cs="Times New Roman"/>
                <w:color w:val="000000" w:themeColor="text1"/>
                <w:kern w:val="0"/>
                <w:sz w:val="24"/>
                <w:highlight w:val="none"/>
                <w14:textFill>
                  <w14:solidFill>
                    <w14:schemeClr w14:val="tx1"/>
                  </w14:solidFill>
                </w14:textFill>
              </w:rPr>
            </w:pPr>
            <w:r>
              <w:rPr>
                <w:rFonts w:hint="default" w:ascii="Times New Roman" w:hAnsi="Times New Roman" w:cs="Times New Roman"/>
                <w:color w:val="000000" w:themeColor="text1"/>
                <w:kern w:val="0"/>
                <w:sz w:val="24"/>
                <w:highlight w:val="none"/>
                <w14:textFill>
                  <w14:solidFill>
                    <w14:schemeClr w14:val="tx1"/>
                  </w14:solidFill>
                </w14:textFill>
              </w:rPr>
              <w:t>专项评价设置情况</w:t>
            </w:r>
          </w:p>
        </w:tc>
        <w:tc>
          <w:tcPr>
            <w:tcW w:w="7143" w:type="dxa"/>
            <w:gridSpan w:val="4"/>
            <w:vAlign w:val="center"/>
          </w:tcPr>
          <w:p w14:paraId="3C5FE94E">
            <w:pPr>
              <w:autoSpaceDE w:val="0"/>
              <w:autoSpaceDN w:val="0"/>
              <w:adjustRightInd w:val="0"/>
              <w:snapToGrid w:val="0"/>
              <w:ind w:firstLine="480" w:firstLineChars="200"/>
              <w:jc w:val="left"/>
              <w:rPr>
                <w:rFonts w:hint="eastAsia" w:ascii="Times New Roman" w:hAnsi="Times New Roman" w:eastAsia="宋体" w:cs="Times New Roman"/>
                <w:color w:val="000000" w:themeColor="text1"/>
                <w:kern w:val="0"/>
                <w:sz w:val="24"/>
                <w:highlight w:val="none"/>
                <w:lang w:eastAsia="zh-CN"/>
                <w14:textFill>
                  <w14:solidFill>
                    <w14:schemeClr w14:val="tx1"/>
                  </w14:solidFill>
                </w14:textFill>
              </w:rPr>
            </w:pPr>
            <w:r>
              <w:rPr>
                <w:rFonts w:hint="eastAsia" w:cs="Times New Roman"/>
                <w:color w:val="000000" w:themeColor="text1"/>
                <w:kern w:val="0"/>
                <w:sz w:val="24"/>
                <w:highlight w:val="none"/>
                <w:lang w:val="en-US" w:eastAsia="zh-CN"/>
                <w14:textFill>
                  <w14:solidFill>
                    <w14:schemeClr w14:val="tx1"/>
                  </w14:solidFill>
                </w14:textFill>
              </w:rPr>
              <w:t>无</w:t>
            </w:r>
          </w:p>
        </w:tc>
      </w:tr>
      <w:tr w14:paraId="066F322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52" w:hRule="atLeast"/>
          <w:jc w:val="center"/>
        </w:trPr>
        <w:tc>
          <w:tcPr>
            <w:tcW w:w="1727" w:type="dxa"/>
            <w:vAlign w:val="center"/>
          </w:tcPr>
          <w:p w14:paraId="01339684">
            <w:pPr>
              <w:autoSpaceDE w:val="0"/>
              <w:autoSpaceDN w:val="0"/>
              <w:adjustRightInd w:val="0"/>
              <w:snapToGrid w:val="0"/>
              <w:jc w:val="center"/>
              <w:rPr>
                <w:rFonts w:hint="default" w:ascii="Times New Roman" w:hAnsi="Times New Roman" w:cs="Times New Roman"/>
                <w:color w:val="000000" w:themeColor="text1"/>
                <w:kern w:val="0"/>
                <w:sz w:val="24"/>
                <w:highlight w:val="none"/>
                <w14:textFill>
                  <w14:solidFill>
                    <w14:schemeClr w14:val="tx1"/>
                  </w14:solidFill>
                </w14:textFill>
              </w:rPr>
            </w:pPr>
            <w:r>
              <w:rPr>
                <w:rFonts w:hint="default" w:ascii="Times New Roman" w:hAnsi="Times New Roman" w:cs="Times New Roman"/>
                <w:color w:val="000000" w:themeColor="text1"/>
                <w:sz w:val="24"/>
                <w:highlight w:val="none"/>
                <w14:textFill>
                  <w14:solidFill>
                    <w14:schemeClr w14:val="tx1"/>
                  </w14:solidFill>
                </w14:textFill>
              </w:rPr>
              <w:t>规划情况</w:t>
            </w:r>
          </w:p>
        </w:tc>
        <w:tc>
          <w:tcPr>
            <w:tcW w:w="7143" w:type="dxa"/>
            <w:gridSpan w:val="4"/>
            <w:vAlign w:val="center"/>
          </w:tcPr>
          <w:p w14:paraId="4262822C">
            <w:pPr>
              <w:pStyle w:val="22"/>
              <w:ind w:left="0" w:leftChars="0" w:firstLine="0" w:firstLineChars="0"/>
              <w:rPr>
                <w:rFonts w:hint="default" w:ascii="Times New Roman" w:hAnsi="Times New Roman" w:cs="Times New Roman"/>
                <w:color w:val="000000" w:themeColor="text1"/>
                <w:sz w:val="24"/>
                <w:szCs w:val="32"/>
                <w:highlight w:val="none"/>
                <w:lang w:val="en-US" w:eastAsia="zh-CN"/>
                <w14:textFill>
                  <w14:solidFill>
                    <w14:schemeClr w14:val="tx1"/>
                  </w14:solidFill>
                </w14:textFill>
              </w:rPr>
            </w:pPr>
            <w:r>
              <w:rPr>
                <w:rFonts w:hint="default" w:ascii="Times New Roman" w:hAnsi="Times New Roman" w:cs="Times New Roman"/>
                <w:color w:val="000000" w:themeColor="text1"/>
                <w:sz w:val="24"/>
                <w:szCs w:val="32"/>
                <w:highlight w:val="none"/>
                <w:lang w:val="en-US" w:eastAsia="zh-CN"/>
                <w14:textFill>
                  <w14:solidFill>
                    <w14:schemeClr w14:val="tx1"/>
                  </w14:solidFill>
                </w14:textFill>
              </w:rPr>
              <w:t>规划名称：《本溪湖经济开发区总体规划》（2020-2035）</w:t>
            </w:r>
          </w:p>
          <w:p w14:paraId="7B46D343">
            <w:pPr>
              <w:pStyle w:val="22"/>
              <w:ind w:left="0" w:leftChars="0" w:firstLine="0" w:firstLineChars="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sz w:val="24"/>
                <w:szCs w:val="32"/>
                <w:highlight w:val="none"/>
                <w:lang w:val="en-US" w:eastAsia="zh-CN"/>
                <w14:textFill>
                  <w14:solidFill>
                    <w14:schemeClr w14:val="tx1"/>
                  </w14:solidFill>
                </w14:textFill>
              </w:rPr>
              <w:t>审批机关：辽宁省人民政府（辽政〔2018〕40号）</w:t>
            </w:r>
          </w:p>
        </w:tc>
      </w:tr>
      <w:tr w14:paraId="513FDE6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64" w:hRule="atLeast"/>
          <w:jc w:val="center"/>
        </w:trPr>
        <w:tc>
          <w:tcPr>
            <w:tcW w:w="1727" w:type="dxa"/>
            <w:vAlign w:val="center"/>
          </w:tcPr>
          <w:p w14:paraId="11C003D1">
            <w:pPr>
              <w:adjustRightInd w:val="0"/>
              <w:snapToGrid w:val="0"/>
              <w:jc w:val="center"/>
              <w:rPr>
                <w:rFonts w:hint="default" w:ascii="Times New Roman" w:hAnsi="Times New Roman" w:cs="Times New Roman"/>
                <w:color w:val="000000" w:themeColor="text1"/>
                <w:sz w:val="24"/>
                <w:highlight w:val="none"/>
                <w14:textFill>
                  <w14:solidFill>
                    <w14:schemeClr w14:val="tx1"/>
                  </w14:solidFill>
                </w14:textFill>
              </w:rPr>
            </w:pPr>
            <w:r>
              <w:rPr>
                <w:rFonts w:hint="default" w:ascii="Times New Roman" w:hAnsi="Times New Roman" w:cs="Times New Roman"/>
                <w:color w:val="000000" w:themeColor="text1"/>
                <w:sz w:val="24"/>
                <w:highlight w:val="none"/>
                <w14:textFill>
                  <w14:solidFill>
                    <w14:schemeClr w14:val="tx1"/>
                  </w14:solidFill>
                </w14:textFill>
              </w:rPr>
              <w:t>规划环境影响</w:t>
            </w:r>
          </w:p>
          <w:p w14:paraId="6026D202">
            <w:pPr>
              <w:adjustRightInd w:val="0"/>
              <w:snapToGrid w:val="0"/>
              <w:jc w:val="center"/>
              <w:rPr>
                <w:rFonts w:hint="default" w:ascii="Times New Roman" w:hAnsi="Times New Roman" w:cs="Times New Roman"/>
                <w:color w:val="000000" w:themeColor="text1"/>
                <w:kern w:val="0"/>
                <w:sz w:val="24"/>
                <w:highlight w:val="none"/>
                <w14:textFill>
                  <w14:solidFill>
                    <w14:schemeClr w14:val="tx1"/>
                  </w14:solidFill>
                </w14:textFill>
              </w:rPr>
            </w:pPr>
            <w:r>
              <w:rPr>
                <w:rFonts w:hint="default" w:ascii="Times New Roman" w:hAnsi="Times New Roman" w:cs="Times New Roman"/>
                <w:color w:val="000000" w:themeColor="text1"/>
                <w:sz w:val="24"/>
                <w:highlight w:val="none"/>
                <w14:textFill>
                  <w14:solidFill>
                    <w14:schemeClr w14:val="tx1"/>
                  </w14:solidFill>
                </w14:textFill>
              </w:rPr>
              <w:t>评价情况</w:t>
            </w:r>
          </w:p>
        </w:tc>
        <w:tc>
          <w:tcPr>
            <w:tcW w:w="7143" w:type="dxa"/>
            <w:gridSpan w:val="4"/>
            <w:vAlign w:val="center"/>
          </w:tcPr>
          <w:p w14:paraId="770ED231">
            <w:pPr>
              <w:keepNext w:val="0"/>
              <w:keepLines w:val="0"/>
              <w:widowControl/>
              <w:suppressLineNumbers w:val="0"/>
              <w:jc w:val="left"/>
              <w:rPr>
                <w:rFonts w:hint="default" w:ascii="Times New Roman" w:hAnsi="Times New Roman" w:cs="Times New Roman"/>
                <w:color w:val="000000" w:themeColor="text1"/>
                <w:highlight w:val="none"/>
                <w14:textFill>
                  <w14:solidFill>
                    <w14:schemeClr w14:val="tx1"/>
                  </w14:solidFill>
                </w14:textFill>
              </w:rPr>
            </w:pPr>
            <w:r>
              <w:rPr>
                <w:rFonts w:hint="eastAsia" w:ascii="宋体" w:hAnsi="宋体" w:eastAsia="宋体" w:cs="宋体"/>
                <w:color w:val="000000"/>
                <w:kern w:val="0"/>
                <w:sz w:val="24"/>
                <w:szCs w:val="24"/>
                <w:lang w:val="en-US" w:eastAsia="zh-CN" w:bidi="ar"/>
              </w:rPr>
              <w:t>《本溪湖经济开发区总体规划环境影响报告书》（规划环评正在申报）</w:t>
            </w:r>
          </w:p>
        </w:tc>
      </w:tr>
      <w:tr w14:paraId="74D8193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727" w:type="dxa"/>
            <w:vAlign w:val="center"/>
          </w:tcPr>
          <w:p w14:paraId="243F5DA1">
            <w:pPr>
              <w:autoSpaceDE w:val="0"/>
              <w:autoSpaceDN w:val="0"/>
              <w:adjustRightInd w:val="0"/>
              <w:snapToGrid w:val="0"/>
              <w:jc w:val="center"/>
              <w:rPr>
                <w:rFonts w:hint="default" w:ascii="Times New Roman" w:hAnsi="Times New Roman" w:cs="Times New Roman"/>
                <w:color w:val="000000" w:themeColor="text1"/>
                <w:kern w:val="0"/>
                <w:sz w:val="24"/>
                <w:highlight w:val="none"/>
                <w14:textFill>
                  <w14:solidFill>
                    <w14:schemeClr w14:val="tx1"/>
                  </w14:solidFill>
                </w14:textFill>
              </w:rPr>
            </w:pPr>
            <w:r>
              <w:rPr>
                <w:rFonts w:hint="default" w:ascii="Times New Roman" w:hAnsi="Times New Roman" w:cs="Times New Roman"/>
                <w:color w:val="000000" w:themeColor="text1"/>
                <w:kern w:val="0"/>
                <w:sz w:val="24"/>
                <w:highlight w:val="none"/>
                <w14:textFill>
                  <w14:solidFill>
                    <w14:schemeClr w14:val="tx1"/>
                  </w14:solidFill>
                </w14:textFill>
              </w:rPr>
              <w:t>规划及规划环境</w:t>
            </w:r>
          </w:p>
          <w:p w14:paraId="7BFE42C6">
            <w:pPr>
              <w:autoSpaceDE w:val="0"/>
              <w:autoSpaceDN w:val="0"/>
              <w:adjustRightInd w:val="0"/>
              <w:snapToGrid w:val="0"/>
              <w:jc w:val="center"/>
              <w:rPr>
                <w:rFonts w:hint="default" w:ascii="Times New Roman" w:hAnsi="Times New Roman" w:cs="Times New Roman"/>
                <w:color w:val="000000" w:themeColor="text1"/>
                <w:kern w:val="0"/>
                <w:sz w:val="24"/>
                <w:highlight w:val="none"/>
                <w14:textFill>
                  <w14:solidFill>
                    <w14:schemeClr w14:val="tx1"/>
                  </w14:solidFill>
                </w14:textFill>
              </w:rPr>
            </w:pPr>
            <w:r>
              <w:rPr>
                <w:rFonts w:hint="default" w:ascii="Times New Roman" w:hAnsi="Times New Roman" w:cs="Times New Roman"/>
                <w:color w:val="000000" w:themeColor="text1"/>
                <w:kern w:val="0"/>
                <w:sz w:val="24"/>
                <w:highlight w:val="none"/>
                <w14:textFill>
                  <w14:solidFill>
                    <w14:schemeClr w14:val="tx1"/>
                  </w14:solidFill>
                </w14:textFill>
              </w:rPr>
              <w:t>影响评价符合性分析</w:t>
            </w:r>
          </w:p>
        </w:tc>
        <w:tc>
          <w:tcPr>
            <w:tcW w:w="7143" w:type="dxa"/>
            <w:gridSpan w:val="4"/>
            <w:vAlign w:val="center"/>
          </w:tcPr>
          <w:p w14:paraId="4465B527">
            <w:pPr>
              <w:widowControl/>
              <w:spacing w:line="360" w:lineRule="auto"/>
              <w:ind w:firstLine="480" w:firstLineChars="200"/>
              <w:jc w:val="left"/>
              <w:rPr>
                <w:rFonts w:hint="default" w:ascii="Times New Roman" w:hAnsi="Times New Roman" w:cs="Times New Roman"/>
                <w:color w:val="000000" w:themeColor="text1"/>
                <w:sz w:val="24"/>
                <w:szCs w:val="32"/>
                <w:highlight w:val="none"/>
                <w14:textFill>
                  <w14:solidFill>
                    <w14:schemeClr w14:val="tx1"/>
                  </w14:solidFill>
                </w14:textFill>
              </w:rPr>
            </w:pPr>
            <w:r>
              <w:rPr>
                <w:rFonts w:hint="default" w:ascii="Times New Roman" w:hAnsi="Times New Roman" w:cs="Times New Roman"/>
                <w:color w:val="000000" w:themeColor="text1"/>
                <w:sz w:val="24"/>
                <w:szCs w:val="32"/>
                <w:highlight w:val="none"/>
                <w:lang w:val="en-US" w:eastAsia="zh-CN"/>
                <w14:textFill>
                  <w14:solidFill>
                    <w14:schemeClr w14:val="tx1"/>
                  </w14:solidFill>
                </w14:textFill>
              </w:rPr>
              <w:t>本溪湖经济开发区总体规划的规划范围</w:t>
            </w:r>
            <w:r>
              <w:rPr>
                <w:rFonts w:hint="eastAsia" w:cs="Times New Roman"/>
                <w:color w:val="000000" w:themeColor="text1"/>
                <w:sz w:val="24"/>
                <w:szCs w:val="32"/>
                <w:highlight w:val="none"/>
                <w:lang w:val="en-US" w:eastAsia="zh-CN"/>
                <w14:textFill>
                  <w14:solidFill>
                    <w14:schemeClr w14:val="tx1"/>
                  </w14:solidFill>
                </w14:textFill>
              </w:rPr>
              <w:t>：</w:t>
            </w:r>
            <w:r>
              <w:rPr>
                <w:rFonts w:hint="default" w:ascii="Times New Roman" w:hAnsi="Times New Roman" w:cs="Times New Roman"/>
                <w:color w:val="000000" w:themeColor="text1"/>
                <w:sz w:val="24"/>
                <w:szCs w:val="32"/>
                <w:highlight w:val="none"/>
                <w:lang w:val="en-US" w:eastAsia="zh-CN"/>
                <w14:textFill>
                  <w14:solidFill>
                    <w14:schemeClr w14:val="tx1"/>
                  </w14:solidFill>
                </w14:textFill>
              </w:rPr>
              <w:t>东至本钢石灰石矿，南至太子河，西至东风湖大清沟里，北至本溪高新区。规划范围涵盖东风湖、彩北及竖井地区，蚂蚁沟、新洞沟、火连寨镇、高程寨、响山子等地区，规划面积14.92平方公里。</w:t>
            </w:r>
          </w:p>
          <w:p w14:paraId="46CBA359">
            <w:pPr>
              <w:widowControl/>
              <w:spacing w:line="360" w:lineRule="auto"/>
              <w:ind w:firstLine="480" w:firstLineChars="200"/>
              <w:jc w:val="left"/>
              <w:rPr>
                <w:rFonts w:hint="default" w:ascii="Times New Roman" w:hAnsi="Times New Roman" w:cs="Times New Roman"/>
                <w:color w:val="000000" w:themeColor="text1"/>
                <w:sz w:val="24"/>
                <w:szCs w:val="32"/>
                <w:highlight w:val="none"/>
                <w14:textFill>
                  <w14:solidFill>
                    <w14:schemeClr w14:val="tx1"/>
                  </w14:solidFill>
                </w14:textFill>
              </w:rPr>
            </w:pPr>
            <w:r>
              <w:rPr>
                <w:rFonts w:hint="default" w:ascii="Times New Roman" w:hAnsi="Times New Roman" w:cs="Times New Roman"/>
                <w:color w:val="000000" w:themeColor="text1"/>
                <w:sz w:val="24"/>
                <w:szCs w:val="32"/>
                <w:highlight w:val="none"/>
                <w:lang w:val="en-US" w:eastAsia="zh-CN"/>
                <w14:textFill>
                  <w14:solidFill>
                    <w14:schemeClr w14:val="tx1"/>
                  </w14:solidFill>
                </w14:textFill>
              </w:rPr>
              <w:t>本溪湖经济开发区于2018年2月25日，经辽宁省人民政府（辽政发【2018】40号）批准设立省级经济开发区，本次规划的期限为2018-2030年。</w:t>
            </w:r>
          </w:p>
          <w:p w14:paraId="1FA5715C">
            <w:pPr>
              <w:widowControl/>
              <w:spacing w:line="360" w:lineRule="auto"/>
              <w:ind w:firstLine="480" w:firstLineChars="200"/>
              <w:jc w:val="left"/>
              <w:rPr>
                <w:rFonts w:hint="default" w:ascii="Times New Roman" w:hAnsi="Times New Roman" w:cs="Times New Roman"/>
                <w:color w:val="000000" w:themeColor="text1"/>
                <w:sz w:val="24"/>
                <w:szCs w:val="32"/>
                <w:highlight w:val="none"/>
                <w14:textFill>
                  <w14:solidFill>
                    <w14:schemeClr w14:val="tx1"/>
                  </w14:solidFill>
                </w14:textFill>
              </w:rPr>
            </w:pPr>
            <w:r>
              <w:rPr>
                <w:rFonts w:hint="default" w:ascii="Times New Roman" w:hAnsi="Times New Roman" w:cs="Times New Roman"/>
                <w:color w:val="000000" w:themeColor="text1"/>
                <w:sz w:val="24"/>
                <w:szCs w:val="32"/>
                <w:highlight w:val="none"/>
                <w:lang w:val="en-US" w:eastAsia="zh-CN"/>
                <w14:textFill>
                  <w14:solidFill>
                    <w14:schemeClr w14:val="tx1"/>
                  </w14:solidFill>
                </w14:textFill>
              </w:rPr>
              <w:t>主导产业定位：根据国家产业发展战略和省、市产业发展导向，结合开发区产业基础条件、比较优势，在开发区重点打造四大主导产业∶钢铁深加工产业、现代装备制造产业、工业资源综合利用产业、商贸物流及现代服务业。主导产业细分领域如下</w:t>
            </w:r>
            <w:r>
              <w:rPr>
                <w:rFonts w:hint="eastAsia" w:cs="Times New Roman"/>
                <w:color w:val="000000" w:themeColor="text1"/>
                <w:sz w:val="24"/>
                <w:szCs w:val="32"/>
                <w:highlight w:val="none"/>
                <w:lang w:val="en-US" w:eastAsia="zh-CN"/>
                <w14:textFill>
                  <w14:solidFill>
                    <w14:schemeClr w14:val="tx1"/>
                  </w14:solidFill>
                </w14:textFill>
              </w:rPr>
              <w:t>：</w:t>
            </w:r>
          </w:p>
          <w:p w14:paraId="4C51DD37">
            <w:pPr>
              <w:widowControl/>
              <w:spacing w:line="360" w:lineRule="auto"/>
              <w:ind w:firstLine="480" w:firstLineChars="200"/>
              <w:jc w:val="left"/>
              <w:rPr>
                <w:rFonts w:hint="default" w:ascii="Times New Roman" w:hAnsi="Times New Roman" w:cs="Times New Roman"/>
                <w:color w:val="000000" w:themeColor="text1"/>
                <w:sz w:val="24"/>
                <w:szCs w:val="32"/>
                <w:highlight w:val="none"/>
                <w14:textFill>
                  <w14:solidFill>
                    <w14:schemeClr w14:val="tx1"/>
                  </w14:solidFill>
                </w14:textFill>
              </w:rPr>
            </w:pPr>
            <w:r>
              <w:rPr>
                <w:rFonts w:hint="default" w:ascii="Times New Roman" w:hAnsi="Times New Roman" w:cs="Times New Roman"/>
                <w:color w:val="000000" w:themeColor="text1"/>
                <w:sz w:val="24"/>
                <w:szCs w:val="32"/>
                <w:highlight w:val="none"/>
                <w:lang w:val="en-US" w:eastAsia="zh-CN"/>
                <w14:textFill>
                  <w14:solidFill>
                    <w14:schemeClr w14:val="tx1"/>
                  </w14:solidFill>
                </w14:textFill>
              </w:rPr>
              <w:t>钢铁深加工产业</w:t>
            </w:r>
            <w:r>
              <w:rPr>
                <w:rFonts w:hint="eastAsia" w:cs="Times New Roman"/>
                <w:color w:val="000000" w:themeColor="text1"/>
                <w:sz w:val="24"/>
                <w:szCs w:val="32"/>
                <w:highlight w:val="none"/>
                <w:lang w:val="en-US" w:eastAsia="zh-CN"/>
                <w14:textFill>
                  <w14:solidFill>
                    <w14:schemeClr w14:val="tx1"/>
                  </w14:solidFill>
                </w14:textFill>
              </w:rPr>
              <w:t>：</w:t>
            </w:r>
            <w:r>
              <w:rPr>
                <w:rFonts w:hint="default" w:ascii="Times New Roman" w:hAnsi="Times New Roman" w:cs="Times New Roman"/>
                <w:color w:val="000000" w:themeColor="text1"/>
                <w:sz w:val="24"/>
                <w:szCs w:val="32"/>
                <w:highlight w:val="none"/>
                <w:lang w:val="en-US" w:eastAsia="zh-CN"/>
                <w14:textFill>
                  <w14:solidFill>
                    <w14:schemeClr w14:val="tx1"/>
                  </w14:solidFill>
                </w14:textFill>
              </w:rPr>
              <w:t>重点依托本钢集团配套项目承接基地，发展钢铁深加工产业，主要包括∶汽车零部件类、钢铁冷轧类、机械装备零部件类、管泵阀类、以及钢结构类深加工产品等产业链。同时，结合棚改配套和城区老工业区搬迁改造项目，发展钢结构和装配式建筑。</w:t>
            </w:r>
          </w:p>
          <w:p w14:paraId="123F1E55">
            <w:pPr>
              <w:widowControl/>
              <w:spacing w:line="360" w:lineRule="auto"/>
              <w:ind w:firstLine="480" w:firstLineChars="200"/>
              <w:jc w:val="left"/>
              <w:rPr>
                <w:rFonts w:hint="default" w:ascii="Times New Roman" w:hAnsi="Times New Roman" w:cs="Times New Roman"/>
                <w:color w:val="000000" w:themeColor="text1"/>
                <w:sz w:val="24"/>
                <w:szCs w:val="32"/>
                <w:highlight w:val="none"/>
                <w14:textFill>
                  <w14:solidFill>
                    <w14:schemeClr w14:val="tx1"/>
                  </w14:solidFill>
                </w14:textFill>
              </w:rPr>
            </w:pPr>
            <w:r>
              <w:rPr>
                <w:rFonts w:hint="default" w:ascii="Times New Roman" w:hAnsi="Times New Roman" w:cs="Times New Roman"/>
                <w:color w:val="000000" w:themeColor="text1"/>
                <w:sz w:val="24"/>
                <w:szCs w:val="32"/>
                <w:highlight w:val="none"/>
                <w:lang w:val="en-US" w:eastAsia="zh-CN"/>
                <w14:textFill>
                  <w14:solidFill>
                    <w14:schemeClr w14:val="tx1"/>
                  </w14:solidFill>
                </w14:textFill>
              </w:rPr>
              <w:t>现代装备制造产业</w:t>
            </w:r>
            <w:r>
              <w:rPr>
                <w:rFonts w:hint="eastAsia" w:cs="Times New Roman"/>
                <w:color w:val="000000" w:themeColor="text1"/>
                <w:sz w:val="24"/>
                <w:szCs w:val="32"/>
                <w:highlight w:val="none"/>
                <w:lang w:val="en-US" w:eastAsia="zh-CN"/>
                <w14:textFill>
                  <w14:solidFill>
                    <w14:schemeClr w14:val="tx1"/>
                  </w14:solidFill>
                </w14:textFill>
              </w:rPr>
              <w:t>：</w:t>
            </w:r>
            <w:r>
              <w:rPr>
                <w:rFonts w:hint="default" w:ascii="Times New Roman" w:hAnsi="Times New Roman" w:cs="Times New Roman"/>
                <w:color w:val="000000" w:themeColor="text1"/>
                <w:sz w:val="24"/>
                <w:szCs w:val="32"/>
                <w:highlight w:val="none"/>
                <w:lang w:val="en-US" w:eastAsia="zh-CN"/>
                <w14:textFill>
                  <w14:solidFill>
                    <w14:schemeClr w14:val="tx1"/>
                  </w14:solidFill>
                </w14:textFill>
              </w:rPr>
              <w:t>结合钢铁上下游产业，主要配套的装备制造产业有</w:t>
            </w:r>
            <w:r>
              <w:rPr>
                <w:rFonts w:hint="eastAsia" w:cs="Times New Roman"/>
                <w:color w:val="000000" w:themeColor="text1"/>
                <w:sz w:val="24"/>
                <w:szCs w:val="32"/>
                <w:highlight w:val="none"/>
                <w:lang w:val="en-US" w:eastAsia="zh-CN"/>
                <w14:textFill>
                  <w14:solidFill>
                    <w14:schemeClr w14:val="tx1"/>
                  </w14:solidFill>
                </w14:textFill>
              </w:rPr>
              <w:t>：</w:t>
            </w:r>
            <w:r>
              <w:rPr>
                <w:rFonts w:hint="default" w:ascii="Times New Roman" w:hAnsi="Times New Roman" w:cs="Times New Roman"/>
                <w:color w:val="000000" w:themeColor="text1"/>
                <w:sz w:val="24"/>
                <w:szCs w:val="32"/>
                <w:highlight w:val="none"/>
                <w:lang w:val="en-US" w:eastAsia="zh-CN"/>
                <w14:textFill>
                  <w14:solidFill>
                    <w14:schemeClr w14:val="tx1"/>
                  </w14:solidFill>
                </w14:textFill>
              </w:rPr>
              <w:t>冶金装备类，冷热轧深加工装备类，节能环保装备类，汽车及轨道交通装备等。</w:t>
            </w:r>
          </w:p>
          <w:p w14:paraId="642F356D">
            <w:pPr>
              <w:widowControl/>
              <w:spacing w:line="360" w:lineRule="auto"/>
              <w:ind w:firstLine="480" w:firstLineChars="200"/>
              <w:jc w:val="left"/>
              <w:rPr>
                <w:rFonts w:hint="default" w:ascii="Times New Roman" w:hAnsi="Times New Roman" w:cs="Times New Roman"/>
                <w:color w:val="000000" w:themeColor="text1"/>
                <w:sz w:val="24"/>
                <w:szCs w:val="32"/>
                <w:highlight w:val="none"/>
                <w14:textFill>
                  <w14:solidFill>
                    <w14:schemeClr w14:val="tx1"/>
                  </w14:solidFill>
                </w14:textFill>
              </w:rPr>
            </w:pPr>
            <w:r>
              <w:rPr>
                <w:rFonts w:hint="default" w:ascii="Times New Roman" w:hAnsi="Times New Roman" w:cs="Times New Roman"/>
                <w:color w:val="000000" w:themeColor="text1"/>
                <w:sz w:val="24"/>
                <w:szCs w:val="32"/>
                <w:highlight w:val="none"/>
                <w:lang w:val="en-US" w:eastAsia="zh-CN"/>
                <w14:textFill>
                  <w14:solidFill>
                    <w14:schemeClr w14:val="tx1"/>
                  </w14:solidFill>
                </w14:textFill>
              </w:rPr>
              <w:t>资源深加工及固废综合利用产业</w:t>
            </w:r>
            <w:r>
              <w:rPr>
                <w:rFonts w:hint="eastAsia" w:cs="Times New Roman"/>
                <w:color w:val="000000" w:themeColor="text1"/>
                <w:sz w:val="24"/>
                <w:szCs w:val="32"/>
                <w:highlight w:val="none"/>
                <w:lang w:val="en-US" w:eastAsia="zh-CN"/>
                <w14:textFill>
                  <w14:solidFill>
                    <w14:schemeClr w14:val="tx1"/>
                  </w14:solidFill>
                </w14:textFill>
              </w:rPr>
              <w:t>：</w:t>
            </w:r>
            <w:r>
              <w:rPr>
                <w:rFonts w:hint="default" w:ascii="Times New Roman" w:hAnsi="Times New Roman" w:cs="Times New Roman"/>
                <w:color w:val="000000" w:themeColor="text1"/>
                <w:sz w:val="24"/>
                <w:szCs w:val="32"/>
                <w:highlight w:val="none"/>
                <w:lang w:val="en-US" w:eastAsia="zh-CN"/>
                <w14:textFill>
                  <w14:solidFill>
                    <w14:schemeClr w14:val="tx1"/>
                  </w14:solidFill>
                </w14:textFill>
              </w:rPr>
              <w:t>主要包括工业固废综合利用类和再生资源回收利用类，以及稀土荧光新材料和氢氧化钙、碳酸钙等新材料类。其中工业固废以钢渣、尾矿、煤矸石的综合利用，冶金烟尘灰的回收利用为主，再生资源回收利用类以废钢综合利用、废塑料、废橡胶、废纸回收利用、生活垃圾、污泥回收利用、以及新型干法水泥窑企业协同处置城市生活垃圾为主。</w:t>
            </w:r>
          </w:p>
          <w:p w14:paraId="018BDC92">
            <w:pPr>
              <w:widowControl/>
              <w:spacing w:line="360" w:lineRule="auto"/>
              <w:ind w:firstLine="480" w:firstLineChars="200"/>
              <w:jc w:val="left"/>
              <w:rPr>
                <w:rFonts w:hint="default" w:ascii="Times New Roman" w:hAnsi="Times New Roman" w:cs="Times New Roman"/>
                <w:color w:val="000000" w:themeColor="text1"/>
                <w:sz w:val="24"/>
                <w:szCs w:val="32"/>
                <w:highlight w:val="none"/>
                <w14:textFill>
                  <w14:solidFill>
                    <w14:schemeClr w14:val="tx1"/>
                  </w14:solidFill>
                </w14:textFill>
              </w:rPr>
            </w:pPr>
            <w:r>
              <w:rPr>
                <w:rFonts w:hint="default" w:ascii="Times New Roman" w:hAnsi="Times New Roman" w:cs="Times New Roman"/>
                <w:color w:val="000000" w:themeColor="text1"/>
                <w:sz w:val="24"/>
                <w:szCs w:val="32"/>
                <w:highlight w:val="none"/>
                <w:lang w:val="en-US" w:eastAsia="zh-CN"/>
                <w14:textFill>
                  <w14:solidFill>
                    <w14:schemeClr w14:val="tx1"/>
                  </w14:solidFill>
                </w14:textFill>
              </w:rPr>
              <w:t>商贸物流及现代服务业</w:t>
            </w:r>
            <w:r>
              <w:rPr>
                <w:rFonts w:hint="eastAsia" w:cs="Times New Roman"/>
                <w:color w:val="000000" w:themeColor="text1"/>
                <w:sz w:val="24"/>
                <w:szCs w:val="32"/>
                <w:highlight w:val="none"/>
                <w:lang w:val="en-US" w:eastAsia="zh-CN"/>
                <w14:textFill>
                  <w14:solidFill>
                    <w14:schemeClr w14:val="tx1"/>
                  </w14:solidFill>
                </w14:textFill>
              </w:rPr>
              <w:t>：</w:t>
            </w:r>
            <w:r>
              <w:rPr>
                <w:rFonts w:hint="default" w:ascii="Times New Roman" w:hAnsi="Times New Roman" w:cs="Times New Roman"/>
                <w:color w:val="000000" w:themeColor="text1"/>
                <w:sz w:val="24"/>
                <w:szCs w:val="32"/>
                <w:highlight w:val="none"/>
                <w:lang w:val="en-US" w:eastAsia="zh-CN"/>
                <w14:textFill>
                  <w14:solidFill>
                    <w14:schemeClr w14:val="tx1"/>
                  </w14:solidFill>
                </w14:textFill>
              </w:rPr>
              <w:t>包括汽车贸易、废钢贸易、建材贸易、电子商务、再生资源回收贸易，以及各类技术平台、检测平台等。</w:t>
            </w:r>
          </w:p>
          <w:p w14:paraId="5F862CCE">
            <w:pPr>
              <w:widowControl/>
              <w:spacing w:line="360" w:lineRule="auto"/>
              <w:ind w:firstLine="480" w:firstLineChars="200"/>
              <w:jc w:val="left"/>
              <w:rPr>
                <w:rFonts w:hint="default" w:ascii="Times New Roman" w:hAnsi="Times New Roman" w:cs="Times New Roman"/>
                <w:color w:val="000000" w:themeColor="text1"/>
                <w:sz w:val="24"/>
                <w:szCs w:val="32"/>
                <w:highlight w:val="none"/>
                <w14:textFill>
                  <w14:solidFill>
                    <w14:schemeClr w14:val="tx1"/>
                  </w14:solidFill>
                </w14:textFill>
              </w:rPr>
            </w:pPr>
            <w:r>
              <w:rPr>
                <w:rFonts w:hint="default" w:ascii="Times New Roman" w:hAnsi="Times New Roman" w:cs="Times New Roman"/>
                <w:color w:val="000000" w:themeColor="text1"/>
                <w:sz w:val="24"/>
                <w:szCs w:val="32"/>
                <w:highlight w:val="none"/>
                <w:lang w:val="en-US" w:eastAsia="zh-CN"/>
                <w14:textFill>
                  <w14:solidFill>
                    <w14:schemeClr w14:val="tx1"/>
                  </w14:solidFill>
                </w14:textFill>
              </w:rPr>
              <w:t>本项目位于本溪湖经济开发区郑家2号地块；本项目为</w:t>
            </w:r>
            <w:r>
              <w:rPr>
                <w:rFonts w:hint="eastAsia" w:cs="Times New Roman"/>
                <w:color w:val="000000" w:themeColor="text1"/>
                <w:sz w:val="24"/>
                <w:szCs w:val="32"/>
                <w:highlight w:val="none"/>
                <w:lang w:val="en-US" w:eastAsia="zh-CN"/>
                <w14:textFill>
                  <w14:solidFill>
                    <w14:schemeClr w14:val="tx1"/>
                  </w14:solidFill>
                </w14:textFill>
              </w:rPr>
              <w:t>危险废物治理</w:t>
            </w:r>
            <w:r>
              <w:rPr>
                <w:rFonts w:hint="default" w:ascii="Times New Roman" w:hAnsi="Times New Roman" w:cs="Times New Roman"/>
                <w:color w:val="000000" w:themeColor="text1"/>
                <w:sz w:val="24"/>
                <w:szCs w:val="32"/>
                <w:highlight w:val="none"/>
                <w:lang w:val="en-US" w:eastAsia="zh-CN"/>
                <w14:textFill>
                  <w14:solidFill>
                    <w14:schemeClr w14:val="tx1"/>
                  </w14:solidFill>
                </w14:textFill>
              </w:rPr>
              <w:t>项目符合本溪湖经济开发区资源深加工及固废综合利用产业，符合本溪湖经济开发区规划要求。</w:t>
            </w:r>
          </w:p>
          <w:p w14:paraId="3A3C428E">
            <w:pPr>
              <w:widowControl/>
              <w:spacing w:line="360" w:lineRule="auto"/>
              <w:ind w:firstLine="480" w:firstLineChars="200"/>
              <w:jc w:val="left"/>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auto"/>
                <w:sz w:val="24"/>
                <w:szCs w:val="32"/>
                <w:highlight w:val="none"/>
                <w:lang w:val="en-US" w:eastAsia="zh-CN"/>
              </w:rPr>
              <w:t>本项目为</w:t>
            </w:r>
            <w:r>
              <w:rPr>
                <w:rFonts w:hint="eastAsia" w:cs="Times New Roman"/>
                <w:color w:val="auto"/>
                <w:sz w:val="24"/>
                <w:szCs w:val="32"/>
                <w:highlight w:val="none"/>
                <w:lang w:val="en-US" w:eastAsia="zh-CN"/>
              </w:rPr>
              <w:t>危险废物治理</w:t>
            </w:r>
            <w:r>
              <w:rPr>
                <w:rFonts w:hint="default" w:ascii="Times New Roman" w:hAnsi="Times New Roman" w:cs="Times New Roman"/>
                <w:color w:val="auto"/>
                <w:sz w:val="24"/>
                <w:szCs w:val="32"/>
                <w:highlight w:val="none"/>
                <w:lang w:val="en-US" w:eastAsia="zh-CN"/>
              </w:rPr>
              <w:t>项目，不属于《本溪湖经济开发区总体规划环境影响报告书》的园区环境准入负面清单禁止类和限制类项目，符合规划环评要求。</w:t>
            </w:r>
          </w:p>
        </w:tc>
      </w:tr>
      <w:tr w14:paraId="0F0034F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727" w:type="dxa"/>
            <w:vAlign w:val="center"/>
          </w:tcPr>
          <w:p w14:paraId="0BC37CF5">
            <w:pPr>
              <w:autoSpaceDE w:val="0"/>
              <w:autoSpaceDN w:val="0"/>
              <w:adjustRightInd w:val="0"/>
              <w:snapToGrid w:val="0"/>
              <w:jc w:val="center"/>
              <w:rPr>
                <w:rFonts w:hint="default" w:ascii="Times New Roman" w:hAnsi="Times New Roman" w:cs="Times New Roman"/>
                <w:color w:val="000000" w:themeColor="text1"/>
                <w:kern w:val="0"/>
                <w:sz w:val="24"/>
                <w:highlight w:val="none"/>
                <w14:textFill>
                  <w14:solidFill>
                    <w14:schemeClr w14:val="tx1"/>
                  </w14:solidFill>
                </w14:textFill>
              </w:rPr>
            </w:pPr>
            <w:r>
              <w:rPr>
                <w:rFonts w:hint="default" w:ascii="Times New Roman" w:hAnsi="Times New Roman" w:cs="Times New Roman"/>
                <w:color w:val="000000" w:themeColor="text1"/>
                <w:kern w:val="0"/>
                <w:sz w:val="24"/>
                <w:highlight w:val="none"/>
                <w14:textFill>
                  <w14:solidFill>
                    <w14:schemeClr w14:val="tx1"/>
                  </w14:solidFill>
                </w14:textFill>
              </w:rPr>
              <w:t>其他符合性分析</w:t>
            </w:r>
          </w:p>
        </w:tc>
        <w:tc>
          <w:tcPr>
            <w:tcW w:w="7143" w:type="dxa"/>
            <w:gridSpan w:val="4"/>
            <w:vAlign w:val="center"/>
          </w:tcPr>
          <w:p w14:paraId="06D548F9">
            <w:pPr>
              <w:numPr>
                <w:ilvl w:val="0"/>
                <w:numId w:val="1"/>
              </w:numPr>
              <w:autoSpaceDE w:val="0"/>
              <w:autoSpaceDN w:val="0"/>
              <w:adjustRightInd w:val="0"/>
              <w:snapToGrid w:val="0"/>
              <w:spacing w:line="360" w:lineRule="auto"/>
              <w:rPr>
                <w:rFonts w:hint="default" w:ascii="Times New Roman" w:hAnsi="Times New Roman" w:cs="Times New Roman"/>
                <w:b/>
                <w:color w:val="000000" w:themeColor="text1"/>
                <w:kern w:val="0"/>
                <w:sz w:val="24"/>
                <w:highlight w:val="none"/>
                <w14:textFill>
                  <w14:solidFill>
                    <w14:schemeClr w14:val="tx1"/>
                  </w14:solidFill>
                </w14:textFill>
              </w:rPr>
            </w:pPr>
            <w:r>
              <w:rPr>
                <w:rFonts w:hint="default" w:ascii="Times New Roman" w:hAnsi="Times New Roman" w:cs="Times New Roman"/>
                <w:b/>
                <w:color w:val="000000" w:themeColor="text1"/>
                <w:kern w:val="0"/>
                <w:sz w:val="24"/>
                <w:highlight w:val="none"/>
                <w14:textFill>
                  <w14:solidFill>
                    <w14:schemeClr w14:val="tx1"/>
                  </w14:solidFill>
                </w14:textFill>
              </w:rPr>
              <w:t>产业政策相符性分析</w:t>
            </w:r>
          </w:p>
          <w:p w14:paraId="2BB1097B">
            <w:pPr>
              <w:pStyle w:val="68"/>
              <w:ind w:firstLine="48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本项目</w:t>
            </w:r>
            <w:r>
              <w:rPr>
                <w:rFonts w:hint="default" w:ascii="Times New Roman" w:hAnsi="Times New Roman" w:cs="Times New Roman"/>
                <w:color w:val="000000" w:themeColor="text1"/>
                <w:szCs w:val="32"/>
                <w:highlight w:val="none"/>
                <w14:textFill>
                  <w14:solidFill>
                    <w14:schemeClr w14:val="tx1"/>
                  </w14:solidFill>
                </w14:textFill>
              </w:rPr>
              <w:t>为</w:t>
            </w:r>
            <w:r>
              <w:rPr>
                <w:rFonts w:hint="eastAsia" w:cs="Times New Roman"/>
                <w:color w:val="auto"/>
                <w:szCs w:val="32"/>
                <w:highlight w:val="none"/>
                <w:lang w:val="en-US" w:eastAsia="zh-CN"/>
              </w:rPr>
              <w:t>危险废物收集储存项目</w:t>
            </w:r>
            <w:r>
              <w:rPr>
                <w:rFonts w:hint="default" w:ascii="Times New Roman" w:hAnsi="Times New Roman" w:cs="Times New Roman"/>
                <w:color w:val="000000" w:themeColor="text1"/>
                <w:highlight w:val="none"/>
                <w14:textFill>
                  <w14:solidFill>
                    <w14:schemeClr w14:val="tx1"/>
                  </w14:solidFill>
                </w14:textFill>
              </w:rPr>
              <w:t>，结合《产业结构调整指导目录（2019年本）》，项目</w:t>
            </w:r>
            <w:r>
              <w:rPr>
                <w:rFonts w:hint="eastAsia" w:cs="Times New Roman"/>
                <w:color w:val="000000" w:themeColor="text1"/>
                <w:highlight w:val="none"/>
                <w:lang w:val="en-US" w:eastAsia="zh-CN"/>
                <w14:textFill>
                  <w14:solidFill>
                    <w14:schemeClr w14:val="tx1"/>
                  </w14:solidFill>
                </w14:textFill>
              </w:rPr>
              <w:t>不</w:t>
            </w:r>
            <w:r>
              <w:rPr>
                <w:rFonts w:hint="default" w:ascii="Times New Roman" w:hAnsi="Times New Roman" w:cs="Times New Roman"/>
                <w:color w:val="000000" w:themeColor="text1"/>
                <w:highlight w:val="none"/>
                <w14:textFill>
                  <w14:solidFill>
                    <w14:schemeClr w14:val="tx1"/>
                  </w14:solidFill>
                </w14:textFill>
              </w:rPr>
              <w:t>属</w:t>
            </w:r>
            <w:r>
              <w:rPr>
                <w:rFonts w:hint="eastAsia" w:cs="Times New Roman"/>
                <w:color w:val="000000" w:themeColor="text1"/>
                <w:highlight w:val="none"/>
                <w:lang w:val="en-US" w:eastAsia="zh-CN"/>
                <w14:textFill>
                  <w14:solidFill>
                    <w14:schemeClr w14:val="tx1"/>
                  </w14:solidFill>
                </w14:textFill>
              </w:rPr>
              <w:t>于</w:t>
            </w:r>
            <w:r>
              <w:rPr>
                <w:rFonts w:hint="default" w:ascii="Times New Roman" w:hAnsi="Times New Roman" w:cs="Times New Roman"/>
                <w:color w:val="000000" w:themeColor="text1"/>
                <w:highlight w:val="none"/>
                <w14:textFill>
                  <w14:solidFill>
                    <w14:schemeClr w14:val="tx1"/>
                  </w14:solidFill>
                </w14:textFill>
              </w:rPr>
              <w:t>其中“鼓励类”</w:t>
            </w:r>
            <w:r>
              <w:rPr>
                <w:rFonts w:hint="eastAsia" w:cs="Times New Roman"/>
                <w:color w:val="000000" w:themeColor="text1"/>
                <w:highlight w:val="none"/>
                <w:lang w:eastAsia="zh-CN"/>
                <w14:textFill>
                  <w14:solidFill>
                    <w14:schemeClr w14:val="tx1"/>
                  </w14:solidFill>
                </w14:textFill>
              </w:rPr>
              <w:t>、“</w:t>
            </w:r>
            <w:r>
              <w:rPr>
                <w:rFonts w:hint="eastAsia" w:cs="Times New Roman"/>
                <w:color w:val="000000" w:themeColor="text1"/>
                <w:highlight w:val="none"/>
                <w:lang w:val="en-US" w:eastAsia="zh-CN"/>
                <w14:textFill>
                  <w14:solidFill>
                    <w14:schemeClr w14:val="tx1"/>
                  </w14:solidFill>
                </w14:textFill>
              </w:rPr>
              <w:t>限制类</w:t>
            </w:r>
            <w:r>
              <w:rPr>
                <w:rFonts w:hint="eastAsia" w:cs="Times New Roman"/>
                <w:color w:val="000000" w:themeColor="text1"/>
                <w:highlight w:val="none"/>
                <w:lang w:eastAsia="zh-CN"/>
                <w14:textFill>
                  <w14:solidFill>
                    <w14:schemeClr w14:val="tx1"/>
                  </w14:solidFill>
                </w14:textFill>
              </w:rPr>
              <w:t>”、“</w:t>
            </w:r>
            <w:r>
              <w:rPr>
                <w:rFonts w:hint="eastAsia" w:cs="Times New Roman"/>
                <w:color w:val="000000" w:themeColor="text1"/>
                <w:highlight w:val="none"/>
                <w:lang w:val="en-US" w:eastAsia="zh-CN"/>
                <w14:textFill>
                  <w14:solidFill>
                    <w14:schemeClr w14:val="tx1"/>
                  </w14:solidFill>
                </w14:textFill>
              </w:rPr>
              <w:t>淘汰类</w:t>
            </w:r>
            <w:r>
              <w:rPr>
                <w:rFonts w:hint="eastAsia" w:cs="Times New Roman"/>
                <w:color w:val="000000" w:themeColor="text1"/>
                <w:highlight w:val="none"/>
                <w:lang w:eastAsia="zh-CN"/>
                <w14:textFill>
                  <w14:solidFill>
                    <w14:schemeClr w14:val="tx1"/>
                  </w14:solidFill>
                </w14:textFill>
              </w:rPr>
              <w:t>”</w:t>
            </w:r>
            <w:r>
              <w:rPr>
                <w:rFonts w:hint="default" w:ascii="Times New Roman" w:hAnsi="Times New Roman" w:cs="Times New Roman"/>
                <w:color w:val="000000" w:themeColor="text1"/>
                <w:highlight w:val="none"/>
                <w14:textFill>
                  <w14:solidFill>
                    <w14:schemeClr w14:val="tx1"/>
                  </w14:solidFill>
                </w14:textFill>
              </w:rPr>
              <w:t>，</w:t>
            </w:r>
            <w:r>
              <w:rPr>
                <w:rFonts w:hint="eastAsia" w:cs="Times New Roman"/>
                <w:color w:val="000000" w:themeColor="text1"/>
                <w:highlight w:val="none"/>
                <w:lang w:val="en-US" w:eastAsia="zh-CN"/>
                <w14:textFill>
                  <w14:solidFill>
                    <w14:schemeClr w14:val="tx1"/>
                  </w14:solidFill>
                </w14:textFill>
              </w:rPr>
              <w:t>属于“允许类”项目，</w:t>
            </w:r>
            <w:r>
              <w:rPr>
                <w:rFonts w:hint="default" w:ascii="Times New Roman" w:hAnsi="Times New Roman" w:cs="Times New Roman"/>
                <w:color w:val="000000" w:themeColor="text1"/>
                <w:highlight w:val="none"/>
                <w14:textFill>
                  <w14:solidFill>
                    <w14:schemeClr w14:val="tx1"/>
                  </w14:solidFill>
                </w14:textFill>
              </w:rPr>
              <w:t>符合国家现行产业政策。</w:t>
            </w:r>
          </w:p>
          <w:p w14:paraId="6309656C">
            <w:pPr>
              <w:numPr>
                <w:ilvl w:val="0"/>
                <w:numId w:val="1"/>
              </w:numPr>
              <w:autoSpaceDE w:val="0"/>
              <w:autoSpaceDN w:val="0"/>
              <w:adjustRightInd w:val="0"/>
              <w:snapToGrid w:val="0"/>
              <w:spacing w:line="360" w:lineRule="auto"/>
              <w:rPr>
                <w:rFonts w:hint="default" w:ascii="Times New Roman" w:hAnsi="Times New Roman" w:cs="Times New Roman"/>
                <w:b/>
                <w:color w:val="000000" w:themeColor="text1"/>
                <w:kern w:val="0"/>
                <w:sz w:val="24"/>
                <w:highlight w:val="none"/>
                <w14:textFill>
                  <w14:solidFill>
                    <w14:schemeClr w14:val="tx1"/>
                  </w14:solidFill>
                </w14:textFill>
              </w:rPr>
            </w:pPr>
            <w:r>
              <w:rPr>
                <w:rFonts w:hint="default" w:ascii="Times New Roman" w:hAnsi="Times New Roman" w:cs="Times New Roman"/>
                <w:b/>
                <w:color w:val="000000" w:themeColor="text1"/>
                <w:kern w:val="0"/>
                <w:sz w:val="24"/>
                <w:highlight w:val="none"/>
                <w14:textFill>
                  <w14:solidFill>
                    <w14:schemeClr w14:val="tx1"/>
                  </w14:solidFill>
                </w14:textFill>
              </w:rPr>
              <w:t>选址合理性分析</w:t>
            </w:r>
          </w:p>
          <w:p w14:paraId="1DAD79A9">
            <w:pPr>
              <w:pStyle w:val="68"/>
              <w:ind w:firstLine="48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本项目位于</w:t>
            </w:r>
            <w:r>
              <w:rPr>
                <w:rFonts w:hint="default" w:ascii="Times New Roman" w:hAnsi="Times New Roman" w:cs="Times New Roman"/>
                <w:color w:val="000000" w:themeColor="text1"/>
                <w:sz w:val="24"/>
                <w:highlight w:val="none"/>
                <w14:textFill>
                  <w14:solidFill>
                    <w14:schemeClr w14:val="tx1"/>
                  </w14:solidFill>
                </w14:textFill>
              </w:rPr>
              <w:t>辽宁省</w:t>
            </w:r>
            <w:r>
              <w:rPr>
                <w:rFonts w:hint="eastAsia" w:cs="Times New Roman"/>
                <w:color w:val="000000" w:themeColor="text1"/>
                <w:sz w:val="24"/>
                <w:highlight w:val="none"/>
                <w:lang w:val="en-US" w:eastAsia="zh-CN"/>
                <w14:textFill>
                  <w14:solidFill>
                    <w14:schemeClr w14:val="tx1"/>
                  </w14:solidFill>
                </w14:textFill>
              </w:rPr>
              <w:t>本溪市溪湖区郑家建材龙山街</w:t>
            </w:r>
            <w:r>
              <w:rPr>
                <w:rFonts w:hint="default" w:ascii="Times New Roman" w:hAnsi="Times New Roman" w:cs="Times New Roman"/>
                <w:color w:val="000000" w:themeColor="text1"/>
                <w:highlight w:val="none"/>
                <w14:textFill>
                  <w14:solidFill>
                    <w14:schemeClr w14:val="tx1"/>
                  </w14:solidFill>
                </w14:textFill>
              </w:rPr>
              <w:t>，用地性质为工业用地。本项目产品种类及规模、工艺技术、装备等均未列入《限制用地项目目录（2012年本）》和《禁止用地项目目录（2012年本）》。本项目评价范围内无自然保护区、文物古迹、风景名胜、饮用水源保护地等。</w:t>
            </w:r>
            <w:r>
              <w:rPr>
                <w:rFonts w:hint="eastAsia" w:cs="Times New Roman"/>
                <w:color w:val="000000" w:themeColor="text1"/>
                <w:highlight w:val="none"/>
                <w:lang w:val="en-US" w:eastAsia="zh-CN"/>
                <w14:textFill>
                  <w14:solidFill>
                    <w14:schemeClr w14:val="tx1"/>
                  </w14:solidFill>
                </w14:textFill>
              </w:rPr>
              <w:t>项目所在地周围均为工业企业，周边无居民区等环境敏感目标</w:t>
            </w:r>
            <w:r>
              <w:rPr>
                <w:rFonts w:hint="default" w:ascii="Times New Roman" w:hAnsi="Times New Roman" w:cs="Times New Roman"/>
                <w:color w:val="000000" w:themeColor="text1"/>
                <w:highlight w:val="none"/>
                <w14:textFill>
                  <w14:solidFill>
                    <w14:schemeClr w14:val="tx1"/>
                  </w14:solidFill>
                </w14:textFill>
              </w:rPr>
              <w:t>。该项目废气、噪声经治理后可做到达标排放，正常生产时无生产废水和固体废物产生，根据环境影响分析，该项目对周围环境影响较小。</w:t>
            </w:r>
          </w:p>
          <w:p w14:paraId="1B0ACC96">
            <w:pPr>
              <w:pStyle w:val="68"/>
              <w:ind w:firstLine="48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本项目所在地地质结构稳定，地震烈度不超过7度；暂存场底部高于地下水最高水位；不在溶洞区和易遭受严重自然灾害的地区。</w:t>
            </w:r>
            <w:r>
              <w:rPr>
                <w:rFonts w:hint="eastAsia" w:cs="Times New Roman"/>
                <w:color w:val="000000" w:themeColor="text1"/>
                <w:highlight w:val="none"/>
                <w:lang w:val="en-US" w:eastAsia="zh-CN"/>
                <w14:textFill>
                  <w14:solidFill>
                    <w14:schemeClr w14:val="tx1"/>
                  </w14:solidFill>
                </w14:textFill>
              </w:rPr>
              <w:t>项目厂址</w:t>
            </w:r>
            <w:r>
              <w:rPr>
                <w:rFonts w:hint="default" w:ascii="Times New Roman" w:hAnsi="Times New Roman" w:cs="Times New Roman"/>
                <w:color w:val="000000" w:themeColor="text1"/>
                <w:highlight w:val="none"/>
                <w14:textFill>
                  <w14:solidFill>
                    <w14:schemeClr w14:val="tx1"/>
                  </w14:solidFill>
                </w14:textFill>
              </w:rPr>
              <w:t>周边为闲置厂房及空地，无易燃、易爆等危险品仓库、高压输电线路；本项目</w:t>
            </w:r>
            <w:r>
              <w:rPr>
                <w:rFonts w:hint="eastAsia" w:cs="Times New Roman"/>
                <w:color w:val="000000" w:themeColor="text1"/>
                <w:highlight w:val="none"/>
                <w:lang w:val="en-US" w:eastAsia="zh-CN"/>
                <w14:textFill>
                  <w14:solidFill>
                    <w14:schemeClr w14:val="tx1"/>
                  </w14:solidFill>
                </w14:textFill>
              </w:rPr>
              <w:t>废矿物油储存车间</w:t>
            </w:r>
            <w:r>
              <w:rPr>
                <w:rFonts w:hint="default" w:ascii="Times New Roman" w:hAnsi="Times New Roman" w:cs="Times New Roman"/>
                <w:color w:val="000000" w:themeColor="text1"/>
                <w:highlight w:val="none"/>
                <w14:textFill>
                  <w14:solidFill>
                    <w14:schemeClr w14:val="tx1"/>
                  </w14:solidFill>
                </w14:textFill>
              </w:rPr>
              <w:t>地面采取防渗措施，</w:t>
            </w:r>
            <w:r>
              <w:rPr>
                <w:rFonts w:hint="eastAsia" w:cs="Times New Roman"/>
                <w:color w:val="000000" w:themeColor="text1"/>
                <w:highlight w:val="none"/>
                <w:lang w:val="en-US" w:eastAsia="zh-CN"/>
                <w14:textFill>
                  <w14:solidFill>
                    <w14:schemeClr w14:val="tx1"/>
                  </w14:solidFill>
                </w14:textFill>
              </w:rPr>
              <w:t>并</w:t>
            </w:r>
            <w:r>
              <w:rPr>
                <w:rFonts w:hint="default" w:ascii="Times New Roman" w:hAnsi="Times New Roman" w:cs="Times New Roman"/>
                <w:color w:val="000000" w:themeColor="text1"/>
                <w:highlight w:val="none"/>
                <w14:textFill>
                  <w14:solidFill>
                    <w14:schemeClr w14:val="tx1"/>
                  </w14:solidFill>
                </w14:textFill>
              </w:rPr>
              <w:t>设置废气净化装置，</w:t>
            </w:r>
            <w:r>
              <w:rPr>
                <w:rFonts w:hint="eastAsia" w:cs="Times New Roman"/>
                <w:color w:val="000000" w:themeColor="text1"/>
                <w:highlight w:val="none"/>
                <w:lang w:val="en-US" w:eastAsia="zh-CN"/>
                <w14:textFill>
                  <w14:solidFill>
                    <w14:schemeClr w14:val="tx1"/>
                  </w14:solidFill>
                </w14:textFill>
              </w:rPr>
              <w:t>废矿物油储存车间</w:t>
            </w:r>
            <w:r>
              <w:rPr>
                <w:rFonts w:hint="default" w:ascii="Times New Roman" w:hAnsi="Times New Roman" w:cs="Times New Roman"/>
                <w:color w:val="000000" w:themeColor="text1"/>
                <w:highlight w:val="none"/>
                <w14:textFill>
                  <w14:solidFill>
                    <w14:schemeClr w14:val="tx1"/>
                  </w14:solidFill>
                </w14:textFill>
              </w:rPr>
              <w:t>对周边环境影响较小。</w:t>
            </w:r>
          </w:p>
          <w:p w14:paraId="59B6DFB8">
            <w:pPr>
              <w:pStyle w:val="68"/>
              <w:ind w:firstLine="480"/>
              <w:rPr>
                <w:rFonts w:hint="default" w:ascii="Times New Roman" w:hAnsi="Times New Roman" w:cs="Times New Roman"/>
                <w:color w:val="000000" w:themeColor="text1"/>
                <w:sz w:val="24"/>
                <w:szCs w:val="32"/>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因此，本项目选址符合《危险废物贮存污染控制标准》（18597-2001）及其修改单要求，同时也满足《</w:t>
            </w:r>
            <w:r>
              <w:rPr>
                <w:rFonts w:hint="eastAsia" w:cs="Times New Roman"/>
                <w:color w:val="000000" w:themeColor="text1"/>
                <w:highlight w:val="none"/>
                <w:lang w:val="en-US" w:eastAsia="zh-CN"/>
                <w14:textFill>
                  <w14:solidFill>
                    <w14:schemeClr w14:val="tx1"/>
                  </w14:solidFill>
                </w14:textFill>
              </w:rPr>
              <w:t>本溪湖经济开发区总体规划</w:t>
            </w:r>
            <w:r>
              <w:rPr>
                <w:rFonts w:hint="default" w:ascii="Times New Roman" w:hAnsi="Times New Roman" w:cs="Times New Roman"/>
                <w:color w:val="000000" w:themeColor="text1"/>
                <w:highlight w:val="none"/>
                <w14:textFill>
                  <w14:solidFill>
                    <w14:schemeClr w14:val="tx1"/>
                  </w14:solidFill>
                </w14:textFill>
              </w:rPr>
              <w:t>》要求，项目选址合理。</w:t>
            </w:r>
          </w:p>
          <w:p w14:paraId="211DD6C3">
            <w:pPr>
              <w:numPr>
                <w:ilvl w:val="0"/>
                <w:numId w:val="1"/>
              </w:numPr>
              <w:autoSpaceDE w:val="0"/>
              <w:autoSpaceDN w:val="0"/>
              <w:adjustRightInd w:val="0"/>
              <w:snapToGrid w:val="0"/>
              <w:spacing w:line="360" w:lineRule="auto"/>
              <w:rPr>
                <w:rFonts w:hint="default" w:ascii="Times New Roman" w:hAnsi="Times New Roman" w:cs="Times New Roman"/>
                <w:color w:val="000000" w:themeColor="text1"/>
                <w:kern w:val="0"/>
                <w:sz w:val="24"/>
                <w:highlight w:val="none"/>
                <w14:textFill>
                  <w14:solidFill>
                    <w14:schemeClr w14:val="tx1"/>
                  </w14:solidFill>
                </w14:textFill>
              </w:rPr>
            </w:pPr>
            <w:r>
              <w:rPr>
                <w:rFonts w:hint="default" w:ascii="Times New Roman" w:hAnsi="Times New Roman" w:cs="Times New Roman"/>
                <w:b/>
                <w:color w:val="000000" w:themeColor="text1"/>
                <w:sz w:val="24"/>
                <w:highlight w:val="none"/>
                <w14:textFill>
                  <w14:solidFill>
                    <w14:schemeClr w14:val="tx1"/>
                  </w14:solidFill>
                </w14:textFill>
              </w:rPr>
              <w:t>“气十条”、“水十条”、“土十条”相符性分析</w:t>
            </w:r>
          </w:p>
          <w:p w14:paraId="1A85C9B4">
            <w:pPr>
              <w:pStyle w:val="68"/>
              <w:ind w:firstLine="480"/>
              <w:rPr>
                <w:rFonts w:hint="default" w:ascii="Times New Roman" w:hAnsi="Times New Roman" w:cs="Times New Roman"/>
                <w:color w:val="000000" w:themeColor="text1"/>
                <w:sz w:val="22"/>
                <w:highlight w:val="none"/>
                <w:shd w:val="clear" w:color="auto" w:fill="FFFFFF"/>
                <w14:textFill>
                  <w14:solidFill>
                    <w14:schemeClr w14:val="tx1"/>
                  </w14:solidFill>
                </w14:textFill>
              </w:rPr>
            </w:pPr>
            <w:r>
              <w:rPr>
                <w:rFonts w:hint="default" w:ascii="Times New Roman" w:hAnsi="Times New Roman" w:cs="Times New Roman"/>
                <w:color w:val="000000" w:themeColor="text1"/>
                <w:highlight w:val="none"/>
                <w:shd w:val="clear" w:color="auto" w:fill="FFFFFF"/>
                <w14:textFill>
                  <w14:solidFill>
                    <w14:schemeClr w14:val="tx1"/>
                  </w14:solidFill>
                </w14:textFill>
              </w:rPr>
              <w:t>根据</w:t>
            </w:r>
            <w:r>
              <w:rPr>
                <w:rFonts w:hint="default" w:ascii="Times New Roman" w:hAnsi="Times New Roman" w:cs="Times New Roman"/>
                <w:color w:val="000000" w:themeColor="text1"/>
                <w:highlight w:val="none"/>
                <w14:textFill>
                  <w14:solidFill>
                    <w14:schemeClr w14:val="tx1"/>
                  </w14:solidFill>
                </w14:textFill>
              </w:rPr>
              <w:t>企业现状，分析本项目</w:t>
            </w:r>
            <w:r>
              <w:rPr>
                <w:rFonts w:hint="default" w:ascii="Times New Roman" w:hAnsi="Times New Roman" w:cs="Times New Roman"/>
                <w:color w:val="000000" w:themeColor="text1"/>
                <w:highlight w:val="none"/>
                <w:shd w:val="clear" w:color="auto" w:fill="FFFFFF"/>
                <w14:textFill>
                  <w14:solidFill>
                    <w14:schemeClr w14:val="tx1"/>
                  </w14:solidFill>
                </w14:textFill>
              </w:rPr>
              <w:t>“气十条”</w:t>
            </w:r>
            <w:r>
              <w:rPr>
                <w:rFonts w:hint="default" w:ascii="Times New Roman" w:hAnsi="Times New Roman" w:cs="Times New Roman"/>
                <w:color w:val="000000" w:themeColor="text1"/>
                <w:highlight w:val="none"/>
                <w14:textFill>
                  <w14:solidFill>
                    <w14:schemeClr w14:val="tx1"/>
                  </w14:solidFill>
                </w14:textFill>
              </w:rPr>
              <w:t>、</w:t>
            </w:r>
            <w:r>
              <w:rPr>
                <w:rFonts w:hint="default" w:ascii="Times New Roman" w:hAnsi="Times New Roman" w:cs="Times New Roman"/>
                <w:color w:val="000000" w:themeColor="text1"/>
                <w:highlight w:val="none"/>
                <w:shd w:val="clear" w:color="auto" w:fill="FFFFFF"/>
                <w14:textFill>
                  <w14:solidFill>
                    <w14:schemeClr w14:val="tx1"/>
                  </w14:solidFill>
                </w14:textFill>
              </w:rPr>
              <w:t>“水十条”和“土十条”</w:t>
            </w:r>
            <w:r>
              <w:rPr>
                <w:rFonts w:hint="default" w:ascii="Times New Roman" w:hAnsi="Times New Roman" w:cs="Times New Roman"/>
                <w:color w:val="000000" w:themeColor="text1"/>
                <w:highlight w:val="none"/>
                <w14:textFill>
                  <w14:solidFill>
                    <w14:schemeClr w14:val="tx1"/>
                  </w14:solidFill>
                </w14:textFill>
              </w:rPr>
              <w:t>相符性情况，如表1-</w:t>
            </w:r>
            <w:r>
              <w:rPr>
                <w:rFonts w:hint="eastAsia" w:cs="Times New Roman"/>
                <w:color w:val="000000" w:themeColor="text1"/>
                <w:highlight w:val="none"/>
                <w:lang w:val="en-US" w:eastAsia="zh-CN"/>
                <w14:textFill>
                  <w14:solidFill>
                    <w14:schemeClr w14:val="tx1"/>
                  </w14:solidFill>
                </w14:textFill>
              </w:rPr>
              <w:t>1</w:t>
            </w:r>
            <w:r>
              <w:rPr>
                <w:rFonts w:hint="default" w:ascii="Times New Roman" w:hAnsi="Times New Roman" w:cs="Times New Roman"/>
                <w:color w:val="000000" w:themeColor="text1"/>
                <w:highlight w:val="none"/>
                <w14:textFill>
                  <w14:solidFill>
                    <w14:schemeClr w14:val="tx1"/>
                  </w14:solidFill>
                </w14:textFill>
              </w:rPr>
              <w:t>~表1-</w:t>
            </w:r>
            <w:r>
              <w:rPr>
                <w:rFonts w:hint="eastAsia" w:cs="Times New Roman"/>
                <w:color w:val="000000" w:themeColor="text1"/>
                <w:highlight w:val="none"/>
                <w:lang w:val="en-US" w:eastAsia="zh-CN"/>
                <w14:textFill>
                  <w14:solidFill>
                    <w14:schemeClr w14:val="tx1"/>
                  </w14:solidFill>
                </w14:textFill>
              </w:rPr>
              <w:t>3</w:t>
            </w:r>
            <w:r>
              <w:rPr>
                <w:rFonts w:hint="default" w:ascii="Times New Roman" w:hAnsi="Times New Roman" w:cs="Times New Roman"/>
                <w:color w:val="000000" w:themeColor="text1"/>
                <w:highlight w:val="none"/>
                <w14:textFill>
                  <w14:solidFill>
                    <w14:schemeClr w14:val="tx1"/>
                  </w14:solidFill>
                </w14:textFill>
              </w:rPr>
              <w:t>所示。</w:t>
            </w:r>
          </w:p>
          <w:p w14:paraId="07AC53B8">
            <w:pPr>
              <w:pStyle w:val="62"/>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表1-</w:t>
            </w:r>
            <w:r>
              <w:rPr>
                <w:rFonts w:hint="eastAsia" w:cs="Times New Roman"/>
                <w:color w:val="000000" w:themeColor="text1"/>
                <w:highlight w:val="none"/>
                <w:lang w:val="en-US" w:eastAsia="zh-CN"/>
                <w14:textFill>
                  <w14:solidFill>
                    <w14:schemeClr w14:val="tx1"/>
                  </w14:solidFill>
                </w14:textFill>
              </w:rPr>
              <w:t>1</w:t>
            </w:r>
            <w:r>
              <w:rPr>
                <w:rFonts w:hint="default" w:ascii="Times New Roman" w:hAnsi="Times New Roman" w:cs="Times New Roman"/>
                <w:color w:val="000000" w:themeColor="text1"/>
                <w:highlight w:val="none"/>
                <w14:textFill>
                  <w14:solidFill>
                    <w14:schemeClr w14:val="tx1"/>
                  </w14:solidFill>
                </w14:textFill>
              </w:rPr>
              <w:t xml:space="preserve">    项目与“气十条”符合性分析一览表</w:t>
            </w:r>
          </w:p>
          <w:tbl>
            <w:tblPr>
              <w:tblStyle w:val="27"/>
              <w:tblW w:w="4997" w:type="pct"/>
              <w:jc w:val="center"/>
              <w:tblBorders>
                <w:top w:val="double" w:color="auto" w:sz="4" w:space="0"/>
                <w:left w:val="none" w:color="auto" w:sz="0" w:space="0"/>
                <w:bottom w:val="double" w:color="auto" w:sz="4" w:space="0"/>
                <w:right w:val="none" w:color="auto" w:sz="0" w:space="0"/>
                <w:insideH w:val="single" w:color="auto" w:sz="4" w:space="0"/>
                <w:insideV w:val="single" w:color="auto" w:sz="4" w:space="0"/>
              </w:tblBorders>
              <w:tblLayout w:type="autofit"/>
              <w:tblCellMar>
                <w:top w:w="0" w:type="dxa"/>
                <w:left w:w="0" w:type="dxa"/>
                <w:bottom w:w="0" w:type="dxa"/>
                <w:right w:w="0" w:type="dxa"/>
              </w:tblCellMar>
            </w:tblPr>
            <w:tblGrid>
              <w:gridCol w:w="898"/>
              <w:gridCol w:w="2664"/>
              <w:gridCol w:w="2480"/>
              <w:gridCol w:w="881"/>
            </w:tblGrid>
            <w:tr w14:paraId="592F73AC">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49" w:type="pct"/>
                  <w:vAlign w:val="center"/>
                </w:tcPr>
                <w:p w14:paraId="46C438B1">
                  <w:pPr>
                    <w:pStyle w:val="69"/>
                    <w:jc w:val="center"/>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编号</w:t>
                  </w:r>
                </w:p>
              </w:tc>
              <w:tc>
                <w:tcPr>
                  <w:tcW w:w="1923" w:type="pct"/>
                  <w:vAlign w:val="center"/>
                </w:tcPr>
                <w:p w14:paraId="10650038">
                  <w:pPr>
                    <w:pStyle w:val="69"/>
                    <w:jc w:val="center"/>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分析内容</w:t>
                  </w:r>
                </w:p>
              </w:tc>
              <w:tc>
                <w:tcPr>
                  <w:tcW w:w="1790" w:type="pct"/>
                  <w:vAlign w:val="center"/>
                </w:tcPr>
                <w:p w14:paraId="05BF1C56">
                  <w:pPr>
                    <w:pStyle w:val="69"/>
                    <w:jc w:val="center"/>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本项目情况</w:t>
                  </w:r>
                </w:p>
              </w:tc>
              <w:tc>
                <w:tcPr>
                  <w:tcW w:w="636" w:type="pct"/>
                  <w:vAlign w:val="center"/>
                </w:tcPr>
                <w:p w14:paraId="6540FD95">
                  <w:pPr>
                    <w:pStyle w:val="69"/>
                    <w:jc w:val="center"/>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分析结果</w:t>
                  </w:r>
                </w:p>
              </w:tc>
            </w:tr>
            <w:tr w14:paraId="1B496B70">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49" w:type="pct"/>
                  <w:vAlign w:val="center"/>
                </w:tcPr>
                <w:p w14:paraId="7C5D1881">
                  <w:pPr>
                    <w:pStyle w:val="69"/>
                    <w:jc w:val="center"/>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第一条</w:t>
                  </w:r>
                </w:p>
              </w:tc>
              <w:tc>
                <w:tcPr>
                  <w:tcW w:w="1923" w:type="pct"/>
                  <w:vAlign w:val="center"/>
                </w:tcPr>
                <w:p w14:paraId="6627EF85">
                  <w:pPr>
                    <w:pStyle w:val="69"/>
                    <w:jc w:val="center"/>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加大综合治理力度，减少污染物排放</w:t>
                  </w:r>
                </w:p>
              </w:tc>
              <w:tc>
                <w:tcPr>
                  <w:tcW w:w="1790" w:type="pct"/>
                  <w:vAlign w:val="center"/>
                </w:tcPr>
                <w:p w14:paraId="67E123AF">
                  <w:pPr>
                    <w:pStyle w:val="69"/>
                    <w:jc w:val="center"/>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不涉及</w:t>
                  </w:r>
                </w:p>
              </w:tc>
              <w:tc>
                <w:tcPr>
                  <w:tcW w:w="636" w:type="pct"/>
                  <w:vAlign w:val="center"/>
                </w:tcPr>
                <w:p w14:paraId="11BE2BCE">
                  <w:pPr>
                    <w:pStyle w:val="69"/>
                    <w:jc w:val="center"/>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符合</w:t>
                  </w:r>
                </w:p>
              </w:tc>
            </w:tr>
            <w:tr w14:paraId="2EE15B57">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49" w:type="pct"/>
                  <w:vAlign w:val="center"/>
                </w:tcPr>
                <w:p w14:paraId="20026BAC">
                  <w:pPr>
                    <w:pStyle w:val="69"/>
                    <w:jc w:val="center"/>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第二条</w:t>
                  </w:r>
                </w:p>
              </w:tc>
              <w:tc>
                <w:tcPr>
                  <w:tcW w:w="1923" w:type="pct"/>
                  <w:vAlign w:val="center"/>
                </w:tcPr>
                <w:p w14:paraId="1287DA08">
                  <w:pPr>
                    <w:pStyle w:val="69"/>
                    <w:jc w:val="center"/>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调整优化产业结构，推动产业转型升级</w:t>
                  </w:r>
                </w:p>
              </w:tc>
              <w:tc>
                <w:tcPr>
                  <w:tcW w:w="1790" w:type="pct"/>
                  <w:vAlign w:val="center"/>
                </w:tcPr>
                <w:p w14:paraId="5766F228">
                  <w:pPr>
                    <w:pStyle w:val="69"/>
                    <w:jc w:val="center"/>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不涉及</w:t>
                  </w:r>
                </w:p>
              </w:tc>
              <w:tc>
                <w:tcPr>
                  <w:tcW w:w="636" w:type="pct"/>
                  <w:vAlign w:val="center"/>
                </w:tcPr>
                <w:p w14:paraId="7309B71A">
                  <w:pPr>
                    <w:pStyle w:val="69"/>
                    <w:jc w:val="center"/>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符合</w:t>
                  </w:r>
                </w:p>
              </w:tc>
            </w:tr>
            <w:tr w14:paraId="35DF478A">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546" w:hRule="atLeast"/>
                <w:jc w:val="center"/>
              </w:trPr>
              <w:tc>
                <w:tcPr>
                  <w:tcW w:w="649" w:type="pct"/>
                  <w:vAlign w:val="center"/>
                </w:tcPr>
                <w:p w14:paraId="61D70D08">
                  <w:pPr>
                    <w:pStyle w:val="69"/>
                    <w:jc w:val="center"/>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第三条</w:t>
                  </w:r>
                </w:p>
              </w:tc>
              <w:tc>
                <w:tcPr>
                  <w:tcW w:w="1923" w:type="pct"/>
                  <w:vAlign w:val="center"/>
                </w:tcPr>
                <w:p w14:paraId="3555783B">
                  <w:pPr>
                    <w:pStyle w:val="69"/>
                    <w:jc w:val="center"/>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加快企业技术改造，提高科技创新能力</w:t>
                  </w:r>
                </w:p>
              </w:tc>
              <w:tc>
                <w:tcPr>
                  <w:tcW w:w="1790" w:type="pct"/>
                  <w:vAlign w:val="center"/>
                </w:tcPr>
                <w:p w14:paraId="6093A4B8">
                  <w:pPr>
                    <w:pStyle w:val="69"/>
                    <w:jc w:val="center"/>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不涉及</w:t>
                  </w:r>
                </w:p>
              </w:tc>
              <w:tc>
                <w:tcPr>
                  <w:tcW w:w="636" w:type="pct"/>
                  <w:vAlign w:val="center"/>
                </w:tcPr>
                <w:p w14:paraId="12B0B901">
                  <w:pPr>
                    <w:pStyle w:val="69"/>
                    <w:jc w:val="center"/>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符合</w:t>
                  </w:r>
                </w:p>
              </w:tc>
            </w:tr>
            <w:tr w14:paraId="7E1B06BB">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49" w:type="pct"/>
                  <w:vAlign w:val="center"/>
                </w:tcPr>
                <w:p w14:paraId="051761E6">
                  <w:pPr>
                    <w:pStyle w:val="69"/>
                    <w:jc w:val="center"/>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第四条</w:t>
                  </w:r>
                </w:p>
              </w:tc>
              <w:tc>
                <w:tcPr>
                  <w:tcW w:w="1923" w:type="pct"/>
                  <w:vAlign w:val="center"/>
                </w:tcPr>
                <w:p w14:paraId="3C779154">
                  <w:pPr>
                    <w:pStyle w:val="69"/>
                    <w:jc w:val="center"/>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加快调整能源结构，增加清洁能源供应</w:t>
                  </w:r>
                </w:p>
              </w:tc>
              <w:tc>
                <w:tcPr>
                  <w:tcW w:w="1790" w:type="pct"/>
                  <w:vAlign w:val="center"/>
                </w:tcPr>
                <w:p w14:paraId="71A6FA58">
                  <w:pPr>
                    <w:pStyle w:val="69"/>
                    <w:jc w:val="center"/>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项目生产主要采用电能</w:t>
                  </w:r>
                </w:p>
              </w:tc>
              <w:tc>
                <w:tcPr>
                  <w:tcW w:w="636" w:type="pct"/>
                  <w:vAlign w:val="center"/>
                </w:tcPr>
                <w:p w14:paraId="3E5A9C01">
                  <w:pPr>
                    <w:pStyle w:val="69"/>
                    <w:jc w:val="center"/>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符合</w:t>
                  </w:r>
                </w:p>
              </w:tc>
            </w:tr>
            <w:tr w14:paraId="48D974DB">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49" w:type="pct"/>
                  <w:vAlign w:val="center"/>
                </w:tcPr>
                <w:p w14:paraId="34C7E484">
                  <w:pPr>
                    <w:pStyle w:val="69"/>
                    <w:jc w:val="center"/>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第五条</w:t>
                  </w:r>
                </w:p>
              </w:tc>
              <w:tc>
                <w:tcPr>
                  <w:tcW w:w="1923" w:type="pct"/>
                  <w:vAlign w:val="center"/>
                </w:tcPr>
                <w:p w14:paraId="3D000A9F">
                  <w:pPr>
                    <w:pStyle w:val="69"/>
                    <w:jc w:val="center"/>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严格节能环保准入，优化产业空间布局</w:t>
                  </w:r>
                </w:p>
              </w:tc>
              <w:tc>
                <w:tcPr>
                  <w:tcW w:w="1790" w:type="pct"/>
                  <w:vAlign w:val="center"/>
                </w:tcPr>
                <w:p w14:paraId="487AC492">
                  <w:pPr>
                    <w:pStyle w:val="69"/>
                    <w:jc w:val="center"/>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属产业政策中允许类项目</w:t>
                  </w:r>
                </w:p>
              </w:tc>
              <w:tc>
                <w:tcPr>
                  <w:tcW w:w="636" w:type="pct"/>
                  <w:vAlign w:val="center"/>
                </w:tcPr>
                <w:p w14:paraId="1FC9329E">
                  <w:pPr>
                    <w:pStyle w:val="69"/>
                    <w:jc w:val="center"/>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符合</w:t>
                  </w:r>
                </w:p>
              </w:tc>
            </w:tr>
            <w:tr w14:paraId="313E1580">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49" w:type="pct"/>
                  <w:vAlign w:val="center"/>
                </w:tcPr>
                <w:p w14:paraId="3CD79BD4">
                  <w:pPr>
                    <w:pStyle w:val="69"/>
                    <w:jc w:val="center"/>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第六条</w:t>
                  </w:r>
                </w:p>
              </w:tc>
              <w:tc>
                <w:tcPr>
                  <w:tcW w:w="1923" w:type="pct"/>
                  <w:vAlign w:val="center"/>
                </w:tcPr>
                <w:p w14:paraId="6CEABEEA">
                  <w:pPr>
                    <w:pStyle w:val="69"/>
                    <w:jc w:val="center"/>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发挥市场机制作用，完善环境经济政策</w:t>
                  </w:r>
                </w:p>
              </w:tc>
              <w:tc>
                <w:tcPr>
                  <w:tcW w:w="1790" w:type="pct"/>
                  <w:vAlign w:val="center"/>
                </w:tcPr>
                <w:p w14:paraId="70C25840">
                  <w:pPr>
                    <w:pStyle w:val="69"/>
                    <w:jc w:val="center"/>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不涉及</w:t>
                  </w:r>
                </w:p>
              </w:tc>
              <w:tc>
                <w:tcPr>
                  <w:tcW w:w="636" w:type="pct"/>
                  <w:vAlign w:val="center"/>
                </w:tcPr>
                <w:p w14:paraId="721A16AC">
                  <w:pPr>
                    <w:pStyle w:val="69"/>
                    <w:jc w:val="center"/>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w:t>
                  </w:r>
                </w:p>
              </w:tc>
            </w:tr>
            <w:tr w14:paraId="5A5C27C3">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49" w:type="pct"/>
                  <w:vAlign w:val="center"/>
                </w:tcPr>
                <w:p w14:paraId="4C05B985">
                  <w:pPr>
                    <w:pStyle w:val="69"/>
                    <w:jc w:val="center"/>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第七条</w:t>
                  </w:r>
                </w:p>
              </w:tc>
              <w:tc>
                <w:tcPr>
                  <w:tcW w:w="1923" w:type="pct"/>
                  <w:vAlign w:val="center"/>
                </w:tcPr>
                <w:p w14:paraId="18F6F8A7">
                  <w:pPr>
                    <w:pStyle w:val="69"/>
                    <w:jc w:val="center"/>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健全法律法规体系，严格依法监督管理</w:t>
                  </w:r>
                </w:p>
              </w:tc>
              <w:tc>
                <w:tcPr>
                  <w:tcW w:w="1790" w:type="pct"/>
                  <w:vAlign w:val="center"/>
                </w:tcPr>
                <w:p w14:paraId="5CF7C931">
                  <w:pPr>
                    <w:pStyle w:val="69"/>
                    <w:jc w:val="center"/>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不涉及</w:t>
                  </w:r>
                </w:p>
              </w:tc>
              <w:tc>
                <w:tcPr>
                  <w:tcW w:w="636" w:type="pct"/>
                  <w:vAlign w:val="center"/>
                </w:tcPr>
                <w:p w14:paraId="6EA42594">
                  <w:pPr>
                    <w:pStyle w:val="69"/>
                    <w:jc w:val="center"/>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w:t>
                  </w:r>
                </w:p>
              </w:tc>
            </w:tr>
            <w:tr w14:paraId="21D32092">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49" w:type="pct"/>
                  <w:vAlign w:val="center"/>
                </w:tcPr>
                <w:p w14:paraId="49CD5EEC">
                  <w:pPr>
                    <w:pStyle w:val="69"/>
                    <w:jc w:val="center"/>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第八条</w:t>
                  </w:r>
                </w:p>
              </w:tc>
              <w:tc>
                <w:tcPr>
                  <w:tcW w:w="1923" w:type="pct"/>
                  <w:vAlign w:val="center"/>
                </w:tcPr>
                <w:p w14:paraId="76840FDB">
                  <w:pPr>
                    <w:pStyle w:val="69"/>
                    <w:jc w:val="center"/>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建立区域协作机制，统筹区域环境治理</w:t>
                  </w:r>
                </w:p>
              </w:tc>
              <w:tc>
                <w:tcPr>
                  <w:tcW w:w="1790" w:type="pct"/>
                  <w:vAlign w:val="center"/>
                </w:tcPr>
                <w:p w14:paraId="6C83B982">
                  <w:pPr>
                    <w:pStyle w:val="69"/>
                    <w:jc w:val="center"/>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不涉及</w:t>
                  </w:r>
                </w:p>
              </w:tc>
              <w:tc>
                <w:tcPr>
                  <w:tcW w:w="636" w:type="pct"/>
                  <w:vAlign w:val="center"/>
                </w:tcPr>
                <w:p w14:paraId="724BF1A0">
                  <w:pPr>
                    <w:pStyle w:val="69"/>
                    <w:jc w:val="center"/>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w:t>
                  </w:r>
                </w:p>
              </w:tc>
            </w:tr>
            <w:tr w14:paraId="726D5A08">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49" w:type="pct"/>
                  <w:vAlign w:val="center"/>
                </w:tcPr>
                <w:p w14:paraId="38E5AA29">
                  <w:pPr>
                    <w:pStyle w:val="69"/>
                    <w:jc w:val="center"/>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第九条</w:t>
                  </w:r>
                </w:p>
              </w:tc>
              <w:tc>
                <w:tcPr>
                  <w:tcW w:w="1923" w:type="pct"/>
                  <w:vAlign w:val="center"/>
                </w:tcPr>
                <w:p w14:paraId="2C28DDBD">
                  <w:pPr>
                    <w:pStyle w:val="69"/>
                    <w:jc w:val="center"/>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建立监测预警应急体系，妥善应对重污染天气</w:t>
                  </w:r>
                </w:p>
              </w:tc>
              <w:tc>
                <w:tcPr>
                  <w:tcW w:w="1790" w:type="pct"/>
                  <w:vAlign w:val="center"/>
                </w:tcPr>
                <w:p w14:paraId="588D38B7">
                  <w:pPr>
                    <w:pStyle w:val="69"/>
                    <w:jc w:val="center"/>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不涉及</w:t>
                  </w:r>
                </w:p>
              </w:tc>
              <w:tc>
                <w:tcPr>
                  <w:tcW w:w="636" w:type="pct"/>
                  <w:vAlign w:val="center"/>
                </w:tcPr>
                <w:p w14:paraId="5A50D9C6">
                  <w:pPr>
                    <w:pStyle w:val="69"/>
                    <w:jc w:val="center"/>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w:t>
                  </w:r>
                </w:p>
              </w:tc>
            </w:tr>
            <w:tr w14:paraId="61F72B80">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649" w:type="pct"/>
                  <w:vAlign w:val="center"/>
                </w:tcPr>
                <w:p w14:paraId="19C56AE5">
                  <w:pPr>
                    <w:pStyle w:val="69"/>
                    <w:jc w:val="center"/>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第十条</w:t>
                  </w:r>
                </w:p>
              </w:tc>
              <w:tc>
                <w:tcPr>
                  <w:tcW w:w="1923" w:type="pct"/>
                  <w:vAlign w:val="center"/>
                </w:tcPr>
                <w:p w14:paraId="7CCDFCD6">
                  <w:pPr>
                    <w:pStyle w:val="69"/>
                    <w:jc w:val="center"/>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明确政府企业和社会的责任，动员全民参与环境保护</w:t>
                  </w:r>
                </w:p>
              </w:tc>
              <w:tc>
                <w:tcPr>
                  <w:tcW w:w="1790" w:type="pct"/>
                  <w:vAlign w:val="center"/>
                </w:tcPr>
                <w:p w14:paraId="6A4EEB2D">
                  <w:pPr>
                    <w:pStyle w:val="69"/>
                    <w:jc w:val="center"/>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不涉及</w:t>
                  </w:r>
                </w:p>
              </w:tc>
              <w:tc>
                <w:tcPr>
                  <w:tcW w:w="636" w:type="pct"/>
                  <w:vAlign w:val="center"/>
                </w:tcPr>
                <w:p w14:paraId="6950D6B9">
                  <w:pPr>
                    <w:pStyle w:val="69"/>
                    <w:jc w:val="center"/>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w:t>
                  </w:r>
                </w:p>
              </w:tc>
            </w:tr>
          </w:tbl>
          <w:p w14:paraId="2CF30605">
            <w:pPr>
              <w:pStyle w:val="62"/>
              <w:rPr>
                <w:rFonts w:hint="default" w:ascii="Times New Roman" w:hAnsi="Times New Roman" w:cs="Times New Roman"/>
                <w:color w:val="000000" w:themeColor="text1"/>
                <w:highlight w:val="none"/>
                <w14:textFill>
                  <w14:solidFill>
                    <w14:schemeClr w14:val="tx1"/>
                  </w14:solidFill>
                </w14:textFill>
              </w:rPr>
            </w:pPr>
          </w:p>
          <w:p w14:paraId="4D25417E">
            <w:pPr>
              <w:pStyle w:val="62"/>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表1-</w:t>
            </w:r>
            <w:r>
              <w:rPr>
                <w:rFonts w:hint="eastAsia" w:cs="Times New Roman"/>
                <w:color w:val="000000" w:themeColor="text1"/>
                <w:highlight w:val="none"/>
                <w:lang w:val="en-US" w:eastAsia="zh-CN"/>
                <w14:textFill>
                  <w14:solidFill>
                    <w14:schemeClr w14:val="tx1"/>
                  </w14:solidFill>
                </w14:textFill>
              </w:rPr>
              <w:t>2</w:t>
            </w:r>
            <w:r>
              <w:rPr>
                <w:rFonts w:hint="default" w:ascii="Times New Roman" w:hAnsi="Times New Roman" w:cs="Times New Roman"/>
                <w:color w:val="000000" w:themeColor="text1"/>
                <w:highlight w:val="none"/>
                <w14:textFill>
                  <w14:solidFill>
                    <w14:schemeClr w14:val="tx1"/>
                  </w14:solidFill>
                </w14:textFill>
              </w:rPr>
              <w:t xml:space="preserve">    项目与“水十条”符合性分析一览表</w:t>
            </w:r>
          </w:p>
          <w:tbl>
            <w:tblPr>
              <w:tblStyle w:val="27"/>
              <w:tblW w:w="4997" w:type="pct"/>
              <w:jc w:val="center"/>
              <w:tblBorders>
                <w:top w:val="double" w:color="auto" w:sz="4" w:space="0"/>
                <w:left w:val="none" w:color="auto" w:sz="0" w:space="0"/>
                <w:bottom w:val="doub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899"/>
              <w:gridCol w:w="2664"/>
              <w:gridCol w:w="2388"/>
              <w:gridCol w:w="972"/>
            </w:tblGrid>
            <w:tr w14:paraId="4FEF2C97">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49" w:type="pct"/>
                  <w:vAlign w:val="center"/>
                </w:tcPr>
                <w:p w14:paraId="15415ADF">
                  <w:pPr>
                    <w:pStyle w:val="69"/>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编号</w:t>
                  </w:r>
                </w:p>
              </w:tc>
              <w:tc>
                <w:tcPr>
                  <w:tcW w:w="1923" w:type="pct"/>
                  <w:vAlign w:val="center"/>
                </w:tcPr>
                <w:p w14:paraId="185C6BA3">
                  <w:pPr>
                    <w:pStyle w:val="69"/>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分析内容</w:t>
                  </w:r>
                </w:p>
              </w:tc>
              <w:tc>
                <w:tcPr>
                  <w:tcW w:w="1724" w:type="pct"/>
                  <w:vAlign w:val="center"/>
                </w:tcPr>
                <w:p w14:paraId="650B4D11">
                  <w:pPr>
                    <w:pStyle w:val="69"/>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本项目情况</w:t>
                  </w:r>
                </w:p>
              </w:tc>
              <w:tc>
                <w:tcPr>
                  <w:tcW w:w="702" w:type="pct"/>
                  <w:vAlign w:val="center"/>
                </w:tcPr>
                <w:p w14:paraId="693653D7">
                  <w:pPr>
                    <w:pStyle w:val="69"/>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分析结果</w:t>
                  </w:r>
                </w:p>
              </w:tc>
            </w:tr>
            <w:tr w14:paraId="7F46596A">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49" w:type="pct"/>
                  <w:vAlign w:val="center"/>
                </w:tcPr>
                <w:p w14:paraId="32DAB7E3">
                  <w:pPr>
                    <w:pStyle w:val="69"/>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第一条</w:t>
                  </w:r>
                </w:p>
              </w:tc>
              <w:tc>
                <w:tcPr>
                  <w:tcW w:w="1923" w:type="pct"/>
                  <w:vAlign w:val="center"/>
                </w:tcPr>
                <w:p w14:paraId="00D07D72">
                  <w:pPr>
                    <w:pStyle w:val="69"/>
                    <w:rPr>
                      <w:rFonts w:hint="default" w:ascii="Times New Roman" w:hAnsi="Times New Roman" w:cs="Times New Roman"/>
                      <w:color w:val="000000" w:themeColor="text1"/>
                      <w:highlight w:val="none"/>
                      <w:shd w:val="clear" w:color="auto" w:fill="FFFFFF"/>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全面控制污染物排放</w:t>
                  </w:r>
                </w:p>
              </w:tc>
              <w:tc>
                <w:tcPr>
                  <w:tcW w:w="1724" w:type="pct"/>
                  <w:vAlign w:val="center"/>
                </w:tcPr>
                <w:p w14:paraId="5AA1AE0B">
                  <w:pPr>
                    <w:pStyle w:val="69"/>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项目正常生产无生产废水产生，事故情况下消防水进入事故池收集后，统一处理</w:t>
                  </w:r>
                </w:p>
              </w:tc>
              <w:tc>
                <w:tcPr>
                  <w:tcW w:w="702" w:type="pct"/>
                  <w:vAlign w:val="center"/>
                </w:tcPr>
                <w:p w14:paraId="0CEBED1B">
                  <w:pPr>
                    <w:pStyle w:val="69"/>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符合</w:t>
                  </w:r>
                </w:p>
              </w:tc>
            </w:tr>
            <w:tr w14:paraId="76F1DB65">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49" w:type="pct"/>
                  <w:vAlign w:val="center"/>
                </w:tcPr>
                <w:p w14:paraId="5A09A229">
                  <w:pPr>
                    <w:pStyle w:val="69"/>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第二条</w:t>
                  </w:r>
                </w:p>
              </w:tc>
              <w:tc>
                <w:tcPr>
                  <w:tcW w:w="1923" w:type="pct"/>
                  <w:vAlign w:val="center"/>
                </w:tcPr>
                <w:p w14:paraId="730A6A4D">
                  <w:pPr>
                    <w:pStyle w:val="69"/>
                    <w:rPr>
                      <w:rFonts w:hint="default" w:ascii="Times New Roman" w:hAnsi="Times New Roman" w:cs="Times New Roman"/>
                      <w:color w:val="000000" w:themeColor="text1"/>
                      <w:highlight w:val="none"/>
                      <w:shd w:val="clear" w:color="auto" w:fill="FFFFFF"/>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推动经济结构转型升级</w:t>
                  </w:r>
                </w:p>
              </w:tc>
              <w:tc>
                <w:tcPr>
                  <w:tcW w:w="1724" w:type="pct"/>
                  <w:vAlign w:val="center"/>
                </w:tcPr>
                <w:p w14:paraId="17F7159E">
                  <w:pPr>
                    <w:pStyle w:val="69"/>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不涉及</w:t>
                  </w:r>
                </w:p>
              </w:tc>
              <w:tc>
                <w:tcPr>
                  <w:tcW w:w="702" w:type="pct"/>
                  <w:vAlign w:val="center"/>
                </w:tcPr>
                <w:p w14:paraId="558D9AF1">
                  <w:pPr>
                    <w:pStyle w:val="69"/>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w:t>
                  </w:r>
                </w:p>
              </w:tc>
            </w:tr>
            <w:tr w14:paraId="6305A936">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49" w:type="pct"/>
                  <w:vAlign w:val="center"/>
                </w:tcPr>
                <w:p w14:paraId="3E87F0BD">
                  <w:pPr>
                    <w:pStyle w:val="69"/>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第三条</w:t>
                  </w:r>
                </w:p>
              </w:tc>
              <w:tc>
                <w:tcPr>
                  <w:tcW w:w="1923" w:type="pct"/>
                  <w:vAlign w:val="center"/>
                </w:tcPr>
                <w:p w14:paraId="3A0F5547">
                  <w:pPr>
                    <w:pStyle w:val="69"/>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着力节约保护水资源</w:t>
                  </w:r>
                </w:p>
              </w:tc>
              <w:tc>
                <w:tcPr>
                  <w:tcW w:w="1724" w:type="pct"/>
                  <w:vAlign w:val="center"/>
                </w:tcPr>
                <w:p w14:paraId="3BFC19EC">
                  <w:pPr>
                    <w:pStyle w:val="69"/>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项目正常生产情况无需用水</w:t>
                  </w:r>
                </w:p>
              </w:tc>
              <w:tc>
                <w:tcPr>
                  <w:tcW w:w="702" w:type="pct"/>
                  <w:vAlign w:val="center"/>
                </w:tcPr>
                <w:p w14:paraId="236AA20C">
                  <w:pPr>
                    <w:pStyle w:val="69"/>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符合</w:t>
                  </w:r>
                </w:p>
              </w:tc>
            </w:tr>
            <w:tr w14:paraId="48E523D6">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49" w:type="pct"/>
                  <w:vAlign w:val="center"/>
                </w:tcPr>
                <w:p w14:paraId="6520DF58">
                  <w:pPr>
                    <w:pStyle w:val="69"/>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第四条</w:t>
                  </w:r>
                </w:p>
              </w:tc>
              <w:tc>
                <w:tcPr>
                  <w:tcW w:w="1923" w:type="pct"/>
                  <w:vAlign w:val="center"/>
                </w:tcPr>
                <w:p w14:paraId="259DDAFF">
                  <w:pPr>
                    <w:pStyle w:val="69"/>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强化科技支撑</w:t>
                  </w:r>
                </w:p>
              </w:tc>
              <w:tc>
                <w:tcPr>
                  <w:tcW w:w="1724" w:type="pct"/>
                  <w:vAlign w:val="center"/>
                </w:tcPr>
                <w:p w14:paraId="5837F60B">
                  <w:pPr>
                    <w:pStyle w:val="69"/>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不涉及</w:t>
                  </w:r>
                </w:p>
              </w:tc>
              <w:tc>
                <w:tcPr>
                  <w:tcW w:w="702" w:type="pct"/>
                  <w:vAlign w:val="center"/>
                </w:tcPr>
                <w:p w14:paraId="4FFFABFC">
                  <w:pPr>
                    <w:pStyle w:val="69"/>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w:t>
                  </w:r>
                </w:p>
              </w:tc>
            </w:tr>
            <w:tr w14:paraId="6E164E84">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49" w:type="pct"/>
                  <w:vAlign w:val="center"/>
                </w:tcPr>
                <w:p w14:paraId="26CFC46F">
                  <w:pPr>
                    <w:pStyle w:val="69"/>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第五条</w:t>
                  </w:r>
                </w:p>
              </w:tc>
              <w:tc>
                <w:tcPr>
                  <w:tcW w:w="1923" w:type="pct"/>
                  <w:vAlign w:val="center"/>
                </w:tcPr>
                <w:p w14:paraId="13756538">
                  <w:pPr>
                    <w:pStyle w:val="69"/>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充分发挥市场机制作用</w:t>
                  </w:r>
                </w:p>
              </w:tc>
              <w:tc>
                <w:tcPr>
                  <w:tcW w:w="1724" w:type="pct"/>
                  <w:vAlign w:val="center"/>
                </w:tcPr>
                <w:p w14:paraId="11804EDB">
                  <w:pPr>
                    <w:pStyle w:val="69"/>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不涉及</w:t>
                  </w:r>
                </w:p>
              </w:tc>
              <w:tc>
                <w:tcPr>
                  <w:tcW w:w="702" w:type="pct"/>
                  <w:vAlign w:val="center"/>
                </w:tcPr>
                <w:p w14:paraId="55947D63">
                  <w:pPr>
                    <w:pStyle w:val="69"/>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w:t>
                  </w:r>
                </w:p>
              </w:tc>
            </w:tr>
            <w:tr w14:paraId="20ED0F1C">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49" w:type="pct"/>
                  <w:vAlign w:val="center"/>
                </w:tcPr>
                <w:p w14:paraId="3550838C">
                  <w:pPr>
                    <w:pStyle w:val="69"/>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第六条</w:t>
                  </w:r>
                </w:p>
              </w:tc>
              <w:tc>
                <w:tcPr>
                  <w:tcW w:w="1923" w:type="pct"/>
                  <w:vAlign w:val="center"/>
                </w:tcPr>
                <w:p w14:paraId="0AD7C2C6">
                  <w:pPr>
                    <w:pStyle w:val="69"/>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严格环境执法监督</w:t>
                  </w:r>
                </w:p>
              </w:tc>
              <w:tc>
                <w:tcPr>
                  <w:tcW w:w="1724" w:type="pct"/>
                  <w:vAlign w:val="center"/>
                </w:tcPr>
                <w:p w14:paraId="616AFCA9">
                  <w:pPr>
                    <w:pStyle w:val="69"/>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不涉及</w:t>
                  </w:r>
                </w:p>
              </w:tc>
              <w:tc>
                <w:tcPr>
                  <w:tcW w:w="702" w:type="pct"/>
                  <w:vAlign w:val="center"/>
                </w:tcPr>
                <w:p w14:paraId="601A9092">
                  <w:pPr>
                    <w:pStyle w:val="69"/>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w:t>
                  </w:r>
                </w:p>
              </w:tc>
            </w:tr>
            <w:tr w14:paraId="63D83FAD">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49" w:type="pct"/>
                  <w:vAlign w:val="center"/>
                </w:tcPr>
                <w:p w14:paraId="396D06C6">
                  <w:pPr>
                    <w:pStyle w:val="69"/>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第七条</w:t>
                  </w:r>
                </w:p>
              </w:tc>
              <w:tc>
                <w:tcPr>
                  <w:tcW w:w="1923" w:type="pct"/>
                  <w:vAlign w:val="center"/>
                </w:tcPr>
                <w:p w14:paraId="750EF2AD">
                  <w:pPr>
                    <w:pStyle w:val="69"/>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切实加强水环境管理</w:t>
                  </w:r>
                </w:p>
              </w:tc>
              <w:tc>
                <w:tcPr>
                  <w:tcW w:w="1724" w:type="pct"/>
                  <w:vAlign w:val="center"/>
                </w:tcPr>
                <w:p w14:paraId="3E96A436">
                  <w:pPr>
                    <w:pStyle w:val="69"/>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不涉及</w:t>
                  </w:r>
                </w:p>
              </w:tc>
              <w:tc>
                <w:tcPr>
                  <w:tcW w:w="702" w:type="pct"/>
                  <w:vAlign w:val="center"/>
                </w:tcPr>
                <w:p w14:paraId="709076F9">
                  <w:pPr>
                    <w:pStyle w:val="69"/>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w:t>
                  </w:r>
                </w:p>
              </w:tc>
            </w:tr>
            <w:tr w14:paraId="016493B3">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49" w:type="pct"/>
                  <w:vAlign w:val="center"/>
                </w:tcPr>
                <w:p w14:paraId="3E12047E">
                  <w:pPr>
                    <w:pStyle w:val="69"/>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第八条</w:t>
                  </w:r>
                </w:p>
              </w:tc>
              <w:tc>
                <w:tcPr>
                  <w:tcW w:w="1923" w:type="pct"/>
                  <w:vAlign w:val="center"/>
                </w:tcPr>
                <w:p w14:paraId="74DA1BAF">
                  <w:pPr>
                    <w:pStyle w:val="69"/>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全力保障水生态环境安全</w:t>
                  </w:r>
                </w:p>
              </w:tc>
              <w:tc>
                <w:tcPr>
                  <w:tcW w:w="1724" w:type="pct"/>
                  <w:vAlign w:val="center"/>
                </w:tcPr>
                <w:p w14:paraId="094D9617">
                  <w:pPr>
                    <w:pStyle w:val="69"/>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不涉及</w:t>
                  </w:r>
                </w:p>
              </w:tc>
              <w:tc>
                <w:tcPr>
                  <w:tcW w:w="702" w:type="pct"/>
                  <w:vAlign w:val="center"/>
                </w:tcPr>
                <w:p w14:paraId="727A4DC1">
                  <w:pPr>
                    <w:pStyle w:val="69"/>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w:t>
                  </w:r>
                </w:p>
              </w:tc>
            </w:tr>
            <w:tr w14:paraId="67555073">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49" w:type="pct"/>
                  <w:vAlign w:val="center"/>
                </w:tcPr>
                <w:p w14:paraId="1327825E">
                  <w:pPr>
                    <w:pStyle w:val="69"/>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第九条</w:t>
                  </w:r>
                </w:p>
              </w:tc>
              <w:tc>
                <w:tcPr>
                  <w:tcW w:w="1923" w:type="pct"/>
                  <w:vAlign w:val="center"/>
                </w:tcPr>
                <w:p w14:paraId="691D2BB5">
                  <w:pPr>
                    <w:pStyle w:val="69"/>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明确和落实各方责任</w:t>
                  </w:r>
                </w:p>
              </w:tc>
              <w:tc>
                <w:tcPr>
                  <w:tcW w:w="1724" w:type="pct"/>
                  <w:vAlign w:val="center"/>
                </w:tcPr>
                <w:p w14:paraId="00EE0CC6">
                  <w:pPr>
                    <w:pStyle w:val="69"/>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强化企业环境责任</w:t>
                  </w:r>
                </w:p>
              </w:tc>
              <w:tc>
                <w:tcPr>
                  <w:tcW w:w="702" w:type="pct"/>
                  <w:vAlign w:val="center"/>
                </w:tcPr>
                <w:p w14:paraId="73442CE9">
                  <w:pPr>
                    <w:pStyle w:val="69"/>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符合</w:t>
                  </w:r>
                </w:p>
              </w:tc>
            </w:tr>
            <w:tr w14:paraId="7C899968">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49" w:type="pct"/>
                  <w:vAlign w:val="center"/>
                </w:tcPr>
                <w:p w14:paraId="1A8E952C">
                  <w:pPr>
                    <w:pStyle w:val="69"/>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第十条</w:t>
                  </w:r>
                </w:p>
              </w:tc>
              <w:tc>
                <w:tcPr>
                  <w:tcW w:w="1923" w:type="pct"/>
                  <w:vAlign w:val="center"/>
                </w:tcPr>
                <w:p w14:paraId="136445FD">
                  <w:pPr>
                    <w:pStyle w:val="69"/>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强化公众参与和社会监督</w:t>
                  </w:r>
                </w:p>
              </w:tc>
              <w:tc>
                <w:tcPr>
                  <w:tcW w:w="1724" w:type="pct"/>
                  <w:vAlign w:val="center"/>
                </w:tcPr>
                <w:p w14:paraId="7DD27221">
                  <w:pPr>
                    <w:pStyle w:val="69"/>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项目接受社会监督</w:t>
                  </w:r>
                </w:p>
              </w:tc>
              <w:tc>
                <w:tcPr>
                  <w:tcW w:w="702" w:type="pct"/>
                  <w:vAlign w:val="center"/>
                </w:tcPr>
                <w:p w14:paraId="0B80B268">
                  <w:pPr>
                    <w:pStyle w:val="69"/>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符合</w:t>
                  </w:r>
                </w:p>
              </w:tc>
            </w:tr>
          </w:tbl>
          <w:p w14:paraId="3C4CA210">
            <w:pPr>
              <w:pStyle w:val="62"/>
              <w:rPr>
                <w:rFonts w:hint="default" w:ascii="Times New Roman" w:hAnsi="Times New Roman" w:cs="Times New Roman"/>
                <w:color w:val="000000" w:themeColor="text1"/>
                <w:highlight w:val="none"/>
                <w14:textFill>
                  <w14:solidFill>
                    <w14:schemeClr w14:val="tx1"/>
                  </w14:solidFill>
                </w14:textFill>
              </w:rPr>
            </w:pPr>
          </w:p>
          <w:p w14:paraId="5955F89E">
            <w:pPr>
              <w:pStyle w:val="62"/>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表1-</w:t>
            </w:r>
            <w:r>
              <w:rPr>
                <w:rFonts w:hint="eastAsia" w:cs="Times New Roman"/>
                <w:color w:val="000000" w:themeColor="text1"/>
                <w:highlight w:val="none"/>
                <w:lang w:val="en-US" w:eastAsia="zh-CN"/>
                <w14:textFill>
                  <w14:solidFill>
                    <w14:schemeClr w14:val="tx1"/>
                  </w14:solidFill>
                </w14:textFill>
              </w:rPr>
              <w:t>3</w:t>
            </w:r>
            <w:r>
              <w:rPr>
                <w:rFonts w:hint="default" w:ascii="Times New Roman" w:hAnsi="Times New Roman" w:cs="Times New Roman"/>
                <w:color w:val="000000" w:themeColor="text1"/>
                <w:highlight w:val="none"/>
                <w14:textFill>
                  <w14:solidFill>
                    <w14:schemeClr w14:val="tx1"/>
                  </w14:solidFill>
                </w14:textFill>
              </w:rPr>
              <w:t xml:space="preserve">    项目与“土十条”符合性分析一览表</w:t>
            </w:r>
          </w:p>
          <w:tbl>
            <w:tblPr>
              <w:tblStyle w:val="27"/>
              <w:tblW w:w="4997" w:type="pct"/>
              <w:jc w:val="center"/>
              <w:tblBorders>
                <w:top w:val="double" w:color="auto" w:sz="4" w:space="0"/>
                <w:left w:val="none" w:color="auto" w:sz="0" w:space="0"/>
                <w:bottom w:val="doub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910"/>
              <w:gridCol w:w="2640"/>
              <w:gridCol w:w="2734"/>
              <w:gridCol w:w="639"/>
            </w:tblGrid>
            <w:tr w14:paraId="60EC5337">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657" w:type="pct"/>
                  <w:vAlign w:val="center"/>
                </w:tcPr>
                <w:p w14:paraId="2463D9F8">
                  <w:pPr>
                    <w:pStyle w:val="69"/>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编号</w:t>
                  </w:r>
                </w:p>
              </w:tc>
              <w:tc>
                <w:tcPr>
                  <w:tcW w:w="1906" w:type="pct"/>
                  <w:vAlign w:val="center"/>
                </w:tcPr>
                <w:p w14:paraId="4DF8F9C5">
                  <w:pPr>
                    <w:pStyle w:val="69"/>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分析内容</w:t>
                  </w:r>
                </w:p>
              </w:tc>
              <w:tc>
                <w:tcPr>
                  <w:tcW w:w="1974" w:type="pct"/>
                  <w:vAlign w:val="center"/>
                </w:tcPr>
                <w:p w14:paraId="6B8437AB">
                  <w:pPr>
                    <w:pStyle w:val="69"/>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本项目情况</w:t>
                  </w:r>
                </w:p>
              </w:tc>
              <w:tc>
                <w:tcPr>
                  <w:tcW w:w="461" w:type="pct"/>
                  <w:vAlign w:val="center"/>
                </w:tcPr>
                <w:p w14:paraId="0971F5AE">
                  <w:pPr>
                    <w:pStyle w:val="69"/>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分析</w:t>
                  </w:r>
                </w:p>
                <w:p w14:paraId="0D7858E5">
                  <w:pPr>
                    <w:pStyle w:val="69"/>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结果</w:t>
                  </w:r>
                </w:p>
              </w:tc>
            </w:tr>
            <w:tr w14:paraId="11C51C8B">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657" w:type="pct"/>
                  <w:vAlign w:val="center"/>
                </w:tcPr>
                <w:p w14:paraId="2B699ED5">
                  <w:pPr>
                    <w:pStyle w:val="69"/>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第一条</w:t>
                  </w:r>
                </w:p>
              </w:tc>
              <w:tc>
                <w:tcPr>
                  <w:tcW w:w="1906" w:type="pct"/>
                  <w:vAlign w:val="center"/>
                </w:tcPr>
                <w:p w14:paraId="4536AEDC">
                  <w:pPr>
                    <w:pStyle w:val="69"/>
                    <w:rPr>
                      <w:rFonts w:hint="default" w:ascii="Times New Roman" w:hAnsi="Times New Roman" w:cs="Times New Roman"/>
                      <w:color w:val="000000" w:themeColor="text1"/>
                      <w:highlight w:val="none"/>
                      <w:shd w:val="clear" w:color="auto" w:fill="FFFFFF"/>
                      <w14:textFill>
                        <w14:solidFill>
                          <w14:schemeClr w14:val="tx1"/>
                        </w14:solidFill>
                      </w14:textFill>
                    </w:rPr>
                  </w:pPr>
                  <w:r>
                    <w:rPr>
                      <w:rFonts w:hint="default" w:ascii="Times New Roman" w:hAnsi="Times New Roman" w:cs="Times New Roman"/>
                      <w:color w:val="000000" w:themeColor="text1"/>
                      <w:highlight w:val="none"/>
                      <w:shd w:val="clear" w:color="auto" w:fill="FFFFFF"/>
                      <w14:textFill>
                        <w14:solidFill>
                          <w14:schemeClr w14:val="tx1"/>
                        </w14:solidFill>
                      </w14:textFill>
                    </w:rPr>
                    <w:t>开展土壤污染调查</w:t>
                  </w:r>
                </w:p>
              </w:tc>
              <w:tc>
                <w:tcPr>
                  <w:tcW w:w="1974" w:type="pct"/>
                  <w:vAlign w:val="center"/>
                </w:tcPr>
                <w:p w14:paraId="7F0CB0A7">
                  <w:pPr>
                    <w:pStyle w:val="69"/>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不涉及</w:t>
                  </w:r>
                </w:p>
              </w:tc>
              <w:tc>
                <w:tcPr>
                  <w:tcW w:w="461" w:type="pct"/>
                  <w:vAlign w:val="center"/>
                </w:tcPr>
                <w:p w14:paraId="2A9F63DC">
                  <w:pPr>
                    <w:pStyle w:val="69"/>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符合</w:t>
                  </w:r>
                </w:p>
              </w:tc>
            </w:tr>
            <w:tr w14:paraId="4CDE5AC3">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657" w:type="pct"/>
                  <w:vAlign w:val="center"/>
                </w:tcPr>
                <w:p w14:paraId="03137778">
                  <w:pPr>
                    <w:pStyle w:val="69"/>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第二条</w:t>
                  </w:r>
                </w:p>
              </w:tc>
              <w:tc>
                <w:tcPr>
                  <w:tcW w:w="1906" w:type="pct"/>
                  <w:vAlign w:val="center"/>
                </w:tcPr>
                <w:p w14:paraId="4950C963">
                  <w:pPr>
                    <w:pStyle w:val="69"/>
                    <w:rPr>
                      <w:rFonts w:hint="default" w:ascii="Times New Roman" w:hAnsi="Times New Roman" w:cs="Times New Roman"/>
                      <w:color w:val="000000" w:themeColor="text1"/>
                      <w:highlight w:val="none"/>
                      <w:shd w:val="clear" w:color="auto" w:fill="FFFFFF"/>
                      <w14:textFill>
                        <w14:solidFill>
                          <w14:schemeClr w14:val="tx1"/>
                        </w14:solidFill>
                      </w14:textFill>
                    </w:rPr>
                  </w:pPr>
                  <w:r>
                    <w:rPr>
                      <w:rFonts w:hint="default" w:ascii="Times New Roman" w:hAnsi="Times New Roman" w:cs="Times New Roman"/>
                      <w:color w:val="000000" w:themeColor="text1"/>
                      <w:highlight w:val="none"/>
                      <w:shd w:val="clear" w:color="auto" w:fill="FFFFFF"/>
                      <w14:textFill>
                        <w14:solidFill>
                          <w14:schemeClr w14:val="tx1"/>
                        </w14:solidFill>
                      </w14:textFill>
                    </w:rPr>
                    <w:t>推进土壤污染防治立法</w:t>
                  </w:r>
                </w:p>
              </w:tc>
              <w:tc>
                <w:tcPr>
                  <w:tcW w:w="1974" w:type="pct"/>
                  <w:vAlign w:val="center"/>
                </w:tcPr>
                <w:p w14:paraId="36D90D55">
                  <w:pPr>
                    <w:pStyle w:val="69"/>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不涉及</w:t>
                  </w:r>
                </w:p>
              </w:tc>
              <w:tc>
                <w:tcPr>
                  <w:tcW w:w="461" w:type="pct"/>
                  <w:vAlign w:val="center"/>
                </w:tcPr>
                <w:p w14:paraId="23F3AA6A">
                  <w:pPr>
                    <w:pStyle w:val="69"/>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w:t>
                  </w:r>
                </w:p>
              </w:tc>
            </w:tr>
            <w:tr w14:paraId="1C40302B">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657" w:type="pct"/>
                  <w:vAlign w:val="center"/>
                </w:tcPr>
                <w:p w14:paraId="19362982">
                  <w:pPr>
                    <w:pStyle w:val="69"/>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第三条</w:t>
                  </w:r>
                </w:p>
              </w:tc>
              <w:tc>
                <w:tcPr>
                  <w:tcW w:w="1906" w:type="pct"/>
                  <w:vAlign w:val="center"/>
                </w:tcPr>
                <w:p w14:paraId="1C9E7912">
                  <w:pPr>
                    <w:pStyle w:val="69"/>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shd w:val="clear" w:color="auto" w:fill="FFFFFF"/>
                      <w14:textFill>
                        <w14:solidFill>
                          <w14:schemeClr w14:val="tx1"/>
                        </w14:solidFill>
                      </w14:textFill>
                    </w:rPr>
                    <w:t>实施农用地分类管理</w:t>
                  </w:r>
                </w:p>
              </w:tc>
              <w:tc>
                <w:tcPr>
                  <w:tcW w:w="1974" w:type="pct"/>
                  <w:vAlign w:val="center"/>
                </w:tcPr>
                <w:p w14:paraId="7B619D3A">
                  <w:pPr>
                    <w:pStyle w:val="69"/>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不涉及</w:t>
                  </w:r>
                </w:p>
              </w:tc>
              <w:tc>
                <w:tcPr>
                  <w:tcW w:w="461" w:type="pct"/>
                  <w:vAlign w:val="center"/>
                </w:tcPr>
                <w:p w14:paraId="37ABB7DE">
                  <w:pPr>
                    <w:pStyle w:val="69"/>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w:t>
                  </w:r>
                </w:p>
              </w:tc>
            </w:tr>
            <w:tr w14:paraId="249C6C89">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657" w:type="pct"/>
                  <w:vAlign w:val="center"/>
                </w:tcPr>
                <w:p w14:paraId="2F26D814">
                  <w:pPr>
                    <w:pStyle w:val="69"/>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第四条</w:t>
                  </w:r>
                </w:p>
              </w:tc>
              <w:tc>
                <w:tcPr>
                  <w:tcW w:w="1906" w:type="pct"/>
                  <w:vAlign w:val="center"/>
                </w:tcPr>
                <w:p w14:paraId="5ABE7988">
                  <w:pPr>
                    <w:pStyle w:val="69"/>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shd w:val="clear" w:color="auto" w:fill="FFFFFF"/>
                      <w14:textFill>
                        <w14:solidFill>
                          <w14:schemeClr w14:val="tx1"/>
                        </w14:solidFill>
                      </w14:textFill>
                    </w:rPr>
                    <w:t>实施建设用地准入管理</w:t>
                  </w:r>
                </w:p>
              </w:tc>
              <w:tc>
                <w:tcPr>
                  <w:tcW w:w="1974" w:type="pct"/>
                  <w:vAlign w:val="center"/>
                </w:tcPr>
                <w:p w14:paraId="6EE2C441">
                  <w:pPr>
                    <w:pStyle w:val="69"/>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auto"/>
                      <w:highlight w:val="none"/>
                    </w:rPr>
                    <w:t>项目位于</w:t>
                  </w:r>
                  <w:r>
                    <w:rPr>
                      <w:rFonts w:hint="default" w:ascii="Times New Roman" w:hAnsi="Times New Roman" w:cs="Times New Roman"/>
                      <w:color w:val="auto"/>
                      <w:highlight w:val="none"/>
                      <w:lang w:val="en-US" w:eastAsia="zh-CN"/>
                    </w:rPr>
                    <w:t>本溪市溪湖区郑家建材龙山街</w:t>
                  </w:r>
                  <w:r>
                    <w:rPr>
                      <w:rFonts w:hint="default" w:ascii="Times New Roman" w:hAnsi="Times New Roman" w:cs="Times New Roman"/>
                      <w:color w:val="auto"/>
                      <w:highlight w:val="none"/>
                    </w:rPr>
                    <w:t>，项目用地性质为工业用地</w:t>
                  </w:r>
                </w:p>
              </w:tc>
              <w:tc>
                <w:tcPr>
                  <w:tcW w:w="461" w:type="pct"/>
                  <w:vAlign w:val="center"/>
                </w:tcPr>
                <w:p w14:paraId="415E1099">
                  <w:pPr>
                    <w:pStyle w:val="69"/>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符合</w:t>
                  </w:r>
                </w:p>
              </w:tc>
            </w:tr>
            <w:tr w14:paraId="5CF36B1A">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657" w:type="pct"/>
                  <w:vAlign w:val="center"/>
                </w:tcPr>
                <w:p w14:paraId="38F8E5C7">
                  <w:pPr>
                    <w:pStyle w:val="69"/>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第五条</w:t>
                  </w:r>
                </w:p>
              </w:tc>
              <w:tc>
                <w:tcPr>
                  <w:tcW w:w="1906" w:type="pct"/>
                  <w:vAlign w:val="center"/>
                </w:tcPr>
                <w:p w14:paraId="242BA84B">
                  <w:pPr>
                    <w:pStyle w:val="69"/>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shd w:val="clear" w:color="auto" w:fill="FFFFFF"/>
                      <w14:textFill>
                        <w14:solidFill>
                          <w14:schemeClr w14:val="tx1"/>
                        </w14:solidFill>
                      </w14:textFill>
                    </w:rPr>
                    <w:t>强化未污染土壤保护</w:t>
                  </w:r>
                </w:p>
              </w:tc>
              <w:tc>
                <w:tcPr>
                  <w:tcW w:w="1974" w:type="pct"/>
                  <w:vAlign w:val="center"/>
                </w:tcPr>
                <w:p w14:paraId="1782039B">
                  <w:pPr>
                    <w:pStyle w:val="69"/>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本项目为</w:t>
                  </w:r>
                  <w:r>
                    <w:rPr>
                      <w:rFonts w:hint="eastAsia" w:cs="Times New Roman"/>
                      <w:color w:val="000000" w:themeColor="text1"/>
                      <w:highlight w:val="none"/>
                      <w:lang w:val="en-US" w:eastAsia="zh-CN"/>
                      <w14:textFill>
                        <w14:solidFill>
                          <w14:schemeClr w14:val="tx1"/>
                        </w14:solidFill>
                      </w14:textFill>
                    </w:rPr>
                    <w:t>废矿物油储存，废矿物油储存车</w:t>
                  </w:r>
                  <w:r>
                    <w:rPr>
                      <w:rFonts w:hint="default" w:ascii="Times New Roman" w:hAnsi="Times New Roman" w:cs="Times New Roman"/>
                      <w:color w:val="000000" w:themeColor="text1"/>
                      <w:highlight w:val="none"/>
                      <w14:textFill>
                        <w14:solidFill>
                          <w14:schemeClr w14:val="tx1"/>
                        </w14:solidFill>
                      </w14:textFill>
                    </w:rPr>
                    <w:t>间内及配套事故池均进行重点防渗，减少垂直入渗的途径，不会对土壤造成污染。</w:t>
                  </w:r>
                </w:p>
              </w:tc>
              <w:tc>
                <w:tcPr>
                  <w:tcW w:w="461" w:type="pct"/>
                  <w:vAlign w:val="center"/>
                </w:tcPr>
                <w:p w14:paraId="2FA92652">
                  <w:pPr>
                    <w:pStyle w:val="69"/>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符合</w:t>
                  </w:r>
                </w:p>
              </w:tc>
            </w:tr>
            <w:tr w14:paraId="37D9A322">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657" w:type="pct"/>
                  <w:vAlign w:val="center"/>
                </w:tcPr>
                <w:p w14:paraId="00D3F6C1">
                  <w:pPr>
                    <w:pStyle w:val="69"/>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第六条</w:t>
                  </w:r>
                </w:p>
              </w:tc>
              <w:tc>
                <w:tcPr>
                  <w:tcW w:w="1906" w:type="pct"/>
                  <w:vAlign w:val="center"/>
                </w:tcPr>
                <w:p w14:paraId="5045BAC2">
                  <w:pPr>
                    <w:pStyle w:val="69"/>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shd w:val="clear" w:color="auto" w:fill="FFFFFF"/>
                      <w14:textFill>
                        <w14:solidFill>
                          <w14:schemeClr w14:val="tx1"/>
                        </w14:solidFill>
                      </w14:textFill>
                    </w:rPr>
                    <w:t>加强污染源监管</w:t>
                  </w:r>
                </w:p>
              </w:tc>
              <w:tc>
                <w:tcPr>
                  <w:tcW w:w="1974" w:type="pct"/>
                  <w:vAlign w:val="center"/>
                </w:tcPr>
                <w:p w14:paraId="4F7DDBE5">
                  <w:pPr>
                    <w:pStyle w:val="69"/>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 xml:space="preserve"> 不涉及</w:t>
                  </w:r>
                </w:p>
              </w:tc>
              <w:tc>
                <w:tcPr>
                  <w:tcW w:w="461" w:type="pct"/>
                  <w:vAlign w:val="center"/>
                </w:tcPr>
                <w:p w14:paraId="62452821">
                  <w:pPr>
                    <w:pStyle w:val="69"/>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符合</w:t>
                  </w:r>
                </w:p>
              </w:tc>
            </w:tr>
            <w:tr w14:paraId="28092666">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657" w:type="pct"/>
                  <w:vAlign w:val="center"/>
                </w:tcPr>
                <w:p w14:paraId="577C4C17">
                  <w:pPr>
                    <w:pStyle w:val="69"/>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第七条</w:t>
                  </w:r>
                </w:p>
              </w:tc>
              <w:tc>
                <w:tcPr>
                  <w:tcW w:w="1906" w:type="pct"/>
                  <w:vAlign w:val="center"/>
                </w:tcPr>
                <w:p w14:paraId="723136CB">
                  <w:pPr>
                    <w:pStyle w:val="69"/>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shd w:val="clear" w:color="auto" w:fill="FFFFFF"/>
                      <w14:textFill>
                        <w14:solidFill>
                          <w14:schemeClr w14:val="tx1"/>
                        </w14:solidFill>
                      </w14:textFill>
                    </w:rPr>
                    <w:t>开展污染治理与修复</w:t>
                  </w:r>
                </w:p>
              </w:tc>
              <w:tc>
                <w:tcPr>
                  <w:tcW w:w="1974" w:type="pct"/>
                  <w:vAlign w:val="center"/>
                </w:tcPr>
                <w:p w14:paraId="7ADBE610">
                  <w:pPr>
                    <w:pStyle w:val="69"/>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不涉及</w:t>
                  </w:r>
                </w:p>
              </w:tc>
              <w:tc>
                <w:tcPr>
                  <w:tcW w:w="461" w:type="pct"/>
                  <w:vAlign w:val="center"/>
                </w:tcPr>
                <w:p w14:paraId="1BC04B40">
                  <w:pPr>
                    <w:pStyle w:val="69"/>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符合</w:t>
                  </w:r>
                </w:p>
              </w:tc>
            </w:tr>
            <w:tr w14:paraId="117649F0">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657" w:type="pct"/>
                  <w:vAlign w:val="center"/>
                </w:tcPr>
                <w:p w14:paraId="62BA9875">
                  <w:pPr>
                    <w:pStyle w:val="69"/>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第八条</w:t>
                  </w:r>
                </w:p>
              </w:tc>
              <w:tc>
                <w:tcPr>
                  <w:tcW w:w="1906" w:type="pct"/>
                  <w:vAlign w:val="center"/>
                </w:tcPr>
                <w:p w14:paraId="337C817C">
                  <w:pPr>
                    <w:pStyle w:val="69"/>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shd w:val="clear" w:color="auto" w:fill="FFFFFF"/>
                      <w14:textFill>
                        <w14:solidFill>
                          <w14:schemeClr w14:val="tx1"/>
                        </w14:solidFill>
                      </w14:textFill>
                    </w:rPr>
                    <w:t>加大科技研发力度</w:t>
                  </w:r>
                </w:p>
              </w:tc>
              <w:tc>
                <w:tcPr>
                  <w:tcW w:w="1974" w:type="pct"/>
                  <w:vAlign w:val="center"/>
                </w:tcPr>
                <w:p w14:paraId="6F682B0B">
                  <w:pPr>
                    <w:pStyle w:val="69"/>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不涉及</w:t>
                  </w:r>
                </w:p>
              </w:tc>
              <w:tc>
                <w:tcPr>
                  <w:tcW w:w="461" w:type="pct"/>
                  <w:vAlign w:val="center"/>
                </w:tcPr>
                <w:p w14:paraId="44BC48E4">
                  <w:pPr>
                    <w:pStyle w:val="69"/>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w:t>
                  </w:r>
                </w:p>
              </w:tc>
            </w:tr>
            <w:tr w14:paraId="7FDD8853">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657" w:type="pct"/>
                  <w:vAlign w:val="center"/>
                </w:tcPr>
                <w:p w14:paraId="15CA03A4">
                  <w:pPr>
                    <w:pStyle w:val="69"/>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第九条</w:t>
                  </w:r>
                </w:p>
              </w:tc>
              <w:tc>
                <w:tcPr>
                  <w:tcW w:w="1906" w:type="pct"/>
                  <w:vAlign w:val="center"/>
                </w:tcPr>
                <w:p w14:paraId="5098FBB5">
                  <w:pPr>
                    <w:pStyle w:val="69"/>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shd w:val="clear" w:color="auto" w:fill="FFFFFF"/>
                      <w14:textFill>
                        <w14:solidFill>
                          <w14:schemeClr w14:val="tx1"/>
                        </w14:solidFill>
                      </w14:textFill>
                    </w:rPr>
                    <w:t>发挥政府主导作用</w:t>
                  </w:r>
                </w:p>
              </w:tc>
              <w:tc>
                <w:tcPr>
                  <w:tcW w:w="1974" w:type="pct"/>
                  <w:vAlign w:val="center"/>
                </w:tcPr>
                <w:p w14:paraId="43D6213F">
                  <w:pPr>
                    <w:pStyle w:val="69"/>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不涉及</w:t>
                  </w:r>
                </w:p>
              </w:tc>
              <w:tc>
                <w:tcPr>
                  <w:tcW w:w="461" w:type="pct"/>
                  <w:vAlign w:val="center"/>
                </w:tcPr>
                <w:p w14:paraId="2F7810DB">
                  <w:pPr>
                    <w:pStyle w:val="69"/>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w:t>
                  </w:r>
                </w:p>
              </w:tc>
            </w:tr>
            <w:tr w14:paraId="156632B2">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657" w:type="pct"/>
                  <w:vAlign w:val="center"/>
                </w:tcPr>
                <w:p w14:paraId="52E673CE">
                  <w:pPr>
                    <w:pStyle w:val="69"/>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第十条</w:t>
                  </w:r>
                </w:p>
              </w:tc>
              <w:tc>
                <w:tcPr>
                  <w:tcW w:w="1906" w:type="pct"/>
                  <w:vAlign w:val="center"/>
                </w:tcPr>
                <w:p w14:paraId="22FC10F4">
                  <w:pPr>
                    <w:pStyle w:val="69"/>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shd w:val="clear" w:color="auto" w:fill="FFFFFF"/>
                      <w14:textFill>
                        <w14:solidFill>
                          <w14:schemeClr w14:val="tx1"/>
                        </w14:solidFill>
                      </w14:textFill>
                    </w:rPr>
                    <w:t>加强目标考核</w:t>
                  </w:r>
                </w:p>
              </w:tc>
              <w:tc>
                <w:tcPr>
                  <w:tcW w:w="1974" w:type="pct"/>
                  <w:vAlign w:val="center"/>
                </w:tcPr>
                <w:p w14:paraId="7C22CF87">
                  <w:pPr>
                    <w:pStyle w:val="69"/>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将土壤保护作为企业社会责任</w:t>
                  </w:r>
                </w:p>
              </w:tc>
              <w:tc>
                <w:tcPr>
                  <w:tcW w:w="461" w:type="pct"/>
                  <w:vAlign w:val="center"/>
                </w:tcPr>
                <w:p w14:paraId="50C8A4C0">
                  <w:pPr>
                    <w:pStyle w:val="69"/>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符合</w:t>
                  </w:r>
                </w:p>
              </w:tc>
            </w:tr>
          </w:tbl>
          <w:p w14:paraId="1E5CD7CD">
            <w:pPr>
              <w:pStyle w:val="34"/>
              <w:rPr>
                <w:rFonts w:hint="default" w:ascii="Times New Roman" w:hAnsi="Times New Roman" w:cs="Times New Roman"/>
                <w:color w:val="000000" w:themeColor="text1"/>
                <w:highlight w:val="none"/>
                <w14:textFill>
                  <w14:solidFill>
                    <w14:schemeClr w14:val="tx1"/>
                  </w14:solidFill>
                </w14:textFill>
              </w:rPr>
            </w:pPr>
          </w:p>
          <w:p w14:paraId="71548B92">
            <w:pPr>
              <w:pStyle w:val="68"/>
              <w:ind w:firstLine="48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综上，本项目符合《大气污染防治行动计划》（气十条）、《水污染防治行动计划》（水十条）、《土壤污染防治行动计划》（土十条）的环境管理要求，符合环境政策要求。</w:t>
            </w:r>
          </w:p>
          <w:p w14:paraId="068CC7A5">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b/>
                <w:bCs/>
                <w:color w:val="auto"/>
                <w:sz w:val="24"/>
                <w:highlight w:val="none"/>
                <w:lang w:eastAsia="zh-CN"/>
              </w:rPr>
            </w:pPr>
            <w:r>
              <w:rPr>
                <w:rFonts w:hint="default" w:ascii="Times New Roman" w:hAnsi="Times New Roman" w:eastAsia="宋体" w:cs="Times New Roman"/>
                <w:b/>
                <w:bCs/>
                <w:color w:val="auto"/>
                <w:sz w:val="24"/>
                <w:highlight w:val="none"/>
                <w:lang w:eastAsia="zh-CN"/>
              </w:rPr>
              <w:t>与辽宁省“气十条”、“水十条”、“土十条”相关要求符合性分析</w:t>
            </w:r>
          </w:p>
          <w:p w14:paraId="1A625E1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b/>
                <w:bCs/>
                <w:color w:val="auto"/>
                <w:sz w:val="24"/>
                <w:highlight w:val="none"/>
              </w:rPr>
            </w:pPr>
            <w:r>
              <w:rPr>
                <w:rFonts w:hint="default" w:ascii="Times New Roman" w:hAnsi="Times New Roman" w:eastAsia="宋体" w:cs="Times New Roman"/>
                <w:color w:val="auto"/>
                <w:sz w:val="24"/>
                <w:highlight w:val="none"/>
              </w:rPr>
              <w:t>该项目与《辽宁省大气污染防治行动计划实施方案》（辽宁省人民政府，辽政发[2014]8号，2014年3月13日）、《辽宁省水污染防治工作方案》（辽宁省人民政府，辽政发[2015]79号，2015年12月31日）及《辽宁省土壤污染防治工作方案》（辽宁省人民政府，辽政发[2016]58号，2016年8月24日）的相符合性分析详见表</w:t>
            </w:r>
            <w:r>
              <w:rPr>
                <w:rFonts w:hint="eastAsia" w:ascii="Times New Roman" w:hAnsi="Times New Roman" w:eastAsia="宋体" w:cs="Times New Roman"/>
                <w:color w:val="auto"/>
                <w:sz w:val="24"/>
                <w:highlight w:val="none"/>
                <w:lang w:val="en-US" w:eastAsia="zh-CN"/>
              </w:rPr>
              <w:t>1-</w:t>
            </w:r>
            <w:r>
              <w:rPr>
                <w:rFonts w:hint="eastAsia" w:cs="Times New Roman"/>
                <w:color w:val="auto"/>
                <w:sz w:val="24"/>
                <w:highlight w:val="none"/>
                <w:lang w:val="en-US" w:eastAsia="zh-CN"/>
              </w:rPr>
              <w:t>4</w:t>
            </w:r>
            <w:r>
              <w:rPr>
                <w:rFonts w:hint="default" w:ascii="Times New Roman" w:hAnsi="Times New Roman" w:eastAsia="宋体" w:cs="Times New Roman"/>
                <w:color w:val="auto"/>
                <w:sz w:val="24"/>
                <w:highlight w:val="none"/>
              </w:rPr>
              <w:t>。</w:t>
            </w:r>
          </w:p>
          <w:p w14:paraId="1AABB0C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4"/>
                <w:highlight w:val="none"/>
              </w:rPr>
            </w:pPr>
            <w:r>
              <w:rPr>
                <w:rFonts w:hint="default" w:ascii="Times New Roman" w:hAnsi="Times New Roman" w:eastAsia="宋体" w:cs="Times New Roman"/>
                <w:b/>
                <w:bCs/>
                <w:color w:val="auto"/>
                <w:sz w:val="21"/>
                <w:szCs w:val="21"/>
                <w:highlight w:val="none"/>
              </w:rPr>
              <w:t>表</w:t>
            </w:r>
            <w:r>
              <w:rPr>
                <w:rFonts w:hint="eastAsia" w:ascii="Times New Roman" w:hAnsi="Times New Roman" w:eastAsia="宋体" w:cs="Times New Roman"/>
                <w:b/>
                <w:bCs/>
                <w:color w:val="auto"/>
                <w:sz w:val="21"/>
                <w:szCs w:val="21"/>
                <w:highlight w:val="none"/>
                <w:lang w:val="en-US" w:eastAsia="zh-CN"/>
              </w:rPr>
              <w:t>1-</w:t>
            </w:r>
            <w:r>
              <w:rPr>
                <w:rFonts w:hint="eastAsia" w:cs="Times New Roman"/>
                <w:b/>
                <w:bCs/>
                <w:color w:val="auto"/>
                <w:sz w:val="21"/>
                <w:szCs w:val="21"/>
                <w:highlight w:val="none"/>
                <w:lang w:val="en-US" w:eastAsia="zh-CN"/>
              </w:rPr>
              <w:t>4</w:t>
            </w:r>
            <w:r>
              <w:rPr>
                <w:rFonts w:hint="default" w:ascii="Times New Roman" w:hAnsi="Times New Roman" w:eastAsia="宋体" w:cs="Times New Roman"/>
                <w:b/>
                <w:bCs/>
                <w:color w:val="auto"/>
                <w:sz w:val="21"/>
                <w:szCs w:val="21"/>
                <w:highlight w:val="none"/>
              </w:rPr>
              <w:t xml:space="preserve">   项目与相关规划符合性分析表</w:t>
            </w:r>
          </w:p>
          <w:tbl>
            <w:tblPr>
              <w:tblStyle w:val="27"/>
              <w:tblW w:w="0" w:type="auto"/>
              <w:jc w:val="center"/>
              <w:tblBorders>
                <w:top w:val="single" w:color="auto" w:sz="12" w:space="0"/>
                <w:left w:val="none" w:color="auto" w:sz="0" w:space="0"/>
                <w:bottom w:val="single" w:color="auto" w:sz="12" w:space="0"/>
                <w:right w:val="none" w:color="auto" w:sz="0" w:space="0"/>
                <w:insideH w:val="single" w:color="auto" w:sz="4" w:space="0"/>
                <w:insideV w:val="single" w:color="auto" w:sz="2" w:space="0"/>
              </w:tblBorders>
              <w:tblLayout w:type="autofit"/>
              <w:tblCellMar>
                <w:top w:w="0" w:type="dxa"/>
                <w:left w:w="23" w:type="dxa"/>
                <w:bottom w:w="0" w:type="dxa"/>
                <w:right w:w="23" w:type="dxa"/>
              </w:tblCellMar>
            </w:tblPr>
            <w:tblGrid>
              <w:gridCol w:w="386"/>
              <w:gridCol w:w="519"/>
              <w:gridCol w:w="2934"/>
              <w:gridCol w:w="2241"/>
              <w:gridCol w:w="538"/>
            </w:tblGrid>
            <w:tr w14:paraId="6981F86F">
              <w:tblPrEx>
                <w:tblBorders>
                  <w:top w:val="single" w:color="auto" w:sz="12" w:space="0"/>
                  <w:left w:val="none" w:color="auto" w:sz="0" w:space="0"/>
                  <w:bottom w:val="single" w:color="auto" w:sz="12" w:space="0"/>
                  <w:right w:val="none" w:color="auto" w:sz="0" w:space="0"/>
                  <w:insideH w:val="single" w:color="auto" w:sz="4" w:space="0"/>
                  <w:insideV w:val="single" w:color="auto" w:sz="2" w:space="0"/>
                </w:tblBorders>
                <w:tblCellMar>
                  <w:top w:w="0" w:type="dxa"/>
                  <w:left w:w="23" w:type="dxa"/>
                  <w:bottom w:w="0" w:type="dxa"/>
                  <w:right w:w="23" w:type="dxa"/>
                </w:tblCellMar>
              </w:tblPrEx>
              <w:trPr>
                <w:trHeight w:val="599" w:hRule="atLeast"/>
                <w:jc w:val="center"/>
              </w:trPr>
              <w:tc>
                <w:tcPr>
                  <w:tcW w:w="386" w:type="dxa"/>
                  <w:noWrap w:val="0"/>
                  <w:vAlign w:val="center"/>
                </w:tcPr>
                <w:p w14:paraId="19883C9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序号</w:t>
                  </w:r>
                </w:p>
              </w:tc>
              <w:tc>
                <w:tcPr>
                  <w:tcW w:w="519" w:type="dxa"/>
                  <w:noWrap w:val="0"/>
                  <w:vAlign w:val="center"/>
                </w:tcPr>
                <w:p w14:paraId="0CB73F2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相关规划</w:t>
                  </w:r>
                </w:p>
              </w:tc>
              <w:tc>
                <w:tcPr>
                  <w:tcW w:w="2934" w:type="dxa"/>
                  <w:noWrap w:val="0"/>
                  <w:vAlign w:val="center"/>
                </w:tcPr>
                <w:p w14:paraId="2B6D802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文件要求</w:t>
                  </w:r>
                </w:p>
              </w:tc>
              <w:tc>
                <w:tcPr>
                  <w:tcW w:w="2241" w:type="dxa"/>
                  <w:noWrap w:val="0"/>
                  <w:vAlign w:val="center"/>
                </w:tcPr>
                <w:p w14:paraId="48144A5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pacing w:val="6"/>
                      <w:sz w:val="21"/>
                      <w:szCs w:val="21"/>
                      <w:highlight w:val="none"/>
                    </w:rPr>
                    <w:t>项目情况</w:t>
                  </w:r>
                </w:p>
              </w:tc>
              <w:tc>
                <w:tcPr>
                  <w:tcW w:w="538" w:type="dxa"/>
                  <w:noWrap w:val="0"/>
                  <w:vAlign w:val="center"/>
                </w:tcPr>
                <w:p w14:paraId="60DE091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符合</w:t>
                  </w:r>
                  <w:r>
                    <w:rPr>
                      <w:rFonts w:hint="default" w:ascii="Times New Roman" w:hAnsi="Times New Roman" w:eastAsia="宋体" w:cs="Times New Roman"/>
                      <w:b/>
                      <w:bCs/>
                      <w:color w:val="auto"/>
                      <w:spacing w:val="6"/>
                      <w:sz w:val="21"/>
                      <w:szCs w:val="21"/>
                      <w:highlight w:val="none"/>
                    </w:rPr>
                    <w:t>情况</w:t>
                  </w:r>
                </w:p>
              </w:tc>
            </w:tr>
            <w:tr w14:paraId="21C9F3E6">
              <w:tblPrEx>
                <w:tblBorders>
                  <w:top w:val="single" w:color="auto" w:sz="12" w:space="0"/>
                  <w:left w:val="none" w:color="auto" w:sz="0" w:space="0"/>
                  <w:bottom w:val="single" w:color="auto" w:sz="12" w:space="0"/>
                  <w:right w:val="none" w:color="auto" w:sz="0" w:space="0"/>
                  <w:insideH w:val="single" w:color="auto" w:sz="4" w:space="0"/>
                  <w:insideV w:val="single" w:color="auto" w:sz="2" w:space="0"/>
                </w:tblBorders>
                <w:tblCellMar>
                  <w:top w:w="0" w:type="dxa"/>
                  <w:left w:w="23" w:type="dxa"/>
                  <w:bottom w:w="0" w:type="dxa"/>
                  <w:right w:w="23" w:type="dxa"/>
                </w:tblCellMar>
              </w:tblPrEx>
              <w:trPr>
                <w:trHeight w:val="1107" w:hRule="atLeast"/>
                <w:jc w:val="center"/>
              </w:trPr>
              <w:tc>
                <w:tcPr>
                  <w:tcW w:w="386" w:type="dxa"/>
                  <w:vMerge w:val="restart"/>
                  <w:noWrap w:val="0"/>
                  <w:vAlign w:val="center"/>
                </w:tcPr>
                <w:p w14:paraId="688BA4F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w:t>
                  </w:r>
                </w:p>
              </w:tc>
              <w:tc>
                <w:tcPr>
                  <w:tcW w:w="519" w:type="dxa"/>
                  <w:vMerge w:val="restart"/>
                  <w:noWrap w:val="0"/>
                  <w:vAlign w:val="center"/>
                </w:tcPr>
                <w:p w14:paraId="44E9953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4"/>
                      <w:sz w:val="21"/>
                      <w:szCs w:val="21"/>
                      <w:highlight w:val="none"/>
                    </w:rPr>
                  </w:pPr>
                  <w:r>
                    <w:rPr>
                      <w:rFonts w:hint="default" w:ascii="Times New Roman" w:hAnsi="Times New Roman" w:eastAsia="宋体" w:cs="Times New Roman"/>
                      <w:color w:val="auto"/>
                      <w:kern w:val="24"/>
                      <w:sz w:val="21"/>
                      <w:szCs w:val="21"/>
                      <w:highlight w:val="none"/>
                    </w:rPr>
                    <w:t>辽宁省大气污染防治行动计划实施方案</w:t>
                  </w:r>
                </w:p>
              </w:tc>
              <w:tc>
                <w:tcPr>
                  <w:tcW w:w="2934" w:type="dxa"/>
                  <w:noWrap w:val="0"/>
                  <w:vAlign w:val="center"/>
                </w:tcPr>
                <w:p w14:paraId="5E11DBC6">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提高能源使用效率。严控“两高行业”新增产能。加快淘汰落后产能。</w:t>
                  </w:r>
                </w:p>
              </w:tc>
              <w:tc>
                <w:tcPr>
                  <w:tcW w:w="2241" w:type="dxa"/>
                  <w:noWrap w:val="0"/>
                  <w:vAlign w:val="center"/>
                </w:tcPr>
                <w:p w14:paraId="75CC9BA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4"/>
                      <w:sz w:val="21"/>
                      <w:szCs w:val="21"/>
                      <w:highlight w:val="none"/>
                    </w:rPr>
                  </w:pPr>
                  <w:r>
                    <w:rPr>
                      <w:rFonts w:hint="default" w:ascii="Times New Roman" w:hAnsi="Times New Roman" w:eastAsia="宋体" w:cs="Times New Roman"/>
                      <w:color w:val="auto"/>
                      <w:kern w:val="24"/>
                      <w:sz w:val="21"/>
                      <w:szCs w:val="21"/>
                      <w:highlight w:val="none"/>
                    </w:rPr>
                    <w:t>项目不属于高耗能、高污染行业，不属于淘汰落后产能</w:t>
                  </w:r>
                  <w:r>
                    <w:rPr>
                      <w:rFonts w:hint="default" w:ascii="Times New Roman" w:hAnsi="Times New Roman" w:eastAsia="宋体" w:cs="Times New Roman"/>
                      <w:color w:val="auto"/>
                      <w:sz w:val="21"/>
                      <w:szCs w:val="21"/>
                      <w:highlight w:val="none"/>
                    </w:rPr>
                    <w:t>。</w:t>
                  </w:r>
                </w:p>
              </w:tc>
              <w:tc>
                <w:tcPr>
                  <w:tcW w:w="538" w:type="dxa"/>
                  <w:noWrap w:val="0"/>
                  <w:vAlign w:val="center"/>
                </w:tcPr>
                <w:p w14:paraId="046F05C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符合</w:t>
                  </w:r>
                </w:p>
              </w:tc>
            </w:tr>
            <w:tr w14:paraId="51F574F1">
              <w:tblPrEx>
                <w:tblBorders>
                  <w:top w:val="single" w:color="auto" w:sz="12" w:space="0"/>
                  <w:left w:val="none" w:color="auto" w:sz="0" w:space="0"/>
                  <w:bottom w:val="single" w:color="auto" w:sz="12" w:space="0"/>
                  <w:right w:val="none" w:color="auto" w:sz="0" w:space="0"/>
                  <w:insideH w:val="single" w:color="auto" w:sz="4" w:space="0"/>
                  <w:insideV w:val="single" w:color="auto" w:sz="2" w:space="0"/>
                </w:tblBorders>
                <w:tblCellMar>
                  <w:top w:w="0" w:type="dxa"/>
                  <w:left w:w="23" w:type="dxa"/>
                  <w:bottom w:w="0" w:type="dxa"/>
                  <w:right w:w="23" w:type="dxa"/>
                </w:tblCellMar>
              </w:tblPrEx>
              <w:trPr>
                <w:trHeight w:val="1048" w:hRule="atLeast"/>
                <w:jc w:val="center"/>
              </w:trPr>
              <w:tc>
                <w:tcPr>
                  <w:tcW w:w="386" w:type="dxa"/>
                  <w:vMerge w:val="continue"/>
                  <w:noWrap w:val="0"/>
                  <w:vAlign w:val="center"/>
                </w:tcPr>
                <w:p w14:paraId="11D311B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p>
              </w:tc>
              <w:tc>
                <w:tcPr>
                  <w:tcW w:w="519" w:type="dxa"/>
                  <w:vMerge w:val="continue"/>
                  <w:noWrap w:val="0"/>
                  <w:vAlign w:val="center"/>
                </w:tcPr>
                <w:p w14:paraId="489DA1C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p>
              </w:tc>
              <w:tc>
                <w:tcPr>
                  <w:tcW w:w="2934" w:type="dxa"/>
                  <w:noWrap w:val="0"/>
                  <w:vAlign w:val="center"/>
                </w:tcPr>
                <w:p w14:paraId="39C61DBC">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全面拆除燃煤小锅炉。在供热供气管网不能覆盖的地区，改用电、清洁能源或洁净煤。</w:t>
                  </w:r>
                </w:p>
              </w:tc>
              <w:tc>
                <w:tcPr>
                  <w:tcW w:w="2241" w:type="dxa"/>
                  <w:noWrap w:val="0"/>
                  <w:vAlign w:val="center"/>
                </w:tcPr>
                <w:p w14:paraId="3F65BB9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rPr>
                    <w:t>本次项目不涉及燃煤锅炉的使用，</w:t>
                  </w:r>
                  <w:r>
                    <w:rPr>
                      <w:rFonts w:hint="eastAsia" w:ascii="Times New Roman" w:hAnsi="Times New Roman" w:eastAsia="宋体" w:cs="Times New Roman"/>
                      <w:color w:val="auto"/>
                      <w:sz w:val="21"/>
                      <w:szCs w:val="21"/>
                      <w:highlight w:val="none"/>
                      <w:lang w:eastAsia="zh-CN"/>
                    </w:rPr>
                    <w:t>生产供热使用天然气作为燃料</w:t>
                  </w:r>
                  <w:r>
                    <w:rPr>
                      <w:rFonts w:hint="default" w:ascii="Times New Roman" w:hAnsi="Times New Roman" w:eastAsia="宋体" w:cs="Times New Roman"/>
                      <w:color w:val="auto"/>
                      <w:sz w:val="21"/>
                      <w:szCs w:val="21"/>
                      <w:highlight w:val="none"/>
                      <w:lang w:eastAsia="zh-CN"/>
                    </w:rPr>
                    <w:t>。</w:t>
                  </w:r>
                </w:p>
              </w:tc>
              <w:tc>
                <w:tcPr>
                  <w:tcW w:w="538" w:type="dxa"/>
                  <w:noWrap w:val="0"/>
                  <w:vAlign w:val="center"/>
                </w:tcPr>
                <w:p w14:paraId="10C3323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符合</w:t>
                  </w:r>
                </w:p>
              </w:tc>
            </w:tr>
            <w:tr w14:paraId="45C745BA">
              <w:tblPrEx>
                <w:tblBorders>
                  <w:top w:val="single" w:color="auto" w:sz="12" w:space="0"/>
                  <w:left w:val="none" w:color="auto" w:sz="0" w:space="0"/>
                  <w:bottom w:val="single" w:color="auto" w:sz="12" w:space="0"/>
                  <w:right w:val="none" w:color="auto" w:sz="0" w:space="0"/>
                  <w:insideH w:val="single" w:color="auto" w:sz="4" w:space="0"/>
                  <w:insideV w:val="single" w:color="auto" w:sz="2" w:space="0"/>
                </w:tblBorders>
                <w:tblCellMar>
                  <w:top w:w="0" w:type="dxa"/>
                  <w:left w:w="23" w:type="dxa"/>
                  <w:bottom w:w="0" w:type="dxa"/>
                  <w:right w:w="23" w:type="dxa"/>
                </w:tblCellMar>
              </w:tblPrEx>
              <w:trPr>
                <w:trHeight w:val="332" w:hRule="atLeast"/>
                <w:jc w:val="center"/>
              </w:trPr>
              <w:tc>
                <w:tcPr>
                  <w:tcW w:w="386" w:type="dxa"/>
                  <w:vMerge w:val="continue"/>
                  <w:noWrap w:val="0"/>
                  <w:vAlign w:val="center"/>
                </w:tcPr>
                <w:p w14:paraId="0BFE6B5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p>
              </w:tc>
              <w:tc>
                <w:tcPr>
                  <w:tcW w:w="519" w:type="dxa"/>
                  <w:vMerge w:val="continue"/>
                  <w:noWrap w:val="0"/>
                  <w:vAlign w:val="center"/>
                </w:tcPr>
                <w:p w14:paraId="5CA23DD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p>
              </w:tc>
              <w:tc>
                <w:tcPr>
                  <w:tcW w:w="2934" w:type="dxa"/>
                  <w:noWrap w:val="0"/>
                  <w:vAlign w:val="center"/>
                </w:tcPr>
                <w:p w14:paraId="3657BE18">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严格环境准入。严格落实国家建设项目污染物排放总量控制政策，将烟粉尘和挥发性有机污染物纳入总量控制管理。</w:t>
                  </w:r>
                </w:p>
              </w:tc>
              <w:tc>
                <w:tcPr>
                  <w:tcW w:w="2241" w:type="dxa"/>
                  <w:noWrap w:val="0"/>
                  <w:vAlign w:val="center"/>
                </w:tcPr>
                <w:p w14:paraId="714E1F23">
                  <w:pPr>
                    <w:pStyle w:val="92"/>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w:t>
                  </w:r>
                </w:p>
              </w:tc>
              <w:tc>
                <w:tcPr>
                  <w:tcW w:w="538" w:type="dxa"/>
                  <w:noWrap w:val="0"/>
                  <w:vAlign w:val="center"/>
                </w:tcPr>
                <w:p w14:paraId="5B61DEA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符合</w:t>
                  </w:r>
                </w:p>
              </w:tc>
            </w:tr>
            <w:tr w14:paraId="4FFD0B1C">
              <w:tblPrEx>
                <w:tblBorders>
                  <w:top w:val="single" w:color="auto" w:sz="12" w:space="0"/>
                  <w:left w:val="none" w:color="auto" w:sz="0" w:space="0"/>
                  <w:bottom w:val="single" w:color="auto" w:sz="12" w:space="0"/>
                  <w:right w:val="none" w:color="auto" w:sz="0" w:space="0"/>
                  <w:insideH w:val="single" w:color="auto" w:sz="4" w:space="0"/>
                  <w:insideV w:val="single" w:color="auto" w:sz="2" w:space="0"/>
                </w:tblBorders>
                <w:tblCellMar>
                  <w:top w:w="0" w:type="dxa"/>
                  <w:left w:w="23" w:type="dxa"/>
                  <w:bottom w:w="0" w:type="dxa"/>
                  <w:right w:w="23" w:type="dxa"/>
                </w:tblCellMar>
              </w:tblPrEx>
              <w:trPr>
                <w:trHeight w:val="539" w:hRule="atLeast"/>
                <w:jc w:val="center"/>
              </w:trPr>
              <w:tc>
                <w:tcPr>
                  <w:tcW w:w="386" w:type="dxa"/>
                  <w:vMerge w:val="continue"/>
                  <w:noWrap w:val="0"/>
                  <w:vAlign w:val="center"/>
                </w:tcPr>
                <w:p w14:paraId="55B3FDF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p>
              </w:tc>
              <w:tc>
                <w:tcPr>
                  <w:tcW w:w="519" w:type="dxa"/>
                  <w:vMerge w:val="continue"/>
                  <w:noWrap w:val="0"/>
                  <w:vAlign w:val="center"/>
                </w:tcPr>
                <w:p w14:paraId="4A6C04C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p>
              </w:tc>
              <w:tc>
                <w:tcPr>
                  <w:tcW w:w="2934" w:type="dxa"/>
                  <w:noWrap w:val="0"/>
                  <w:vAlign w:val="center"/>
                </w:tcPr>
                <w:p w14:paraId="77E464B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严控工业堆场扬尘。</w:t>
                  </w:r>
                </w:p>
              </w:tc>
              <w:tc>
                <w:tcPr>
                  <w:tcW w:w="2241" w:type="dxa"/>
                  <w:noWrap w:val="0"/>
                  <w:vAlign w:val="center"/>
                </w:tcPr>
                <w:p w14:paraId="49F8E028">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pacing w:val="-6"/>
                      <w:kern w:val="24"/>
                      <w:sz w:val="21"/>
                      <w:szCs w:val="21"/>
                      <w:highlight w:val="none"/>
                      <w:lang w:val="en-US" w:eastAsia="zh-CN"/>
                    </w:rPr>
                    <w:t>该项目不涉及工业堆场。</w:t>
                  </w:r>
                </w:p>
              </w:tc>
              <w:tc>
                <w:tcPr>
                  <w:tcW w:w="538" w:type="dxa"/>
                  <w:noWrap w:val="0"/>
                  <w:vAlign w:val="center"/>
                </w:tcPr>
                <w:p w14:paraId="3850FB0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符合</w:t>
                  </w:r>
                </w:p>
              </w:tc>
            </w:tr>
            <w:tr w14:paraId="7037B8EE">
              <w:tblPrEx>
                <w:tblBorders>
                  <w:top w:val="single" w:color="auto" w:sz="12" w:space="0"/>
                  <w:left w:val="none" w:color="auto" w:sz="0" w:space="0"/>
                  <w:bottom w:val="single" w:color="auto" w:sz="12" w:space="0"/>
                  <w:right w:val="none" w:color="auto" w:sz="0" w:space="0"/>
                  <w:insideH w:val="single" w:color="auto" w:sz="4" w:space="0"/>
                  <w:insideV w:val="single" w:color="auto" w:sz="2" w:space="0"/>
                </w:tblBorders>
                <w:tblCellMar>
                  <w:top w:w="0" w:type="dxa"/>
                  <w:left w:w="23" w:type="dxa"/>
                  <w:bottom w:w="0" w:type="dxa"/>
                  <w:right w:w="23" w:type="dxa"/>
                </w:tblCellMar>
              </w:tblPrEx>
              <w:trPr>
                <w:trHeight w:val="793" w:hRule="atLeast"/>
                <w:jc w:val="center"/>
              </w:trPr>
              <w:tc>
                <w:tcPr>
                  <w:tcW w:w="386" w:type="dxa"/>
                  <w:vMerge w:val="restart"/>
                  <w:noWrap w:val="0"/>
                  <w:vAlign w:val="center"/>
                </w:tcPr>
                <w:p w14:paraId="2CC5096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2</w:t>
                  </w:r>
                </w:p>
              </w:tc>
              <w:tc>
                <w:tcPr>
                  <w:tcW w:w="519" w:type="dxa"/>
                  <w:vMerge w:val="restart"/>
                  <w:noWrap w:val="0"/>
                  <w:vAlign w:val="center"/>
                </w:tcPr>
                <w:p w14:paraId="604676B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kern w:val="24"/>
                      <w:sz w:val="21"/>
                      <w:szCs w:val="21"/>
                      <w:highlight w:val="none"/>
                    </w:rPr>
                    <w:t>辽宁省水污染防治工作方案</w:t>
                  </w:r>
                </w:p>
              </w:tc>
              <w:tc>
                <w:tcPr>
                  <w:tcW w:w="2934" w:type="dxa"/>
                  <w:noWrap w:val="0"/>
                  <w:vAlign w:val="center"/>
                </w:tcPr>
                <w:p w14:paraId="6BC7154F">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依法淘汰落后产能。推进循环发展。加强清洁生产审核。</w:t>
                  </w:r>
                </w:p>
              </w:tc>
              <w:tc>
                <w:tcPr>
                  <w:tcW w:w="2241" w:type="dxa"/>
                  <w:noWrap w:val="0"/>
                  <w:vAlign w:val="center"/>
                </w:tcPr>
                <w:p w14:paraId="780A0B7B">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kern w:val="24"/>
                      <w:sz w:val="21"/>
                      <w:szCs w:val="21"/>
                      <w:highlight w:val="none"/>
                    </w:rPr>
                    <w:t>项目不属于高耗能、高污染行业，不属于淘汰落后产能。</w:t>
                  </w:r>
                </w:p>
              </w:tc>
              <w:tc>
                <w:tcPr>
                  <w:tcW w:w="538" w:type="dxa"/>
                  <w:noWrap w:val="0"/>
                  <w:vAlign w:val="center"/>
                </w:tcPr>
                <w:p w14:paraId="1BE4235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符合</w:t>
                  </w:r>
                </w:p>
              </w:tc>
            </w:tr>
            <w:tr w14:paraId="60D72C3F">
              <w:tblPrEx>
                <w:tblBorders>
                  <w:top w:val="single" w:color="auto" w:sz="12" w:space="0"/>
                  <w:left w:val="none" w:color="auto" w:sz="0" w:space="0"/>
                  <w:bottom w:val="single" w:color="auto" w:sz="12" w:space="0"/>
                  <w:right w:val="none" w:color="auto" w:sz="0" w:space="0"/>
                  <w:insideH w:val="single" w:color="auto" w:sz="4" w:space="0"/>
                  <w:insideV w:val="single" w:color="auto" w:sz="2" w:space="0"/>
                </w:tblBorders>
                <w:tblCellMar>
                  <w:top w:w="0" w:type="dxa"/>
                  <w:left w:w="23" w:type="dxa"/>
                  <w:bottom w:w="0" w:type="dxa"/>
                  <w:right w:w="23" w:type="dxa"/>
                </w:tblCellMar>
              </w:tblPrEx>
              <w:trPr>
                <w:trHeight w:val="793" w:hRule="atLeast"/>
                <w:jc w:val="center"/>
              </w:trPr>
              <w:tc>
                <w:tcPr>
                  <w:tcW w:w="386" w:type="dxa"/>
                  <w:vMerge w:val="continue"/>
                  <w:noWrap w:val="0"/>
                  <w:vAlign w:val="center"/>
                </w:tcPr>
                <w:p w14:paraId="67FD527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p>
              </w:tc>
              <w:tc>
                <w:tcPr>
                  <w:tcW w:w="519" w:type="dxa"/>
                  <w:vMerge w:val="continue"/>
                  <w:noWrap w:val="0"/>
                  <w:vAlign w:val="center"/>
                </w:tcPr>
                <w:p w14:paraId="7CC342D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4"/>
                      <w:sz w:val="21"/>
                      <w:szCs w:val="21"/>
                      <w:highlight w:val="none"/>
                    </w:rPr>
                  </w:pPr>
                </w:p>
              </w:tc>
              <w:tc>
                <w:tcPr>
                  <w:tcW w:w="2934" w:type="dxa"/>
                  <w:noWrap w:val="0"/>
                  <w:vAlign w:val="center"/>
                </w:tcPr>
                <w:p w14:paraId="3A0B6BF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严控地下水超采。</w:t>
                  </w:r>
                </w:p>
              </w:tc>
              <w:tc>
                <w:tcPr>
                  <w:tcW w:w="2241" w:type="dxa"/>
                  <w:noWrap w:val="0"/>
                  <w:vAlign w:val="center"/>
                </w:tcPr>
                <w:p w14:paraId="1830E6CC">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kern w:val="24"/>
                      <w:sz w:val="21"/>
                      <w:szCs w:val="21"/>
                      <w:highlight w:val="none"/>
                    </w:rPr>
                    <w:t>项目新鲜水均由市政供水管网提供，不涉及地下水超采。</w:t>
                  </w:r>
                </w:p>
              </w:tc>
              <w:tc>
                <w:tcPr>
                  <w:tcW w:w="538" w:type="dxa"/>
                  <w:noWrap w:val="0"/>
                  <w:vAlign w:val="center"/>
                </w:tcPr>
                <w:p w14:paraId="3B9253A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符合</w:t>
                  </w:r>
                </w:p>
              </w:tc>
            </w:tr>
            <w:tr w14:paraId="62E4DEA3">
              <w:tblPrEx>
                <w:tblBorders>
                  <w:top w:val="single" w:color="auto" w:sz="12" w:space="0"/>
                  <w:left w:val="none" w:color="auto" w:sz="0" w:space="0"/>
                  <w:bottom w:val="single" w:color="auto" w:sz="12" w:space="0"/>
                  <w:right w:val="none" w:color="auto" w:sz="0" w:space="0"/>
                  <w:insideH w:val="single" w:color="auto" w:sz="4" w:space="0"/>
                  <w:insideV w:val="single" w:color="auto" w:sz="2" w:space="0"/>
                </w:tblBorders>
                <w:tblCellMar>
                  <w:top w:w="0" w:type="dxa"/>
                  <w:left w:w="23" w:type="dxa"/>
                  <w:bottom w:w="0" w:type="dxa"/>
                  <w:right w:w="23" w:type="dxa"/>
                </w:tblCellMar>
              </w:tblPrEx>
              <w:trPr>
                <w:trHeight w:val="1302" w:hRule="atLeast"/>
                <w:jc w:val="center"/>
              </w:trPr>
              <w:tc>
                <w:tcPr>
                  <w:tcW w:w="386" w:type="dxa"/>
                  <w:vMerge w:val="continue"/>
                  <w:noWrap w:val="0"/>
                  <w:vAlign w:val="center"/>
                </w:tcPr>
                <w:p w14:paraId="01535FD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p>
              </w:tc>
              <w:tc>
                <w:tcPr>
                  <w:tcW w:w="519" w:type="dxa"/>
                  <w:vMerge w:val="continue"/>
                  <w:noWrap w:val="0"/>
                  <w:vAlign w:val="center"/>
                </w:tcPr>
                <w:p w14:paraId="6AD2407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4"/>
                      <w:sz w:val="21"/>
                      <w:szCs w:val="21"/>
                      <w:highlight w:val="none"/>
                    </w:rPr>
                  </w:pPr>
                </w:p>
              </w:tc>
              <w:tc>
                <w:tcPr>
                  <w:tcW w:w="2934" w:type="dxa"/>
                  <w:noWrap w:val="0"/>
                  <w:vAlign w:val="center"/>
                </w:tcPr>
                <w:p w14:paraId="14B08500">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spacing w:val="-6"/>
                      <w:sz w:val="21"/>
                      <w:szCs w:val="21"/>
                      <w:highlight w:val="none"/>
                    </w:rPr>
                  </w:pPr>
                  <w:r>
                    <w:rPr>
                      <w:rFonts w:hint="default" w:ascii="Times New Roman" w:hAnsi="Times New Roman" w:eastAsia="宋体" w:cs="Times New Roman"/>
                      <w:color w:val="auto"/>
                      <w:spacing w:val="-6"/>
                      <w:sz w:val="21"/>
                      <w:szCs w:val="21"/>
                      <w:highlight w:val="none"/>
                    </w:rPr>
                    <w:t>落实排污单位主体责任。各类排污单位要严格执行环保法律法规等要求，加大资金投入，加强节水治污设施运行管理，确保稳定达标排放。</w:t>
                  </w:r>
                </w:p>
              </w:tc>
              <w:tc>
                <w:tcPr>
                  <w:tcW w:w="2241" w:type="dxa"/>
                  <w:noWrap w:val="0"/>
                  <w:vAlign w:val="center"/>
                </w:tcPr>
                <w:p w14:paraId="74980F43">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kern w:val="24"/>
                      <w:sz w:val="21"/>
                      <w:szCs w:val="21"/>
                      <w:highlight w:val="none"/>
                    </w:rPr>
                  </w:pPr>
                  <w:r>
                    <w:rPr>
                      <w:rFonts w:hint="default" w:ascii="Times New Roman" w:hAnsi="Times New Roman" w:eastAsia="宋体" w:cs="Times New Roman"/>
                      <w:color w:val="auto"/>
                      <w:kern w:val="24"/>
                      <w:sz w:val="21"/>
                      <w:szCs w:val="21"/>
                      <w:highlight w:val="none"/>
                    </w:rPr>
                    <w:t>建设单位加强污染</w:t>
                  </w:r>
                  <w:r>
                    <w:rPr>
                      <w:rFonts w:hint="default" w:ascii="Times New Roman" w:hAnsi="Times New Roman" w:eastAsia="宋体" w:cs="Times New Roman"/>
                      <w:color w:val="auto"/>
                      <w:sz w:val="21"/>
                      <w:szCs w:val="21"/>
                      <w:highlight w:val="none"/>
                    </w:rPr>
                    <w:t>污染治理设施的建设和运行管理，定期维护污染防治设施，落实了排污单位的主体责任</w:t>
                  </w:r>
                  <w:r>
                    <w:rPr>
                      <w:rFonts w:hint="default" w:ascii="Times New Roman" w:hAnsi="Times New Roman" w:eastAsia="宋体" w:cs="Times New Roman"/>
                      <w:color w:val="auto"/>
                      <w:kern w:val="24"/>
                      <w:sz w:val="21"/>
                      <w:szCs w:val="21"/>
                      <w:highlight w:val="none"/>
                    </w:rPr>
                    <w:t>。</w:t>
                  </w:r>
                </w:p>
              </w:tc>
              <w:tc>
                <w:tcPr>
                  <w:tcW w:w="538" w:type="dxa"/>
                  <w:noWrap w:val="0"/>
                  <w:vAlign w:val="center"/>
                </w:tcPr>
                <w:p w14:paraId="38585BC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符合</w:t>
                  </w:r>
                </w:p>
              </w:tc>
            </w:tr>
            <w:tr w14:paraId="066E54E1">
              <w:tblPrEx>
                <w:tblBorders>
                  <w:top w:val="single" w:color="auto" w:sz="12" w:space="0"/>
                  <w:left w:val="none" w:color="auto" w:sz="0" w:space="0"/>
                  <w:bottom w:val="single" w:color="auto" w:sz="12" w:space="0"/>
                  <w:right w:val="none" w:color="auto" w:sz="0" w:space="0"/>
                  <w:insideH w:val="single" w:color="auto" w:sz="4" w:space="0"/>
                  <w:insideV w:val="single" w:color="auto" w:sz="2" w:space="0"/>
                </w:tblBorders>
                <w:tblCellMar>
                  <w:top w:w="0" w:type="dxa"/>
                  <w:left w:w="23" w:type="dxa"/>
                  <w:bottom w:w="0" w:type="dxa"/>
                  <w:right w:w="23" w:type="dxa"/>
                </w:tblCellMar>
              </w:tblPrEx>
              <w:trPr>
                <w:trHeight w:val="1059" w:hRule="atLeast"/>
                <w:jc w:val="center"/>
              </w:trPr>
              <w:tc>
                <w:tcPr>
                  <w:tcW w:w="386" w:type="dxa"/>
                  <w:vMerge w:val="restart"/>
                  <w:noWrap w:val="0"/>
                  <w:vAlign w:val="center"/>
                </w:tcPr>
                <w:p w14:paraId="08385B8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3</w:t>
                  </w:r>
                </w:p>
              </w:tc>
              <w:tc>
                <w:tcPr>
                  <w:tcW w:w="519" w:type="dxa"/>
                  <w:vMerge w:val="restart"/>
                  <w:noWrap w:val="0"/>
                  <w:vAlign w:val="center"/>
                </w:tcPr>
                <w:p w14:paraId="2F4EB19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4"/>
                      <w:sz w:val="21"/>
                      <w:szCs w:val="21"/>
                      <w:highlight w:val="none"/>
                    </w:rPr>
                  </w:pPr>
                  <w:r>
                    <w:rPr>
                      <w:rFonts w:hint="default" w:ascii="Times New Roman" w:hAnsi="Times New Roman" w:eastAsia="宋体" w:cs="Times New Roman"/>
                      <w:color w:val="auto"/>
                      <w:kern w:val="24"/>
                      <w:sz w:val="21"/>
                      <w:szCs w:val="21"/>
                      <w:highlight w:val="none"/>
                    </w:rPr>
                    <w:t>辽宁省土壤污染防治工作方案</w:t>
                  </w:r>
                </w:p>
              </w:tc>
              <w:tc>
                <w:tcPr>
                  <w:tcW w:w="2934" w:type="dxa"/>
                  <w:noWrap w:val="0"/>
                  <w:vAlign w:val="center"/>
                </w:tcPr>
                <w:p w14:paraId="6A3B5800">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spacing w:val="-6"/>
                      <w:sz w:val="21"/>
                      <w:szCs w:val="21"/>
                      <w:highlight w:val="none"/>
                    </w:rPr>
                  </w:pPr>
                  <w:r>
                    <w:rPr>
                      <w:rFonts w:hint="default" w:ascii="Times New Roman" w:hAnsi="Times New Roman" w:eastAsia="宋体" w:cs="Times New Roman"/>
                      <w:color w:val="auto"/>
                      <w:spacing w:val="-6"/>
                      <w:sz w:val="21"/>
                      <w:szCs w:val="21"/>
                      <w:highlight w:val="none"/>
                    </w:rPr>
                    <w:t>排放重点污染物的建设项目，在开展环境影响评价时，要增加对土壤环境影响的评价内容，并提出防范土壤污染的具体措施。需要建设的土壤污染防治设施，要与主体工程同时设计、同时施工、同时投产使用。</w:t>
                  </w:r>
                </w:p>
              </w:tc>
              <w:tc>
                <w:tcPr>
                  <w:tcW w:w="2241" w:type="dxa"/>
                  <w:noWrap w:val="0"/>
                  <w:vAlign w:val="center"/>
                </w:tcPr>
                <w:p w14:paraId="1FFEBEDE">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kern w:val="24"/>
                      <w:sz w:val="21"/>
                      <w:szCs w:val="21"/>
                      <w:highlight w:val="none"/>
                    </w:rPr>
                  </w:pPr>
                  <w:r>
                    <w:rPr>
                      <w:rFonts w:hint="default" w:ascii="Times New Roman" w:hAnsi="Times New Roman" w:eastAsia="宋体" w:cs="Times New Roman"/>
                      <w:color w:val="auto"/>
                      <w:kern w:val="24"/>
                      <w:sz w:val="21"/>
                      <w:szCs w:val="21"/>
                      <w:highlight w:val="none"/>
                    </w:rPr>
                    <w:t>项目不涉及重点污染物的排放</w:t>
                  </w:r>
                  <w:r>
                    <w:rPr>
                      <w:rFonts w:hint="eastAsia" w:ascii="Times New Roman" w:hAnsi="Times New Roman" w:eastAsia="宋体" w:cs="Times New Roman"/>
                      <w:color w:val="auto"/>
                      <w:kern w:val="24"/>
                      <w:sz w:val="21"/>
                      <w:szCs w:val="21"/>
                      <w:highlight w:val="none"/>
                      <w:lang w:eastAsia="zh-CN"/>
                    </w:rPr>
                    <w:t>，污</w:t>
                  </w:r>
                  <w:r>
                    <w:rPr>
                      <w:rFonts w:hint="default" w:ascii="Times New Roman" w:hAnsi="Times New Roman" w:eastAsia="宋体" w:cs="Times New Roman"/>
                      <w:color w:val="auto"/>
                      <w:spacing w:val="-6"/>
                      <w:sz w:val="21"/>
                      <w:szCs w:val="21"/>
                      <w:highlight w:val="none"/>
                    </w:rPr>
                    <w:t>染防治设施与主体工程同时设计、同时施工、同时投产使用。</w:t>
                  </w:r>
                </w:p>
              </w:tc>
              <w:tc>
                <w:tcPr>
                  <w:tcW w:w="538" w:type="dxa"/>
                  <w:noWrap w:val="0"/>
                  <w:vAlign w:val="center"/>
                </w:tcPr>
                <w:p w14:paraId="735D29B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符合</w:t>
                  </w:r>
                </w:p>
              </w:tc>
            </w:tr>
            <w:tr w14:paraId="7BA9BE6A">
              <w:tblPrEx>
                <w:tblBorders>
                  <w:top w:val="single" w:color="auto" w:sz="12" w:space="0"/>
                  <w:left w:val="none" w:color="auto" w:sz="0" w:space="0"/>
                  <w:bottom w:val="single" w:color="auto" w:sz="12" w:space="0"/>
                  <w:right w:val="none" w:color="auto" w:sz="0" w:space="0"/>
                  <w:insideH w:val="single" w:color="auto" w:sz="4" w:space="0"/>
                  <w:insideV w:val="single" w:color="auto" w:sz="2" w:space="0"/>
                </w:tblBorders>
                <w:tblCellMar>
                  <w:top w:w="0" w:type="dxa"/>
                  <w:left w:w="23" w:type="dxa"/>
                  <w:bottom w:w="0" w:type="dxa"/>
                  <w:right w:w="23" w:type="dxa"/>
                </w:tblCellMar>
              </w:tblPrEx>
              <w:trPr>
                <w:trHeight w:val="1613" w:hRule="atLeast"/>
                <w:jc w:val="center"/>
              </w:trPr>
              <w:tc>
                <w:tcPr>
                  <w:tcW w:w="386" w:type="dxa"/>
                  <w:vMerge w:val="continue"/>
                  <w:noWrap w:val="0"/>
                  <w:vAlign w:val="center"/>
                </w:tcPr>
                <w:p w14:paraId="6574570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p>
              </w:tc>
              <w:tc>
                <w:tcPr>
                  <w:tcW w:w="519" w:type="dxa"/>
                  <w:vMerge w:val="continue"/>
                  <w:noWrap w:val="0"/>
                  <w:vAlign w:val="center"/>
                </w:tcPr>
                <w:p w14:paraId="6479FF2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4"/>
                      <w:sz w:val="21"/>
                      <w:szCs w:val="21"/>
                      <w:highlight w:val="none"/>
                    </w:rPr>
                  </w:pPr>
                </w:p>
              </w:tc>
              <w:tc>
                <w:tcPr>
                  <w:tcW w:w="2934" w:type="dxa"/>
                  <w:noWrap w:val="0"/>
                  <w:vAlign w:val="center"/>
                </w:tcPr>
                <w:p w14:paraId="32C47035">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spacing w:val="-6"/>
                      <w:sz w:val="21"/>
                      <w:szCs w:val="21"/>
                      <w:highlight w:val="none"/>
                    </w:rPr>
                  </w:pPr>
                  <w:r>
                    <w:rPr>
                      <w:rFonts w:hint="default" w:ascii="Times New Roman" w:hAnsi="Times New Roman" w:eastAsia="宋体" w:cs="Times New Roman"/>
                      <w:color w:val="auto"/>
                      <w:spacing w:val="-6"/>
                      <w:kern w:val="24"/>
                      <w:sz w:val="21"/>
                      <w:szCs w:val="21"/>
                      <w:highlight w:val="none"/>
                    </w:rPr>
                    <w:t>严格执行重金属污染物排放标准并落实相关总量控制指标，加大监督检查力度，对整改后仍不达标的企业，依法责令其停业、关闭，并将企业名单向社会公开。继续淘汰涉重金属重点行业落后产能，禁止新建落后产能或产能严重过剩行业项目。</w:t>
                  </w:r>
                </w:p>
              </w:tc>
              <w:tc>
                <w:tcPr>
                  <w:tcW w:w="2241" w:type="dxa"/>
                  <w:noWrap w:val="0"/>
                  <w:vAlign w:val="center"/>
                </w:tcPr>
                <w:p w14:paraId="3F4F543F">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kern w:val="24"/>
                      <w:sz w:val="21"/>
                      <w:szCs w:val="21"/>
                      <w:highlight w:val="none"/>
                    </w:rPr>
                  </w:pPr>
                  <w:r>
                    <w:rPr>
                      <w:rFonts w:hint="eastAsia" w:ascii="Times New Roman" w:hAnsi="Times New Roman" w:eastAsia="宋体" w:cs="Times New Roman"/>
                      <w:color w:val="auto"/>
                      <w:kern w:val="24"/>
                      <w:sz w:val="21"/>
                      <w:szCs w:val="21"/>
                      <w:highlight w:val="none"/>
                      <w:lang w:val="en-US" w:eastAsia="zh-CN"/>
                    </w:rPr>
                    <w:t>该</w:t>
                  </w:r>
                  <w:r>
                    <w:rPr>
                      <w:rFonts w:hint="default" w:ascii="Times New Roman" w:hAnsi="Times New Roman" w:eastAsia="宋体" w:cs="Times New Roman"/>
                      <w:color w:val="auto"/>
                      <w:kern w:val="24"/>
                      <w:sz w:val="21"/>
                      <w:szCs w:val="21"/>
                      <w:highlight w:val="none"/>
                    </w:rPr>
                    <w:t>项目污染物均不涉及重金属的排放。</w:t>
                  </w:r>
                </w:p>
              </w:tc>
              <w:tc>
                <w:tcPr>
                  <w:tcW w:w="538" w:type="dxa"/>
                  <w:noWrap w:val="0"/>
                  <w:vAlign w:val="center"/>
                </w:tcPr>
                <w:p w14:paraId="0A95159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符合</w:t>
                  </w:r>
                </w:p>
              </w:tc>
            </w:tr>
          </w:tbl>
          <w:p w14:paraId="57D5407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由上表可知，该项目符合《辽宁省大气污染防治行动计划实施方案》（辽宁省人民政府，辽政发[2014]8号，2014年3月13日）、《辽宁省水污染防治工作方案》（辽宁省人民政府，辽政发[2015]79号，2015年12月31日）及《辽宁省土壤污染防治工作方案》（辽宁省人民政府，辽政发[2016]58号，2016年8月24日）中的相关要求。</w:t>
            </w:r>
          </w:p>
          <w:p w14:paraId="4A0AB0D8">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eastAsia="宋体" w:cs="Times New Roman"/>
                <w:b/>
                <w:bCs/>
                <w:color w:val="auto"/>
                <w:sz w:val="24"/>
                <w:highlight w:val="none"/>
                <w:lang w:eastAsia="zh-CN"/>
              </w:rPr>
            </w:pPr>
            <w:r>
              <w:rPr>
                <w:rFonts w:hint="default" w:ascii="Times New Roman" w:hAnsi="Times New Roman" w:eastAsia="宋体" w:cs="Times New Roman"/>
                <w:b/>
                <w:bCs/>
                <w:color w:val="auto"/>
                <w:sz w:val="24"/>
                <w:highlight w:val="none"/>
                <w:lang w:eastAsia="zh-CN"/>
              </w:rPr>
              <w:t>与本溪市“气十条”、“水十条”相关要求相符性分析</w:t>
            </w:r>
          </w:p>
          <w:p w14:paraId="3C98A7C5">
            <w:pPr>
              <w:keepNext w:val="0"/>
              <w:keepLines w:val="0"/>
              <w:pageBreakBefore w:val="0"/>
              <w:widowControl w:val="0"/>
              <w:kinsoku/>
              <w:wordWrap/>
              <w:overflowPunct/>
              <w:topLinePunct w:val="0"/>
              <w:autoSpaceDE/>
              <w:autoSpaceDN/>
              <w:bidi w:val="0"/>
              <w:adjustRightInd/>
              <w:snapToGrid/>
              <w:spacing w:line="360" w:lineRule="auto"/>
              <w:ind w:firstLine="456" w:firstLineChars="200"/>
              <w:textAlignment w:val="auto"/>
              <w:rPr>
                <w:rFonts w:hint="default" w:ascii="Times New Roman" w:hAnsi="Times New Roman" w:eastAsia="宋体" w:cs="Times New Roman"/>
                <w:color w:val="auto"/>
                <w:spacing w:val="-6"/>
                <w:sz w:val="24"/>
                <w:highlight w:val="none"/>
              </w:rPr>
            </w:pPr>
            <w:r>
              <w:rPr>
                <w:rFonts w:hint="default" w:ascii="Times New Roman" w:hAnsi="Times New Roman" w:eastAsia="宋体" w:cs="Times New Roman"/>
                <w:color w:val="auto"/>
                <w:spacing w:val="-6"/>
                <w:sz w:val="24"/>
                <w:highlight w:val="none"/>
              </w:rPr>
              <w:t>该项目与《本溪市人民政府关于印发本溪市大气污染防治行动计划实施方案的通知》（本政发〔2015〕1号，2015年1月27日）及《本溪市人民政府关于印发本溪市水污染防治工作方案的通知》（本政发〔2016〕7号，2016年4月11日）的相符性分析详见表</w:t>
            </w:r>
            <w:r>
              <w:rPr>
                <w:rFonts w:hint="eastAsia" w:ascii="Times New Roman" w:hAnsi="Times New Roman" w:eastAsia="宋体" w:cs="Times New Roman"/>
                <w:color w:val="auto"/>
                <w:spacing w:val="-6"/>
                <w:sz w:val="24"/>
                <w:highlight w:val="none"/>
                <w:lang w:val="en-US" w:eastAsia="zh-CN"/>
              </w:rPr>
              <w:t>1-</w:t>
            </w:r>
            <w:r>
              <w:rPr>
                <w:rFonts w:hint="eastAsia" w:cs="Times New Roman"/>
                <w:color w:val="auto"/>
                <w:spacing w:val="-6"/>
                <w:sz w:val="24"/>
                <w:highlight w:val="none"/>
                <w:lang w:val="en-US" w:eastAsia="zh-CN"/>
              </w:rPr>
              <w:t>5</w:t>
            </w:r>
            <w:r>
              <w:rPr>
                <w:rFonts w:hint="default" w:ascii="Times New Roman" w:hAnsi="Times New Roman" w:eastAsia="宋体" w:cs="Times New Roman"/>
                <w:color w:val="auto"/>
                <w:spacing w:val="-6"/>
                <w:sz w:val="24"/>
                <w:highlight w:val="none"/>
              </w:rPr>
              <w:t>。</w:t>
            </w:r>
          </w:p>
          <w:p w14:paraId="7EFEB27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highlight w:val="none"/>
                <w:lang w:eastAsia="zh-CN"/>
              </w:rPr>
            </w:pPr>
            <w:r>
              <w:rPr>
                <w:rFonts w:hint="default" w:ascii="Times New Roman" w:hAnsi="Times New Roman" w:eastAsia="宋体" w:cs="Times New Roman"/>
                <w:b/>
                <w:bCs/>
                <w:color w:val="auto"/>
                <w:sz w:val="21"/>
                <w:szCs w:val="21"/>
                <w:highlight w:val="none"/>
              </w:rPr>
              <w:t>表</w:t>
            </w:r>
            <w:r>
              <w:rPr>
                <w:rFonts w:hint="eastAsia" w:ascii="Times New Roman" w:hAnsi="Times New Roman" w:eastAsia="宋体" w:cs="Times New Roman"/>
                <w:b/>
                <w:bCs/>
                <w:color w:val="auto"/>
                <w:sz w:val="21"/>
                <w:szCs w:val="21"/>
                <w:highlight w:val="none"/>
                <w:lang w:val="en-US" w:eastAsia="zh-CN"/>
              </w:rPr>
              <w:t>1-</w:t>
            </w:r>
            <w:r>
              <w:rPr>
                <w:rFonts w:hint="eastAsia" w:cs="Times New Roman"/>
                <w:b/>
                <w:bCs/>
                <w:color w:val="auto"/>
                <w:sz w:val="21"/>
                <w:szCs w:val="21"/>
                <w:highlight w:val="none"/>
                <w:lang w:val="en-US" w:eastAsia="zh-CN"/>
              </w:rPr>
              <w:t>5</w:t>
            </w:r>
            <w:r>
              <w:rPr>
                <w:rFonts w:hint="default" w:ascii="Times New Roman" w:hAnsi="Times New Roman" w:eastAsia="宋体" w:cs="Times New Roman"/>
                <w:b/>
                <w:bCs/>
                <w:color w:val="auto"/>
                <w:sz w:val="21"/>
                <w:szCs w:val="21"/>
                <w:highlight w:val="none"/>
              </w:rPr>
              <w:t xml:space="preserve">   </w:t>
            </w:r>
            <w:r>
              <w:rPr>
                <w:rFonts w:hint="default" w:ascii="Times New Roman" w:hAnsi="Times New Roman" w:eastAsia="宋体" w:cs="Times New Roman"/>
                <w:b/>
                <w:bCs/>
                <w:color w:val="auto"/>
                <w:sz w:val="21"/>
                <w:szCs w:val="21"/>
                <w:highlight w:val="none"/>
                <w:lang w:val="en-US" w:eastAsia="zh-CN"/>
              </w:rPr>
              <w:t xml:space="preserve"> </w:t>
            </w:r>
            <w:r>
              <w:rPr>
                <w:rFonts w:hint="default" w:ascii="Times New Roman" w:hAnsi="Times New Roman" w:eastAsia="宋体" w:cs="Times New Roman"/>
                <w:b/>
                <w:bCs/>
                <w:color w:val="auto"/>
                <w:sz w:val="21"/>
                <w:szCs w:val="21"/>
                <w:highlight w:val="none"/>
              </w:rPr>
              <w:t>项目与</w:t>
            </w:r>
            <w:r>
              <w:rPr>
                <w:rFonts w:hint="default" w:ascii="Times New Roman" w:hAnsi="Times New Roman" w:eastAsia="宋体" w:cs="Times New Roman"/>
                <w:b/>
                <w:bCs/>
                <w:color w:val="auto"/>
                <w:sz w:val="21"/>
                <w:szCs w:val="21"/>
                <w:highlight w:val="none"/>
                <w:shd w:val="clear" w:color="auto" w:fill="FFFFFF"/>
              </w:rPr>
              <w:t>本溪市“气十条”、“水十条”</w:t>
            </w:r>
            <w:r>
              <w:rPr>
                <w:rFonts w:hint="default" w:ascii="Times New Roman" w:hAnsi="Times New Roman" w:eastAsia="宋体" w:cs="Times New Roman"/>
                <w:b/>
                <w:bCs/>
                <w:color w:val="auto"/>
                <w:sz w:val="21"/>
                <w:szCs w:val="21"/>
                <w:highlight w:val="none"/>
                <w:shd w:val="clear" w:color="auto" w:fill="FFFFFF"/>
                <w:lang w:eastAsia="zh-CN"/>
              </w:rPr>
              <w:t>符合性分析</w:t>
            </w:r>
          </w:p>
          <w:tbl>
            <w:tblPr>
              <w:tblStyle w:val="27"/>
              <w:tblW w:w="4997" w:type="pct"/>
              <w:jc w:val="center"/>
              <w:tblBorders>
                <w:top w:val="single" w:color="auto" w:sz="12" w:space="0"/>
                <w:left w:val="none" w:color="auto" w:sz="0" w:space="0"/>
                <w:bottom w:val="single" w:color="auto" w:sz="12" w:space="0"/>
                <w:right w:val="none" w:color="auto" w:sz="0" w:space="0"/>
                <w:insideH w:val="single" w:color="auto" w:sz="4" w:space="0"/>
                <w:insideV w:val="single" w:color="auto" w:sz="2" w:space="0"/>
              </w:tblBorders>
              <w:tblLayout w:type="autofit"/>
              <w:tblCellMar>
                <w:top w:w="0" w:type="dxa"/>
                <w:left w:w="23" w:type="dxa"/>
                <w:bottom w:w="0" w:type="dxa"/>
                <w:right w:w="23" w:type="dxa"/>
              </w:tblCellMar>
            </w:tblPr>
            <w:tblGrid>
              <w:gridCol w:w="265"/>
              <w:gridCol w:w="579"/>
              <w:gridCol w:w="4423"/>
              <w:gridCol w:w="1107"/>
              <w:gridCol w:w="549"/>
            </w:tblGrid>
            <w:tr w14:paraId="1820BFAB">
              <w:tblPrEx>
                <w:tblBorders>
                  <w:top w:val="single" w:color="auto" w:sz="12" w:space="0"/>
                  <w:left w:val="none" w:color="auto" w:sz="0" w:space="0"/>
                  <w:bottom w:val="single" w:color="auto" w:sz="12" w:space="0"/>
                  <w:right w:val="none" w:color="auto" w:sz="0" w:space="0"/>
                  <w:insideH w:val="single" w:color="auto" w:sz="4" w:space="0"/>
                  <w:insideV w:val="single" w:color="auto" w:sz="2" w:space="0"/>
                </w:tblBorders>
                <w:tblCellMar>
                  <w:top w:w="0" w:type="dxa"/>
                  <w:left w:w="23" w:type="dxa"/>
                  <w:bottom w:w="0" w:type="dxa"/>
                  <w:right w:w="23" w:type="dxa"/>
                </w:tblCellMar>
              </w:tblPrEx>
              <w:trPr>
                <w:trHeight w:val="90" w:hRule="atLeast"/>
                <w:jc w:val="center"/>
              </w:trPr>
              <w:tc>
                <w:tcPr>
                  <w:tcW w:w="192" w:type="pct"/>
                  <w:noWrap w:val="0"/>
                  <w:vAlign w:val="center"/>
                </w:tcPr>
                <w:p w14:paraId="74407E4F">
                  <w:pPr>
                    <w:pStyle w:val="93"/>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序号</w:t>
                  </w:r>
                </w:p>
              </w:tc>
              <w:tc>
                <w:tcPr>
                  <w:tcW w:w="418" w:type="pct"/>
                  <w:noWrap w:val="0"/>
                  <w:vAlign w:val="center"/>
                </w:tcPr>
                <w:p w14:paraId="5FCAFBF8">
                  <w:pPr>
                    <w:pStyle w:val="93"/>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相关规划</w:t>
                  </w:r>
                </w:p>
              </w:tc>
              <w:tc>
                <w:tcPr>
                  <w:tcW w:w="3193" w:type="pct"/>
                  <w:noWrap w:val="0"/>
                  <w:vAlign w:val="center"/>
                </w:tcPr>
                <w:p w14:paraId="12D68E53">
                  <w:pPr>
                    <w:pStyle w:val="93"/>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文件要求</w:t>
                  </w:r>
                </w:p>
              </w:tc>
              <w:tc>
                <w:tcPr>
                  <w:tcW w:w="799" w:type="pct"/>
                  <w:noWrap w:val="0"/>
                  <w:vAlign w:val="center"/>
                </w:tcPr>
                <w:p w14:paraId="4DDCD632">
                  <w:pPr>
                    <w:pStyle w:val="93"/>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项目情况</w:t>
                  </w:r>
                </w:p>
              </w:tc>
              <w:tc>
                <w:tcPr>
                  <w:tcW w:w="396" w:type="pct"/>
                  <w:noWrap w:val="0"/>
                  <w:vAlign w:val="center"/>
                </w:tcPr>
                <w:p w14:paraId="04C82701">
                  <w:pPr>
                    <w:pStyle w:val="93"/>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符合情况</w:t>
                  </w:r>
                </w:p>
              </w:tc>
            </w:tr>
            <w:tr w14:paraId="3B7268E2">
              <w:tblPrEx>
                <w:tblBorders>
                  <w:top w:val="single" w:color="auto" w:sz="12" w:space="0"/>
                  <w:left w:val="none" w:color="auto" w:sz="0" w:space="0"/>
                  <w:bottom w:val="single" w:color="auto" w:sz="12" w:space="0"/>
                  <w:right w:val="none" w:color="auto" w:sz="0" w:space="0"/>
                  <w:insideH w:val="single" w:color="auto" w:sz="4" w:space="0"/>
                  <w:insideV w:val="single" w:color="auto" w:sz="2" w:space="0"/>
                </w:tblBorders>
                <w:tblCellMar>
                  <w:top w:w="0" w:type="dxa"/>
                  <w:left w:w="23" w:type="dxa"/>
                  <w:bottom w:w="0" w:type="dxa"/>
                  <w:right w:w="23" w:type="dxa"/>
                </w:tblCellMar>
              </w:tblPrEx>
              <w:trPr>
                <w:trHeight w:val="308" w:hRule="atLeast"/>
                <w:jc w:val="center"/>
              </w:trPr>
              <w:tc>
                <w:tcPr>
                  <w:tcW w:w="192" w:type="pct"/>
                  <w:vMerge w:val="restart"/>
                  <w:noWrap w:val="0"/>
                  <w:vAlign w:val="center"/>
                </w:tcPr>
                <w:p w14:paraId="1759C36E">
                  <w:pPr>
                    <w:pStyle w:val="93"/>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w:t>
                  </w:r>
                </w:p>
              </w:tc>
              <w:tc>
                <w:tcPr>
                  <w:tcW w:w="418" w:type="pct"/>
                  <w:vMerge w:val="restart"/>
                  <w:noWrap w:val="0"/>
                  <w:vAlign w:val="center"/>
                </w:tcPr>
                <w:p w14:paraId="2F61DC22">
                  <w:pPr>
                    <w:pStyle w:val="93"/>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kern w:val="24"/>
                      <w:sz w:val="21"/>
                      <w:szCs w:val="21"/>
                      <w:highlight w:val="none"/>
                    </w:rPr>
                  </w:pPr>
                  <w:r>
                    <w:rPr>
                      <w:rFonts w:hint="default" w:ascii="Times New Roman" w:hAnsi="Times New Roman" w:eastAsia="宋体" w:cs="Times New Roman"/>
                      <w:color w:val="auto"/>
                      <w:kern w:val="24"/>
                      <w:sz w:val="21"/>
                      <w:szCs w:val="21"/>
                      <w:highlight w:val="none"/>
                    </w:rPr>
                    <w:t>本溪市人民政府关于印发本溪市大气污染防治行动计划实施方案的通知</w:t>
                  </w:r>
                </w:p>
              </w:tc>
              <w:tc>
                <w:tcPr>
                  <w:tcW w:w="3193" w:type="pct"/>
                  <w:noWrap w:val="0"/>
                  <w:vAlign w:val="center"/>
                </w:tcPr>
                <w:p w14:paraId="5E07E8E6">
                  <w:pPr>
                    <w:pStyle w:val="93"/>
                    <w:keepNext w:val="0"/>
                    <w:keepLines w:val="0"/>
                    <w:pageBreakBefore w:val="0"/>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（一）加快调整能源结构</w:t>
                  </w:r>
                  <w:r>
                    <w:rPr>
                      <w:rFonts w:hint="default" w:ascii="Times New Roman" w:hAnsi="Times New Roman" w:eastAsia="宋体" w:cs="Times New Roman"/>
                      <w:color w:val="auto"/>
                      <w:sz w:val="21"/>
                      <w:szCs w:val="21"/>
                      <w:highlight w:val="none"/>
                      <w:shd w:val="clear" w:color="auto" w:fill="FFFFFF"/>
                    </w:rPr>
                    <w:t>（详细内容略）</w:t>
                  </w:r>
                </w:p>
              </w:tc>
              <w:tc>
                <w:tcPr>
                  <w:tcW w:w="799" w:type="pct"/>
                  <w:noWrap w:val="0"/>
                  <w:vAlign w:val="center"/>
                </w:tcPr>
                <w:p w14:paraId="6F6027B7">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不涉及</w:t>
                  </w:r>
                </w:p>
              </w:tc>
              <w:tc>
                <w:tcPr>
                  <w:tcW w:w="396" w:type="pct"/>
                  <w:noWrap w:val="0"/>
                  <w:vAlign w:val="center"/>
                </w:tcPr>
                <w:p w14:paraId="148C3A27">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符合</w:t>
                  </w:r>
                </w:p>
              </w:tc>
            </w:tr>
            <w:tr w14:paraId="62DEDDDC">
              <w:tblPrEx>
                <w:tblBorders>
                  <w:top w:val="single" w:color="auto" w:sz="12" w:space="0"/>
                  <w:left w:val="none" w:color="auto" w:sz="0" w:space="0"/>
                  <w:bottom w:val="single" w:color="auto" w:sz="12" w:space="0"/>
                  <w:right w:val="none" w:color="auto" w:sz="0" w:space="0"/>
                  <w:insideH w:val="single" w:color="auto" w:sz="4" w:space="0"/>
                  <w:insideV w:val="single" w:color="auto" w:sz="2" w:space="0"/>
                </w:tblBorders>
                <w:tblCellMar>
                  <w:top w:w="0" w:type="dxa"/>
                  <w:left w:w="23" w:type="dxa"/>
                  <w:bottom w:w="0" w:type="dxa"/>
                  <w:right w:w="23" w:type="dxa"/>
                </w:tblCellMar>
              </w:tblPrEx>
              <w:trPr>
                <w:trHeight w:val="319" w:hRule="atLeast"/>
                <w:jc w:val="center"/>
              </w:trPr>
              <w:tc>
                <w:tcPr>
                  <w:tcW w:w="192" w:type="pct"/>
                  <w:vMerge w:val="continue"/>
                  <w:noWrap w:val="0"/>
                  <w:vAlign w:val="center"/>
                </w:tcPr>
                <w:p w14:paraId="2B5FB7AA">
                  <w:pPr>
                    <w:pStyle w:val="93"/>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sz w:val="21"/>
                      <w:szCs w:val="21"/>
                      <w:highlight w:val="none"/>
                    </w:rPr>
                  </w:pPr>
                </w:p>
              </w:tc>
              <w:tc>
                <w:tcPr>
                  <w:tcW w:w="418" w:type="pct"/>
                  <w:vMerge w:val="continue"/>
                  <w:noWrap w:val="0"/>
                  <w:vAlign w:val="center"/>
                </w:tcPr>
                <w:p w14:paraId="32167F21">
                  <w:pPr>
                    <w:pStyle w:val="93"/>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kern w:val="24"/>
                      <w:sz w:val="21"/>
                      <w:szCs w:val="21"/>
                      <w:highlight w:val="none"/>
                    </w:rPr>
                  </w:pPr>
                </w:p>
              </w:tc>
              <w:tc>
                <w:tcPr>
                  <w:tcW w:w="3193" w:type="pct"/>
                  <w:noWrap w:val="0"/>
                  <w:vAlign w:val="center"/>
                </w:tcPr>
                <w:p w14:paraId="6602885C">
                  <w:pPr>
                    <w:pStyle w:val="93"/>
                    <w:keepNext w:val="0"/>
                    <w:keepLines w:val="0"/>
                    <w:pageBreakBefore w:val="0"/>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（二）加快推进区域一体高效供热工程</w:t>
                  </w:r>
                </w:p>
              </w:tc>
              <w:tc>
                <w:tcPr>
                  <w:tcW w:w="799" w:type="pct"/>
                  <w:noWrap w:val="0"/>
                  <w:vAlign w:val="center"/>
                </w:tcPr>
                <w:p w14:paraId="0F92381A">
                  <w:pPr>
                    <w:pStyle w:val="93"/>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kern w:val="24"/>
                      <w:sz w:val="21"/>
                      <w:szCs w:val="21"/>
                      <w:highlight w:val="none"/>
                    </w:rPr>
                  </w:pPr>
                  <w:r>
                    <w:rPr>
                      <w:rFonts w:hint="default" w:ascii="Times New Roman" w:hAnsi="Times New Roman" w:eastAsia="宋体" w:cs="Times New Roman"/>
                      <w:color w:val="auto"/>
                      <w:kern w:val="24"/>
                      <w:sz w:val="21"/>
                      <w:szCs w:val="21"/>
                      <w:highlight w:val="none"/>
                    </w:rPr>
                    <w:t>/</w:t>
                  </w:r>
                </w:p>
              </w:tc>
              <w:tc>
                <w:tcPr>
                  <w:tcW w:w="396" w:type="pct"/>
                  <w:noWrap w:val="0"/>
                  <w:vAlign w:val="center"/>
                </w:tcPr>
                <w:p w14:paraId="76287D25">
                  <w:pPr>
                    <w:pStyle w:val="93"/>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w:t>
                  </w:r>
                </w:p>
              </w:tc>
            </w:tr>
            <w:tr w14:paraId="2E823BC2">
              <w:tblPrEx>
                <w:tblBorders>
                  <w:top w:val="single" w:color="auto" w:sz="12" w:space="0"/>
                  <w:left w:val="none" w:color="auto" w:sz="0" w:space="0"/>
                  <w:bottom w:val="single" w:color="auto" w:sz="12" w:space="0"/>
                  <w:right w:val="none" w:color="auto" w:sz="0" w:space="0"/>
                  <w:insideH w:val="single" w:color="auto" w:sz="4" w:space="0"/>
                  <w:insideV w:val="single" w:color="auto" w:sz="2" w:space="0"/>
                </w:tblBorders>
                <w:tblCellMar>
                  <w:top w:w="0" w:type="dxa"/>
                  <w:left w:w="23" w:type="dxa"/>
                  <w:bottom w:w="0" w:type="dxa"/>
                  <w:right w:w="23" w:type="dxa"/>
                </w:tblCellMar>
              </w:tblPrEx>
              <w:trPr>
                <w:trHeight w:val="2783" w:hRule="atLeast"/>
                <w:jc w:val="center"/>
              </w:trPr>
              <w:tc>
                <w:tcPr>
                  <w:tcW w:w="192" w:type="pct"/>
                  <w:vMerge w:val="continue"/>
                  <w:noWrap w:val="0"/>
                  <w:vAlign w:val="center"/>
                </w:tcPr>
                <w:p w14:paraId="68FE6375">
                  <w:pPr>
                    <w:pStyle w:val="93"/>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sz w:val="21"/>
                      <w:szCs w:val="21"/>
                      <w:highlight w:val="none"/>
                    </w:rPr>
                  </w:pPr>
                </w:p>
              </w:tc>
              <w:tc>
                <w:tcPr>
                  <w:tcW w:w="418" w:type="pct"/>
                  <w:vMerge w:val="continue"/>
                  <w:noWrap w:val="0"/>
                  <w:vAlign w:val="center"/>
                </w:tcPr>
                <w:p w14:paraId="56322E1E">
                  <w:pPr>
                    <w:pStyle w:val="93"/>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kern w:val="24"/>
                      <w:sz w:val="21"/>
                      <w:szCs w:val="21"/>
                      <w:highlight w:val="none"/>
                    </w:rPr>
                  </w:pPr>
                </w:p>
              </w:tc>
              <w:tc>
                <w:tcPr>
                  <w:tcW w:w="3193" w:type="pct"/>
                  <w:noWrap w:val="0"/>
                  <w:vAlign w:val="center"/>
                </w:tcPr>
                <w:p w14:paraId="6D4E322E">
                  <w:pPr>
                    <w:pStyle w:val="93"/>
                    <w:keepNext w:val="0"/>
                    <w:keepLines w:val="0"/>
                    <w:pageBreakBefore w:val="0"/>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严控新建小型燃煤热源。城市建成区要结合大型热电企业建设，实行集中供热，不再批准建设新的分散燃煤锅炉。新、改、扩建单台燃煤锅炉蒸发量不小于90吨/小时，两县可根据人口、供暖半径有所调整，但原则上单台燃煤锅炉蒸发量应不小于65吨/小时。所有新建燃煤热源须经省主管部门审批，对未通过环评审查的燃煤锅炉项目，有关部门不得提供土地、供电、供水，不得批准实施并网供热。工业园区、新城镇原则上只能规划建设一个区域高效热源或依托大型热电联产企业集中供热。</w:t>
                  </w:r>
                </w:p>
              </w:tc>
              <w:tc>
                <w:tcPr>
                  <w:tcW w:w="799" w:type="pct"/>
                  <w:noWrap w:val="0"/>
                  <w:vAlign w:val="center"/>
                </w:tcPr>
                <w:p w14:paraId="06C75524">
                  <w:pPr>
                    <w:pStyle w:val="93"/>
                    <w:keepNext w:val="0"/>
                    <w:keepLines w:val="0"/>
                    <w:pageBreakBefore w:val="0"/>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rPr>
                    <w:t>本次项目不涉及燃煤锅炉的使用</w:t>
                  </w:r>
                </w:p>
              </w:tc>
              <w:tc>
                <w:tcPr>
                  <w:tcW w:w="396" w:type="pct"/>
                  <w:noWrap w:val="0"/>
                  <w:vAlign w:val="center"/>
                </w:tcPr>
                <w:p w14:paraId="72B5F4AE">
                  <w:pPr>
                    <w:pStyle w:val="93"/>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符合</w:t>
                  </w:r>
                </w:p>
              </w:tc>
            </w:tr>
            <w:tr w14:paraId="1EE8F61C">
              <w:tblPrEx>
                <w:tblBorders>
                  <w:top w:val="single" w:color="auto" w:sz="12" w:space="0"/>
                  <w:left w:val="none" w:color="auto" w:sz="0" w:space="0"/>
                  <w:bottom w:val="single" w:color="auto" w:sz="12" w:space="0"/>
                  <w:right w:val="none" w:color="auto" w:sz="0" w:space="0"/>
                  <w:insideH w:val="single" w:color="auto" w:sz="4" w:space="0"/>
                  <w:insideV w:val="single" w:color="auto" w:sz="2" w:space="0"/>
                </w:tblBorders>
                <w:tblCellMar>
                  <w:top w:w="0" w:type="dxa"/>
                  <w:left w:w="23" w:type="dxa"/>
                  <w:bottom w:w="0" w:type="dxa"/>
                  <w:right w:w="23" w:type="dxa"/>
                </w:tblCellMar>
              </w:tblPrEx>
              <w:trPr>
                <w:trHeight w:val="336" w:hRule="atLeast"/>
                <w:jc w:val="center"/>
              </w:trPr>
              <w:tc>
                <w:tcPr>
                  <w:tcW w:w="192" w:type="pct"/>
                  <w:vMerge w:val="continue"/>
                  <w:noWrap w:val="0"/>
                  <w:vAlign w:val="center"/>
                </w:tcPr>
                <w:p w14:paraId="657F1439">
                  <w:pPr>
                    <w:pStyle w:val="93"/>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sz w:val="21"/>
                      <w:szCs w:val="21"/>
                      <w:highlight w:val="none"/>
                    </w:rPr>
                  </w:pPr>
                </w:p>
              </w:tc>
              <w:tc>
                <w:tcPr>
                  <w:tcW w:w="418" w:type="pct"/>
                  <w:vMerge w:val="continue"/>
                  <w:noWrap w:val="0"/>
                  <w:vAlign w:val="center"/>
                </w:tcPr>
                <w:p w14:paraId="39F1B7A0">
                  <w:pPr>
                    <w:pStyle w:val="93"/>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kern w:val="24"/>
                      <w:sz w:val="21"/>
                      <w:szCs w:val="21"/>
                      <w:highlight w:val="none"/>
                    </w:rPr>
                  </w:pPr>
                </w:p>
              </w:tc>
              <w:tc>
                <w:tcPr>
                  <w:tcW w:w="3193" w:type="pct"/>
                  <w:noWrap w:val="0"/>
                  <w:vAlign w:val="center"/>
                </w:tcPr>
                <w:p w14:paraId="54C14646">
                  <w:pPr>
                    <w:pStyle w:val="93"/>
                    <w:keepNext w:val="0"/>
                    <w:keepLines w:val="0"/>
                    <w:pageBreakBefore w:val="0"/>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（三）加快调整产业结构，优化城市空间布局</w:t>
                  </w:r>
                </w:p>
              </w:tc>
              <w:tc>
                <w:tcPr>
                  <w:tcW w:w="799" w:type="pct"/>
                  <w:noWrap w:val="0"/>
                  <w:vAlign w:val="center"/>
                </w:tcPr>
                <w:p w14:paraId="53C0DBD6">
                  <w:pPr>
                    <w:pStyle w:val="93"/>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kern w:val="24"/>
                      <w:sz w:val="21"/>
                      <w:szCs w:val="21"/>
                      <w:highlight w:val="none"/>
                    </w:rPr>
                  </w:pPr>
                  <w:r>
                    <w:rPr>
                      <w:rFonts w:hint="default" w:ascii="Times New Roman" w:hAnsi="Times New Roman" w:eastAsia="宋体" w:cs="Times New Roman"/>
                      <w:color w:val="auto"/>
                      <w:kern w:val="24"/>
                      <w:sz w:val="21"/>
                      <w:szCs w:val="21"/>
                      <w:highlight w:val="none"/>
                    </w:rPr>
                    <w:t>/</w:t>
                  </w:r>
                </w:p>
              </w:tc>
              <w:tc>
                <w:tcPr>
                  <w:tcW w:w="396" w:type="pct"/>
                  <w:noWrap w:val="0"/>
                  <w:vAlign w:val="center"/>
                </w:tcPr>
                <w:p w14:paraId="2E2A170D">
                  <w:pPr>
                    <w:pStyle w:val="93"/>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w:t>
                  </w:r>
                </w:p>
              </w:tc>
            </w:tr>
            <w:tr w14:paraId="50B8FC48">
              <w:tblPrEx>
                <w:tblBorders>
                  <w:top w:val="single" w:color="auto" w:sz="12" w:space="0"/>
                  <w:left w:val="none" w:color="auto" w:sz="0" w:space="0"/>
                  <w:bottom w:val="single" w:color="auto" w:sz="12" w:space="0"/>
                  <w:right w:val="none" w:color="auto" w:sz="0" w:space="0"/>
                  <w:insideH w:val="single" w:color="auto" w:sz="4" w:space="0"/>
                  <w:insideV w:val="single" w:color="auto" w:sz="2" w:space="0"/>
                </w:tblBorders>
                <w:tblCellMar>
                  <w:top w:w="0" w:type="dxa"/>
                  <w:left w:w="23" w:type="dxa"/>
                  <w:bottom w:w="0" w:type="dxa"/>
                  <w:right w:w="23" w:type="dxa"/>
                </w:tblCellMar>
              </w:tblPrEx>
              <w:trPr>
                <w:trHeight w:val="90" w:hRule="atLeast"/>
                <w:jc w:val="center"/>
              </w:trPr>
              <w:tc>
                <w:tcPr>
                  <w:tcW w:w="192" w:type="pct"/>
                  <w:vMerge w:val="continue"/>
                  <w:noWrap w:val="0"/>
                  <w:vAlign w:val="center"/>
                </w:tcPr>
                <w:p w14:paraId="2ABE02B3">
                  <w:pPr>
                    <w:pStyle w:val="93"/>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sz w:val="21"/>
                      <w:szCs w:val="21"/>
                      <w:highlight w:val="none"/>
                    </w:rPr>
                  </w:pPr>
                </w:p>
              </w:tc>
              <w:tc>
                <w:tcPr>
                  <w:tcW w:w="418" w:type="pct"/>
                  <w:vMerge w:val="continue"/>
                  <w:noWrap w:val="0"/>
                  <w:vAlign w:val="center"/>
                </w:tcPr>
                <w:p w14:paraId="030E8FB4">
                  <w:pPr>
                    <w:pStyle w:val="93"/>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kern w:val="24"/>
                      <w:sz w:val="21"/>
                      <w:szCs w:val="21"/>
                      <w:highlight w:val="none"/>
                    </w:rPr>
                  </w:pPr>
                </w:p>
              </w:tc>
              <w:tc>
                <w:tcPr>
                  <w:tcW w:w="3193" w:type="pct"/>
                  <w:noWrap w:val="0"/>
                  <w:vAlign w:val="center"/>
                </w:tcPr>
                <w:p w14:paraId="1E103FE4">
                  <w:pPr>
                    <w:pStyle w:val="93"/>
                    <w:keepNext w:val="0"/>
                    <w:keepLines w:val="0"/>
                    <w:pageBreakBefore w:val="0"/>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压缩过剩产能，严控“两高”行业（高能耗、高污染行业）新增产能。建立和完善以节能环保标准促进“两高”行业过剩产能退出机制。制定财政、土地、金融等扶持政策，支持产能过剩“两高”行业企业退出、转型发展。严格落实国家“两高”行业和资源性行业准入条件。对于钢铁、水泥、电解铝、平板玻璃、炼焦、有色、电石、铁合金等产能严重过剩行业，不再审批新增项目，新、改、扩建项目要实行产能等量或减量置换。</w:t>
                  </w:r>
                </w:p>
              </w:tc>
              <w:tc>
                <w:tcPr>
                  <w:tcW w:w="799" w:type="pct"/>
                  <w:noWrap w:val="0"/>
                  <w:vAlign w:val="center"/>
                </w:tcPr>
                <w:p w14:paraId="75C331A0">
                  <w:pPr>
                    <w:pStyle w:val="93"/>
                    <w:keepNext w:val="0"/>
                    <w:keepLines w:val="0"/>
                    <w:pageBreakBefore w:val="0"/>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color w:val="auto"/>
                      <w:kern w:val="24"/>
                      <w:sz w:val="21"/>
                      <w:szCs w:val="21"/>
                      <w:highlight w:val="none"/>
                    </w:rPr>
                  </w:pPr>
                  <w:r>
                    <w:rPr>
                      <w:rFonts w:hint="default" w:ascii="Times New Roman" w:hAnsi="Times New Roman" w:eastAsia="宋体" w:cs="Times New Roman"/>
                      <w:color w:val="auto"/>
                      <w:kern w:val="24"/>
                      <w:sz w:val="21"/>
                      <w:szCs w:val="21"/>
                      <w:highlight w:val="none"/>
                    </w:rPr>
                    <w:t>该项目不属于</w:t>
                  </w:r>
                  <w:r>
                    <w:rPr>
                      <w:rFonts w:hint="default" w:ascii="Times New Roman" w:hAnsi="Times New Roman" w:eastAsia="宋体" w:cs="Times New Roman"/>
                      <w:color w:val="auto"/>
                      <w:sz w:val="21"/>
                      <w:szCs w:val="21"/>
                      <w:highlight w:val="none"/>
                    </w:rPr>
                    <w:t>“两高行业”。</w:t>
                  </w:r>
                </w:p>
              </w:tc>
              <w:tc>
                <w:tcPr>
                  <w:tcW w:w="396" w:type="pct"/>
                  <w:noWrap w:val="0"/>
                  <w:vAlign w:val="center"/>
                </w:tcPr>
                <w:p w14:paraId="2AD5EF9B">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符合</w:t>
                  </w:r>
                </w:p>
              </w:tc>
            </w:tr>
            <w:tr w14:paraId="22436C04">
              <w:tblPrEx>
                <w:tblBorders>
                  <w:top w:val="single" w:color="auto" w:sz="12" w:space="0"/>
                  <w:left w:val="none" w:color="auto" w:sz="0" w:space="0"/>
                  <w:bottom w:val="single" w:color="auto" w:sz="12" w:space="0"/>
                  <w:right w:val="none" w:color="auto" w:sz="0" w:space="0"/>
                  <w:insideH w:val="single" w:color="auto" w:sz="4" w:space="0"/>
                  <w:insideV w:val="single" w:color="auto" w:sz="2" w:space="0"/>
                </w:tblBorders>
                <w:tblCellMar>
                  <w:top w:w="0" w:type="dxa"/>
                  <w:left w:w="23" w:type="dxa"/>
                  <w:bottom w:w="0" w:type="dxa"/>
                  <w:right w:w="23" w:type="dxa"/>
                </w:tblCellMar>
              </w:tblPrEx>
              <w:trPr>
                <w:trHeight w:val="248" w:hRule="atLeast"/>
                <w:jc w:val="center"/>
              </w:trPr>
              <w:tc>
                <w:tcPr>
                  <w:tcW w:w="192" w:type="pct"/>
                  <w:vMerge w:val="continue"/>
                  <w:noWrap w:val="0"/>
                  <w:vAlign w:val="center"/>
                </w:tcPr>
                <w:p w14:paraId="08C1EF04">
                  <w:pPr>
                    <w:pStyle w:val="93"/>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sz w:val="21"/>
                      <w:szCs w:val="21"/>
                      <w:highlight w:val="none"/>
                    </w:rPr>
                  </w:pPr>
                </w:p>
              </w:tc>
              <w:tc>
                <w:tcPr>
                  <w:tcW w:w="418" w:type="pct"/>
                  <w:vMerge w:val="continue"/>
                  <w:noWrap w:val="0"/>
                  <w:vAlign w:val="center"/>
                </w:tcPr>
                <w:p w14:paraId="69C02758">
                  <w:pPr>
                    <w:pStyle w:val="93"/>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kern w:val="24"/>
                      <w:sz w:val="21"/>
                      <w:szCs w:val="21"/>
                      <w:highlight w:val="none"/>
                    </w:rPr>
                  </w:pPr>
                </w:p>
              </w:tc>
              <w:tc>
                <w:tcPr>
                  <w:tcW w:w="3193" w:type="pct"/>
                  <w:noWrap w:val="0"/>
                  <w:vAlign w:val="center"/>
                </w:tcPr>
                <w:p w14:paraId="43351202">
                  <w:pPr>
                    <w:pStyle w:val="93"/>
                    <w:keepNext w:val="0"/>
                    <w:keepLines w:val="0"/>
                    <w:pageBreakBefore w:val="0"/>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严格环境准入。严格落实国家建设项目污染物排放总量控制政策，将烟粉尘和挥发性有机污染物纳入总量控制管理。对未能通过能评、环评审查的项目，不得审批、核准、备案，不得提供土地，不得发放生产许可证、安全生产许可证，不得供水、供电，金融机构不得提供新增授信支持。</w:t>
                  </w:r>
                </w:p>
              </w:tc>
              <w:tc>
                <w:tcPr>
                  <w:tcW w:w="799" w:type="pct"/>
                  <w:noWrap w:val="0"/>
                  <w:vAlign w:val="center"/>
                </w:tcPr>
                <w:p w14:paraId="09B6F6CA">
                  <w:pPr>
                    <w:pStyle w:val="93"/>
                    <w:keepNext w:val="0"/>
                    <w:keepLines w:val="0"/>
                    <w:pageBreakBefore w:val="0"/>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color w:val="auto"/>
                      <w:kern w:val="24"/>
                      <w:sz w:val="21"/>
                      <w:szCs w:val="21"/>
                      <w:highlight w:val="none"/>
                    </w:rPr>
                  </w:pPr>
                  <w:r>
                    <w:rPr>
                      <w:rFonts w:hint="default" w:ascii="Times New Roman" w:hAnsi="Times New Roman" w:eastAsia="宋体" w:cs="Times New Roman"/>
                      <w:color w:val="auto"/>
                      <w:sz w:val="21"/>
                      <w:szCs w:val="21"/>
                      <w:highlight w:val="none"/>
                    </w:rPr>
                    <w:t>该项目严格落实国家建设项目污染物排放总量控制政策。</w:t>
                  </w:r>
                </w:p>
              </w:tc>
              <w:tc>
                <w:tcPr>
                  <w:tcW w:w="396" w:type="pct"/>
                  <w:noWrap w:val="0"/>
                  <w:vAlign w:val="center"/>
                </w:tcPr>
                <w:p w14:paraId="3401015B">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符合</w:t>
                  </w:r>
                </w:p>
              </w:tc>
            </w:tr>
            <w:tr w14:paraId="6F96F677">
              <w:tblPrEx>
                <w:tblBorders>
                  <w:top w:val="single" w:color="auto" w:sz="12" w:space="0"/>
                  <w:left w:val="none" w:color="auto" w:sz="0" w:space="0"/>
                  <w:bottom w:val="single" w:color="auto" w:sz="12" w:space="0"/>
                  <w:right w:val="none" w:color="auto" w:sz="0" w:space="0"/>
                  <w:insideH w:val="single" w:color="auto" w:sz="4" w:space="0"/>
                  <w:insideV w:val="single" w:color="auto" w:sz="2" w:space="0"/>
                </w:tblBorders>
                <w:tblCellMar>
                  <w:top w:w="0" w:type="dxa"/>
                  <w:left w:w="23" w:type="dxa"/>
                  <w:bottom w:w="0" w:type="dxa"/>
                  <w:right w:w="23" w:type="dxa"/>
                </w:tblCellMar>
              </w:tblPrEx>
              <w:trPr>
                <w:trHeight w:val="628" w:hRule="atLeast"/>
                <w:jc w:val="center"/>
              </w:trPr>
              <w:tc>
                <w:tcPr>
                  <w:tcW w:w="192" w:type="pct"/>
                  <w:vMerge w:val="continue"/>
                  <w:noWrap w:val="0"/>
                  <w:vAlign w:val="center"/>
                </w:tcPr>
                <w:p w14:paraId="651D273F">
                  <w:pPr>
                    <w:pStyle w:val="93"/>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sz w:val="21"/>
                      <w:szCs w:val="21"/>
                      <w:highlight w:val="none"/>
                    </w:rPr>
                  </w:pPr>
                </w:p>
              </w:tc>
              <w:tc>
                <w:tcPr>
                  <w:tcW w:w="418" w:type="pct"/>
                  <w:vMerge w:val="continue"/>
                  <w:noWrap w:val="0"/>
                  <w:vAlign w:val="center"/>
                </w:tcPr>
                <w:p w14:paraId="4B023ED1">
                  <w:pPr>
                    <w:pStyle w:val="93"/>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kern w:val="24"/>
                      <w:sz w:val="21"/>
                      <w:szCs w:val="21"/>
                      <w:highlight w:val="none"/>
                    </w:rPr>
                  </w:pPr>
                </w:p>
              </w:tc>
              <w:tc>
                <w:tcPr>
                  <w:tcW w:w="3193" w:type="pct"/>
                  <w:noWrap w:val="0"/>
                  <w:vAlign w:val="center"/>
                </w:tcPr>
                <w:p w14:paraId="34AE919A">
                  <w:pPr>
                    <w:pStyle w:val="93"/>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（四）实施综合治理，强化污染物协同减排</w:t>
                  </w:r>
                  <w:r>
                    <w:rPr>
                      <w:rFonts w:hint="default" w:ascii="Times New Roman" w:hAnsi="Times New Roman" w:eastAsia="宋体" w:cs="Times New Roman"/>
                      <w:color w:val="auto"/>
                      <w:sz w:val="21"/>
                      <w:szCs w:val="21"/>
                      <w:highlight w:val="none"/>
                      <w:shd w:val="clear" w:color="auto" w:fill="FFFFFF"/>
                    </w:rPr>
                    <w:t>（详细内容略）</w:t>
                  </w:r>
                </w:p>
              </w:tc>
              <w:tc>
                <w:tcPr>
                  <w:tcW w:w="799" w:type="pct"/>
                  <w:noWrap w:val="0"/>
                  <w:vAlign w:val="center"/>
                </w:tcPr>
                <w:p w14:paraId="530F848B">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4"/>
                      <w:sz w:val="21"/>
                      <w:szCs w:val="21"/>
                      <w:highlight w:val="none"/>
                    </w:rPr>
                  </w:pPr>
                  <w:r>
                    <w:rPr>
                      <w:rFonts w:hint="default" w:ascii="Times New Roman" w:hAnsi="Times New Roman" w:eastAsia="宋体" w:cs="Times New Roman"/>
                      <w:color w:val="auto"/>
                      <w:sz w:val="21"/>
                      <w:szCs w:val="21"/>
                      <w:highlight w:val="none"/>
                    </w:rPr>
                    <w:t>不涉及</w:t>
                  </w:r>
                </w:p>
              </w:tc>
              <w:tc>
                <w:tcPr>
                  <w:tcW w:w="396" w:type="pct"/>
                  <w:noWrap w:val="0"/>
                  <w:vAlign w:val="center"/>
                </w:tcPr>
                <w:p w14:paraId="43EEC116">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符合</w:t>
                  </w:r>
                </w:p>
              </w:tc>
            </w:tr>
            <w:tr w14:paraId="68D99EA9">
              <w:tblPrEx>
                <w:tblBorders>
                  <w:top w:val="single" w:color="auto" w:sz="12" w:space="0"/>
                  <w:left w:val="none" w:color="auto" w:sz="0" w:space="0"/>
                  <w:bottom w:val="single" w:color="auto" w:sz="12" w:space="0"/>
                  <w:right w:val="none" w:color="auto" w:sz="0" w:space="0"/>
                  <w:insideH w:val="single" w:color="auto" w:sz="4" w:space="0"/>
                  <w:insideV w:val="single" w:color="auto" w:sz="2" w:space="0"/>
                </w:tblBorders>
                <w:tblCellMar>
                  <w:top w:w="0" w:type="dxa"/>
                  <w:left w:w="23" w:type="dxa"/>
                  <w:bottom w:w="0" w:type="dxa"/>
                  <w:right w:w="23" w:type="dxa"/>
                </w:tblCellMar>
              </w:tblPrEx>
              <w:trPr>
                <w:trHeight w:val="90" w:hRule="atLeast"/>
                <w:jc w:val="center"/>
              </w:trPr>
              <w:tc>
                <w:tcPr>
                  <w:tcW w:w="192" w:type="pct"/>
                  <w:vMerge w:val="continue"/>
                  <w:noWrap w:val="0"/>
                  <w:vAlign w:val="center"/>
                </w:tcPr>
                <w:p w14:paraId="064FB7EC">
                  <w:pPr>
                    <w:pStyle w:val="93"/>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sz w:val="21"/>
                      <w:szCs w:val="21"/>
                      <w:highlight w:val="none"/>
                    </w:rPr>
                  </w:pPr>
                </w:p>
              </w:tc>
              <w:tc>
                <w:tcPr>
                  <w:tcW w:w="418" w:type="pct"/>
                  <w:vMerge w:val="continue"/>
                  <w:noWrap w:val="0"/>
                  <w:vAlign w:val="center"/>
                </w:tcPr>
                <w:p w14:paraId="6DD342D6">
                  <w:pPr>
                    <w:pStyle w:val="93"/>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kern w:val="24"/>
                      <w:sz w:val="21"/>
                      <w:szCs w:val="21"/>
                      <w:highlight w:val="none"/>
                    </w:rPr>
                  </w:pPr>
                </w:p>
              </w:tc>
              <w:tc>
                <w:tcPr>
                  <w:tcW w:w="3193" w:type="pct"/>
                  <w:noWrap w:val="0"/>
                  <w:vAlign w:val="center"/>
                </w:tcPr>
                <w:p w14:paraId="546A92C5">
                  <w:pPr>
                    <w:pStyle w:val="93"/>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（五）提高科技创新能力</w:t>
                  </w:r>
                  <w:r>
                    <w:rPr>
                      <w:rFonts w:hint="default" w:ascii="Times New Roman" w:hAnsi="Times New Roman" w:eastAsia="宋体" w:cs="Times New Roman"/>
                      <w:color w:val="auto"/>
                      <w:sz w:val="21"/>
                      <w:szCs w:val="21"/>
                      <w:highlight w:val="none"/>
                      <w:shd w:val="clear" w:color="auto" w:fill="FFFFFF"/>
                    </w:rPr>
                    <w:t>（详细内容略）</w:t>
                  </w:r>
                </w:p>
              </w:tc>
              <w:tc>
                <w:tcPr>
                  <w:tcW w:w="799" w:type="pct"/>
                  <w:noWrap w:val="0"/>
                  <w:vAlign w:val="center"/>
                </w:tcPr>
                <w:p w14:paraId="303AEED0">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4"/>
                      <w:sz w:val="21"/>
                      <w:szCs w:val="21"/>
                      <w:highlight w:val="none"/>
                    </w:rPr>
                  </w:pPr>
                  <w:r>
                    <w:rPr>
                      <w:rFonts w:hint="default" w:ascii="Times New Roman" w:hAnsi="Times New Roman" w:eastAsia="宋体" w:cs="Times New Roman"/>
                      <w:color w:val="auto"/>
                      <w:sz w:val="21"/>
                      <w:szCs w:val="21"/>
                      <w:highlight w:val="none"/>
                    </w:rPr>
                    <w:t>不涉及</w:t>
                  </w:r>
                </w:p>
              </w:tc>
              <w:tc>
                <w:tcPr>
                  <w:tcW w:w="396" w:type="pct"/>
                  <w:noWrap w:val="0"/>
                  <w:vAlign w:val="center"/>
                </w:tcPr>
                <w:p w14:paraId="49623520">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符合</w:t>
                  </w:r>
                </w:p>
              </w:tc>
            </w:tr>
            <w:tr w14:paraId="249C2300">
              <w:tblPrEx>
                <w:tblBorders>
                  <w:top w:val="single" w:color="auto" w:sz="12" w:space="0"/>
                  <w:left w:val="none" w:color="auto" w:sz="0" w:space="0"/>
                  <w:bottom w:val="single" w:color="auto" w:sz="12" w:space="0"/>
                  <w:right w:val="none" w:color="auto" w:sz="0" w:space="0"/>
                  <w:insideH w:val="single" w:color="auto" w:sz="4" w:space="0"/>
                  <w:insideV w:val="single" w:color="auto" w:sz="2" w:space="0"/>
                </w:tblBorders>
                <w:tblCellMar>
                  <w:top w:w="0" w:type="dxa"/>
                  <w:left w:w="23" w:type="dxa"/>
                  <w:bottom w:w="0" w:type="dxa"/>
                  <w:right w:w="23" w:type="dxa"/>
                </w:tblCellMar>
              </w:tblPrEx>
              <w:trPr>
                <w:trHeight w:val="319" w:hRule="atLeast"/>
                <w:jc w:val="center"/>
              </w:trPr>
              <w:tc>
                <w:tcPr>
                  <w:tcW w:w="192" w:type="pct"/>
                  <w:vMerge w:val="continue"/>
                  <w:noWrap w:val="0"/>
                  <w:vAlign w:val="center"/>
                </w:tcPr>
                <w:p w14:paraId="4902133E">
                  <w:pPr>
                    <w:pStyle w:val="93"/>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sz w:val="21"/>
                      <w:szCs w:val="21"/>
                      <w:highlight w:val="none"/>
                    </w:rPr>
                  </w:pPr>
                </w:p>
              </w:tc>
              <w:tc>
                <w:tcPr>
                  <w:tcW w:w="418" w:type="pct"/>
                  <w:vMerge w:val="continue"/>
                  <w:noWrap w:val="0"/>
                  <w:vAlign w:val="center"/>
                </w:tcPr>
                <w:p w14:paraId="27C1D12D">
                  <w:pPr>
                    <w:pStyle w:val="93"/>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sz w:val="21"/>
                      <w:szCs w:val="21"/>
                      <w:highlight w:val="none"/>
                    </w:rPr>
                  </w:pPr>
                </w:p>
              </w:tc>
              <w:tc>
                <w:tcPr>
                  <w:tcW w:w="3193" w:type="pct"/>
                  <w:noWrap w:val="0"/>
                  <w:vAlign w:val="center"/>
                </w:tcPr>
                <w:p w14:paraId="38F065BC">
                  <w:pPr>
                    <w:pStyle w:val="93"/>
                    <w:keepNext w:val="0"/>
                    <w:keepLines w:val="0"/>
                    <w:pageBreakBefore w:val="0"/>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（六）加强城市扬尘污染防治</w:t>
                  </w:r>
                </w:p>
              </w:tc>
              <w:tc>
                <w:tcPr>
                  <w:tcW w:w="799" w:type="pct"/>
                  <w:noWrap w:val="0"/>
                  <w:vAlign w:val="center"/>
                </w:tcPr>
                <w:p w14:paraId="4CA7354B">
                  <w:pPr>
                    <w:pStyle w:val="93"/>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w:t>
                  </w:r>
                </w:p>
              </w:tc>
              <w:tc>
                <w:tcPr>
                  <w:tcW w:w="396" w:type="pct"/>
                  <w:noWrap w:val="0"/>
                  <w:vAlign w:val="center"/>
                </w:tcPr>
                <w:p w14:paraId="43F584F4">
                  <w:pPr>
                    <w:pStyle w:val="93"/>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w:t>
                  </w:r>
                </w:p>
              </w:tc>
            </w:tr>
            <w:tr w14:paraId="3D6E16C2">
              <w:tblPrEx>
                <w:tblBorders>
                  <w:top w:val="single" w:color="auto" w:sz="12" w:space="0"/>
                  <w:left w:val="none" w:color="auto" w:sz="0" w:space="0"/>
                  <w:bottom w:val="single" w:color="auto" w:sz="12" w:space="0"/>
                  <w:right w:val="none" w:color="auto" w:sz="0" w:space="0"/>
                  <w:insideH w:val="single" w:color="auto" w:sz="4" w:space="0"/>
                  <w:insideV w:val="single" w:color="auto" w:sz="2" w:space="0"/>
                </w:tblBorders>
                <w:tblCellMar>
                  <w:top w:w="0" w:type="dxa"/>
                  <w:left w:w="23" w:type="dxa"/>
                  <w:bottom w:w="0" w:type="dxa"/>
                  <w:right w:w="23" w:type="dxa"/>
                </w:tblCellMar>
              </w:tblPrEx>
              <w:trPr>
                <w:trHeight w:val="592" w:hRule="atLeast"/>
                <w:jc w:val="center"/>
              </w:trPr>
              <w:tc>
                <w:tcPr>
                  <w:tcW w:w="192" w:type="pct"/>
                  <w:vMerge w:val="continue"/>
                  <w:noWrap w:val="0"/>
                  <w:vAlign w:val="center"/>
                </w:tcPr>
                <w:p w14:paraId="2F6ECA3B">
                  <w:pPr>
                    <w:pStyle w:val="93"/>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sz w:val="21"/>
                      <w:szCs w:val="21"/>
                      <w:highlight w:val="none"/>
                    </w:rPr>
                  </w:pPr>
                </w:p>
              </w:tc>
              <w:tc>
                <w:tcPr>
                  <w:tcW w:w="418" w:type="pct"/>
                  <w:vMerge w:val="continue"/>
                  <w:noWrap w:val="0"/>
                  <w:vAlign w:val="center"/>
                </w:tcPr>
                <w:p w14:paraId="70BD0440">
                  <w:pPr>
                    <w:pStyle w:val="93"/>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sz w:val="21"/>
                      <w:szCs w:val="21"/>
                      <w:highlight w:val="none"/>
                    </w:rPr>
                  </w:pPr>
                </w:p>
              </w:tc>
              <w:tc>
                <w:tcPr>
                  <w:tcW w:w="3193" w:type="pct"/>
                  <w:noWrap w:val="0"/>
                  <w:vAlign w:val="center"/>
                </w:tcPr>
                <w:p w14:paraId="39586F4F">
                  <w:pPr>
                    <w:pStyle w:val="93"/>
                    <w:keepNext w:val="0"/>
                    <w:keepLines w:val="0"/>
                    <w:pageBreakBefore w:val="0"/>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加强施工扬尘整治。认真贯彻落实《辽宁省扬尘污染防治管理办法》，积极推进绿色施工，强化封闭围挡、裸露土方覆盖、进出车辆冲洗、材料堆放遮盖等环节管控，在城区内的主要施工工地出口、料堆等易产生扬尘的位置，安装视频监控设施，并与城市扬尘视频监控系统联网。建立实施扬尘排污申报登记和排污收费制度，对施工期产生扬尘污染的建设项目全面开展施工期环境监理。</w:t>
                  </w:r>
                </w:p>
              </w:tc>
              <w:tc>
                <w:tcPr>
                  <w:tcW w:w="799" w:type="pct"/>
                  <w:noWrap w:val="0"/>
                  <w:vAlign w:val="center"/>
                </w:tcPr>
                <w:p w14:paraId="3E89F4D7">
                  <w:pPr>
                    <w:pStyle w:val="93"/>
                    <w:keepNext w:val="0"/>
                    <w:keepLines w:val="0"/>
                    <w:pageBreakBefore w:val="0"/>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该项目施工期</w:t>
                  </w:r>
                  <w:r>
                    <w:rPr>
                      <w:rFonts w:hint="eastAsia" w:cs="Times New Roman"/>
                      <w:color w:val="auto"/>
                      <w:sz w:val="21"/>
                      <w:szCs w:val="21"/>
                      <w:highlight w:val="none"/>
                      <w:lang w:eastAsia="zh-CN"/>
                    </w:rPr>
                    <w:t>结尾设备安装</w:t>
                  </w:r>
                  <w:r>
                    <w:rPr>
                      <w:rFonts w:hint="default" w:ascii="Times New Roman" w:hAnsi="Times New Roman" w:eastAsia="宋体" w:cs="Times New Roman"/>
                      <w:color w:val="auto"/>
                      <w:sz w:val="21"/>
                      <w:szCs w:val="21"/>
                      <w:highlight w:val="none"/>
                    </w:rPr>
                    <w:t>。</w:t>
                  </w:r>
                </w:p>
              </w:tc>
              <w:tc>
                <w:tcPr>
                  <w:tcW w:w="396" w:type="pct"/>
                  <w:noWrap w:val="0"/>
                  <w:vAlign w:val="center"/>
                </w:tcPr>
                <w:p w14:paraId="29F07D31">
                  <w:pPr>
                    <w:pStyle w:val="93"/>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符合</w:t>
                  </w:r>
                </w:p>
              </w:tc>
            </w:tr>
            <w:tr w14:paraId="56466B43">
              <w:tblPrEx>
                <w:tblBorders>
                  <w:top w:val="single" w:color="auto" w:sz="12" w:space="0"/>
                  <w:left w:val="none" w:color="auto" w:sz="0" w:space="0"/>
                  <w:bottom w:val="single" w:color="auto" w:sz="12" w:space="0"/>
                  <w:right w:val="none" w:color="auto" w:sz="0" w:space="0"/>
                  <w:insideH w:val="single" w:color="auto" w:sz="4" w:space="0"/>
                  <w:insideV w:val="single" w:color="auto" w:sz="2" w:space="0"/>
                </w:tblBorders>
                <w:tblCellMar>
                  <w:top w:w="0" w:type="dxa"/>
                  <w:left w:w="23" w:type="dxa"/>
                  <w:bottom w:w="0" w:type="dxa"/>
                  <w:right w:w="23" w:type="dxa"/>
                </w:tblCellMar>
              </w:tblPrEx>
              <w:trPr>
                <w:trHeight w:val="1245" w:hRule="atLeast"/>
                <w:jc w:val="center"/>
              </w:trPr>
              <w:tc>
                <w:tcPr>
                  <w:tcW w:w="192" w:type="pct"/>
                  <w:vMerge w:val="continue"/>
                  <w:noWrap w:val="0"/>
                  <w:vAlign w:val="center"/>
                </w:tcPr>
                <w:p w14:paraId="41D9B697">
                  <w:pPr>
                    <w:pStyle w:val="93"/>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sz w:val="21"/>
                      <w:szCs w:val="21"/>
                      <w:highlight w:val="none"/>
                    </w:rPr>
                  </w:pPr>
                </w:p>
              </w:tc>
              <w:tc>
                <w:tcPr>
                  <w:tcW w:w="418" w:type="pct"/>
                  <w:vMerge w:val="continue"/>
                  <w:noWrap w:val="0"/>
                  <w:vAlign w:val="center"/>
                </w:tcPr>
                <w:p w14:paraId="02866F34">
                  <w:pPr>
                    <w:pStyle w:val="93"/>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sz w:val="21"/>
                      <w:szCs w:val="21"/>
                      <w:highlight w:val="none"/>
                    </w:rPr>
                  </w:pPr>
                </w:p>
              </w:tc>
              <w:tc>
                <w:tcPr>
                  <w:tcW w:w="3193" w:type="pct"/>
                  <w:noWrap w:val="0"/>
                  <w:vAlign w:val="center"/>
                </w:tcPr>
                <w:p w14:paraId="523F230B">
                  <w:pPr>
                    <w:pStyle w:val="93"/>
                    <w:keepNext w:val="0"/>
                    <w:keepLines w:val="0"/>
                    <w:pageBreakBefore w:val="0"/>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严控工业堆场扬尘。堆场和露天仓库堆放物料采取路面硬化、设置围挡、车辆清洗等防风抑尘措施。到2017年，所有大型煤场、料场全面完成抑尘改造。</w:t>
                  </w:r>
                </w:p>
              </w:tc>
              <w:tc>
                <w:tcPr>
                  <w:tcW w:w="799" w:type="pct"/>
                  <w:noWrap w:val="0"/>
                  <w:vAlign w:val="center"/>
                </w:tcPr>
                <w:p w14:paraId="0AE3197A">
                  <w:pPr>
                    <w:pStyle w:val="93"/>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不涉及</w:t>
                  </w:r>
                </w:p>
              </w:tc>
              <w:tc>
                <w:tcPr>
                  <w:tcW w:w="396" w:type="pct"/>
                  <w:noWrap w:val="0"/>
                  <w:vAlign w:val="center"/>
                </w:tcPr>
                <w:p w14:paraId="1DE063B8">
                  <w:pPr>
                    <w:pStyle w:val="93"/>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符合</w:t>
                  </w:r>
                </w:p>
              </w:tc>
            </w:tr>
            <w:tr w14:paraId="7C7670B3">
              <w:tblPrEx>
                <w:tblBorders>
                  <w:top w:val="single" w:color="auto" w:sz="12" w:space="0"/>
                  <w:left w:val="none" w:color="auto" w:sz="0" w:space="0"/>
                  <w:bottom w:val="single" w:color="auto" w:sz="12" w:space="0"/>
                  <w:right w:val="none" w:color="auto" w:sz="0" w:space="0"/>
                  <w:insideH w:val="single" w:color="auto" w:sz="4" w:space="0"/>
                  <w:insideV w:val="single" w:color="auto" w:sz="2" w:space="0"/>
                </w:tblBorders>
                <w:tblCellMar>
                  <w:top w:w="0" w:type="dxa"/>
                  <w:left w:w="23" w:type="dxa"/>
                  <w:bottom w:w="0" w:type="dxa"/>
                  <w:right w:w="23" w:type="dxa"/>
                </w:tblCellMar>
              </w:tblPrEx>
              <w:trPr>
                <w:trHeight w:val="258" w:hRule="atLeast"/>
                <w:jc w:val="center"/>
              </w:trPr>
              <w:tc>
                <w:tcPr>
                  <w:tcW w:w="192" w:type="pct"/>
                  <w:vMerge w:val="continue"/>
                  <w:noWrap w:val="0"/>
                  <w:vAlign w:val="center"/>
                </w:tcPr>
                <w:p w14:paraId="0DC474B8">
                  <w:pPr>
                    <w:pStyle w:val="93"/>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sz w:val="21"/>
                      <w:szCs w:val="21"/>
                      <w:highlight w:val="none"/>
                    </w:rPr>
                  </w:pPr>
                </w:p>
              </w:tc>
              <w:tc>
                <w:tcPr>
                  <w:tcW w:w="418" w:type="pct"/>
                  <w:vMerge w:val="continue"/>
                  <w:noWrap w:val="0"/>
                  <w:vAlign w:val="center"/>
                </w:tcPr>
                <w:p w14:paraId="5F7F3ACA">
                  <w:pPr>
                    <w:pStyle w:val="93"/>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sz w:val="21"/>
                      <w:szCs w:val="21"/>
                      <w:highlight w:val="none"/>
                    </w:rPr>
                  </w:pPr>
                </w:p>
              </w:tc>
              <w:tc>
                <w:tcPr>
                  <w:tcW w:w="3193" w:type="pct"/>
                  <w:noWrap w:val="0"/>
                  <w:vAlign w:val="center"/>
                </w:tcPr>
                <w:p w14:paraId="3CEA01E4">
                  <w:pPr>
                    <w:pStyle w:val="93"/>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（七）强化机动车污染防治</w:t>
                  </w:r>
                  <w:r>
                    <w:rPr>
                      <w:rFonts w:hint="default" w:ascii="Times New Roman" w:hAnsi="Times New Roman" w:eastAsia="宋体" w:cs="Times New Roman"/>
                      <w:color w:val="auto"/>
                      <w:sz w:val="21"/>
                      <w:szCs w:val="21"/>
                      <w:highlight w:val="none"/>
                      <w:shd w:val="clear" w:color="auto" w:fill="FFFFFF"/>
                    </w:rPr>
                    <w:t>（详细内容略）</w:t>
                  </w:r>
                </w:p>
              </w:tc>
              <w:tc>
                <w:tcPr>
                  <w:tcW w:w="799" w:type="pct"/>
                  <w:noWrap w:val="0"/>
                  <w:vAlign w:val="center"/>
                </w:tcPr>
                <w:p w14:paraId="0F24BBF1">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不涉及</w:t>
                  </w:r>
                </w:p>
              </w:tc>
              <w:tc>
                <w:tcPr>
                  <w:tcW w:w="396" w:type="pct"/>
                  <w:noWrap w:val="0"/>
                  <w:vAlign w:val="center"/>
                </w:tcPr>
                <w:p w14:paraId="0E793051">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符合</w:t>
                  </w:r>
                </w:p>
              </w:tc>
            </w:tr>
            <w:tr w14:paraId="02737780">
              <w:tblPrEx>
                <w:tblBorders>
                  <w:top w:val="single" w:color="auto" w:sz="12" w:space="0"/>
                  <w:left w:val="none" w:color="auto" w:sz="0" w:space="0"/>
                  <w:bottom w:val="single" w:color="auto" w:sz="12" w:space="0"/>
                  <w:right w:val="none" w:color="auto" w:sz="0" w:space="0"/>
                  <w:insideH w:val="single" w:color="auto" w:sz="4" w:space="0"/>
                  <w:insideV w:val="single" w:color="auto" w:sz="2" w:space="0"/>
                </w:tblBorders>
                <w:tblCellMar>
                  <w:top w:w="0" w:type="dxa"/>
                  <w:left w:w="23" w:type="dxa"/>
                  <w:bottom w:w="0" w:type="dxa"/>
                  <w:right w:w="23" w:type="dxa"/>
                </w:tblCellMar>
              </w:tblPrEx>
              <w:trPr>
                <w:trHeight w:val="90" w:hRule="atLeast"/>
                <w:jc w:val="center"/>
              </w:trPr>
              <w:tc>
                <w:tcPr>
                  <w:tcW w:w="192" w:type="pct"/>
                  <w:vMerge w:val="continue"/>
                  <w:noWrap w:val="0"/>
                  <w:vAlign w:val="center"/>
                </w:tcPr>
                <w:p w14:paraId="64457589">
                  <w:pPr>
                    <w:pStyle w:val="93"/>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sz w:val="21"/>
                      <w:szCs w:val="21"/>
                      <w:highlight w:val="none"/>
                    </w:rPr>
                  </w:pPr>
                </w:p>
              </w:tc>
              <w:tc>
                <w:tcPr>
                  <w:tcW w:w="418" w:type="pct"/>
                  <w:vMerge w:val="continue"/>
                  <w:noWrap w:val="0"/>
                  <w:vAlign w:val="center"/>
                </w:tcPr>
                <w:p w14:paraId="4D034EC8">
                  <w:pPr>
                    <w:pStyle w:val="93"/>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sz w:val="21"/>
                      <w:szCs w:val="21"/>
                      <w:highlight w:val="none"/>
                    </w:rPr>
                  </w:pPr>
                </w:p>
              </w:tc>
              <w:tc>
                <w:tcPr>
                  <w:tcW w:w="3193" w:type="pct"/>
                  <w:noWrap w:val="0"/>
                  <w:vAlign w:val="center"/>
                </w:tcPr>
                <w:p w14:paraId="356F1588">
                  <w:pPr>
                    <w:pStyle w:val="93"/>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（八）加强环保基础能力建设</w:t>
                  </w:r>
                  <w:r>
                    <w:rPr>
                      <w:rFonts w:hint="default" w:ascii="Times New Roman" w:hAnsi="Times New Roman" w:eastAsia="宋体" w:cs="Times New Roman"/>
                      <w:color w:val="auto"/>
                      <w:sz w:val="21"/>
                      <w:szCs w:val="21"/>
                      <w:highlight w:val="none"/>
                      <w:shd w:val="clear" w:color="auto" w:fill="FFFFFF"/>
                    </w:rPr>
                    <w:t>（详细内容略）</w:t>
                  </w:r>
                </w:p>
              </w:tc>
              <w:tc>
                <w:tcPr>
                  <w:tcW w:w="799" w:type="pct"/>
                  <w:noWrap w:val="0"/>
                  <w:vAlign w:val="center"/>
                </w:tcPr>
                <w:p w14:paraId="221A602D">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不涉及</w:t>
                  </w:r>
                </w:p>
              </w:tc>
              <w:tc>
                <w:tcPr>
                  <w:tcW w:w="396" w:type="pct"/>
                  <w:noWrap w:val="0"/>
                  <w:vAlign w:val="center"/>
                </w:tcPr>
                <w:p w14:paraId="14654F4C">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符合</w:t>
                  </w:r>
                </w:p>
              </w:tc>
            </w:tr>
            <w:tr w14:paraId="2E8C7B6E">
              <w:tblPrEx>
                <w:tblBorders>
                  <w:top w:val="single" w:color="auto" w:sz="12" w:space="0"/>
                  <w:left w:val="none" w:color="auto" w:sz="0" w:space="0"/>
                  <w:bottom w:val="single" w:color="auto" w:sz="12" w:space="0"/>
                  <w:right w:val="none" w:color="auto" w:sz="0" w:space="0"/>
                  <w:insideH w:val="single" w:color="auto" w:sz="4" w:space="0"/>
                  <w:insideV w:val="single" w:color="auto" w:sz="2" w:space="0"/>
                </w:tblBorders>
                <w:tblCellMar>
                  <w:top w:w="0" w:type="dxa"/>
                  <w:left w:w="23" w:type="dxa"/>
                  <w:bottom w:w="0" w:type="dxa"/>
                  <w:right w:w="23" w:type="dxa"/>
                </w:tblCellMar>
              </w:tblPrEx>
              <w:trPr>
                <w:trHeight w:val="318" w:hRule="atLeast"/>
                <w:jc w:val="center"/>
              </w:trPr>
              <w:tc>
                <w:tcPr>
                  <w:tcW w:w="192" w:type="pct"/>
                  <w:vMerge w:val="continue"/>
                  <w:noWrap w:val="0"/>
                  <w:vAlign w:val="center"/>
                </w:tcPr>
                <w:p w14:paraId="07D7DCA7">
                  <w:pPr>
                    <w:pStyle w:val="93"/>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sz w:val="21"/>
                      <w:szCs w:val="21"/>
                      <w:highlight w:val="none"/>
                    </w:rPr>
                  </w:pPr>
                </w:p>
              </w:tc>
              <w:tc>
                <w:tcPr>
                  <w:tcW w:w="418" w:type="pct"/>
                  <w:vMerge w:val="continue"/>
                  <w:noWrap w:val="0"/>
                  <w:vAlign w:val="center"/>
                </w:tcPr>
                <w:p w14:paraId="2BAAF0C6">
                  <w:pPr>
                    <w:pStyle w:val="93"/>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sz w:val="21"/>
                      <w:szCs w:val="21"/>
                      <w:highlight w:val="none"/>
                    </w:rPr>
                  </w:pPr>
                </w:p>
              </w:tc>
              <w:tc>
                <w:tcPr>
                  <w:tcW w:w="3193" w:type="pct"/>
                  <w:noWrap w:val="0"/>
                  <w:vAlign w:val="center"/>
                </w:tcPr>
                <w:p w14:paraId="40A28A4E">
                  <w:pPr>
                    <w:pStyle w:val="93"/>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（九）明确工作责任，严格责任追究</w:t>
                  </w:r>
                  <w:r>
                    <w:rPr>
                      <w:rFonts w:hint="default" w:ascii="Times New Roman" w:hAnsi="Times New Roman" w:eastAsia="宋体" w:cs="Times New Roman"/>
                      <w:color w:val="auto"/>
                      <w:sz w:val="21"/>
                      <w:szCs w:val="21"/>
                      <w:highlight w:val="none"/>
                      <w:shd w:val="clear" w:color="auto" w:fill="FFFFFF"/>
                    </w:rPr>
                    <w:t>（详细内容略）</w:t>
                  </w:r>
                </w:p>
              </w:tc>
              <w:tc>
                <w:tcPr>
                  <w:tcW w:w="799" w:type="pct"/>
                  <w:noWrap w:val="0"/>
                  <w:vAlign w:val="center"/>
                </w:tcPr>
                <w:p w14:paraId="09D9E65F">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不涉及</w:t>
                  </w:r>
                </w:p>
              </w:tc>
              <w:tc>
                <w:tcPr>
                  <w:tcW w:w="396" w:type="pct"/>
                  <w:noWrap w:val="0"/>
                  <w:vAlign w:val="center"/>
                </w:tcPr>
                <w:p w14:paraId="37994502">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符合</w:t>
                  </w:r>
                </w:p>
              </w:tc>
            </w:tr>
            <w:tr w14:paraId="1D64DE5D">
              <w:tblPrEx>
                <w:tblBorders>
                  <w:top w:val="single" w:color="auto" w:sz="12" w:space="0"/>
                  <w:left w:val="none" w:color="auto" w:sz="0" w:space="0"/>
                  <w:bottom w:val="single" w:color="auto" w:sz="12" w:space="0"/>
                  <w:right w:val="none" w:color="auto" w:sz="0" w:space="0"/>
                  <w:insideH w:val="single" w:color="auto" w:sz="4" w:space="0"/>
                  <w:insideV w:val="single" w:color="auto" w:sz="2" w:space="0"/>
                </w:tblBorders>
                <w:tblCellMar>
                  <w:top w:w="0" w:type="dxa"/>
                  <w:left w:w="23" w:type="dxa"/>
                  <w:bottom w:w="0" w:type="dxa"/>
                  <w:right w:w="23" w:type="dxa"/>
                </w:tblCellMar>
              </w:tblPrEx>
              <w:trPr>
                <w:trHeight w:val="628" w:hRule="atLeast"/>
                <w:jc w:val="center"/>
              </w:trPr>
              <w:tc>
                <w:tcPr>
                  <w:tcW w:w="192" w:type="pct"/>
                  <w:vMerge w:val="continue"/>
                  <w:noWrap w:val="0"/>
                  <w:vAlign w:val="center"/>
                </w:tcPr>
                <w:p w14:paraId="75BDC111">
                  <w:pPr>
                    <w:pStyle w:val="93"/>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sz w:val="21"/>
                      <w:szCs w:val="21"/>
                      <w:highlight w:val="none"/>
                    </w:rPr>
                  </w:pPr>
                </w:p>
              </w:tc>
              <w:tc>
                <w:tcPr>
                  <w:tcW w:w="418" w:type="pct"/>
                  <w:vMerge w:val="continue"/>
                  <w:noWrap w:val="0"/>
                  <w:vAlign w:val="center"/>
                </w:tcPr>
                <w:p w14:paraId="1567EADF">
                  <w:pPr>
                    <w:pStyle w:val="93"/>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sz w:val="21"/>
                      <w:szCs w:val="21"/>
                      <w:highlight w:val="none"/>
                    </w:rPr>
                  </w:pPr>
                </w:p>
              </w:tc>
              <w:tc>
                <w:tcPr>
                  <w:tcW w:w="3193" w:type="pct"/>
                  <w:noWrap w:val="0"/>
                  <w:vAlign w:val="center"/>
                </w:tcPr>
                <w:p w14:paraId="3CE7F655">
                  <w:pPr>
                    <w:pStyle w:val="93"/>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（十）加强政策引导，动员全社会参与</w:t>
                  </w:r>
                  <w:r>
                    <w:rPr>
                      <w:rFonts w:hint="default" w:ascii="Times New Roman" w:hAnsi="Times New Roman" w:eastAsia="宋体" w:cs="Times New Roman"/>
                      <w:color w:val="auto"/>
                      <w:sz w:val="21"/>
                      <w:szCs w:val="21"/>
                      <w:highlight w:val="none"/>
                      <w:shd w:val="clear" w:color="auto" w:fill="FFFFFF"/>
                    </w:rPr>
                    <w:t>（详细内容略）</w:t>
                  </w:r>
                </w:p>
              </w:tc>
              <w:tc>
                <w:tcPr>
                  <w:tcW w:w="799" w:type="pct"/>
                  <w:noWrap w:val="0"/>
                  <w:vAlign w:val="center"/>
                </w:tcPr>
                <w:p w14:paraId="7F773E8A">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不涉及</w:t>
                  </w:r>
                </w:p>
              </w:tc>
              <w:tc>
                <w:tcPr>
                  <w:tcW w:w="396" w:type="pct"/>
                  <w:noWrap w:val="0"/>
                  <w:vAlign w:val="center"/>
                </w:tcPr>
                <w:p w14:paraId="35D96D4D">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符合</w:t>
                  </w:r>
                </w:p>
              </w:tc>
            </w:tr>
            <w:tr w14:paraId="7D65E14C">
              <w:tblPrEx>
                <w:tblBorders>
                  <w:top w:val="single" w:color="auto" w:sz="12" w:space="0"/>
                  <w:left w:val="none" w:color="auto" w:sz="0" w:space="0"/>
                  <w:bottom w:val="single" w:color="auto" w:sz="12" w:space="0"/>
                  <w:right w:val="none" w:color="auto" w:sz="0" w:space="0"/>
                  <w:insideH w:val="single" w:color="auto" w:sz="4" w:space="0"/>
                  <w:insideV w:val="single" w:color="auto" w:sz="2" w:space="0"/>
                </w:tblBorders>
                <w:tblCellMar>
                  <w:top w:w="0" w:type="dxa"/>
                  <w:left w:w="23" w:type="dxa"/>
                  <w:bottom w:w="0" w:type="dxa"/>
                  <w:right w:w="23" w:type="dxa"/>
                </w:tblCellMar>
              </w:tblPrEx>
              <w:trPr>
                <w:trHeight w:val="628" w:hRule="atLeast"/>
                <w:jc w:val="center"/>
              </w:trPr>
              <w:tc>
                <w:tcPr>
                  <w:tcW w:w="192" w:type="pct"/>
                  <w:vMerge w:val="restart"/>
                  <w:noWrap w:val="0"/>
                  <w:vAlign w:val="center"/>
                </w:tcPr>
                <w:p w14:paraId="20D683F4">
                  <w:pPr>
                    <w:pStyle w:val="93"/>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2</w:t>
                  </w:r>
                </w:p>
              </w:tc>
              <w:tc>
                <w:tcPr>
                  <w:tcW w:w="418" w:type="pct"/>
                  <w:vMerge w:val="restart"/>
                  <w:noWrap w:val="0"/>
                  <w:vAlign w:val="center"/>
                </w:tcPr>
                <w:p w14:paraId="25A0C6D8">
                  <w:pPr>
                    <w:pStyle w:val="93"/>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本溪市人民政府关于印发本溪市水污染防治工作方案的通知</w:t>
                  </w:r>
                </w:p>
              </w:tc>
              <w:tc>
                <w:tcPr>
                  <w:tcW w:w="3193" w:type="pct"/>
                  <w:noWrap w:val="0"/>
                  <w:vAlign w:val="center"/>
                </w:tcPr>
                <w:p w14:paraId="633DC5B1">
                  <w:pPr>
                    <w:pStyle w:val="93"/>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（一）加强综合防治，全面控制污染物排放</w:t>
                  </w:r>
                  <w:r>
                    <w:rPr>
                      <w:rFonts w:hint="default" w:ascii="Times New Roman" w:hAnsi="Times New Roman" w:eastAsia="宋体" w:cs="Times New Roman"/>
                      <w:color w:val="auto"/>
                      <w:sz w:val="21"/>
                      <w:szCs w:val="21"/>
                      <w:highlight w:val="none"/>
                      <w:shd w:val="clear" w:color="auto" w:fill="FFFFFF"/>
                    </w:rPr>
                    <w:t>（详细内容略）</w:t>
                  </w:r>
                </w:p>
              </w:tc>
              <w:tc>
                <w:tcPr>
                  <w:tcW w:w="799" w:type="pct"/>
                  <w:noWrap w:val="0"/>
                  <w:vAlign w:val="center"/>
                </w:tcPr>
                <w:p w14:paraId="491C40A7">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不涉及</w:t>
                  </w:r>
                </w:p>
              </w:tc>
              <w:tc>
                <w:tcPr>
                  <w:tcW w:w="396" w:type="pct"/>
                  <w:noWrap w:val="0"/>
                  <w:vAlign w:val="center"/>
                </w:tcPr>
                <w:p w14:paraId="26464B9E">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符合</w:t>
                  </w:r>
                </w:p>
              </w:tc>
            </w:tr>
            <w:tr w14:paraId="3CF2211B">
              <w:tblPrEx>
                <w:tblBorders>
                  <w:top w:val="single" w:color="auto" w:sz="12" w:space="0"/>
                  <w:left w:val="none" w:color="auto" w:sz="0" w:space="0"/>
                  <w:bottom w:val="single" w:color="auto" w:sz="12" w:space="0"/>
                  <w:right w:val="none" w:color="auto" w:sz="0" w:space="0"/>
                  <w:insideH w:val="single" w:color="auto" w:sz="4" w:space="0"/>
                  <w:insideV w:val="single" w:color="auto" w:sz="2" w:space="0"/>
                </w:tblBorders>
                <w:tblCellMar>
                  <w:top w:w="0" w:type="dxa"/>
                  <w:left w:w="23" w:type="dxa"/>
                  <w:bottom w:w="0" w:type="dxa"/>
                  <w:right w:w="23" w:type="dxa"/>
                </w:tblCellMar>
              </w:tblPrEx>
              <w:trPr>
                <w:trHeight w:val="319" w:hRule="atLeast"/>
                <w:jc w:val="center"/>
              </w:trPr>
              <w:tc>
                <w:tcPr>
                  <w:tcW w:w="192" w:type="pct"/>
                  <w:vMerge w:val="continue"/>
                  <w:noWrap w:val="0"/>
                  <w:vAlign w:val="center"/>
                </w:tcPr>
                <w:p w14:paraId="0C191AC3">
                  <w:pPr>
                    <w:pStyle w:val="93"/>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sz w:val="21"/>
                      <w:szCs w:val="21"/>
                      <w:highlight w:val="none"/>
                    </w:rPr>
                  </w:pPr>
                </w:p>
              </w:tc>
              <w:tc>
                <w:tcPr>
                  <w:tcW w:w="418" w:type="pct"/>
                  <w:vMerge w:val="continue"/>
                  <w:noWrap w:val="0"/>
                  <w:vAlign w:val="center"/>
                </w:tcPr>
                <w:p w14:paraId="7EBD1980">
                  <w:pPr>
                    <w:pStyle w:val="93"/>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kern w:val="24"/>
                      <w:sz w:val="21"/>
                      <w:szCs w:val="21"/>
                      <w:highlight w:val="none"/>
                    </w:rPr>
                  </w:pPr>
                </w:p>
              </w:tc>
              <w:tc>
                <w:tcPr>
                  <w:tcW w:w="3193" w:type="pct"/>
                  <w:noWrap w:val="0"/>
                  <w:vAlign w:val="center"/>
                </w:tcPr>
                <w:p w14:paraId="20FE13A4">
                  <w:pPr>
                    <w:pStyle w:val="93"/>
                    <w:keepNext w:val="0"/>
                    <w:keepLines w:val="0"/>
                    <w:pageBreakBefore w:val="0"/>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（二）加快调整产业结构，优化空间布局</w:t>
                  </w:r>
                </w:p>
              </w:tc>
              <w:tc>
                <w:tcPr>
                  <w:tcW w:w="799" w:type="pct"/>
                  <w:noWrap w:val="0"/>
                  <w:vAlign w:val="center"/>
                </w:tcPr>
                <w:p w14:paraId="73F4D20B">
                  <w:pPr>
                    <w:pStyle w:val="93"/>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kern w:val="24"/>
                      <w:sz w:val="21"/>
                      <w:szCs w:val="21"/>
                      <w:highlight w:val="none"/>
                    </w:rPr>
                  </w:pPr>
                  <w:r>
                    <w:rPr>
                      <w:rFonts w:hint="default" w:ascii="Times New Roman" w:hAnsi="Times New Roman" w:eastAsia="宋体" w:cs="Times New Roman"/>
                      <w:color w:val="auto"/>
                      <w:kern w:val="24"/>
                      <w:sz w:val="21"/>
                      <w:szCs w:val="21"/>
                      <w:highlight w:val="none"/>
                    </w:rPr>
                    <w:t>/</w:t>
                  </w:r>
                </w:p>
              </w:tc>
              <w:tc>
                <w:tcPr>
                  <w:tcW w:w="396" w:type="pct"/>
                  <w:noWrap w:val="0"/>
                  <w:vAlign w:val="center"/>
                </w:tcPr>
                <w:p w14:paraId="0C102C62">
                  <w:pPr>
                    <w:pStyle w:val="93"/>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w:t>
                  </w:r>
                </w:p>
              </w:tc>
            </w:tr>
            <w:tr w14:paraId="4EB2FF84">
              <w:tblPrEx>
                <w:tblBorders>
                  <w:top w:val="single" w:color="auto" w:sz="12" w:space="0"/>
                  <w:left w:val="none" w:color="auto" w:sz="0" w:space="0"/>
                  <w:bottom w:val="single" w:color="auto" w:sz="12" w:space="0"/>
                  <w:right w:val="none" w:color="auto" w:sz="0" w:space="0"/>
                  <w:insideH w:val="single" w:color="auto" w:sz="4" w:space="0"/>
                  <w:insideV w:val="single" w:color="auto" w:sz="2" w:space="0"/>
                </w:tblBorders>
                <w:tblCellMar>
                  <w:top w:w="0" w:type="dxa"/>
                  <w:left w:w="23" w:type="dxa"/>
                  <w:bottom w:w="0" w:type="dxa"/>
                  <w:right w:w="23" w:type="dxa"/>
                </w:tblCellMar>
              </w:tblPrEx>
              <w:trPr>
                <w:trHeight w:val="116" w:hRule="atLeast"/>
                <w:jc w:val="center"/>
              </w:trPr>
              <w:tc>
                <w:tcPr>
                  <w:tcW w:w="192" w:type="pct"/>
                  <w:vMerge w:val="continue"/>
                  <w:noWrap w:val="0"/>
                  <w:vAlign w:val="center"/>
                </w:tcPr>
                <w:p w14:paraId="44F1A94C">
                  <w:pPr>
                    <w:pStyle w:val="93"/>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sz w:val="21"/>
                      <w:szCs w:val="21"/>
                      <w:highlight w:val="none"/>
                    </w:rPr>
                  </w:pPr>
                </w:p>
              </w:tc>
              <w:tc>
                <w:tcPr>
                  <w:tcW w:w="418" w:type="pct"/>
                  <w:vMerge w:val="continue"/>
                  <w:noWrap w:val="0"/>
                  <w:vAlign w:val="center"/>
                </w:tcPr>
                <w:p w14:paraId="1EF90A91">
                  <w:pPr>
                    <w:pStyle w:val="93"/>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kern w:val="24"/>
                      <w:sz w:val="21"/>
                      <w:szCs w:val="21"/>
                      <w:highlight w:val="none"/>
                    </w:rPr>
                  </w:pPr>
                </w:p>
              </w:tc>
              <w:tc>
                <w:tcPr>
                  <w:tcW w:w="3193" w:type="pct"/>
                  <w:noWrap w:val="0"/>
                  <w:vAlign w:val="center"/>
                </w:tcPr>
                <w:p w14:paraId="460C3B4B">
                  <w:pPr>
                    <w:pStyle w:val="93"/>
                    <w:keepNext w:val="0"/>
                    <w:keepLines w:val="0"/>
                    <w:pageBreakBefore w:val="0"/>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依法淘汰落后产能。各县（区）及相关企业要严格按照工业行业淘汰落后生产工艺装备和产品指导目录、产业结构调整指导目录及相关行业污染物排放标准，梳理辖区内应淘汰落后产能项目，组织企业按规定期限实施设施拆除并做废毁处理。未按要求完成淘汰任务的县（区），按照省发展改革委要求暂停审批和核准相关行业新建项目。</w:t>
                  </w:r>
                </w:p>
              </w:tc>
              <w:tc>
                <w:tcPr>
                  <w:tcW w:w="799" w:type="pct"/>
                  <w:noWrap w:val="0"/>
                  <w:vAlign w:val="center"/>
                </w:tcPr>
                <w:p w14:paraId="6E9F4384">
                  <w:pPr>
                    <w:pStyle w:val="93"/>
                    <w:keepNext w:val="0"/>
                    <w:keepLines w:val="0"/>
                    <w:pageBreakBefore w:val="0"/>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kern w:val="24"/>
                      <w:sz w:val="21"/>
                      <w:szCs w:val="21"/>
                      <w:highlight w:val="none"/>
                    </w:rPr>
                    <w:t>该项目不属于淘汰落后产能。</w:t>
                  </w:r>
                </w:p>
              </w:tc>
              <w:tc>
                <w:tcPr>
                  <w:tcW w:w="396" w:type="pct"/>
                  <w:noWrap w:val="0"/>
                  <w:vAlign w:val="center"/>
                </w:tcPr>
                <w:p w14:paraId="18120797">
                  <w:pPr>
                    <w:pStyle w:val="93"/>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符合</w:t>
                  </w:r>
                </w:p>
              </w:tc>
            </w:tr>
            <w:tr w14:paraId="55515236">
              <w:tblPrEx>
                <w:tblBorders>
                  <w:top w:val="single" w:color="auto" w:sz="12" w:space="0"/>
                  <w:left w:val="none" w:color="auto" w:sz="0" w:space="0"/>
                  <w:bottom w:val="single" w:color="auto" w:sz="12" w:space="0"/>
                  <w:right w:val="none" w:color="auto" w:sz="0" w:space="0"/>
                  <w:insideH w:val="single" w:color="auto" w:sz="4" w:space="0"/>
                  <w:insideV w:val="single" w:color="auto" w:sz="2" w:space="0"/>
                </w:tblBorders>
                <w:tblCellMar>
                  <w:top w:w="0" w:type="dxa"/>
                  <w:left w:w="23" w:type="dxa"/>
                  <w:bottom w:w="0" w:type="dxa"/>
                  <w:right w:w="23" w:type="dxa"/>
                </w:tblCellMar>
              </w:tblPrEx>
              <w:trPr>
                <w:trHeight w:val="319" w:hRule="atLeast"/>
                <w:jc w:val="center"/>
              </w:trPr>
              <w:tc>
                <w:tcPr>
                  <w:tcW w:w="192" w:type="pct"/>
                  <w:vMerge w:val="continue"/>
                  <w:noWrap w:val="0"/>
                  <w:vAlign w:val="center"/>
                </w:tcPr>
                <w:p w14:paraId="3581406C">
                  <w:pPr>
                    <w:pStyle w:val="93"/>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sz w:val="21"/>
                      <w:szCs w:val="21"/>
                      <w:highlight w:val="none"/>
                    </w:rPr>
                  </w:pPr>
                </w:p>
              </w:tc>
              <w:tc>
                <w:tcPr>
                  <w:tcW w:w="418" w:type="pct"/>
                  <w:vMerge w:val="continue"/>
                  <w:noWrap w:val="0"/>
                  <w:vAlign w:val="center"/>
                </w:tcPr>
                <w:p w14:paraId="1DB7C155">
                  <w:pPr>
                    <w:pStyle w:val="93"/>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kern w:val="24"/>
                      <w:sz w:val="21"/>
                      <w:szCs w:val="21"/>
                      <w:highlight w:val="none"/>
                    </w:rPr>
                  </w:pPr>
                </w:p>
              </w:tc>
              <w:tc>
                <w:tcPr>
                  <w:tcW w:w="3193" w:type="pct"/>
                  <w:noWrap w:val="0"/>
                  <w:vAlign w:val="center"/>
                </w:tcPr>
                <w:p w14:paraId="43B102F1">
                  <w:pPr>
                    <w:pStyle w:val="93"/>
                    <w:keepNext w:val="0"/>
                    <w:keepLines w:val="0"/>
                    <w:pageBreakBefore w:val="0"/>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（三）加强资源管理，节约保护水资源</w:t>
                  </w:r>
                </w:p>
              </w:tc>
              <w:tc>
                <w:tcPr>
                  <w:tcW w:w="799" w:type="pct"/>
                  <w:noWrap w:val="0"/>
                  <w:vAlign w:val="center"/>
                </w:tcPr>
                <w:p w14:paraId="53172FD9">
                  <w:pPr>
                    <w:pStyle w:val="93"/>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kern w:val="24"/>
                      <w:sz w:val="21"/>
                      <w:szCs w:val="21"/>
                      <w:highlight w:val="none"/>
                    </w:rPr>
                  </w:pPr>
                  <w:r>
                    <w:rPr>
                      <w:rFonts w:hint="default" w:ascii="Times New Roman" w:hAnsi="Times New Roman" w:eastAsia="宋体" w:cs="Times New Roman"/>
                      <w:color w:val="auto"/>
                      <w:kern w:val="24"/>
                      <w:sz w:val="21"/>
                      <w:szCs w:val="21"/>
                      <w:highlight w:val="none"/>
                    </w:rPr>
                    <w:t>/</w:t>
                  </w:r>
                </w:p>
              </w:tc>
              <w:tc>
                <w:tcPr>
                  <w:tcW w:w="396" w:type="pct"/>
                  <w:noWrap w:val="0"/>
                  <w:vAlign w:val="center"/>
                </w:tcPr>
                <w:p w14:paraId="5FC46F2B">
                  <w:pPr>
                    <w:pStyle w:val="93"/>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w:t>
                  </w:r>
                </w:p>
              </w:tc>
            </w:tr>
            <w:tr w14:paraId="704A941F">
              <w:tblPrEx>
                <w:tblBorders>
                  <w:top w:val="single" w:color="auto" w:sz="12" w:space="0"/>
                  <w:left w:val="none" w:color="auto" w:sz="0" w:space="0"/>
                  <w:bottom w:val="single" w:color="auto" w:sz="12" w:space="0"/>
                  <w:right w:val="none" w:color="auto" w:sz="0" w:space="0"/>
                  <w:insideH w:val="single" w:color="auto" w:sz="4" w:space="0"/>
                  <w:insideV w:val="single" w:color="auto" w:sz="2" w:space="0"/>
                </w:tblBorders>
                <w:tblCellMar>
                  <w:top w:w="0" w:type="dxa"/>
                  <w:left w:w="23" w:type="dxa"/>
                  <w:bottom w:w="0" w:type="dxa"/>
                  <w:right w:w="23" w:type="dxa"/>
                </w:tblCellMar>
              </w:tblPrEx>
              <w:trPr>
                <w:trHeight w:val="1698" w:hRule="atLeast"/>
                <w:jc w:val="center"/>
              </w:trPr>
              <w:tc>
                <w:tcPr>
                  <w:tcW w:w="192" w:type="pct"/>
                  <w:vMerge w:val="continue"/>
                  <w:noWrap w:val="0"/>
                  <w:vAlign w:val="center"/>
                </w:tcPr>
                <w:p w14:paraId="097A097E">
                  <w:pPr>
                    <w:pStyle w:val="93"/>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sz w:val="21"/>
                      <w:szCs w:val="21"/>
                      <w:highlight w:val="none"/>
                    </w:rPr>
                  </w:pPr>
                </w:p>
              </w:tc>
              <w:tc>
                <w:tcPr>
                  <w:tcW w:w="418" w:type="pct"/>
                  <w:vMerge w:val="continue"/>
                  <w:noWrap w:val="0"/>
                  <w:vAlign w:val="center"/>
                </w:tcPr>
                <w:p w14:paraId="3A11528F">
                  <w:pPr>
                    <w:pStyle w:val="93"/>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kern w:val="24"/>
                      <w:sz w:val="21"/>
                      <w:szCs w:val="21"/>
                      <w:highlight w:val="none"/>
                    </w:rPr>
                  </w:pPr>
                </w:p>
              </w:tc>
              <w:tc>
                <w:tcPr>
                  <w:tcW w:w="3193" w:type="pct"/>
                  <w:noWrap w:val="0"/>
                  <w:vAlign w:val="center"/>
                </w:tcPr>
                <w:p w14:paraId="171A542A">
                  <w:pPr>
                    <w:pStyle w:val="93"/>
                    <w:keepNext w:val="0"/>
                    <w:keepLines w:val="0"/>
                    <w:pageBreakBefore w:val="0"/>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抓好工业节水。积极推广先进适用的节水技术、工艺、产品和设备，认真贯彻落实国家制定的淘汰用水技术、工艺、产品和设备目录，严格用水定额管理，在水资源论证、取水许可、节水水平与用水效率评估等工作中，贯彻执行国家和省用水定额标准。到2020年，钢铁、化工、食品发酵等高耗水行业重点企业达到先进定额标准。</w:t>
                  </w:r>
                </w:p>
              </w:tc>
              <w:tc>
                <w:tcPr>
                  <w:tcW w:w="799" w:type="pct"/>
                  <w:noWrap w:val="0"/>
                  <w:vAlign w:val="center"/>
                </w:tcPr>
                <w:p w14:paraId="23E17408">
                  <w:pPr>
                    <w:pStyle w:val="93"/>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4"/>
                      <w:sz w:val="21"/>
                      <w:szCs w:val="21"/>
                      <w:highlight w:val="none"/>
                    </w:rPr>
                  </w:pPr>
                  <w:r>
                    <w:rPr>
                      <w:rFonts w:hint="default" w:ascii="Times New Roman" w:hAnsi="Times New Roman" w:eastAsia="宋体" w:cs="Times New Roman"/>
                      <w:color w:val="auto"/>
                      <w:sz w:val="21"/>
                      <w:szCs w:val="21"/>
                      <w:highlight w:val="none"/>
                    </w:rPr>
                    <w:t>不涉及</w:t>
                  </w:r>
                </w:p>
              </w:tc>
              <w:tc>
                <w:tcPr>
                  <w:tcW w:w="396" w:type="pct"/>
                  <w:noWrap w:val="0"/>
                  <w:vAlign w:val="center"/>
                </w:tcPr>
                <w:p w14:paraId="6FF8B9F8">
                  <w:pPr>
                    <w:pStyle w:val="93"/>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符合</w:t>
                  </w:r>
                </w:p>
              </w:tc>
            </w:tr>
            <w:tr w14:paraId="4B07E36C">
              <w:tblPrEx>
                <w:tblBorders>
                  <w:top w:val="single" w:color="auto" w:sz="12" w:space="0"/>
                  <w:left w:val="none" w:color="auto" w:sz="0" w:space="0"/>
                  <w:bottom w:val="single" w:color="auto" w:sz="12" w:space="0"/>
                  <w:right w:val="none" w:color="auto" w:sz="0" w:space="0"/>
                  <w:insideH w:val="single" w:color="auto" w:sz="4" w:space="0"/>
                  <w:insideV w:val="single" w:color="auto" w:sz="2" w:space="0"/>
                </w:tblBorders>
                <w:tblCellMar>
                  <w:top w:w="0" w:type="dxa"/>
                  <w:left w:w="23" w:type="dxa"/>
                  <w:bottom w:w="0" w:type="dxa"/>
                  <w:right w:w="23" w:type="dxa"/>
                </w:tblCellMar>
              </w:tblPrEx>
              <w:trPr>
                <w:trHeight w:val="628" w:hRule="atLeast"/>
                <w:jc w:val="center"/>
              </w:trPr>
              <w:tc>
                <w:tcPr>
                  <w:tcW w:w="192" w:type="pct"/>
                  <w:vMerge w:val="continue"/>
                  <w:noWrap w:val="0"/>
                  <w:vAlign w:val="center"/>
                </w:tcPr>
                <w:p w14:paraId="14400763">
                  <w:pPr>
                    <w:pStyle w:val="93"/>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sz w:val="21"/>
                      <w:szCs w:val="21"/>
                      <w:highlight w:val="none"/>
                    </w:rPr>
                  </w:pPr>
                </w:p>
              </w:tc>
              <w:tc>
                <w:tcPr>
                  <w:tcW w:w="418" w:type="pct"/>
                  <w:vMerge w:val="continue"/>
                  <w:noWrap w:val="0"/>
                  <w:vAlign w:val="center"/>
                </w:tcPr>
                <w:p w14:paraId="7956A175">
                  <w:pPr>
                    <w:pStyle w:val="93"/>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kern w:val="24"/>
                      <w:sz w:val="21"/>
                      <w:szCs w:val="21"/>
                      <w:highlight w:val="none"/>
                    </w:rPr>
                  </w:pPr>
                </w:p>
              </w:tc>
              <w:tc>
                <w:tcPr>
                  <w:tcW w:w="3193" w:type="pct"/>
                  <w:noWrap w:val="0"/>
                  <w:vAlign w:val="center"/>
                </w:tcPr>
                <w:p w14:paraId="65F1DF2F">
                  <w:pPr>
                    <w:pStyle w:val="93"/>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（四）深化饮用水源保护，保障群众饮水安全</w:t>
                  </w:r>
                  <w:r>
                    <w:rPr>
                      <w:rFonts w:hint="default" w:ascii="Times New Roman" w:hAnsi="Times New Roman" w:eastAsia="宋体" w:cs="Times New Roman"/>
                      <w:color w:val="auto"/>
                      <w:sz w:val="21"/>
                      <w:szCs w:val="21"/>
                      <w:highlight w:val="none"/>
                      <w:shd w:val="clear" w:color="auto" w:fill="FFFFFF"/>
                    </w:rPr>
                    <w:t>（详细内容略）</w:t>
                  </w:r>
                </w:p>
              </w:tc>
              <w:tc>
                <w:tcPr>
                  <w:tcW w:w="799" w:type="pct"/>
                  <w:noWrap w:val="0"/>
                  <w:vAlign w:val="center"/>
                </w:tcPr>
                <w:p w14:paraId="243688B2">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4"/>
                      <w:sz w:val="21"/>
                      <w:szCs w:val="21"/>
                      <w:highlight w:val="none"/>
                    </w:rPr>
                  </w:pPr>
                  <w:r>
                    <w:rPr>
                      <w:rFonts w:hint="default" w:ascii="Times New Roman" w:hAnsi="Times New Roman" w:eastAsia="宋体" w:cs="Times New Roman"/>
                      <w:color w:val="auto"/>
                      <w:sz w:val="21"/>
                      <w:szCs w:val="21"/>
                      <w:highlight w:val="none"/>
                    </w:rPr>
                    <w:t>不涉及</w:t>
                  </w:r>
                </w:p>
              </w:tc>
              <w:tc>
                <w:tcPr>
                  <w:tcW w:w="396" w:type="pct"/>
                  <w:noWrap w:val="0"/>
                  <w:vAlign w:val="center"/>
                </w:tcPr>
                <w:p w14:paraId="605CB768">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符合</w:t>
                  </w:r>
                </w:p>
              </w:tc>
            </w:tr>
            <w:tr w14:paraId="4B3447BD">
              <w:tblPrEx>
                <w:tblBorders>
                  <w:top w:val="single" w:color="auto" w:sz="12" w:space="0"/>
                  <w:left w:val="none" w:color="auto" w:sz="0" w:space="0"/>
                  <w:bottom w:val="single" w:color="auto" w:sz="12" w:space="0"/>
                  <w:right w:val="none" w:color="auto" w:sz="0" w:space="0"/>
                  <w:insideH w:val="single" w:color="auto" w:sz="4" w:space="0"/>
                  <w:insideV w:val="single" w:color="auto" w:sz="2" w:space="0"/>
                </w:tblBorders>
                <w:tblCellMar>
                  <w:top w:w="0" w:type="dxa"/>
                  <w:left w:w="23" w:type="dxa"/>
                  <w:bottom w:w="0" w:type="dxa"/>
                  <w:right w:w="23" w:type="dxa"/>
                </w:tblCellMar>
              </w:tblPrEx>
              <w:trPr>
                <w:trHeight w:val="628" w:hRule="atLeast"/>
                <w:jc w:val="center"/>
              </w:trPr>
              <w:tc>
                <w:tcPr>
                  <w:tcW w:w="192" w:type="pct"/>
                  <w:vMerge w:val="continue"/>
                  <w:noWrap w:val="0"/>
                  <w:vAlign w:val="center"/>
                </w:tcPr>
                <w:p w14:paraId="55A39266">
                  <w:pPr>
                    <w:pStyle w:val="93"/>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sz w:val="21"/>
                      <w:szCs w:val="21"/>
                      <w:highlight w:val="none"/>
                    </w:rPr>
                  </w:pPr>
                </w:p>
              </w:tc>
              <w:tc>
                <w:tcPr>
                  <w:tcW w:w="418" w:type="pct"/>
                  <w:vMerge w:val="continue"/>
                  <w:noWrap w:val="0"/>
                  <w:vAlign w:val="center"/>
                </w:tcPr>
                <w:p w14:paraId="0759C05C">
                  <w:pPr>
                    <w:pStyle w:val="93"/>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kern w:val="24"/>
                      <w:sz w:val="21"/>
                      <w:szCs w:val="21"/>
                      <w:highlight w:val="none"/>
                    </w:rPr>
                  </w:pPr>
                </w:p>
              </w:tc>
              <w:tc>
                <w:tcPr>
                  <w:tcW w:w="3193" w:type="pct"/>
                  <w:noWrap w:val="0"/>
                  <w:vAlign w:val="center"/>
                </w:tcPr>
                <w:p w14:paraId="66339B85">
                  <w:pPr>
                    <w:pStyle w:val="93"/>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（五）巩固太子河流域治理成果，全面提升河流水质</w:t>
                  </w:r>
                  <w:r>
                    <w:rPr>
                      <w:rFonts w:hint="default" w:ascii="Times New Roman" w:hAnsi="Times New Roman" w:eastAsia="宋体" w:cs="Times New Roman"/>
                      <w:color w:val="auto"/>
                      <w:sz w:val="21"/>
                      <w:szCs w:val="21"/>
                      <w:highlight w:val="none"/>
                      <w:shd w:val="clear" w:color="auto" w:fill="FFFFFF"/>
                    </w:rPr>
                    <w:t>（详细内容略）</w:t>
                  </w:r>
                </w:p>
              </w:tc>
              <w:tc>
                <w:tcPr>
                  <w:tcW w:w="799" w:type="pct"/>
                  <w:noWrap w:val="0"/>
                  <w:vAlign w:val="center"/>
                </w:tcPr>
                <w:p w14:paraId="15911A03">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4"/>
                      <w:sz w:val="21"/>
                      <w:szCs w:val="21"/>
                      <w:highlight w:val="none"/>
                    </w:rPr>
                  </w:pPr>
                  <w:r>
                    <w:rPr>
                      <w:rFonts w:hint="default" w:ascii="Times New Roman" w:hAnsi="Times New Roman" w:eastAsia="宋体" w:cs="Times New Roman"/>
                      <w:color w:val="auto"/>
                      <w:sz w:val="21"/>
                      <w:szCs w:val="21"/>
                      <w:highlight w:val="none"/>
                    </w:rPr>
                    <w:t>不涉及</w:t>
                  </w:r>
                </w:p>
              </w:tc>
              <w:tc>
                <w:tcPr>
                  <w:tcW w:w="396" w:type="pct"/>
                  <w:noWrap w:val="0"/>
                  <w:vAlign w:val="center"/>
                </w:tcPr>
                <w:p w14:paraId="52BDEA7F">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符合</w:t>
                  </w:r>
                </w:p>
              </w:tc>
            </w:tr>
            <w:tr w14:paraId="7AC86180">
              <w:tblPrEx>
                <w:tblBorders>
                  <w:top w:val="single" w:color="auto" w:sz="12" w:space="0"/>
                  <w:left w:val="none" w:color="auto" w:sz="0" w:space="0"/>
                  <w:bottom w:val="single" w:color="auto" w:sz="12" w:space="0"/>
                  <w:right w:val="none" w:color="auto" w:sz="0" w:space="0"/>
                  <w:insideH w:val="single" w:color="auto" w:sz="4" w:space="0"/>
                  <w:insideV w:val="single" w:color="auto" w:sz="2" w:space="0"/>
                </w:tblBorders>
                <w:tblCellMar>
                  <w:top w:w="0" w:type="dxa"/>
                  <w:left w:w="23" w:type="dxa"/>
                  <w:bottom w:w="0" w:type="dxa"/>
                  <w:right w:w="23" w:type="dxa"/>
                </w:tblCellMar>
              </w:tblPrEx>
              <w:trPr>
                <w:trHeight w:val="657" w:hRule="atLeast"/>
                <w:jc w:val="center"/>
              </w:trPr>
              <w:tc>
                <w:tcPr>
                  <w:tcW w:w="192" w:type="pct"/>
                  <w:vMerge w:val="continue"/>
                  <w:noWrap w:val="0"/>
                  <w:vAlign w:val="center"/>
                </w:tcPr>
                <w:p w14:paraId="3BBA063E">
                  <w:pPr>
                    <w:pStyle w:val="93"/>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sz w:val="21"/>
                      <w:szCs w:val="21"/>
                      <w:highlight w:val="none"/>
                    </w:rPr>
                  </w:pPr>
                </w:p>
              </w:tc>
              <w:tc>
                <w:tcPr>
                  <w:tcW w:w="418" w:type="pct"/>
                  <w:vMerge w:val="continue"/>
                  <w:noWrap w:val="0"/>
                  <w:vAlign w:val="center"/>
                </w:tcPr>
                <w:p w14:paraId="4AB7EA0C">
                  <w:pPr>
                    <w:pStyle w:val="93"/>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kern w:val="24"/>
                      <w:sz w:val="21"/>
                      <w:szCs w:val="21"/>
                      <w:highlight w:val="none"/>
                    </w:rPr>
                  </w:pPr>
                </w:p>
              </w:tc>
              <w:tc>
                <w:tcPr>
                  <w:tcW w:w="3193" w:type="pct"/>
                  <w:noWrap w:val="0"/>
                  <w:vAlign w:val="center"/>
                </w:tcPr>
                <w:p w14:paraId="5DC9439F">
                  <w:pPr>
                    <w:pStyle w:val="93"/>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（六）加强能力建设，提升环境管理水平</w:t>
                  </w:r>
                  <w:r>
                    <w:rPr>
                      <w:rFonts w:hint="default" w:ascii="Times New Roman" w:hAnsi="Times New Roman" w:eastAsia="宋体" w:cs="Times New Roman"/>
                      <w:color w:val="auto"/>
                      <w:sz w:val="21"/>
                      <w:szCs w:val="21"/>
                      <w:highlight w:val="none"/>
                      <w:shd w:val="clear" w:color="auto" w:fill="FFFFFF"/>
                    </w:rPr>
                    <w:t>（详细内容略）</w:t>
                  </w:r>
                </w:p>
              </w:tc>
              <w:tc>
                <w:tcPr>
                  <w:tcW w:w="799" w:type="pct"/>
                  <w:noWrap w:val="0"/>
                  <w:vAlign w:val="center"/>
                </w:tcPr>
                <w:p w14:paraId="2392049F">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4"/>
                      <w:sz w:val="21"/>
                      <w:szCs w:val="21"/>
                      <w:highlight w:val="none"/>
                    </w:rPr>
                  </w:pPr>
                  <w:r>
                    <w:rPr>
                      <w:rFonts w:hint="default" w:ascii="Times New Roman" w:hAnsi="Times New Roman" w:eastAsia="宋体" w:cs="Times New Roman"/>
                      <w:color w:val="auto"/>
                      <w:sz w:val="21"/>
                      <w:szCs w:val="21"/>
                      <w:highlight w:val="none"/>
                    </w:rPr>
                    <w:t>不涉及</w:t>
                  </w:r>
                </w:p>
              </w:tc>
              <w:tc>
                <w:tcPr>
                  <w:tcW w:w="396" w:type="pct"/>
                  <w:noWrap w:val="0"/>
                  <w:vAlign w:val="center"/>
                </w:tcPr>
                <w:p w14:paraId="1A999A8B">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符合</w:t>
                  </w:r>
                </w:p>
              </w:tc>
            </w:tr>
          </w:tbl>
          <w:p w14:paraId="1845997D">
            <w:pPr>
              <w:pStyle w:val="92"/>
              <w:keepNext w:val="0"/>
              <w:keepLines w:val="0"/>
              <w:pageBreakBefore w:val="0"/>
              <w:widowControl w:val="0"/>
              <w:kinsoku/>
              <w:wordWrap/>
              <w:overflowPunct/>
              <w:topLinePunct w:val="0"/>
              <w:autoSpaceDE/>
              <w:autoSpaceDN/>
              <w:bidi w:val="0"/>
              <w:adjustRightInd/>
              <w:snapToGrid/>
              <w:spacing w:line="360" w:lineRule="auto"/>
              <w:ind w:firstLine="360" w:firstLineChars="150"/>
              <w:textAlignment w:val="auto"/>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eastAsia="宋体" w:cs="Times New Roman"/>
                <w:color w:val="auto"/>
                <w:kern w:val="0"/>
                <w:szCs w:val="24"/>
                <w:highlight w:val="none"/>
              </w:rPr>
              <w:t>由上表可知，该项目符合《本溪市人民政府关于印发本溪市大气污染防治行动计划实施方案的通知》（本政发〔2015〕1号，2015年1月27日）及《本溪市人民政府关于印发本溪市水污染防治工作方案的通知》（本政发〔2016〕7号，2016年4月11日）中的相关要求。</w:t>
            </w:r>
          </w:p>
          <w:p w14:paraId="5880E11A">
            <w:pPr>
              <w:numPr>
                <w:ilvl w:val="0"/>
                <w:numId w:val="1"/>
              </w:numPr>
              <w:autoSpaceDE w:val="0"/>
              <w:autoSpaceDN w:val="0"/>
              <w:adjustRightInd w:val="0"/>
              <w:snapToGrid w:val="0"/>
              <w:spacing w:line="360" w:lineRule="auto"/>
              <w:rPr>
                <w:rFonts w:hint="default" w:ascii="Times New Roman" w:hAnsi="Times New Roman" w:cs="Times New Roman"/>
                <w:color w:val="000000" w:themeColor="text1"/>
                <w:kern w:val="0"/>
                <w:sz w:val="32"/>
                <w:highlight w:val="none"/>
                <w14:textFill>
                  <w14:solidFill>
                    <w14:schemeClr w14:val="tx1"/>
                  </w14:solidFill>
                </w14:textFill>
              </w:rPr>
            </w:pPr>
            <w:r>
              <w:rPr>
                <w:rFonts w:hint="default" w:ascii="Times New Roman" w:hAnsi="Times New Roman" w:cs="Times New Roman"/>
                <w:b/>
                <w:color w:val="000000" w:themeColor="text1"/>
                <w:sz w:val="24"/>
                <w:highlight w:val="none"/>
                <w14:textFill>
                  <w14:solidFill>
                    <w14:schemeClr w14:val="tx1"/>
                  </w14:solidFill>
                </w14:textFill>
              </w:rPr>
              <w:t>与</w:t>
            </w:r>
            <w:r>
              <w:rPr>
                <w:rFonts w:hint="default" w:ascii="Times New Roman" w:hAnsi="Times New Roman" w:cs="Times New Roman"/>
                <w:b/>
                <w:bCs/>
                <w:color w:val="000000" w:themeColor="text1"/>
                <w:sz w:val="24"/>
                <w:szCs w:val="21"/>
                <w:highlight w:val="none"/>
                <w14:textFill>
                  <w14:solidFill>
                    <w14:schemeClr w14:val="tx1"/>
                  </w14:solidFill>
                </w14:textFill>
              </w:rPr>
              <w:t>《辽宁省打赢蓝天保卫战三年行动方案（2018-2020年）》相符性分析</w:t>
            </w:r>
          </w:p>
          <w:p w14:paraId="0ACBC47E">
            <w:pPr>
              <w:pStyle w:val="68"/>
              <w:ind w:firstLine="48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根据《辽宁省人民政府关于印发&lt;辽宁省打赢蓝天保卫战三年行动方案（2018-2020年）&gt;的通知》（辽政发[2018]31号），本项目与其相符性分析具体见下表。</w:t>
            </w:r>
          </w:p>
          <w:p w14:paraId="55F7FDE0">
            <w:pPr>
              <w:pStyle w:val="62"/>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表1-</w:t>
            </w:r>
            <w:r>
              <w:rPr>
                <w:rFonts w:hint="eastAsia" w:cs="Times New Roman"/>
                <w:color w:val="000000" w:themeColor="text1"/>
                <w:highlight w:val="none"/>
                <w:lang w:val="en-US" w:eastAsia="zh-CN"/>
                <w14:textFill>
                  <w14:solidFill>
                    <w14:schemeClr w14:val="tx1"/>
                  </w14:solidFill>
                </w14:textFill>
              </w:rPr>
              <w:t>6</w:t>
            </w:r>
            <w:r>
              <w:rPr>
                <w:rFonts w:hint="default" w:ascii="Times New Roman" w:hAnsi="Times New Roman" w:cs="Times New Roman"/>
                <w:color w:val="000000" w:themeColor="text1"/>
                <w:highlight w:val="none"/>
                <w14:textFill>
                  <w14:solidFill>
                    <w14:schemeClr w14:val="tx1"/>
                  </w14:solidFill>
                </w14:textFill>
              </w:rPr>
              <w:t>项目与辽宁省打赢蓝天保卫战三年行动方案（2018-2020年）符合性分析一览表</w:t>
            </w:r>
          </w:p>
          <w:tbl>
            <w:tblPr>
              <w:tblStyle w:val="27"/>
              <w:tblW w:w="4997" w:type="pct"/>
              <w:jc w:val="center"/>
              <w:tblBorders>
                <w:top w:val="double" w:color="auto" w:sz="4" w:space="0"/>
                <w:left w:val="none" w:color="auto" w:sz="0" w:space="0"/>
                <w:bottom w:val="double" w:color="auto" w:sz="4" w:space="0"/>
                <w:right w:val="none" w:color="auto" w:sz="0" w:space="0"/>
                <w:insideH w:val="single" w:color="auto" w:sz="4" w:space="0"/>
                <w:insideV w:val="single" w:color="auto" w:sz="4" w:space="0"/>
              </w:tblBorders>
              <w:tblLayout w:type="autofit"/>
              <w:tblCellMar>
                <w:top w:w="0" w:type="dxa"/>
                <w:left w:w="0" w:type="dxa"/>
                <w:bottom w:w="0" w:type="dxa"/>
                <w:right w:w="0" w:type="dxa"/>
              </w:tblCellMar>
            </w:tblPr>
            <w:tblGrid>
              <w:gridCol w:w="618"/>
              <w:gridCol w:w="2307"/>
              <w:gridCol w:w="3117"/>
              <w:gridCol w:w="881"/>
            </w:tblGrid>
            <w:tr w14:paraId="0E0B194B">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446" w:type="pct"/>
                  <w:vAlign w:val="center"/>
                </w:tcPr>
                <w:p w14:paraId="1BFC4C23">
                  <w:pPr>
                    <w:pStyle w:val="69"/>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编号</w:t>
                  </w:r>
                </w:p>
              </w:tc>
              <w:tc>
                <w:tcPr>
                  <w:tcW w:w="1665" w:type="pct"/>
                  <w:vAlign w:val="center"/>
                </w:tcPr>
                <w:p w14:paraId="15AF1EFB">
                  <w:pPr>
                    <w:pStyle w:val="69"/>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分析内容</w:t>
                  </w:r>
                </w:p>
              </w:tc>
              <w:tc>
                <w:tcPr>
                  <w:tcW w:w="2250" w:type="pct"/>
                  <w:vAlign w:val="center"/>
                </w:tcPr>
                <w:p w14:paraId="3083DCDC">
                  <w:pPr>
                    <w:pStyle w:val="69"/>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本项目情况</w:t>
                  </w:r>
                </w:p>
              </w:tc>
              <w:tc>
                <w:tcPr>
                  <w:tcW w:w="636" w:type="pct"/>
                  <w:vAlign w:val="center"/>
                </w:tcPr>
                <w:p w14:paraId="7C59ED21">
                  <w:pPr>
                    <w:pStyle w:val="69"/>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分析</w:t>
                  </w:r>
                  <w:r>
                    <w:rPr>
                      <w:rFonts w:hint="default" w:ascii="Times New Roman" w:hAnsi="Times New Roman" w:cs="Times New Roman"/>
                      <w:color w:val="000000" w:themeColor="text1"/>
                      <w:highlight w:val="none"/>
                      <w14:textFill>
                        <w14:solidFill>
                          <w14:schemeClr w14:val="tx1"/>
                        </w14:solidFill>
                      </w14:textFill>
                    </w:rPr>
                    <w:cr/>
                  </w:r>
                  <w:r>
                    <w:rPr>
                      <w:rFonts w:hint="default" w:ascii="Times New Roman" w:hAnsi="Times New Roman" w:cs="Times New Roman"/>
                      <w:color w:val="000000" w:themeColor="text1"/>
                      <w:highlight w:val="none"/>
                      <w14:textFill>
                        <w14:solidFill>
                          <w14:schemeClr w14:val="tx1"/>
                        </w14:solidFill>
                      </w14:textFill>
                    </w:rPr>
                    <w:t>结果</w:t>
                  </w:r>
                </w:p>
              </w:tc>
            </w:tr>
            <w:tr w14:paraId="1472D282">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446" w:type="pct"/>
                  <w:vMerge w:val="restart"/>
                  <w:vAlign w:val="center"/>
                </w:tcPr>
                <w:p w14:paraId="51D20BE0">
                  <w:pPr>
                    <w:pStyle w:val="69"/>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二、重点任务</w:t>
                  </w:r>
                </w:p>
              </w:tc>
              <w:tc>
                <w:tcPr>
                  <w:tcW w:w="1665" w:type="pct"/>
                  <w:vAlign w:val="center"/>
                </w:tcPr>
                <w:p w14:paraId="16F810C9">
                  <w:pPr>
                    <w:pStyle w:val="69"/>
                    <w:jc w:val="left"/>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（一）深入调整能源结构</w:t>
                  </w:r>
                </w:p>
              </w:tc>
              <w:tc>
                <w:tcPr>
                  <w:tcW w:w="2250" w:type="pct"/>
                  <w:vAlign w:val="center"/>
                </w:tcPr>
                <w:p w14:paraId="645796A0">
                  <w:pPr>
                    <w:pStyle w:val="69"/>
                    <w:jc w:val="left"/>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项目生产用热采用电能，为清洁能源</w:t>
                  </w:r>
                </w:p>
              </w:tc>
              <w:tc>
                <w:tcPr>
                  <w:tcW w:w="636" w:type="pct"/>
                  <w:vAlign w:val="center"/>
                </w:tcPr>
                <w:p w14:paraId="29D45B50">
                  <w:pPr>
                    <w:pStyle w:val="69"/>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符合</w:t>
                  </w:r>
                </w:p>
              </w:tc>
            </w:tr>
            <w:tr w14:paraId="59DDEC67">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446" w:type="pct"/>
                  <w:vMerge w:val="continue"/>
                  <w:vAlign w:val="center"/>
                </w:tcPr>
                <w:p w14:paraId="1AB82363">
                  <w:pPr>
                    <w:pStyle w:val="69"/>
                    <w:rPr>
                      <w:rFonts w:hint="default" w:ascii="Times New Roman" w:hAnsi="Times New Roman" w:cs="Times New Roman"/>
                      <w:color w:val="000000" w:themeColor="text1"/>
                      <w:highlight w:val="none"/>
                      <w14:textFill>
                        <w14:solidFill>
                          <w14:schemeClr w14:val="tx1"/>
                        </w14:solidFill>
                      </w14:textFill>
                    </w:rPr>
                  </w:pPr>
                </w:p>
              </w:tc>
              <w:tc>
                <w:tcPr>
                  <w:tcW w:w="1665" w:type="pct"/>
                  <w:vAlign w:val="center"/>
                </w:tcPr>
                <w:p w14:paraId="5CD8226F">
                  <w:pPr>
                    <w:pStyle w:val="69"/>
                    <w:jc w:val="left"/>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（二）推进调整产业结构</w:t>
                  </w:r>
                </w:p>
              </w:tc>
              <w:tc>
                <w:tcPr>
                  <w:tcW w:w="2250" w:type="pct"/>
                  <w:vAlign w:val="center"/>
                </w:tcPr>
                <w:p w14:paraId="0F3106A2">
                  <w:pPr>
                    <w:pStyle w:val="69"/>
                    <w:jc w:val="left"/>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项目不在辽阳市生态红线范围内，不属“两高”行业，项目用地在英华化工厂现有厂区范围内，属于工业用地。</w:t>
                  </w:r>
                </w:p>
              </w:tc>
              <w:tc>
                <w:tcPr>
                  <w:tcW w:w="636" w:type="pct"/>
                  <w:vAlign w:val="center"/>
                </w:tcPr>
                <w:p w14:paraId="11BE678D">
                  <w:pPr>
                    <w:pStyle w:val="69"/>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符合</w:t>
                  </w:r>
                </w:p>
              </w:tc>
            </w:tr>
            <w:tr w14:paraId="72AFBDB2">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446" w:type="pct"/>
                  <w:vMerge w:val="continue"/>
                  <w:vAlign w:val="center"/>
                </w:tcPr>
                <w:p w14:paraId="2B0F9E2F">
                  <w:pPr>
                    <w:pStyle w:val="69"/>
                    <w:rPr>
                      <w:rFonts w:hint="default" w:ascii="Times New Roman" w:hAnsi="Times New Roman" w:cs="Times New Roman"/>
                      <w:color w:val="000000" w:themeColor="text1"/>
                      <w:highlight w:val="none"/>
                      <w14:textFill>
                        <w14:solidFill>
                          <w14:schemeClr w14:val="tx1"/>
                        </w14:solidFill>
                      </w14:textFill>
                    </w:rPr>
                  </w:pPr>
                </w:p>
              </w:tc>
              <w:tc>
                <w:tcPr>
                  <w:tcW w:w="1665" w:type="pct"/>
                  <w:vAlign w:val="center"/>
                </w:tcPr>
                <w:p w14:paraId="11275C52">
                  <w:pPr>
                    <w:pStyle w:val="69"/>
                    <w:jc w:val="left"/>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（七）有效应对重污染天气</w:t>
                  </w:r>
                </w:p>
              </w:tc>
              <w:tc>
                <w:tcPr>
                  <w:tcW w:w="2250" w:type="pct"/>
                  <w:vAlign w:val="center"/>
                </w:tcPr>
                <w:p w14:paraId="1E4FD48B">
                  <w:pPr>
                    <w:pStyle w:val="69"/>
                    <w:jc w:val="left"/>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不涉及</w:t>
                  </w:r>
                </w:p>
              </w:tc>
              <w:tc>
                <w:tcPr>
                  <w:tcW w:w="636" w:type="pct"/>
                  <w:vAlign w:val="center"/>
                </w:tcPr>
                <w:p w14:paraId="7C2C0EBC">
                  <w:pPr>
                    <w:pStyle w:val="69"/>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符合</w:t>
                  </w:r>
                </w:p>
              </w:tc>
            </w:tr>
          </w:tbl>
          <w:p w14:paraId="16EB9280">
            <w:pPr>
              <w:pStyle w:val="34"/>
              <w:rPr>
                <w:rFonts w:hint="default" w:ascii="Times New Roman" w:hAnsi="Times New Roman" w:cs="Times New Roman"/>
                <w:color w:val="000000" w:themeColor="text1"/>
                <w:highlight w:val="none"/>
                <w14:textFill>
                  <w14:solidFill>
                    <w14:schemeClr w14:val="tx1"/>
                  </w14:solidFill>
                </w14:textFill>
              </w:rPr>
            </w:pPr>
          </w:p>
          <w:p w14:paraId="5BDD4899">
            <w:pPr>
              <w:pStyle w:val="68"/>
              <w:ind w:firstLine="48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综上分析，项目建设符合《辽宁省人民政府关于印发&lt;辽宁省打赢蓝天保卫战三年行动方案（2018-2020年）&gt;的通知》（辽政发[2018]31号）中相关要求。</w:t>
            </w:r>
          </w:p>
          <w:p w14:paraId="0A6CA12F">
            <w:pPr>
              <w:numPr>
                <w:ilvl w:val="0"/>
                <w:numId w:val="1"/>
              </w:numPr>
              <w:autoSpaceDE w:val="0"/>
              <w:autoSpaceDN w:val="0"/>
              <w:adjustRightInd w:val="0"/>
              <w:snapToGrid w:val="0"/>
              <w:spacing w:line="360" w:lineRule="auto"/>
              <w:rPr>
                <w:rFonts w:hint="default" w:ascii="Times New Roman" w:hAnsi="Times New Roman" w:cs="Times New Roman"/>
                <w:color w:val="000000" w:themeColor="text1"/>
                <w:kern w:val="0"/>
                <w:sz w:val="32"/>
                <w:highlight w:val="none"/>
                <w14:textFill>
                  <w14:solidFill>
                    <w14:schemeClr w14:val="tx1"/>
                  </w14:solidFill>
                </w14:textFill>
              </w:rPr>
            </w:pPr>
            <w:r>
              <w:rPr>
                <w:rFonts w:hint="default" w:ascii="Times New Roman" w:hAnsi="Times New Roman" w:cs="Times New Roman"/>
                <w:b/>
                <w:bCs/>
                <w:color w:val="000000" w:themeColor="text1"/>
                <w:sz w:val="24"/>
                <w:szCs w:val="21"/>
                <w:highlight w:val="none"/>
                <w14:textFill>
                  <w14:solidFill>
                    <w14:schemeClr w14:val="tx1"/>
                  </w14:solidFill>
                </w14:textFill>
              </w:rPr>
              <w:t>有关“两高”项目的说明分析</w:t>
            </w:r>
          </w:p>
          <w:p w14:paraId="73534C0E">
            <w:pPr>
              <w:pStyle w:val="68"/>
              <w:ind w:firstLine="48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根据生态环境部发布的《关于加强高耗能、高排放建设项目生态环境源头防控的指导意见》（环环评〔2021〕45号），以及辽宁省人民政府办公厅发布的《关于加强全省高耗能、高排放项目准入管理的意见》（辽政办发[2021]6号），“两高”项目指高耗能、高排放的项目，具体如下：</w:t>
            </w:r>
          </w:p>
          <w:p w14:paraId="2E7E7ED1">
            <w:pPr>
              <w:pStyle w:val="68"/>
              <w:spacing w:line="240" w:lineRule="auto"/>
              <w:ind w:firstLine="0" w:firstLineChars="0"/>
              <w:jc w:val="center"/>
              <w:rPr>
                <w:rFonts w:hint="default" w:ascii="Times New Roman" w:hAnsi="Times New Roman" w:cs="Times New Roman"/>
                <w:b/>
                <w:bCs w:val="0"/>
                <w:color w:val="000000" w:themeColor="text1"/>
                <w:sz w:val="21"/>
                <w:szCs w:val="18"/>
                <w:highlight w:val="none"/>
                <w14:textFill>
                  <w14:solidFill>
                    <w14:schemeClr w14:val="tx1"/>
                  </w14:solidFill>
                </w14:textFill>
              </w:rPr>
            </w:pPr>
            <w:r>
              <w:rPr>
                <w:rFonts w:hint="default" w:ascii="Times New Roman" w:hAnsi="Times New Roman" w:cs="Times New Roman"/>
                <w:b/>
                <w:bCs w:val="0"/>
                <w:color w:val="000000" w:themeColor="text1"/>
                <w:sz w:val="21"/>
                <w:szCs w:val="18"/>
                <w:highlight w:val="none"/>
                <w14:textFill>
                  <w14:solidFill>
                    <w14:schemeClr w14:val="tx1"/>
                  </w14:solidFill>
                </w14:textFill>
              </w:rPr>
              <w:t>表1-</w:t>
            </w:r>
            <w:r>
              <w:rPr>
                <w:rFonts w:hint="eastAsia" w:cs="Times New Roman"/>
                <w:b/>
                <w:bCs w:val="0"/>
                <w:color w:val="000000" w:themeColor="text1"/>
                <w:sz w:val="21"/>
                <w:szCs w:val="18"/>
                <w:highlight w:val="none"/>
                <w:lang w:val="en-US" w:eastAsia="zh-CN"/>
                <w14:textFill>
                  <w14:solidFill>
                    <w14:schemeClr w14:val="tx1"/>
                  </w14:solidFill>
                </w14:textFill>
              </w:rPr>
              <w:t>7</w:t>
            </w:r>
            <w:r>
              <w:rPr>
                <w:rFonts w:hint="default" w:ascii="Times New Roman" w:hAnsi="Times New Roman" w:cs="Times New Roman"/>
                <w:b/>
                <w:bCs w:val="0"/>
                <w:color w:val="000000" w:themeColor="text1"/>
                <w:sz w:val="21"/>
                <w:szCs w:val="18"/>
                <w:highlight w:val="none"/>
                <w14:textFill>
                  <w14:solidFill>
                    <w14:schemeClr w14:val="tx1"/>
                  </w14:solidFill>
                </w14:textFill>
              </w:rPr>
              <w:t xml:space="preserve">  “两高”项目清单</w:t>
            </w:r>
          </w:p>
          <w:tbl>
            <w:tblPr>
              <w:tblStyle w:val="28"/>
              <w:tblW w:w="6927" w:type="dxa"/>
              <w:tblInd w:w="5" w:type="dxa"/>
              <w:tblBorders>
                <w:top w:val="double" w:color="auto" w:sz="4" w:space="0"/>
                <w:left w:val="none" w:color="auto" w:sz="0" w:space="0"/>
                <w:bottom w:val="doub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691"/>
              <w:gridCol w:w="876"/>
              <w:gridCol w:w="1296"/>
              <w:gridCol w:w="864"/>
              <w:gridCol w:w="3200"/>
            </w:tblGrid>
            <w:tr w14:paraId="5B931FBB">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691" w:type="dxa"/>
                  <w:tcBorders>
                    <w:tl2br w:val="nil"/>
                    <w:tr2bl w:val="nil"/>
                  </w:tcBorders>
                  <w:vAlign w:val="center"/>
                </w:tcPr>
                <w:p w14:paraId="72257975">
                  <w:pPr>
                    <w:pStyle w:val="68"/>
                    <w:spacing w:line="240" w:lineRule="auto"/>
                    <w:ind w:firstLine="0" w:firstLineChars="0"/>
                    <w:jc w:val="center"/>
                    <w:rPr>
                      <w:rFonts w:hint="default" w:ascii="Times New Roman" w:hAnsi="Times New Roman" w:cs="Times New Roman"/>
                      <w:color w:val="000000" w:themeColor="text1"/>
                      <w:sz w:val="21"/>
                      <w:highlight w:val="none"/>
                      <w14:textFill>
                        <w14:solidFill>
                          <w14:schemeClr w14:val="tx1"/>
                        </w14:solidFill>
                      </w14:textFill>
                    </w:rPr>
                  </w:pPr>
                  <w:r>
                    <w:rPr>
                      <w:rFonts w:hint="default" w:ascii="Times New Roman" w:hAnsi="Times New Roman" w:cs="Times New Roman"/>
                      <w:color w:val="000000" w:themeColor="text1"/>
                      <w:sz w:val="21"/>
                      <w:highlight w:val="none"/>
                      <w14:textFill>
                        <w14:solidFill>
                          <w14:schemeClr w14:val="tx1"/>
                        </w14:solidFill>
                      </w14:textFill>
                    </w:rPr>
                    <w:t>序号</w:t>
                  </w:r>
                </w:p>
              </w:tc>
              <w:tc>
                <w:tcPr>
                  <w:tcW w:w="876" w:type="dxa"/>
                  <w:tcBorders>
                    <w:tl2br w:val="nil"/>
                    <w:tr2bl w:val="nil"/>
                  </w:tcBorders>
                  <w:vAlign w:val="center"/>
                </w:tcPr>
                <w:p w14:paraId="29F4B2E1">
                  <w:pPr>
                    <w:pStyle w:val="68"/>
                    <w:spacing w:line="240" w:lineRule="auto"/>
                    <w:ind w:firstLine="0" w:firstLineChars="0"/>
                    <w:jc w:val="center"/>
                    <w:rPr>
                      <w:rFonts w:hint="default" w:ascii="Times New Roman" w:hAnsi="Times New Roman" w:cs="Times New Roman"/>
                      <w:color w:val="000000" w:themeColor="text1"/>
                      <w:sz w:val="21"/>
                      <w:highlight w:val="none"/>
                      <w14:textFill>
                        <w14:solidFill>
                          <w14:schemeClr w14:val="tx1"/>
                        </w14:solidFill>
                      </w14:textFill>
                    </w:rPr>
                  </w:pPr>
                  <w:r>
                    <w:rPr>
                      <w:rFonts w:hint="default" w:ascii="Times New Roman" w:hAnsi="Times New Roman" w:cs="Times New Roman"/>
                      <w:color w:val="000000" w:themeColor="text1"/>
                      <w:sz w:val="21"/>
                      <w:highlight w:val="none"/>
                      <w14:textFill>
                        <w14:solidFill>
                          <w14:schemeClr w14:val="tx1"/>
                        </w14:solidFill>
                      </w14:textFill>
                    </w:rPr>
                    <w:t>产业分类名称</w:t>
                  </w:r>
                </w:p>
              </w:tc>
              <w:tc>
                <w:tcPr>
                  <w:tcW w:w="1296" w:type="dxa"/>
                  <w:tcBorders>
                    <w:tl2br w:val="nil"/>
                    <w:tr2bl w:val="nil"/>
                  </w:tcBorders>
                  <w:vAlign w:val="center"/>
                </w:tcPr>
                <w:p w14:paraId="3DFA9929">
                  <w:pPr>
                    <w:pStyle w:val="68"/>
                    <w:spacing w:line="240" w:lineRule="auto"/>
                    <w:ind w:firstLine="0" w:firstLineChars="0"/>
                    <w:jc w:val="center"/>
                    <w:rPr>
                      <w:rFonts w:hint="default" w:ascii="Times New Roman" w:hAnsi="Times New Roman" w:cs="Times New Roman"/>
                      <w:color w:val="000000" w:themeColor="text1"/>
                      <w:sz w:val="21"/>
                      <w:highlight w:val="none"/>
                      <w14:textFill>
                        <w14:solidFill>
                          <w14:schemeClr w14:val="tx1"/>
                        </w14:solidFill>
                      </w14:textFill>
                    </w:rPr>
                  </w:pPr>
                  <w:r>
                    <w:rPr>
                      <w:rFonts w:hint="default" w:ascii="Times New Roman" w:hAnsi="Times New Roman" w:cs="Times New Roman"/>
                      <w:color w:val="000000" w:themeColor="text1"/>
                      <w:sz w:val="21"/>
                      <w:highlight w:val="none"/>
                      <w14:textFill>
                        <w14:solidFill>
                          <w14:schemeClr w14:val="tx1"/>
                        </w14:solidFill>
                      </w14:textFill>
                    </w:rPr>
                    <w:t>国民经济行业分类名称</w:t>
                  </w:r>
                </w:p>
              </w:tc>
              <w:tc>
                <w:tcPr>
                  <w:tcW w:w="864" w:type="dxa"/>
                  <w:tcBorders>
                    <w:tl2br w:val="nil"/>
                    <w:tr2bl w:val="nil"/>
                  </w:tcBorders>
                  <w:vAlign w:val="center"/>
                </w:tcPr>
                <w:p w14:paraId="2C359889">
                  <w:pPr>
                    <w:pStyle w:val="68"/>
                    <w:spacing w:line="240" w:lineRule="auto"/>
                    <w:ind w:firstLine="0" w:firstLineChars="0"/>
                    <w:jc w:val="center"/>
                    <w:rPr>
                      <w:rFonts w:hint="default" w:ascii="Times New Roman" w:hAnsi="Times New Roman" w:cs="Times New Roman"/>
                      <w:color w:val="000000" w:themeColor="text1"/>
                      <w:sz w:val="21"/>
                      <w:highlight w:val="none"/>
                      <w14:textFill>
                        <w14:solidFill>
                          <w14:schemeClr w14:val="tx1"/>
                        </w14:solidFill>
                      </w14:textFill>
                    </w:rPr>
                  </w:pPr>
                  <w:r>
                    <w:rPr>
                      <w:rFonts w:hint="default" w:ascii="Times New Roman" w:hAnsi="Times New Roman" w:cs="Times New Roman"/>
                      <w:color w:val="000000" w:themeColor="text1"/>
                      <w:sz w:val="21"/>
                      <w:highlight w:val="none"/>
                      <w14:textFill>
                        <w14:solidFill>
                          <w14:schemeClr w14:val="tx1"/>
                        </w14:solidFill>
                      </w14:textFill>
                    </w:rPr>
                    <w:t>行业小类代码</w:t>
                  </w:r>
                </w:p>
              </w:tc>
              <w:tc>
                <w:tcPr>
                  <w:tcW w:w="3200" w:type="dxa"/>
                  <w:tcBorders>
                    <w:tl2br w:val="nil"/>
                    <w:tr2bl w:val="nil"/>
                  </w:tcBorders>
                  <w:vAlign w:val="center"/>
                </w:tcPr>
                <w:p w14:paraId="7AC71724">
                  <w:pPr>
                    <w:pStyle w:val="68"/>
                    <w:spacing w:line="240" w:lineRule="auto"/>
                    <w:ind w:firstLine="0" w:firstLineChars="0"/>
                    <w:jc w:val="center"/>
                    <w:rPr>
                      <w:rFonts w:hint="default" w:ascii="Times New Roman" w:hAnsi="Times New Roman" w:cs="Times New Roman"/>
                      <w:color w:val="000000" w:themeColor="text1"/>
                      <w:sz w:val="21"/>
                      <w:highlight w:val="none"/>
                      <w14:textFill>
                        <w14:solidFill>
                          <w14:schemeClr w14:val="tx1"/>
                        </w14:solidFill>
                      </w14:textFill>
                    </w:rPr>
                  </w:pPr>
                  <w:r>
                    <w:rPr>
                      <w:rFonts w:hint="default" w:ascii="Times New Roman" w:hAnsi="Times New Roman" w:cs="Times New Roman"/>
                      <w:color w:val="000000" w:themeColor="text1"/>
                      <w:sz w:val="21"/>
                      <w:highlight w:val="none"/>
                      <w14:textFill>
                        <w14:solidFill>
                          <w14:schemeClr w14:val="tx1"/>
                        </w14:solidFill>
                      </w14:textFill>
                    </w:rPr>
                    <w:t>包含内容</w:t>
                  </w:r>
                </w:p>
              </w:tc>
            </w:tr>
            <w:tr w14:paraId="674B64FC">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691" w:type="dxa"/>
                  <w:vMerge w:val="restart"/>
                  <w:tcBorders>
                    <w:tl2br w:val="nil"/>
                    <w:tr2bl w:val="nil"/>
                  </w:tcBorders>
                  <w:vAlign w:val="center"/>
                </w:tcPr>
                <w:p w14:paraId="0B548691">
                  <w:pPr>
                    <w:pStyle w:val="68"/>
                    <w:spacing w:line="240" w:lineRule="auto"/>
                    <w:ind w:firstLine="0" w:firstLineChars="0"/>
                    <w:jc w:val="center"/>
                    <w:rPr>
                      <w:rFonts w:hint="default" w:ascii="Times New Roman" w:hAnsi="Times New Roman" w:cs="Times New Roman"/>
                      <w:color w:val="000000" w:themeColor="text1"/>
                      <w:sz w:val="21"/>
                      <w:highlight w:val="none"/>
                      <w14:textFill>
                        <w14:solidFill>
                          <w14:schemeClr w14:val="tx1"/>
                        </w14:solidFill>
                      </w14:textFill>
                    </w:rPr>
                  </w:pPr>
                  <w:r>
                    <w:rPr>
                      <w:rFonts w:hint="default" w:ascii="Times New Roman" w:hAnsi="Times New Roman" w:cs="Times New Roman"/>
                      <w:color w:val="000000" w:themeColor="text1"/>
                      <w:sz w:val="21"/>
                      <w:highlight w:val="none"/>
                      <w14:textFill>
                        <w14:solidFill>
                          <w14:schemeClr w14:val="tx1"/>
                        </w14:solidFill>
                      </w14:textFill>
                    </w:rPr>
                    <w:t>1</w:t>
                  </w:r>
                </w:p>
              </w:tc>
              <w:tc>
                <w:tcPr>
                  <w:tcW w:w="876" w:type="dxa"/>
                  <w:vMerge w:val="restart"/>
                  <w:tcBorders>
                    <w:tl2br w:val="nil"/>
                    <w:tr2bl w:val="nil"/>
                  </w:tcBorders>
                  <w:vAlign w:val="center"/>
                </w:tcPr>
                <w:p w14:paraId="725EEA09">
                  <w:pPr>
                    <w:pStyle w:val="68"/>
                    <w:spacing w:line="240" w:lineRule="auto"/>
                    <w:ind w:firstLine="0" w:firstLineChars="0"/>
                    <w:jc w:val="center"/>
                    <w:rPr>
                      <w:rFonts w:hint="default" w:ascii="Times New Roman" w:hAnsi="Times New Roman" w:cs="Times New Roman"/>
                      <w:color w:val="000000" w:themeColor="text1"/>
                      <w:sz w:val="21"/>
                      <w:highlight w:val="none"/>
                      <w14:textFill>
                        <w14:solidFill>
                          <w14:schemeClr w14:val="tx1"/>
                        </w14:solidFill>
                      </w14:textFill>
                    </w:rPr>
                  </w:pPr>
                  <w:r>
                    <w:rPr>
                      <w:rFonts w:hint="default" w:ascii="Times New Roman" w:hAnsi="Times New Roman" w:cs="Times New Roman"/>
                      <w:color w:val="000000" w:themeColor="text1"/>
                      <w:sz w:val="21"/>
                      <w:highlight w:val="none"/>
                      <w14:textFill>
                        <w14:solidFill>
                          <w14:schemeClr w14:val="tx1"/>
                        </w14:solidFill>
                      </w14:textFill>
                    </w:rPr>
                    <w:t>钢铁</w:t>
                  </w:r>
                </w:p>
              </w:tc>
              <w:tc>
                <w:tcPr>
                  <w:tcW w:w="1296" w:type="dxa"/>
                  <w:tcBorders>
                    <w:tl2br w:val="nil"/>
                    <w:tr2bl w:val="nil"/>
                  </w:tcBorders>
                  <w:vAlign w:val="center"/>
                </w:tcPr>
                <w:p w14:paraId="3BE1BF23">
                  <w:pPr>
                    <w:pStyle w:val="68"/>
                    <w:spacing w:line="240" w:lineRule="auto"/>
                    <w:ind w:firstLine="0" w:firstLineChars="0"/>
                    <w:jc w:val="center"/>
                    <w:rPr>
                      <w:rFonts w:hint="default" w:ascii="Times New Roman" w:hAnsi="Times New Roman" w:cs="Times New Roman"/>
                      <w:color w:val="000000" w:themeColor="text1"/>
                      <w:sz w:val="21"/>
                      <w:highlight w:val="none"/>
                      <w14:textFill>
                        <w14:solidFill>
                          <w14:schemeClr w14:val="tx1"/>
                        </w14:solidFill>
                      </w14:textFill>
                    </w:rPr>
                  </w:pPr>
                  <w:r>
                    <w:rPr>
                      <w:rFonts w:hint="default" w:ascii="Times New Roman" w:hAnsi="Times New Roman" w:cs="Times New Roman"/>
                      <w:color w:val="000000" w:themeColor="text1"/>
                      <w:sz w:val="21"/>
                      <w:highlight w:val="none"/>
                      <w14:textFill>
                        <w14:solidFill>
                          <w14:schemeClr w14:val="tx1"/>
                        </w14:solidFill>
                      </w14:textFill>
                    </w:rPr>
                    <w:t>炼铁</w:t>
                  </w:r>
                </w:p>
              </w:tc>
              <w:tc>
                <w:tcPr>
                  <w:tcW w:w="864" w:type="dxa"/>
                  <w:tcBorders>
                    <w:tl2br w:val="nil"/>
                    <w:tr2bl w:val="nil"/>
                  </w:tcBorders>
                  <w:vAlign w:val="center"/>
                </w:tcPr>
                <w:p w14:paraId="55F45BF5">
                  <w:pPr>
                    <w:pStyle w:val="68"/>
                    <w:spacing w:line="240" w:lineRule="auto"/>
                    <w:ind w:firstLine="0" w:firstLineChars="0"/>
                    <w:jc w:val="center"/>
                    <w:rPr>
                      <w:rFonts w:hint="default" w:ascii="Times New Roman" w:hAnsi="Times New Roman" w:cs="Times New Roman"/>
                      <w:color w:val="000000" w:themeColor="text1"/>
                      <w:sz w:val="21"/>
                      <w:highlight w:val="none"/>
                      <w14:textFill>
                        <w14:solidFill>
                          <w14:schemeClr w14:val="tx1"/>
                        </w14:solidFill>
                      </w14:textFill>
                    </w:rPr>
                  </w:pPr>
                  <w:r>
                    <w:rPr>
                      <w:rFonts w:hint="default" w:ascii="Times New Roman" w:hAnsi="Times New Roman" w:cs="Times New Roman"/>
                      <w:color w:val="000000" w:themeColor="text1"/>
                      <w:sz w:val="21"/>
                      <w:highlight w:val="none"/>
                      <w14:textFill>
                        <w14:solidFill>
                          <w14:schemeClr w14:val="tx1"/>
                        </w14:solidFill>
                      </w14:textFill>
                    </w:rPr>
                    <w:t>3110</w:t>
                  </w:r>
                </w:p>
              </w:tc>
              <w:tc>
                <w:tcPr>
                  <w:tcW w:w="3200" w:type="dxa"/>
                  <w:tcBorders>
                    <w:tl2br w:val="nil"/>
                    <w:tr2bl w:val="nil"/>
                  </w:tcBorders>
                  <w:vAlign w:val="center"/>
                </w:tcPr>
                <w:p w14:paraId="76D96769">
                  <w:pPr>
                    <w:pStyle w:val="68"/>
                    <w:spacing w:line="240" w:lineRule="auto"/>
                    <w:ind w:firstLine="0" w:firstLineChars="0"/>
                    <w:jc w:val="center"/>
                    <w:rPr>
                      <w:rFonts w:hint="default" w:ascii="Times New Roman" w:hAnsi="Times New Roman" w:cs="Times New Roman"/>
                      <w:color w:val="000000" w:themeColor="text1"/>
                      <w:sz w:val="21"/>
                      <w:highlight w:val="none"/>
                      <w14:textFill>
                        <w14:solidFill>
                          <w14:schemeClr w14:val="tx1"/>
                        </w14:solidFill>
                      </w14:textFill>
                    </w:rPr>
                  </w:pPr>
                  <w:r>
                    <w:rPr>
                      <w:rFonts w:hint="default" w:ascii="Times New Roman" w:hAnsi="Times New Roman" w:cs="Times New Roman"/>
                      <w:color w:val="000000" w:themeColor="text1"/>
                      <w:sz w:val="21"/>
                      <w:highlight w:val="none"/>
                      <w14:textFill>
                        <w14:solidFill>
                          <w14:schemeClr w14:val="tx1"/>
                        </w14:solidFill>
                      </w14:textFill>
                    </w:rPr>
                    <w:t>炼钢用高炉生铁，直接还原铁、 熔融还原铁等</w:t>
                  </w:r>
                </w:p>
              </w:tc>
            </w:tr>
            <w:tr w14:paraId="25755F4B">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691" w:type="dxa"/>
                  <w:vMerge w:val="continue"/>
                  <w:tcBorders>
                    <w:tl2br w:val="nil"/>
                    <w:tr2bl w:val="nil"/>
                  </w:tcBorders>
                  <w:vAlign w:val="center"/>
                </w:tcPr>
                <w:p w14:paraId="22081076">
                  <w:pPr>
                    <w:pStyle w:val="68"/>
                    <w:spacing w:line="240" w:lineRule="auto"/>
                    <w:ind w:firstLine="0" w:firstLineChars="0"/>
                    <w:jc w:val="center"/>
                    <w:rPr>
                      <w:rFonts w:hint="default" w:ascii="Times New Roman" w:hAnsi="Times New Roman" w:cs="Times New Roman"/>
                      <w:color w:val="000000" w:themeColor="text1"/>
                      <w:sz w:val="21"/>
                      <w:highlight w:val="none"/>
                      <w14:textFill>
                        <w14:solidFill>
                          <w14:schemeClr w14:val="tx1"/>
                        </w14:solidFill>
                      </w14:textFill>
                    </w:rPr>
                  </w:pPr>
                </w:p>
              </w:tc>
              <w:tc>
                <w:tcPr>
                  <w:tcW w:w="876" w:type="dxa"/>
                  <w:vMerge w:val="continue"/>
                  <w:tcBorders>
                    <w:tl2br w:val="nil"/>
                    <w:tr2bl w:val="nil"/>
                  </w:tcBorders>
                  <w:vAlign w:val="center"/>
                </w:tcPr>
                <w:p w14:paraId="7407965B">
                  <w:pPr>
                    <w:pStyle w:val="68"/>
                    <w:spacing w:line="240" w:lineRule="auto"/>
                    <w:ind w:firstLine="0" w:firstLineChars="0"/>
                    <w:jc w:val="center"/>
                    <w:rPr>
                      <w:rFonts w:hint="default" w:ascii="Times New Roman" w:hAnsi="Times New Roman" w:cs="Times New Roman"/>
                      <w:color w:val="000000" w:themeColor="text1"/>
                      <w:sz w:val="21"/>
                      <w:highlight w:val="none"/>
                      <w14:textFill>
                        <w14:solidFill>
                          <w14:schemeClr w14:val="tx1"/>
                        </w14:solidFill>
                      </w14:textFill>
                    </w:rPr>
                  </w:pPr>
                </w:p>
              </w:tc>
              <w:tc>
                <w:tcPr>
                  <w:tcW w:w="1296" w:type="dxa"/>
                  <w:tcBorders>
                    <w:tl2br w:val="nil"/>
                    <w:tr2bl w:val="nil"/>
                  </w:tcBorders>
                  <w:vAlign w:val="center"/>
                </w:tcPr>
                <w:p w14:paraId="6812E3C5">
                  <w:pPr>
                    <w:pStyle w:val="68"/>
                    <w:spacing w:line="240" w:lineRule="auto"/>
                    <w:ind w:firstLine="0" w:firstLineChars="0"/>
                    <w:jc w:val="center"/>
                    <w:rPr>
                      <w:rFonts w:hint="default" w:ascii="Times New Roman" w:hAnsi="Times New Roman" w:cs="Times New Roman"/>
                      <w:color w:val="000000" w:themeColor="text1"/>
                      <w:sz w:val="21"/>
                      <w:highlight w:val="none"/>
                      <w14:textFill>
                        <w14:solidFill>
                          <w14:schemeClr w14:val="tx1"/>
                        </w14:solidFill>
                      </w14:textFill>
                    </w:rPr>
                  </w:pPr>
                  <w:r>
                    <w:rPr>
                      <w:rFonts w:hint="default" w:ascii="Times New Roman" w:hAnsi="Times New Roman" w:cs="Times New Roman"/>
                      <w:color w:val="000000" w:themeColor="text1"/>
                      <w:sz w:val="21"/>
                      <w:highlight w:val="none"/>
                      <w14:textFill>
                        <w14:solidFill>
                          <w14:schemeClr w14:val="tx1"/>
                        </w14:solidFill>
                      </w14:textFill>
                    </w:rPr>
                    <w:t>炼钢</w:t>
                  </w:r>
                </w:p>
              </w:tc>
              <w:tc>
                <w:tcPr>
                  <w:tcW w:w="864" w:type="dxa"/>
                  <w:tcBorders>
                    <w:tl2br w:val="nil"/>
                    <w:tr2bl w:val="nil"/>
                  </w:tcBorders>
                  <w:vAlign w:val="center"/>
                </w:tcPr>
                <w:p w14:paraId="5A81FF47">
                  <w:pPr>
                    <w:pStyle w:val="68"/>
                    <w:spacing w:line="240" w:lineRule="auto"/>
                    <w:ind w:firstLine="0" w:firstLineChars="0"/>
                    <w:jc w:val="center"/>
                    <w:rPr>
                      <w:rFonts w:hint="default" w:ascii="Times New Roman" w:hAnsi="Times New Roman" w:cs="Times New Roman"/>
                      <w:color w:val="000000" w:themeColor="text1"/>
                      <w:sz w:val="21"/>
                      <w:highlight w:val="none"/>
                      <w14:textFill>
                        <w14:solidFill>
                          <w14:schemeClr w14:val="tx1"/>
                        </w14:solidFill>
                      </w14:textFill>
                    </w:rPr>
                  </w:pPr>
                  <w:r>
                    <w:rPr>
                      <w:rFonts w:hint="default" w:ascii="Times New Roman" w:hAnsi="Times New Roman" w:cs="Times New Roman"/>
                      <w:color w:val="000000" w:themeColor="text1"/>
                      <w:sz w:val="21"/>
                      <w:highlight w:val="none"/>
                      <w14:textFill>
                        <w14:solidFill>
                          <w14:schemeClr w14:val="tx1"/>
                        </w14:solidFill>
                      </w14:textFill>
                    </w:rPr>
                    <w:t>3120</w:t>
                  </w:r>
                </w:p>
              </w:tc>
              <w:tc>
                <w:tcPr>
                  <w:tcW w:w="3200" w:type="dxa"/>
                  <w:tcBorders>
                    <w:tl2br w:val="nil"/>
                    <w:tr2bl w:val="nil"/>
                  </w:tcBorders>
                  <w:vAlign w:val="center"/>
                </w:tcPr>
                <w:p w14:paraId="42AAE88B">
                  <w:pPr>
                    <w:pStyle w:val="68"/>
                    <w:spacing w:line="240" w:lineRule="auto"/>
                    <w:ind w:firstLine="0" w:firstLineChars="0"/>
                    <w:jc w:val="center"/>
                    <w:rPr>
                      <w:rFonts w:hint="default" w:ascii="Times New Roman" w:hAnsi="Times New Roman" w:cs="Times New Roman"/>
                      <w:color w:val="000000" w:themeColor="text1"/>
                      <w:sz w:val="21"/>
                      <w:highlight w:val="none"/>
                      <w14:textFill>
                        <w14:solidFill>
                          <w14:schemeClr w14:val="tx1"/>
                        </w14:solidFill>
                      </w14:textFill>
                    </w:rPr>
                  </w:pPr>
                  <w:r>
                    <w:rPr>
                      <w:rFonts w:hint="default" w:ascii="Times New Roman" w:hAnsi="Times New Roman" w:cs="Times New Roman"/>
                      <w:color w:val="000000" w:themeColor="text1"/>
                      <w:sz w:val="21"/>
                      <w:highlight w:val="none"/>
                      <w14:textFill>
                        <w14:solidFill>
                          <w14:schemeClr w14:val="tx1"/>
                        </w14:solidFill>
                      </w14:textFill>
                    </w:rPr>
                    <w:t>非合金钢粗钢，低合金钢粗 钢，合金钢粗钢</w:t>
                  </w:r>
                </w:p>
              </w:tc>
            </w:tr>
            <w:tr w14:paraId="74EB5B03">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691" w:type="dxa"/>
                  <w:tcBorders>
                    <w:tl2br w:val="nil"/>
                    <w:tr2bl w:val="nil"/>
                  </w:tcBorders>
                  <w:vAlign w:val="center"/>
                </w:tcPr>
                <w:p w14:paraId="21222588">
                  <w:pPr>
                    <w:pStyle w:val="68"/>
                    <w:spacing w:line="240" w:lineRule="auto"/>
                    <w:ind w:firstLine="0" w:firstLineChars="0"/>
                    <w:jc w:val="center"/>
                    <w:rPr>
                      <w:rFonts w:hint="default" w:ascii="Times New Roman" w:hAnsi="Times New Roman" w:cs="Times New Roman"/>
                      <w:color w:val="000000" w:themeColor="text1"/>
                      <w:sz w:val="21"/>
                      <w:highlight w:val="none"/>
                      <w14:textFill>
                        <w14:solidFill>
                          <w14:schemeClr w14:val="tx1"/>
                        </w14:solidFill>
                      </w14:textFill>
                    </w:rPr>
                  </w:pPr>
                  <w:r>
                    <w:rPr>
                      <w:rFonts w:hint="default" w:ascii="Times New Roman" w:hAnsi="Times New Roman" w:cs="Times New Roman"/>
                      <w:color w:val="000000" w:themeColor="text1"/>
                      <w:sz w:val="21"/>
                      <w:highlight w:val="none"/>
                      <w14:textFill>
                        <w14:solidFill>
                          <w14:schemeClr w14:val="tx1"/>
                        </w14:solidFill>
                      </w14:textFill>
                    </w:rPr>
                    <w:t>2</w:t>
                  </w:r>
                </w:p>
              </w:tc>
              <w:tc>
                <w:tcPr>
                  <w:tcW w:w="876" w:type="dxa"/>
                  <w:tcBorders>
                    <w:tl2br w:val="nil"/>
                    <w:tr2bl w:val="nil"/>
                  </w:tcBorders>
                  <w:vAlign w:val="center"/>
                </w:tcPr>
                <w:p w14:paraId="4F3B7054">
                  <w:pPr>
                    <w:pStyle w:val="68"/>
                    <w:spacing w:line="240" w:lineRule="auto"/>
                    <w:ind w:firstLine="0" w:firstLineChars="0"/>
                    <w:jc w:val="center"/>
                    <w:rPr>
                      <w:rFonts w:hint="default" w:ascii="Times New Roman" w:hAnsi="Times New Roman" w:cs="Times New Roman"/>
                      <w:color w:val="000000" w:themeColor="text1"/>
                      <w:sz w:val="21"/>
                      <w:highlight w:val="none"/>
                      <w14:textFill>
                        <w14:solidFill>
                          <w14:schemeClr w14:val="tx1"/>
                        </w14:solidFill>
                      </w14:textFill>
                    </w:rPr>
                  </w:pPr>
                  <w:r>
                    <w:rPr>
                      <w:rFonts w:hint="default" w:ascii="Times New Roman" w:hAnsi="Times New Roman" w:cs="Times New Roman"/>
                      <w:color w:val="000000" w:themeColor="text1"/>
                      <w:sz w:val="21"/>
                      <w:highlight w:val="none"/>
                      <w14:textFill>
                        <w14:solidFill>
                          <w14:schemeClr w14:val="tx1"/>
                        </w14:solidFill>
                      </w14:textFill>
                    </w:rPr>
                    <w:t>铁合金</w:t>
                  </w:r>
                </w:p>
              </w:tc>
              <w:tc>
                <w:tcPr>
                  <w:tcW w:w="1296" w:type="dxa"/>
                  <w:tcBorders>
                    <w:tl2br w:val="nil"/>
                    <w:tr2bl w:val="nil"/>
                  </w:tcBorders>
                  <w:vAlign w:val="center"/>
                </w:tcPr>
                <w:p w14:paraId="3EA5359E">
                  <w:pPr>
                    <w:pStyle w:val="68"/>
                    <w:spacing w:line="240" w:lineRule="auto"/>
                    <w:ind w:firstLine="0" w:firstLineChars="0"/>
                    <w:jc w:val="center"/>
                    <w:rPr>
                      <w:rFonts w:hint="default" w:ascii="Times New Roman" w:hAnsi="Times New Roman" w:cs="Times New Roman"/>
                      <w:color w:val="000000" w:themeColor="text1"/>
                      <w:sz w:val="21"/>
                      <w:highlight w:val="none"/>
                      <w14:textFill>
                        <w14:solidFill>
                          <w14:schemeClr w14:val="tx1"/>
                        </w14:solidFill>
                      </w14:textFill>
                    </w:rPr>
                  </w:pPr>
                  <w:r>
                    <w:rPr>
                      <w:rFonts w:hint="default" w:ascii="Times New Roman" w:hAnsi="Times New Roman" w:cs="Times New Roman"/>
                      <w:color w:val="000000" w:themeColor="text1"/>
                      <w:sz w:val="21"/>
                      <w:highlight w:val="none"/>
                      <w14:textFill>
                        <w14:solidFill>
                          <w14:schemeClr w14:val="tx1"/>
                        </w14:solidFill>
                      </w14:textFill>
                    </w:rPr>
                    <w:t>铁合金冶炼</w:t>
                  </w:r>
                </w:p>
              </w:tc>
              <w:tc>
                <w:tcPr>
                  <w:tcW w:w="864" w:type="dxa"/>
                  <w:tcBorders>
                    <w:tl2br w:val="nil"/>
                    <w:tr2bl w:val="nil"/>
                  </w:tcBorders>
                  <w:vAlign w:val="center"/>
                </w:tcPr>
                <w:p w14:paraId="41B46696">
                  <w:pPr>
                    <w:pStyle w:val="68"/>
                    <w:spacing w:line="240" w:lineRule="auto"/>
                    <w:ind w:firstLine="0" w:firstLineChars="0"/>
                    <w:jc w:val="center"/>
                    <w:rPr>
                      <w:rFonts w:hint="default" w:ascii="Times New Roman" w:hAnsi="Times New Roman" w:cs="Times New Roman"/>
                      <w:color w:val="000000" w:themeColor="text1"/>
                      <w:sz w:val="21"/>
                      <w:highlight w:val="none"/>
                      <w14:textFill>
                        <w14:solidFill>
                          <w14:schemeClr w14:val="tx1"/>
                        </w14:solidFill>
                      </w14:textFill>
                    </w:rPr>
                  </w:pPr>
                  <w:r>
                    <w:rPr>
                      <w:rFonts w:hint="default" w:ascii="Times New Roman" w:hAnsi="Times New Roman" w:cs="Times New Roman"/>
                      <w:color w:val="000000" w:themeColor="text1"/>
                      <w:sz w:val="21"/>
                      <w:highlight w:val="none"/>
                      <w14:textFill>
                        <w14:solidFill>
                          <w14:schemeClr w14:val="tx1"/>
                        </w14:solidFill>
                      </w14:textFill>
                    </w:rPr>
                    <w:t>3140</w:t>
                  </w:r>
                </w:p>
              </w:tc>
              <w:tc>
                <w:tcPr>
                  <w:tcW w:w="3200" w:type="dxa"/>
                  <w:tcBorders>
                    <w:tl2br w:val="nil"/>
                    <w:tr2bl w:val="nil"/>
                  </w:tcBorders>
                  <w:vAlign w:val="center"/>
                </w:tcPr>
                <w:p w14:paraId="360A4DDB">
                  <w:pPr>
                    <w:pStyle w:val="68"/>
                    <w:spacing w:line="240" w:lineRule="auto"/>
                    <w:ind w:firstLine="0" w:firstLineChars="0"/>
                    <w:jc w:val="center"/>
                    <w:rPr>
                      <w:rFonts w:hint="default" w:ascii="Times New Roman" w:hAnsi="Times New Roman" w:cs="Times New Roman"/>
                      <w:color w:val="000000" w:themeColor="text1"/>
                      <w:sz w:val="21"/>
                      <w:highlight w:val="none"/>
                      <w14:textFill>
                        <w14:solidFill>
                          <w14:schemeClr w14:val="tx1"/>
                        </w14:solidFill>
                      </w14:textFill>
                    </w:rPr>
                  </w:pPr>
                  <w:r>
                    <w:rPr>
                      <w:rFonts w:hint="default" w:ascii="Times New Roman" w:hAnsi="Times New Roman" w:cs="Times New Roman"/>
                      <w:color w:val="000000" w:themeColor="text1"/>
                      <w:sz w:val="21"/>
                      <w:highlight w:val="none"/>
                      <w14:textFill>
                        <w14:solidFill>
                          <w14:schemeClr w14:val="tx1"/>
                        </w14:solidFill>
                      </w14:textFill>
                    </w:rPr>
                    <w:t>普通铁合金，特种铁合金，锰的 冶炼，铁基合金粉末</w:t>
                  </w:r>
                </w:p>
              </w:tc>
            </w:tr>
            <w:tr w14:paraId="069BBD6D">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691" w:type="dxa"/>
                  <w:tcBorders>
                    <w:tl2br w:val="nil"/>
                    <w:tr2bl w:val="nil"/>
                  </w:tcBorders>
                  <w:vAlign w:val="center"/>
                </w:tcPr>
                <w:p w14:paraId="4BABCF24">
                  <w:pPr>
                    <w:pStyle w:val="68"/>
                    <w:spacing w:line="240" w:lineRule="auto"/>
                    <w:ind w:firstLine="0" w:firstLineChars="0"/>
                    <w:jc w:val="center"/>
                    <w:rPr>
                      <w:rFonts w:hint="default" w:ascii="Times New Roman" w:hAnsi="Times New Roman" w:cs="Times New Roman"/>
                      <w:color w:val="000000" w:themeColor="text1"/>
                      <w:sz w:val="21"/>
                      <w:highlight w:val="none"/>
                      <w14:textFill>
                        <w14:solidFill>
                          <w14:schemeClr w14:val="tx1"/>
                        </w14:solidFill>
                      </w14:textFill>
                    </w:rPr>
                  </w:pPr>
                  <w:r>
                    <w:rPr>
                      <w:rFonts w:hint="default" w:ascii="Times New Roman" w:hAnsi="Times New Roman" w:cs="Times New Roman"/>
                      <w:color w:val="000000" w:themeColor="text1"/>
                      <w:sz w:val="21"/>
                      <w:highlight w:val="none"/>
                      <w14:textFill>
                        <w14:solidFill>
                          <w14:schemeClr w14:val="tx1"/>
                        </w14:solidFill>
                      </w14:textFill>
                    </w:rPr>
                    <w:t>3</w:t>
                  </w:r>
                </w:p>
              </w:tc>
              <w:tc>
                <w:tcPr>
                  <w:tcW w:w="876" w:type="dxa"/>
                  <w:tcBorders>
                    <w:tl2br w:val="nil"/>
                    <w:tr2bl w:val="nil"/>
                  </w:tcBorders>
                  <w:vAlign w:val="center"/>
                </w:tcPr>
                <w:p w14:paraId="7E8EB986">
                  <w:pPr>
                    <w:pStyle w:val="68"/>
                    <w:spacing w:line="240" w:lineRule="auto"/>
                    <w:ind w:firstLine="0" w:firstLineChars="0"/>
                    <w:jc w:val="center"/>
                    <w:rPr>
                      <w:rFonts w:hint="default" w:ascii="Times New Roman" w:hAnsi="Times New Roman" w:cs="Times New Roman"/>
                      <w:color w:val="000000" w:themeColor="text1"/>
                      <w:sz w:val="21"/>
                      <w:highlight w:val="none"/>
                      <w14:textFill>
                        <w14:solidFill>
                          <w14:schemeClr w14:val="tx1"/>
                        </w14:solidFill>
                      </w14:textFill>
                    </w:rPr>
                  </w:pPr>
                  <w:r>
                    <w:rPr>
                      <w:rFonts w:hint="default" w:ascii="Times New Roman" w:hAnsi="Times New Roman" w:cs="Times New Roman"/>
                      <w:color w:val="000000" w:themeColor="text1"/>
                      <w:sz w:val="21"/>
                      <w:highlight w:val="none"/>
                      <w14:textFill>
                        <w14:solidFill>
                          <w14:schemeClr w14:val="tx1"/>
                        </w14:solidFill>
                      </w14:textFill>
                    </w:rPr>
                    <w:t>电解铝</w:t>
                  </w:r>
                </w:p>
              </w:tc>
              <w:tc>
                <w:tcPr>
                  <w:tcW w:w="1296" w:type="dxa"/>
                  <w:tcBorders>
                    <w:tl2br w:val="nil"/>
                    <w:tr2bl w:val="nil"/>
                  </w:tcBorders>
                  <w:vAlign w:val="center"/>
                </w:tcPr>
                <w:p w14:paraId="622F1FC1">
                  <w:pPr>
                    <w:pStyle w:val="68"/>
                    <w:spacing w:line="240" w:lineRule="auto"/>
                    <w:ind w:firstLine="0" w:firstLineChars="0"/>
                    <w:jc w:val="center"/>
                    <w:rPr>
                      <w:rFonts w:hint="default" w:ascii="Times New Roman" w:hAnsi="Times New Roman" w:cs="Times New Roman"/>
                      <w:color w:val="000000" w:themeColor="text1"/>
                      <w:sz w:val="21"/>
                      <w:highlight w:val="none"/>
                      <w14:textFill>
                        <w14:solidFill>
                          <w14:schemeClr w14:val="tx1"/>
                        </w14:solidFill>
                      </w14:textFill>
                    </w:rPr>
                  </w:pPr>
                  <w:r>
                    <w:rPr>
                      <w:rFonts w:hint="default" w:ascii="Times New Roman" w:hAnsi="Times New Roman" w:cs="Times New Roman"/>
                      <w:color w:val="000000" w:themeColor="text1"/>
                      <w:sz w:val="21"/>
                      <w:highlight w:val="none"/>
                      <w14:textFill>
                        <w14:solidFill>
                          <w14:schemeClr w14:val="tx1"/>
                        </w14:solidFill>
                      </w14:textFill>
                    </w:rPr>
                    <w:t>铝冶炼</w:t>
                  </w:r>
                </w:p>
              </w:tc>
              <w:tc>
                <w:tcPr>
                  <w:tcW w:w="864" w:type="dxa"/>
                  <w:tcBorders>
                    <w:tl2br w:val="nil"/>
                    <w:tr2bl w:val="nil"/>
                  </w:tcBorders>
                  <w:vAlign w:val="center"/>
                </w:tcPr>
                <w:p w14:paraId="2064D810">
                  <w:pPr>
                    <w:pStyle w:val="68"/>
                    <w:spacing w:line="240" w:lineRule="auto"/>
                    <w:ind w:firstLine="0" w:firstLineChars="0"/>
                    <w:jc w:val="center"/>
                    <w:rPr>
                      <w:rFonts w:hint="default" w:ascii="Times New Roman" w:hAnsi="Times New Roman" w:cs="Times New Roman"/>
                      <w:color w:val="000000" w:themeColor="text1"/>
                      <w:sz w:val="21"/>
                      <w:highlight w:val="none"/>
                      <w14:textFill>
                        <w14:solidFill>
                          <w14:schemeClr w14:val="tx1"/>
                        </w14:solidFill>
                      </w14:textFill>
                    </w:rPr>
                  </w:pPr>
                  <w:r>
                    <w:rPr>
                      <w:rFonts w:hint="default" w:ascii="Times New Roman" w:hAnsi="Times New Roman" w:cs="Times New Roman"/>
                      <w:color w:val="000000" w:themeColor="text1"/>
                      <w:sz w:val="21"/>
                      <w:highlight w:val="none"/>
                      <w14:textFill>
                        <w14:solidFill>
                          <w14:schemeClr w14:val="tx1"/>
                        </w14:solidFill>
                      </w14:textFill>
                    </w:rPr>
                    <w:t>3216</w:t>
                  </w:r>
                </w:p>
              </w:tc>
              <w:tc>
                <w:tcPr>
                  <w:tcW w:w="3200" w:type="dxa"/>
                  <w:tcBorders>
                    <w:tl2br w:val="nil"/>
                    <w:tr2bl w:val="nil"/>
                  </w:tcBorders>
                  <w:vAlign w:val="center"/>
                </w:tcPr>
                <w:p w14:paraId="065C3C96">
                  <w:pPr>
                    <w:pStyle w:val="68"/>
                    <w:spacing w:line="240" w:lineRule="auto"/>
                    <w:ind w:firstLine="0" w:firstLineChars="0"/>
                    <w:jc w:val="center"/>
                    <w:rPr>
                      <w:rFonts w:hint="default" w:ascii="Times New Roman" w:hAnsi="Times New Roman" w:cs="Times New Roman"/>
                      <w:color w:val="000000" w:themeColor="text1"/>
                      <w:sz w:val="21"/>
                      <w:highlight w:val="none"/>
                      <w14:textFill>
                        <w14:solidFill>
                          <w14:schemeClr w14:val="tx1"/>
                        </w14:solidFill>
                      </w14:textFill>
                    </w:rPr>
                  </w:pPr>
                  <w:r>
                    <w:rPr>
                      <w:rFonts w:hint="default" w:ascii="Times New Roman" w:hAnsi="Times New Roman" w:cs="Times New Roman"/>
                      <w:color w:val="000000" w:themeColor="text1"/>
                      <w:sz w:val="21"/>
                      <w:highlight w:val="none"/>
                      <w14:textFill>
                        <w14:solidFill>
                          <w14:schemeClr w14:val="tx1"/>
                        </w14:solidFill>
                      </w14:textFill>
                    </w:rPr>
                    <w:t>氧化铝（不包括以铝酸钠、氢氧 化铝或氧化铝为原料深加工形成 的非冶金级氧化铝）、电解铝</w:t>
                  </w:r>
                </w:p>
              </w:tc>
            </w:tr>
            <w:tr w14:paraId="24327935">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691" w:type="dxa"/>
                  <w:tcBorders>
                    <w:tl2br w:val="nil"/>
                    <w:tr2bl w:val="nil"/>
                  </w:tcBorders>
                  <w:vAlign w:val="center"/>
                </w:tcPr>
                <w:p w14:paraId="2DBF84FB">
                  <w:pPr>
                    <w:pStyle w:val="68"/>
                    <w:spacing w:line="240" w:lineRule="auto"/>
                    <w:ind w:firstLine="0" w:firstLineChars="0"/>
                    <w:jc w:val="center"/>
                    <w:rPr>
                      <w:rFonts w:hint="default" w:ascii="Times New Roman" w:hAnsi="Times New Roman" w:cs="Times New Roman"/>
                      <w:color w:val="000000" w:themeColor="text1"/>
                      <w:sz w:val="21"/>
                      <w:highlight w:val="none"/>
                      <w14:textFill>
                        <w14:solidFill>
                          <w14:schemeClr w14:val="tx1"/>
                        </w14:solidFill>
                      </w14:textFill>
                    </w:rPr>
                  </w:pPr>
                  <w:r>
                    <w:rPr>
                      <w:rFonts w:hint="default" w:ascii="Times New Roman" w:hAnsi="Times New Roman" w:cs="Times New Roman"/>
                      <w:color w:val="000000" w:themeColor="text1"/>
                      <w:sz w:val="21"/>
                      <w:highlight w:val="none"/>
                      <w14:textFill>
                        <w14:solidFill>
                          <w14:schemeClr w14:val="tx1"/>
                        </w14:solidFill>
                      </w14:textFill>
                    </w:rPr>
                    <w:t>4</w:t>
                  </w:r>
                </w:p>
              </w:tc>
              <w:tc>
                <w:tcPr>
                  <w:tcW w:w="876" w:type="dxa"/>
                  <w:tcBorders>
                    <w:tl2br w:val="nil"/>
                    <w:tr2bl w:val="nil"/>
                  </w:tcBorders>
                  <w:vAlign w:val="center"/>
                </w:tcPr>
                <w:p w14:paraId="16BAF783">
                  <w:pPr>
                    <w:pStyle w:val="68"/>
                    <w:spacing w:line="240" w:lineRule="auto"/>
                    <w:ind w:firstLine="0" w:firstLineChars="0"/>
                    <w:jc w:val="center"/>
                    <w:rPr>
                      <w:rFonts w:hint="default" w:ascii="Times New Roman" w:hAnsi="Times New Roman" w:cs="Times New Roman"/>
                      <w:color w:val="000000" w:themeColor="text1"/>
                      <w:sz w:val="21"/>
                      <w:highlight w:val="none"/>
                      <w14:textFill>
                        <w14:solidFill>
                          <w14:schemeClr w14:val="tx1"/>
                        </w14:solidFill>
                      </w14:textFill>
                    </w:rPr>
                  </w:pPr>
                  <w:r>
                    <w:rPr>
                      <w:rFonts w:hint="default" w:ascii="Times New Roman" w:hAnsi="Times New Roman" w:cs="Times New Roman"/>
                      <w:color w:val="000000" w:themeColor="text1"/>
                      <w:sz w:val="21"/>
                      <w:highlight w:val="none"/>
                      <w14:textFill>
                        <w14:solidFill>
                          <w14:schemeClr w14:val="tx1"/>
                        </w14:solidFill>
                      </w14:textFill>
                    </w:rPr>
                    <w:t>水泥</w:t>
                  </w:r>
                </w:p>
              </w:tc>
              <w:tc>
                <w:tcPr>
                  <w:tcW w:w="1296" w:type="dxa"/>
                  <w:tcBorders>
                    <w:tl2br w:val="nil"/>
                    <w:tr2bl w:val="nil"/>
                  </w:tcBorders>
                  <w:vAlign w:val="center"/>
                </w:tcPr>
                <w:p w14:paraId="1C3F8F9F">
                  <w:pPr>
                    <w:pStyle w:val="68"/>
                    <w:spacing w:line="240" w:lineRule="auto"/>
                    <w:ind w:firstLine="0" w:firstLineChars="0"/>
                    <w:jc w:val="center"/>
                    <w:rPr>
                      <w:rFonts w:hint="default" w:ascii="Times New Roman" w:hAnsi="Times New Roman" w:cs="Times New Roman"/>
                      <w:color w:val="000000" w:themeColor="text1"/>
                      <w:sz w:val="21"/>
                      <w:highlight w:val="none"/>
                      <w14:textFill>
                        <w14:solidFill>
                          <w14:schemeClr w14:val="tx1"/>
                        </w14:solidFill>
                      </w14:textFill>
                    </w:rPr>
                  </w:pPr>
                  <w:r>
                    <w:rPr>
                      <w:rFonts w:hint="default" w:ascii="Times New Roman" w:hAnsi="Times New Roman" w:cs="Times New Roman"/>
                      <w:color w:val="000000" w:themeColor="text1"/>
                      <w:sz w:val="21"/>
                      <w:highlight w:val="none"/>
                      <w14:textFill>
                        <w14:solidFill>
                          <w14:schemeClr w14:val="tx1"/>
                        </w14:solidFill>
                      </w14:textFill>
                    </w:rPr>
                    <w:t>水泥制造</w:t>
                  </w:r>
                </w:p>
              </w:tc>
              <w:tc>
                <w:tcPr>
                  <w:tcW w:w="864" w:type="dxa"/>
                  <w:tcBorders>
                    <w:tl2br w:val="nil"/>
                    <w:tr2bl w:val="nil"/>
                  </w:tcBorders>
                  <w:vAlign w:val="center"/>
                </w:tcPr>
                <w:p w14:paraId="116D513E">
                  <w:pPr>
                    <w:pStyle w:val="68"/>
                    <w:spacing w:line="240" w:lineRule="auto"/>
                    <w:ind w:firstLine="0" w:firstLineChars="0"/>
                    <w:jc w:val="center"/>
                    <w:rPr>
                      <w:rFonts w:hint="default" w:ascii="Times New Roman" w:hAnsi="Times New Roman" w:cs="Times New Roman"/>
                      <w:color w:val="000000" w:themeColor="text1"/>
                      <w:sz w:val="21"/>
                      <w:highlight w:val="none"/>
                      <w14:textFill>
                        <w14:solidFill>
                          <w14:schemeClr w14:val="tx1"/>
                        </w14:solidFill>
                      </w14:textFill>
                    </w:rPr>
                  </w:pPr>
                  <w:r>
                    <w:rPr>
                      <w:rFonts w:hint="default" w:ascii="Times New Roman" w:hAnsi="Times New Roman" w:cs="Times New Roman"/>
                      <w:color w:val="000000" w:themeColor="text1"/>
                      <w:sz w:val="21"/>
                      <w:highlight w:val="none"/>
                      <w14:textFill>
                        <w14:solidFill>
                          <w14:schemeClr w14:val="tx1"/>
                        </w14:solidFill>
                      </w14:textFill>
                    </w:rPr>
                    <w:t>3011</w:t>
                  </w:r>
                </w:p>
              </w:tc>
              <w:tc>
                <w:tcPr>
                  <w:tcW w:w="3200" w:type="dxa"/>
                  <w:tcBorders>
                    <w:tl2br w:val="nil"/>
                    <w:tr2bl w:val="nil"/>
                  </w:tcBorders>
                  <w:vAlign w:val="center"/>
                </w:tcPr>
                <w:p w14:paraId="4F6A5C82">
                  <w:pPr>
                    <w:pStyle w:val="68"/>
                    <w:spacing w:line="240" w:lineRule="auto"/>
                    <w:ind w:firstLine="0" w:firstLineChars="0"/>
                    <w:jc w:val="center"/>
                    <w:rPr>
                      <w:rFonts w:hint="default" w:ascii="Times New Roman" w:hAnsi="Times New Roman" w:cs="Times New Roman"/>
                      <w:color w:val="000000" w:themeColor="text1"/>
                      <w:sz w:val="21"/>
                      <w:highlight w:val="none"/>
                      <w14:textFill>
                        <w14:solidFill>
                          <w14:schemeClr w14:val="tx1"/>
                        </w14:solidFill>
                      </w14:textFill>
                    </w:rPr>
                  </w:pPr>
                  <w:r>
                    <w:rPr>
                      <w:rFonts w:hint="default" w:ascii="Times New Roman" w:hAnsi="Times New Roman" w:cs="Times New Roman"/>
                      <w:color w:val="000000" w:themeColor="text1"/>
                      <w:sz w:val="21"/>
                      <w:highlight w:val="none"/>
                      <w14:textFill>
                        <w14:solidFill>
                          <w14:schemeClr w14:val="tx1"/>
                        </w14:solidFill>
                      </w14:textFill>
                    </w:rPr>
                    <w:t>硅酸盐水泥熟料，强度等级水泥， 通用硅酸盐水泥，普通硅酸盐水 泥，矿渣硅酸盐水泥，火山灰质 硅酸盐水泥，粉煤灰硅酸盐水泥， 复合硅酸盐水泥，石灰石硅酸盐 水泥，其他通用硅酸盐水泥</w:t>
                  </w:r>
                </w:p>
              </w:tc>
            </w:tr>
            <w:tr w14:paraId="135B07F6">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691" w:type="dxa"/>
                  <w:tcBorders>
                    <w:tl2br w:val="nil"/>
                    <w:tr2bl w:val="nil"/>
                  </w:tcBorders>
                  <w:vAlign w:val="center"/>
                </w:tcPr>
                <w:p w14:paraId="5CD84896">
                  <w:pPr>
                    <w:pStyle w:val="68"/>
                    <w:spacing w:line="240" w:lineRule="auto"/>
                    <w:ind w:firstLine="0" w:firstLineChars="0"/>
                    <w:jc w:val="center"/>
                    <w:rPr>
                      <w:rFonts w:hint="default" w:ascii="Times New Roman" w:hAnsi="Times New Roman" w:cs="Times New Roman"/>
                      <w:color w:val="000000" w:themeColor="text1"/>
                      <w:sz w:val="21"/>
                      <w:highlight w:val="none"/>
                      <w14:textFill>
                        <w14:solidFill>
                          <w14:schemeClr w14:val="tx1"/>
                        </w14:solidFill>
                      </w14:textFill>
                    </w:rPr>
                  </w:pPr>
                  <w:r>
                    <w:rPr>
                      <w:rFonts w:hint="default" w:ascii="Times New Roman" w:hAnsi="Times New Roman" w:cs="Times New Roman"/>
                      <w:color w:val="000000" w:themeColor="text1"/>
                      <w:sz w:val="21"/>
                      <w:highlight w:val="none"/>
                      <w14:textFill>
                        <w14:solidFill>
                          <w14:schemeClr w14:val="tx1"/>
                        </w14:solidFill>
                      </w14:textFill>
                    </w:rPr>
                    <w:t>5</w:t>
                  </w:r>
                </w:p>
              </w:tc>
              <w:tc>
                <w:tcPr>
                  <w:tcW w:w="876" w:type="dxa"/>
                  <w:tcBorders>
                    <w:tl2br w:val="nil"/>
                    <w:tr2bl w:val="nil"/>
                  </w:tcBorders>
                  <w:vAlign w:val="center"/>
                </w:tcPr>
                <w:p w14:paraId="31CA89B5">
                  <w:pPr>
                    <w:pStyle w:val="68"/>
                    <w:spacing w:line="240" w:lineRule="auto"/>
                    <w:ind w:firstLine="0" w:firstLineChars="0"/>
                    <w:jc w:val="center"/>
                    <w:rPr>
                      <w:rFonts w:hint="default" w:ascii="Times New Roman" w:hAnsi="Times New Roman" w:cs="Times New Roman"/>
                      <w:color w:val="000000" w:themeColor="text1"/>
                      <w:sz w:val="21"/>
                      <w:highlight w:val="none"/>
                      <w14:textFill>
                        <w14:solidFill>
                          <w14:schemeClr w14:val="tx1"/>
                        </w14:solidFill>
                      </w14:textFill>
                    </w:rPr>
                  </w:pPr>
                  <w:r>
                    <w:rPr>
                      <w:rFonts w:hint="default" w:ascii="Times New Roman" w:hAnsi="Times New Roman" w:cs="Times New Roman"/>
                      <w:color w:val="000000" w:themeColor="text1"/>
                      <w:sz w:val="21"/>
                      <w:highlight w:val="none"/>
                      <w14:textFill>
                        <w14:solidFill>
                          <w14:schemeClr w14:val="tx1"/>
                        </w14:solidFill>
                      </w14:textFill>
                    </w:rPr>
                    <w:t>石灰</w:t>
                  </w:r>
                </w:p>
              </w:tc>
              <w:tc>
                <w:tcPr>
                  <w:tcW w:w="1296" w:type="dxa"/>
                  <w:tcBorders>
                    <w:tl2br w:val="nil"/>
                    <w:tr2bl w:val="nil"/>
                  </w:tcBorders>
                  <w:vAlign w:val="center"/>
                </w:tcPr>
                <w:p w14:paraId="154E82A0">
                  <w:pPr>
                    <w:pStyle w:val="68"/>
                    <w:spacing w:line="240" w:lineRule="auto"/>
                    <w:ind w:firstLine="0" w:firstLineChars="0"/>
                    <w:jc w:val="center"/>
                    <w:rPr>
                      <w:rFonts w:hint="default" w:ascii="Times New Roman" w:hAnsi="Times New Roman" w:cs="Times New Roman"/>
                      <w:color w:val="000000" w:themeColor="text1"/>
                      <w:sz w:val="21"/>
                      <w:highlight w:val="none"/>
                      <w14:textFill>
                        <w14:solidFill>
                          <w14:schemeClr w14:val="tx1"/>
                        </w14:solidFill>
                      </w14:textFill>
                    </w:rPr>
                  </w:pPr>
                  <w:r>
                    <w:rPr>
                      <w:rFonts w:hint="default" w:ascii="Times New Roman" w:hAnsi="Times New Roman" w:cs="Times New Roman"/>
                      <w:color w:val="000000" w:themeColor="text1"/>
                      <w:sz w:val="21"/>
                      <w:highlight w:val="none"/>
                      <w14:textFill>
                        <w14:solidFill>
                          <w14:schemeClr w14:val="tx1"/>
                        </w14:solidFill>
                      </w14:textFill>
                    </w:rPr>
                    <w:t>石灰和石膏制造</w:t>
                  </w:r>
                </w:p>
              </w:tc>
              <w:tc>
                <w:tcPr>
                  <w:tcW w:w="864" w:type="dxa"/>
                  <w:tcBorders>
                    <w:tl2br w:val="nil"/>
                    <w:tr2bl w:val="nil"/>
                  </w:tcBorders>
                  <w:vAlign w:val="center"/>
                </w:tcPr>
                <w:p w14:paraId="180DCB2F">
                  <w:pPr>
                    <w:pStyle w:val="68"/>
                    <w:spacing w:line="240" w:lineRule="auto"/>
                    <w:ind w:firstLine="0" w:firstLineChars="0"/>
                    <w:jc w:val="center"/>
                    <w:rPr>
                      <w:rFonts w:hint="default" w:ascii="Times New Roman" w:hAnsi="Times New Roman" w:cs="Times New Roman"/>
                      <w:color w:val="000000" w:themeColor="text1"/>
                      <w:sz w:val="21"/>
                      <w:highlight w:val="none"/>
                      <w14:textFill>
                        <w14:solidFill>
                          <w14:schemeClr w14:val="tx1"/>
                        </w14:solidFill>
                      </w14:textFill>
                    </w:rPr>
                  </w:pPr>
                  <w:r>
                    <w:rPr>
                      <w:rFonts w:hint="default" w:ascii="Times New Roman" w:hAnsi="Times New Roman" w:cs="Times New Roman"/>
                      <w:color w:val="000000" w:themeColor="text1"/>
                      <w:sz w:val="21"/>
                      <w:highlight w:val="none"/>
                      <w14:textFill>
                        <w14:solidFill>
                          <w14:schemeClr w14:val="tx1"/>
                        </w14:solidFill>
                      </w14:textFill>
                    </w:rPr>
                    <w:t>3012</w:t>
                  </w:r>
                </w:p>
              </w:tc>
              <w:tc>
                <w:tcPr>
                  <w:tcW w:w="3200" w:type="dxa"/>
                  <w:tcBorders>
                    <w:tl2br w:val="nil"/>
                    <w:tr2bl w:val="nil"/>
                  </w:tcBorders>
                  <w:vAlign w:val="center"/>
                </w:tcPr>
                <w:p w14:paraId="13381F2E">
                  <w:pPr>
                    <w:pStyle w:val="68"/>
                    <w:spacing w:line="240" w:lineRule="auto"/>
                    <w:ind w:firstLine="0" w:firstLineChars="0"/>
                    <w:jc w:val="center"/>
                    <w:rPr>
                      <w:rFonts w:hint="default" w:ascii="Times New Roman" w:hAnsi="Times New Roman" w:cs="Times New Roman"/>
                      <w:color w:val="000000" w:themeColor="text1"/>
                      <w:sz w:val="21"/>
                      <w:highlight w:val="none"/>
                      <w14:textFill>
                        <w14:solidFill>
                          <w14:schemeClr w14:val="tx1"/>
                        </w14:solidFill>
                      </w14:textFill>
                    </w:rPr>
                  </w:pPr>
                  <w:r>
                    <w:rPr>
                      <w:rFonts w:hint="default" w:ascii="Times New Roman" w:hAnsi="Times New Roman" w:cs="Times New Roman"/>
                      <w:color w:val="000000" w:themeColor="text1"/>
                      <w:sz w:val="21"/>
                      <w:highlight w:val="none"/>
                      <w14:textFill>
                        <w14:solidFill>
                          <w14:schemeClr w14:val="tx1"/>
                        </w14:solidFill>
                      </w14:textFill>
                    </w:rPr>
                    <w:t>石灰</w:t>
                  </w:r>
                </w:p>
              </w:tc>
            </w:tr>
            <w:tr w14:paraId="14B8CF68">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691" w:type="dxa"/>
                  <w:tcBorders>
                    <w:tl2br w:val="nil"/>
                    <w:tr2bl w:val="nil"/>
                  </w:tcBorders>
                  <w:vAlign w:val="center"/>
                </w:tcPr>
                <w:p w14:paraId="4F5877D3">
                  <w:pPr>
                    <w:pStyle w:val="68"/>
                    <w:spacing w:line="240" w:lineRule="auto"/>
                    <w:ind w:firstLine="0" w:firstLineChars="0"/>
                    <w:jc w:val="center"/>
                    <w:rPr>
                      <w:rFonts w:hint="default" w:ascii="Times New Roman" w:hAnsi="Times New Roman" w:cs="Times New Roman"/>
                      <w:color w:val="000000" w:themeColor="text1"/>
                      <w:sz w:val="21"/>
                      <w:highlight w:val="none"/>
                      <w14:textFill>
                        <w14:solidFill>
                          <w14:schemeClr w14:val="tx1"/>
                        </w14:solidFill>
                      </w14:textFill>
                    </w:rPr>
                  </w:pPr>
                  <w:r>
                    <w:rPr>
                      <w:rFonts w:hint="default" w:ascii="Times New Roman" w:hAnsi="Times New Roman" w:cs="Times New Roman"/>
                      <w:color w:val="000000" w:themeColor="text1"/>
                      <w:sz w:val="21"/>
                      <w:highlight w:val="none"/>
                      <w14:textFill>
                        <w14:solidFill>
                          <w14:schemeClr w14:val="tx1"/>
                        </w14:solidFill>
                      </w14:textFill>
                    </w:rPr>
                    <w:t>6</w:t>
                  </w:r>
                </w:p>
              </w:tc>
              <w:tc>
                <w:tcPr>
                  <w:tcW w:w="876" w:type="dxa"/>
                  <w:tcBorders>
                    <w:tl2br w:val="nil"/>
                    <w:tr2bl w:val="nil"/>
                  </w:tcBorders>
                  <w:vAlign w:val="center"/>
                </w:tcPr>
                <w:p w14:paraId="775AAD19">
                  <w:pPr>
                    <w:pStyle w:val="68"/>
                    <w:spacing w:line="240" w:lineRule="auto"/>
                    <w:ind w:firstLine="0" w:firstLineChars="0"/>
                    <w:jc w:val="center"/>
                    <w:rPr>
                      <w:rFonts w:hint="default" w:ascii="Times New Roman" w:hAnsi="Times New Roman" w:cs="Times New Roman"/>
                      <w:color w:val="000000" w:themeColor="text1"/>
                      <w:sz w:val="21"/>
                      <w:highlight w:val="none"/>
                      <w14:textFill>
                        <w14:solidFill>
                          <w14:schemeClr w14:val="tx1"/>
                        </w14:solidFill>
                      </w14:textFill>
                    </w:rPr>
                  </w:pPr>
                  <w:r>
                    <w:rPr>
                      <w:rFonts w:hint="default" w:ascii="Times New Roman" w:hAnsi="Times New Roman" w:cs="Times New Roman"/>
                      <w:color w:val="000000" w:themeColor="text1"/>
                      <w:sz w:val="21"/>
                      <w:highlight w:val="none"/>
                      <w14:textFill>
                        <w14:solidFill>
                          <w14:schemeClr w14:val="tx1"/>
                        </w14:solidFill>
                      </w14:textFill>
                    </w:rPr>
                    <w:t>建筑陶瓷</w:t>
                  </w:r>
                </w:p>
              </w:tc>
              <w:tc>
                <w:tcPr>
                  <w:tcW w:w="1296" w:type="dxa"/>
                  <w:tcBorders>
                    <w:tl2br w:val="nil"/>
                    <w:tr2bl w:val="nil"/>
                  </w:tcBorders>
                  <w:vAlign w:val="center"/>
                </w:tcPr>
                <w:p w14:paraId="4818C9CF">
                  <w:pPr>
                    <w:pStyle w:val="68"/>
                    <w:spacing w:line="240" w:lineRule="auto"/>
                    <w:ind w:firstLine="0" w:firstLineChars="0"/>
                    <w:jc w:val="center"/>
                    <w:rPr>
                      <w:rFonts w:hint="default" w:ascii="Times New Roman" w:hAnsi="Times New Roman" w:cs="Times New Roman"/>
                      <w:color w:val="000000" w:themeColor="text1"/>
                      <w:sz w:val="21"/>
                      <w:highlight w:val="none"/>
                      <w14:textFill>
                        <w14:solidFill>
                          <w14:schemeClr w14:val="tx1"/>
                        </w14:solidFill>
                      </w14:textFill>
                    </w:rPr>
                  </w:pPr>
                  <w:r>
                    <w:rPr>
                      <w:rFonts w:hint="default" w:ascii="Times New Roman" w:hAnsi="Times New Roman" w:cs="Times New Roman"/>
                      <w:color w:val="000000" w:themeColor="text1"/>
                      <w:sz w:val="21"/>
                      <w:highlight w:val="none"/>
                      <w14:textFill>
                        <w14:solidFill>
                          <w14:schemeClr w14:val="tx1"/>
                        </w14:solidFill>
                      </w14:textFill>
                    </w:rPr>
                    <w:t>建筑陶瓷制品制造</w:t>
                  </w:r>
                </w:p>
              </w:tc>
              <w:tc>
                <w:tcPr>
                  <w:tcW w:w="864" w:type="dxa"/>
                  <w:tcBorders>
                    <w:tl2br w:val="nil"/>
                    <w:tr2bl w:val="nil"/>
                  </w:tcBorders>
                  <w:vAlign w:val="center"/>
                </w:tcPr>
                <w:p w14:paraId="6D7AD61C">
                  <w:pPr>
                    <w:pStyle w:val="68"/>
                    <w:spacing w:line="240" w:lineRule="auto"/>
                    <w:ind w:firstLine="0" w:firstLineChars="0"/>
                    <w:jc w:val="center"/>
                    <w:rPr>
                      <w:rFonts w:hint="default" w:ascii="Times New Roman" w:hAnsi="Times New Roman" w:cs="Times New Roman"/>
                      <w:color w:val="000000" w:themeColor="text1"/>
                      <w:sz w:val="21"/>
                      <w:highlight w:val="none"/>
                      <w14:textFill>
                        <w14:solidFill>
                          <w14:schemeClr w14:val="tx1"/>
                        </w14:solidFill>
                      </w14:textFill>
                    </w:rPr>
                  </w:pPr>
                  <w:r>
                    <w:rPr>
                      <w:rFonts w:hint="default" w:ascii="Times New Roman" w:hAnsi="Times New Roman" w:cs="Times New Roman"/>
                      <w:color w:val="000000" w:themeColor="text1"/>
                      <w:sz w:val="21"/>
                      <w:highlight w:val="none"/>
                      <w14:textFill>
                        <w14:solidFill>
                          <w14:schemeClr w14:val="tx1"/>
                        </w14:solidFill>
                      </w14:textFill>
                    </w:rPr>
                    <w:t>3071</w:t>
                  </w:r>
                </w:p>
              </w:tc>
              <w:tc>
                <w:tcPr>
                  <w:tcW w:w="3200" w:type="dxa"/>
                  <w:tcBorders>
                    <w:tl2br w:val="nil"/>
                    <w:tr2bl w:val="nil"/>
                  </w:tcBorders>
                  <w:vAlign w:val="center"/>
                </w:tcPr>
                <w:p w14:paraId="09F0FD68">
                  <w:pPr>
                    <w:pStyle w:val="68"/>
                    <w:spacing w:line="240" w:lineRule="auto"/>
                    <w:ind w:firstLine="0" w:firstLineChars="0"/>
                    <w:jc w:val="center"/>
                    <w:rPr>
                      <w:rFonts w:hint="default" w:ascii="Times New Roman" w:hAnsi="Times New Roman" w:cs="Times New Roman"/>
                      <w:color w:val="000000" w:themeColor="text1"/>
                      <w:sz w:val="21"/>
                      <w:highlight w:val="none"/>
                      <w14:textFill>
                        <w14:solidFill>
                          <w14:schemeClr w14:val="tx1"/>
                        </w14:solidFill>
                      </w14:textFill>
                    </w:rPr>
                  </w:pPr>
                  <w:r>
                    <w:rPr>
                      <w:rFonts w:hint="default" w:ascii="Times New Roman" w:hAnsi="Times New Roman" w:cs="Times New Roman"/>
                      <w:color w:val="000000" w:themeColor="text1"/>
                      <w:sz w:val="21"/>
                      <w:highlight w:val="none"/>
                      <w14:textFill>
                        <w14:solidFill>
                          <w14:schemeClr w14:val="tx1"/>
                        </w14:solidFill>
                      </w14:textFill>
                    </w:rPr>
                    <w:t>瓷质砖，炻瓷砖，细炻砖，炻质 砖，陶质砖，陶瓷马赛克，陶瓷 耐酸砖，建筑陶瓷装饰物，陶板， 多孔建筑陶瓷，陶瓷管及管子配 件，其他建筑陶瓷制品，不包括 非经高温烧结的发泡陶瓷板等</w:t>
                  </w:r>
                </w:p>
              </w:tc>
            </w:tr>
            <w:tr w14:paraId="5E5E3B1C">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691" w:type="dxa"/>
                  <w:tcBorders>
                    <w:tl2br w:val="nil"/>
                    <w:tr2bl w:val="nil"/>
                  </w:tcBorders>
                  <w:vAlign w:val="center"/>
                </w:tcPr>
                <w:p w14:paraId="6F9EE70D">
                  <w:pPr>
                    <w:pStyle w:val="68"/>
                    <w:spacing w:line="240" w:lineRule="auto"/>
                    <w:ind w:firstLine="0" w:firstLineChars="0"/>
                    <w:jc w:val="center"/>
                    <w:rPr>
                      <w:rFonts w:hint="default" w:ascii="Times New Roman" w:hAnsi="Times New Roman" w:cs="Times New Roman"/>
                      <w:color w:val="000000" w:themeColor="text1"/>
                      <w:sz w:val="21"/>
                      <w:highlight w:val="none"/>
                      <w14:textFill>
                        <w14:solidFill>
                          <w14:schemeClr w14:val="tx1"/>
                        </w14:solidFill>
                      </w14:textFill>
                    </w:rPr>
                  </w:pPr>
                  <w:r>
                    <w:rPr>
                      <w:rFonts w:hint="default" w:ascii="Times New Roman" w:hAnsi="Times New Roman" w:cs="Times New Roman"/>
                      <w:color w:val="000000" w:themeColor="text1"/>
                      <w:sz w:val="21"/>
                      <w:highlight w:val="none"/>
                      <w14:textFill>
                        <w14:solidFill>
                          <w14:schemeClr w14:val="tx1"/>
                        </w14:solidFill>
                      </w14:textFill>
                    </w:rPr>
                    <w:t>7</w:t>
                  </w:r>
                </w:p>
              </w:tc>
              <w:tc>
                <w:tcPr>
                  <w:tcW w:w="876" w:type="dxa"/>
                  <w:tcBorders>
                    <w:tl2br w:val="nil"/>
                    <w:tr2bl w:val="nil"/>
                  </w:tcBorders>
                  <w:vAlign w:val="center"/>
                </w:tcPr>
                <w:p w14:paraId="3778751F">
                  <w:pPr>
                    <w:pStyle w:val="68"/>
                    <w:spacing w:line="240" w:lineRule="auto"/>
                    <w:ind w:firstLine="0" w:firstLineChars="0"/>
                    <w:jc w:val="center"/>
                    <w:rPr>
                      <w:rFonts w:hint="default" w:ascii="Times New Roman" w:hAnsi="Times New Roman" w:cs="Times New Roman"/>
                      <w:color w:val="000000" w:themeColor="text1"/>
                      <w:sz w:val="21"/>
                      <w:highlight w:val="none"/>
                      <w14:textFill>
                        <w14:solidFill>
                          <w14:schemeClr w14:val="tx1"/>
                        </w14:solidFill>
                      </w14:textFill>
                    </w:rPr>
                  </w:pPr>
                  <w:r>
                    <w:rPr>
                      <w:rFonts w:hint="default" w:ascii="Times New Roman" w:hAnsi="Times New Roman" w:cs="Times New Roman"/>
                      <w:color w:val="000000" w:themeColor="text1"/>
                      <w:sz w:val="21"/>
                      <w:highlight w:val="none"/>
                      <w14:textFill>
                        <w14:solidFill>
                          <w14:schemeClr w14:val="tx1"/>
                        </w14:solidFill>
                      </w14:textFill>
                    </w:rPr>
                    <w:t>平板玻璃</w:t>
                  </w:r>
                </w:p>
              </w:tc>
              <w:tc>
                <w:tcPr>
                  <w:tcW w:w="1296" w:type="dxa"/>
                  <w:tcBorders>
                    <w:tl2br w:val="nil"/>
                    <w:tr2bl w:val="nil"/>
                  </w:tcBorders>
                  <w:vAlign w:val="center"/>
                </w:tcPr>
                <w:p w14:paraId="1CF0AE7C">
                  <w:pPr>
                    <w:pStyle w:val="68"/>
                    <w:spacing w:line="240" w:lineRule="auto"/>
                    <w:ind w:firstLine="0" w:firstLineChars="0"/>
                    <w:jc w:val="center"/>
                    <w:rPr>
                      <w:rFonts w:hint="default" w:ascii="Times New Roman" w:hAnsi="Times New Roman" w:cs="Times New Roman"/>
                      <w:color w:val="000000" w:themeColor="text1"/>
                      <w:sz w:val="21"/>
                      <w:highlight w:val="none"/>
                      <w14:textFill>
                        <w14:solidFill>
                          <w14:schemeClr w14:val="tx1"/>
                        </w14:solidFill>
                      </w14:textFill>
                    </w:rPr>
                  </w:pPr>
                  <w:r>
                    <w:rPr>
                      <w:rFonts w:hint="default" w:ascii="Times New Roman" w:hAnsi="Times New Roman" w:cs="Times New Roman"/>
                      <w:color w:val="000000" w:themeColor="text1"/>
                      <w:sz w:val="21"/>
                      <w:highlight w:val="none"/>
                      <w14:textFill>
                        <w14:solidFill>
                          <w14:schemeClr w14:val="tx1"/>
                        </w14:solidFill>
                      </w14:textFill>
                    </w:rPr>
                    <w:t>平板玻璃制造</w:t>
                  </w:r>
                </w:p>
              </w:tc>
              <w:tc>
                <w:tcPr>
                  <w:tcW w:w="864" w:type="dxa"/>
                  <w:tcBorders>
                    <w:tl2br w:val="nil"/>
                    <w:tr2bl w:val="nil"/>
                  </w:tcBorders>
                  <w:vAlign w:val="center"/>
                </w:tcPr>
                <w:p w14:paraId="4F2C97F7">
                  <w:pPr>
                    <w:pStyle w:val="68"/>
                    <w:spacing w:line="240" w:lineRule="auto"/>
                    <w:ind w:firstLine="0" w:firstLineChars="0"/>
                    <w:jc w:val="center"/>
                    <w:rPr>
                      <w:rFonts w:hint="default" w:ascii="Times New Roman" w:hAnsi="Times New Roman" w:cs="Times New Roman"/>
                      <w:color w:val="000000" w:themeColor="text1"/>
                      <w:sz w:val="21"/>
                      <w:highlight w:val="none"/>
                      <w14:textFill>
                        <w14:solidFill>
                          <w14:schemeClr w14:val="tx1"/>
                        </w14:solidFill>
                      </w14:textFill>
                    </w:rPr>
                  </w:pPr>
                  <w:r>
                    <w:rPr>
                      <w:rFonts w:hint="default" w:ascii="Times New Roman" w:hAnsi="Times New Roman" w:cs="Times New Roman"/>
                      <w:color w:val="000000" w:themeColor="text1"/>
                      <w:sz w:val="21"/>
                      <w:highlight w:val="none"/>
                      <w14:textFill>
                        <w14:solidFill>
                          <w14:schemeClr w14:val="tx1"/>
                        </w14:solidFill>
                      </w14:textFill>
                    </w:rPr>
                    <w:t>3071</w:t>
                  </w:r>
                </w:p>
              </w:tc>
              <w:tc>
                <w:tcPr>
                  <w:tcW w:w="3200" w:type="dxa"/>
                  <w:tcBorders>
                    <w:tl2br w:val="nil"/>
                    <w:tr2bl w:val="nil"/>
                  </w:tcBorders>
                  <w:vAlign w:val="center"/>
                </w:tcPr>
                <w:p w14:paraId="1831499E">
                  <w:pPr>
                    <w:pStyle w:val="68"/>
                    <w:spacing w:line="240" w:lineRule="auto"/>
                    <w:ind w:firstLine="0" w:firstLineChars="0"/>
                    <w:jc w:val="center"/>
                    <w:rPr>
                      <w:rFonts w:hint="default" w:ascii="Times New Roman" w:hAnsi="Times New Roman" w:cs="Times New Roman"/>
                      <w:color w:val="000000" w:themeColor="text1"/>
                      <w:sz w:val="21"/>
                      <w:highlight w:val="none"/>
                      <w14:textFill>
                        <w14:solidFill>
                          <w14:schemeClr w14:val="tx1"/>
                        </w14:solidFill>
                      </w14:textFill>
                    </w:rPr>
                  </w:pPr>
                  <w:r>
                    <w:rPr>
                      <w:rFonts w:hint="default" w:ascii="Times New Roman" w:hAnsi="Times New Roman" w:cs="Times New Roman"/>
                      <w:color w:val="000000" w:themeColor="text1"/>
                      <w:sz w:val="21"/>
                      <w:highlight w:val="none"/>
                      <w14:textFill>
                        <w14:solidFill>
                          <w14:schemeClr w14:val="tx1"/>
                        </w14:solidFill>
                      </w14:textFill>
                    </w:rPr>
                    <w:t>普通平板玻璃，浮法平板玻璃， 压延玻璃，其他平板玻璃，不包 含光伏压延玻璃，基板玻璃</w:t>
                  </w:r>
                </w:p>
              </w:tc>
            </w:tr>
            <w:tr w14:paraId="378AB68B">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691" w:type="dxa"/>
                  <w:vMerge w:val="restart"/>
                  <w:tcBorders>
                    <w:tl2br w:val="nil"/>
                    <w:tr2bl w:val="nil"/>
                  </w:tcBorders>
                  <w:vAlign w:val="center"/>
                </w:tcPr>
                <w:p w14:paraId="1B4A5036">
                  <w:pPr>
                    <w:pStyle w:val="68"/>
                    <w:spacing w:line="240" w:lineRule="auto"/>
                    <w:ind w:firstLine="0" w:firstLineChars="0"/>
                    <w:jc w:val="center"/>
                    <w:rPr>
                      <w:rFonts w:hint="default" w:ascii="Times New Roman" w:hAnsi="Times New Roman" w:cs="Times New Roman"/>
                      <w:color w:val="000000" w:themeColor="text1"/>
                      <w:sz w:val="21"/>
                      <w:highlight w:val="none"/>
                      <w14:textFill>
                        <w14:solidFill>
                          <w14:schemeClr w14:val="tx1"/>
                        </w14:solidFill>
                      </w14:textFill>
                    </w:rPr>
                  </w:pPr>
                  <w:r>
                    <w:rPr>
                      <w:rFonts w:hint="default" w:ascii="Times New Roman" w:hAnsi="Times New Roman" w:cs="Times New Roman"/>
                      <w:color w:val="000000" w:themeColor="text1"/>
                      <w:sz w:val="21"/>
                      <w:highlight w:val="none"/>
                      <w14:textFill>
                        <w14:solidFill>
                          <w14:schemeClr w14:val="tx1"/>
                        </w14:solidFill>
                      </w14:textFill>
                    </w:rPr>
                    <w:t>8</w:t>
                  </w:r>
                </w:p>
              </w:tc>
              <w:tc>
                <w:tcPr>
                  <w:tcW w:w="876" w:type="dxa"/>
                  <w:vMerge w:val="restart"/>
                  <w:tcBorders>
                    <w:tl2br w:val="nil"/>
                    <w:tr2bl w:val="nil"/>
                  </w:tcBorders>
                  <w:vAlign w:val="center"/>
                </w:tcPr>
                <w:p w14:paraId="00D5DF0E">
                  <w:pPr>
                    <w:pStyle w:val="68"/>
                    <w:spacing w:line="240" w:lineRule="auto"/>
                    <w:ind w:firstLine="0" w:firstLineChars="0"/>
                    <w:jc w:val="center"/>
                    <w:rPr>
                      <w:rFonts w:hint="default" w:ascii="Times New Roman" w:hAnsi="Times New Roman" w:cs="Times New Roman"/>
                      <w:color w:val="000000" w:themeColor="text1"/>
                      <w:sz w:val="21"/>
                      <w:highlight w:val="none"/>
                      <w14:textFill>
                        <w14:solidFill>
                          <w14:schemeClr w14:val="tx1"/>
                        </w14:solidFill>
                      </w14:textFill>
                    </w:rPr>
                  </w:pPr>
                  <w:r>
                    <w:rPr>
                      <w:rFonts w:hint="default" w:ascii="Times New Roman" w:hAnsi="Times New Roman" w:cs="Times New Roman"/>
                      <w:color w:val="000000" w:themeColor="text1"/>
                      <w:sz w:val="21"/>
                      <w:highlight w:val="none"/>
                      <w14:textFill>
                        <w14:solidFill>
                          <w14:schemeClr w14:val="tx1"/>
                        </w14:solidFill>
                      </w14:textFill>
                    </w:rPr>
                    <w:t>煤电</w:t>
                  </w:r>
                </w:p>
              </w:tc>
              <w:tc>
                <w:tcPr>
                  <w:tcW w:w="1296" w:type="dxa"/>
                  <w:tcBorders>
                    <w:tl2br w:val="nil"/>
                    <w:tr2bl w:val="nil"/>
                  </w:tcBorders>
                  <w:vAlign w:val="center"/>
                </w:tcPr>
                <w:p w14:paraId="01DC761F">
                  <w:pPr>
                    <w:pStyle w:val="68"/>
                    <w:spacing w:line="240" w:lineRule="auto"/>
                    <w:ind w:firstLine="0" w:firstLineChars="0"/>
                    <w:jc w:val="center"/>
                    <w:rPr>
                      <w:rFonts w:hint="default" w:ascii="Times New Roman" w:hAnsi="Times New Roman" w:cs="Times New Roman"/>
                      <w:color w:val="000000" w:themeColor="text1"/>
                      <w:sz w:val="21"/>
                      <w:highlight w:val="none"/>
                      <w14:textFill>
                        <w14:solidFill>
                          <w14:schemeClr w14:val="tx1"/>
                        </w14:solidFill>
                      </w14:textFill>
                    </w:rPr>
                  </w:pPr>
                  <w:r>
                    <w:rPr>
                      <w:rFonts w:hint="default" w:ascii="Times New Roman" w:hAnsi="Times New Roman" w:cs="Times New Roman"/>
                      <w:color w:val="000000" w:themeColor="text1"/>
                      <w:sz w:val="21"/>
                      <w:highlight w:val="none"/>
                      <w14:textFill>
                        <w14:solidFill>
                          <w14:schemeClr w14:val="tx1"/>
                        </w14:solidFill>
                      </w14:textFill>
                    </w:rPr>
                    <w:t>火力发电</w:t>
                  </w:r>
                </w:p>
              </w:tc>
              <w:tc>
                <w:tcPr>
                  <w:tcW w:w="864" w:type="dxa"/>
                  <w:vMerge w:val="restart"/>
                  <w:tcBorders>
                    <w:tl2br w:val="nil"/>
                    <w:tr2bl w:val="nil"/>
                  </w:tcBorders>
                  <w:vAlign w:val="center"/>
                </w:tcPr>
                <w:p w14:paraId="6BEA6C9A">
                  <w:pPr>
                    <w:pStyle w:val="68"/>
                    <w:spacing w:line="240" w:lineRule="auto"/>
                    <w:ind w:firstLine="0" w:firstLineChars="0"/>
                    <w:jc w:val="center"/>
                    <w:rPr>
                      <w:rFonts w:hint="default" w:ascii="Times New Roman" w:hAnsi="Times New Roman" w:cs="Times New Roman"/>
                      <w:color w:val="000000" w:themeColor="text1"/>
                      <w:sz w:val="21"/>
                      <w:highlight w:val="none"/>
                      <w14:textFill>
                        <w14:solidFill>
                          <w14:schemeClr w14:val="tx1"/>
                        </w14:solidFill>
                      </w14:textFill>
                    </w:rPr>
                  </w:pPr>
                  <w:r>
                    <w:rPr>
                      <w:rFonts w:hint="default" w:ascii="Times New Roman" w:hAnsi="Times New Roman" w:cs="Times New Roman"/>
                      <w:color w:val="000000" w:themeColor="text1"/>
                      <w:sz w:val="21"/>
                      <w:highlight w:val="none"/>
                      <w14:textFill>
                        <w14:solidFill>
                          <w14:schemeClr w14:val="tx1"/>
                        </w14:solidFill>
                      </w14:textFill>
                    </w:rPr>
                    <w:t>4411</w:t>
                  </w:r>
                </w:p>
              </w:tc>
              <w:tc>
                <w:tcPr>
                  <w:tcW w:w="3200" w:type="dxa"/>
                  <w:vMerge w:val="restart"/>
                  <w:tcBorders>
                    <w:tl2br w:val="nil"/>
                    <w:tr2bl w:val="nil"/>
                  </w:tcBorders>
                  <w:vAlign w:val="center"/>
                </w:tcPr>
                <w:p w14:paraId="39D2C574">
                  <w:pPr>
                    <w:pStyle w:val="68"/>
                    <w:spacing w:line="240" w:lineRule="auto"/>
                    <w:ind w:firstLine="0" w:firstLineChars="0"/>
                    <w:jc w:val="center"/>
                    <w:rPr>
                      <w:rFonts w:hint="default" w:ascii="Times New Roman" w:hAnsi="Times New Roman" w:cs="Times New Roman"/>
                      <w:color w:val="000000" w:themeColor="text1"/>
                      <w:sz w:val="21"/>
                      <w:highlight w:val="none"/>
                      <w14:textFill>
                        <w14:solidFill>
                          <w14:schemeClr w14:val="tx1"/>
                        </w14:solidFill>
                      </w14:textFill>
                    </w:rPr>
                  </w:pPr>
                  <w:r>
                    <w:rPr>
                      <w:rFonts w:hint="default" w:ascii="Times New Roman" w:hAnsi="Times New Roman" w:cs="Times New Roman"/>
                      <w:color w:val="000000" w:themeColor="text1"/>
                      <w:sz w:val="21"/>
                      <w:highlight w:val="none"/>
                      <w14:textFill>
                        <w14:solidFill>
                          <w14:schemeClr w14:val="tx1"/>
                        </w14:solidFill>
                      </w14:textFill>
                    </w:rPr>
                    <w:t>燃煤发电，不包括既发电又提供热力的活动</w:t>
                  </w:r>
                </w:p>
              </w:tc>
            </w:tr>
            <w:tr w14:paraId="76E63A3A">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691" w:type="dxa"/>
                  <w:vMerge w:val="continue"/>
                  <w:tcBorders>
                    <w:tl2br w:val="nil"/>
                    <w:tr2bl w:val="nil"/>
                  </w:tcBorders>
                  <w:vAlign w:val="center"/>
                </w:tcPr>
                <w:p w14:paraId="7A2C4B12">
                  <w:pPr>
                    <w:pStyle w:val="68"/>
                    <w:spacing w:line="240" w:lineRule="auto"/>
                    <w:ind w:firstLine="0" w:firstLineChars="0"/>
                    <w:jc w:val="center"/>
                    <w:rPr>
                      <w:rFonts w:hint="default" w:ascii="Times New Roman" w:hAnsi="Times New Roman" w:cs="Times New Roman"/>
                      <w:color w:val="000000" w:themeColor="text1"/>
                      <w:sz w:val="21"/>
                      <w:highlight w:val="none"/>
                      <w14:textFill>
                        <w14:solidFill>
                          <w14:schemeClr w14:val="tx1"/>
                        </w14:solidFill>
                      </w14:textFill>
                    </w:rPr>
                  </w:pPr>
                </w:p>
              </w:tc>
              <w:tc>
                <w:tcPr>
                  <w:tcW w:w="876" w:type="dxa"/>
                  <w:vMerge w:val="continue"/>
                  <w:tcBorders>
                    <w:tl2br w:val="nil"/>
                    <w:tr2bl w:val="nil"/>
                  </w:tcBorders>
                  <w:vAlign w:val="center"/>
                </w:tcPr>
                <w:p w14:paraId="06E03B37">
                  <w:pPr>
                    <w:pStyle w:val="68"/>
                    <w:spacing w:line="240" w:lineRule="auto"/>
                    <w:ind w:firstLine="0" w:firstLineChars="0"/>
                    <w:jc w:val="center"/>
                    <w:rPr>
                      <w:rFonts w:hint="default" w:ascii="Times New Roman" w:hAnsi="Times New Roman" w:cs="Times New Roman"/>
                      <w:color w:val="000000" w:themeColor="text1"/>
                      <w:sz w:val="21"/>
                      <w:highlight w:val="none"/>
                      <w14:textFill>
                        <w14:solidFill>
                          <w14:schemeClr w14:val="tx1"/>
                        </w14:solidFill>
                      </w14:textFill>
                    </w:rPr>
                  </w:pPr>
                </w:p>
              </w:tc>
              <w:tc>
                <w:tcPr>
                  <w:tcW w:w="1296" w:type="dxa"/>
                  <w:tcBorders>
                    <w:tl2br w:val="nil"/>
                    <w:tr2bl w:val="nil"/>
                  </w:tcBorders>
                  <w:vAlign w:val="center"/>
                </w:tcPr>
                <w:p w14:paraId="2269E145">
                  <w:pPr>
                    <w:pStyle w:val="68"/>
                    <w:spacing w:line="240" w:lineRule="auto"/>
                    <w:ind w:firstLine="0" w:firstLineChars="0"/>
                    <w:jc w:val="center"/>
                    <w:rPr>
                      <w:rFonts w:hint="default" w:ascii="Times New Roman" w:hAnsi="Times New Roman" w:cs="Times New Roman"/>
                      <w:color w:val="000000" w:themeColor="text1"/>
                      <w:sz w:val="21"/>
                      <w:highlight w:val="none"/>
                      <w14:textFill>
                        <w14:solidFill>
                          <w14:schemeClr w14:val="tx1"/>
                        </w14:solidFill>
                      </w14:textFill>
                    </w:rPr>
                  </w:pPr>
                  <w:r>
                    <w:rPr>
                      <w:rFonts w:hint="default" w:ascii="Times New Roman" w:hAnsi="Times New Roman" w:cs="Times New Roman"/>
                      <w:color w:val="000000" w:themeColor="text1"/>
                      <w:sz w:val="21"/>
                      <w:highlight w:val="none"/>
                      <w14:textFill>
                        <w14:solidFill>
                          <w14:schemeClr w14:val="tx1"/>
                        </w14:solidFill>
                      </w14:textFill>
                    </w:rPr>
                    <w:t>热电联产</w:t>
                  </w:r>
                </w:p>
              </w:tc>
              <w:tc>
                <w:tcPr>
                  <w:tcW w:w="864" w:type="dxa"/>
                  <w:vMerge w:val="continue"/>
                  <w:tcBorders>
                    <w:tl2br w:val="nil"/>
                    <w:tr2bl w:val="nil"/>
                  </w:tcBorders>
                  <w:vAlign w:val="center"/>
                </w:tcPr>
                <w:p w14:paraId="5E97C01C">
                  <w:pPr>
                    <w:pStyle w:val="68"/>
                    <w:spacing w:line="240" w:lineRule="auto"/>
                    <w:ind w:firstLine="0" w:firstLineChars="0"/>
                    <w:jc w:val="center"/>
                    <w:rPr>
                      <w:rFonts w:hint="default" w:ascii="Times New Roman" w:hAnsi="Times New Roman" w:cs="Times New Roman"/>
                      <w:color w:val="000000" w:themeColor="text1"/>
                      <w:sz w:val="21"/>
                      <w:highlight w:val="none"/>
                      <w14:textFill>
                        <w14:solidFill>
                          <w14:schemeClr w14:val="tx1"/>
                        </w14:solidFill>
                      </w14:textFill>
                    </w:rPr>
                  </w:pPr>
                </w:p>
              </w:tc>
              <w:tc>
                <w:tcPr>
                  <w:tcW w:w="3200" w:type="dxa"/>
                  <w:vMerge w:val="continue"/>
                  <w:tcBorders>
                    <w:tl2br w:val="nil"/>
                    <w:tr2bl w:val="nil"/>
                  </w:tcBorders>
                  <w:vAlign w:val="center"/>
                </w:tcPr>
                <w:p w14:paraId="188838B2">
                  <w:pPr>
                    <w:pStyle w:val="68"/>
                    <w:spacing w:line="240" w:lineRule="auto"/>
                    <w:ind w:firstLine="0" w:firstLineChars="0"/>
                    <w:jc w:val="center"/>
                    <w:rPr>
                      <w:rFonts w:hint="default" w:ascii="Times New Roman" w:hAnsi="Times New Roman" w:cs="Times New Roman"/>
                      <w:color w:val="000000" w:themeColor="text1"/>
                      <w:sz w:val="21"/>
                      <w:highlight w:val="none"/>
                      <w14:textFill>
                        <w14:solidFill>
                          <w14:schemeClr w14:val="tx1"/>
                        </w14:solidFill>
                      </w14:textFill>
                    </w:rPr>
                  </w:pPr>
                </w:p>
              </w:tc>
            </w:tr>
            <w:tr w14:paraId="5B6B9AB0">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691" w:type="dxa"/>
                  <w:tcBorders>
                    <w:tl2br w:val="nil"/>
                    <w:tr2bl w:val="nil"/>
                  </w:tcBorders>
                  <w:vAlign w:val="center"/>
                </w:tcPr>
                <w:p w14:paraId="5B97E040">
                  <w:pPr>
                    <w:pStyle w:val="68"/>
                    <w:spacing w:line="240" w:lineRule="auto"/>
                    <w:ind w:firstLine="0" w:firstLineChars="0"/>
                    <w:jc w:val="center"/>
                    <w:rPr>
                      <w:rFonts w:hint="default" w:ascii="Times New Roman" w:hAnsi="Times New Roman" w:cs="Times New Roman"/>
                      <w:color w:val="000000" w:themeColor="text1"/>
                      <w:sz w:val="21"/>
                      <w:highlight w:val="none"/>
                      <w14:textFill>
                        <w14:solidFill>
                          <w14:schemeClr w14:val="tx1"/>
                        </w14:solidFill>
                      </w14:textFill>
                    </w:rPr>
                  </w:pPr>
                  <w:r>
                    <w:rPr>
                      <w:rFonts w:hint="default" w:ascii="Times New Roman" w:hAnsi="Times New Roman" w:cs="Times New Roman"/>
                      <w:color w:val="000000" w:themeColor="text1"/>
                      <w:sz w:val="21"/>
                      <w:highlight w:val="none"/>
                      <w14:textFill>
                        <w14:solidFill>
                          <w14:schemeClr w14:val="tx1"/>
                        </w14:solidFill>
                      </w14:textFill>
                    </w:rPr>
                    <w:t>9</w:t>
                  </w:r>
                </w:p>
              </w:tc>
              <w:tc>
                <w:tcPr>
                  <w:tcW w:w="876" w:type="dxa"/>
                  <w:tcBorders>
                    <w:tl2br w:val="nil"/>
                    <w:tr2bl w:val="nil"/>
                  </w:tcBorders>
                  <w:vAlign w:val="center"/>
                </w:tcPr>
                <w:p w14:paraId="2144719E">
                  <w:pPr>
                    <w:pStyle w:val="68"/>
                    <w:spacing w:line="240" w:lineRule="auto"/>
                    <w:ind w:firstLine="0" w:firstLineChars="0"/>
                    <w:jc w:val="center"/>
                    <w:rPr>
                      <w:rFonts w:hint="default" w:ascii="Times New Roman" w:hAnsi="Times New Roman" w:cs="Times New Roman"/>
                      <w:color w:val="000000" w:themeColor="text1"/>
                      <w:sz w:val="21"/>
                      <w:highlight w:val="none"/>
                      <w14:textFill>
                        <w14:solidFill>
                          <w14:schemeClr w14:val="tx1"/>
                        </w14:solidFill>
                      </w14:textFill>
                    </w:rPr>
                  </w:pPr>
                  <w:r>
                    <w:rPr>
                      <w:rFonts w:hint="default" w:ascii="Times New Roman" w:hAnsi="Times New Roman" w:cs="Times New Roman"/>
                      <w:color w:val="000000" w:themeColor="text1"/>
                      <w:sz w:val="21"/>
                      <w:highlight w:val="none"/>
                      <w14:textFill>
                        <w14:solidFill>
                          <w14:schemeClr w14:val="tx1"/>
                        </w14:solidFill>
                      </w14:textFill>
                    </w:rPr>
                    <w:t>炼化</w:t>
                  </w:r>
                </w:p>
              </w:tc>
              <w:tc>
                <w:tcPr>
                  <w:tcW w:w="1296" w:type="dxa"/>
                  <w:tcBorders>
                    <w:tl2br w:val="nil"/>
                    <w:tr2bl w:val="nil"/>
                  </w:tcBorders>
                  <w:vAlign w:val="center"/>
                </w:tcPr>
                <w:p w14:paraId="08D7C7EC">
                  <w:pPr>
                    <w:pStyle w:val="68"/>
                    <w:spacing w:line="240" w:lineRule="auto"/>
                    <w:ind w:firstLine="0" w:firstLineChars="0"/>
                    <w:jc w:val="center"/>
                    <w:rPr>
                      <w:rFonts w:hint="default" w:ascii="Times New Roman" w:hAnsi="Times New Roman" w:cs="Times New Roman"/>
                      <w:color w:val="000000" w:themeColor="text1"/>
                      <w:sz w:val="21"/>
                      <w:highlight w:val="none"/>
                      <w14:textFill>
                        <w14:solidFill>
                          <w14:schemeClr w14:val="tx1"/>
                        </w14:solidFill>
                      </w14:textFill>
                    </w:rPr>
                  </w:pPr>
                  <w:r>
                    <w:rPr>
                      <w:rFonts w:hint="default" w:ascii="Times New Roman" w:hAnsi="Times New Roman" w:cs="Times New Roman"/>
                      <w:color w:val="000000" w:themeColor="text1"/>
                      <w:sz w:val="21"/>
                      <w:highlight w:val="none"/>
                      <w14:textFill>
                        <w14:solidFill>
                          <w14:schemeClr w14:val="tx1"/>
                        </w14:solidFill>
                      </w14:textFill>
                    </w:rPr>
                    <w:t>原油加工及石油制品制造</w:t>
                  </w:r>
                </w:p>
              </w:tc>
              <w:tc>
                <w:tcPr>
                  <w:tcW w:w="864" w:type="dxa"/>
                  <w:tcBorders>
                    <w:tl2br w:val="nil"/>
                    <w:tr2bl w:val="nil"/>
                  </w:tcBorders>
                  <w:vAlign w:val="center"/>
                </w:tcPr>
                <w:p w14:paraId="4EBA5B29">
                  <w:pPr>
                    <w:pStyle w:val="68"/>
                    <w:spacing w:line="240" w:lineRule="auto"/>
                    <w:ind w:firstLine="0" w:firstLineChars="0"/>
                    <w:jc w:val="center"/>
                    <w:rPr>
                      <w:rFonts w:hint="default" w:ascii="Times New Roman" w:hAnsi="Times New Roman" w:cs="Times New Roman"/>
                      <w:color w:val="000000" w:themeColor="text1"/>
                      <w:sz w:val="21"/>
                      <w:highlight w:val="none"/>
                      <w14:textFill>
                        <w14:solidFill>
                          <w14:schemeClr w14:val="tx1"/>
                        </w14:solidFill>
                      </w14:textFill>
                    </w:rPr>
                  </w:pPr>
                  <w:r>
                    <w:rPr>
                      <w:rFonts w:hint="default" w:ascii="Times New Roman" w:hAnsi="Times New Roman" w:cs="Times New Roman"/>
                      <w:color w:val="000000" w:themeColor="text1"/>
                      <w:sz w:val="21"/>
                      <w:highlight w:val="none"/>
                      <w14:textFill>
                        <w14:solidFill>
                          <w14:schemeClr w14:val="tx1"/>
                        </w14:solidFill>
                      </w14:textFill>
                    </w:rPr>
                    <w:t>2523</w:t>
                  </w:r>
                </w:p>
              </w:tc>
              <w:tc>
                <w:tcPr>
                  <w:tcW w:w="3200" w:type="dxa"/>
                  <w:tcBorders>
                    <w:tl2br w:val="nil"/>
                    <w:tr2bl w:val="nil"/>
                  </w:tcBorders>
                  <w:vAlign w:val="center"/>
                </w:tcPr>
                <w:p w14:paraId="6DB5C364">
                  <w:pPr>
                    <w:pStyle w:val="68"/>
                    <w:spacing w:line="240" w:lineRule="auto"/>
                    <w:ind w:firstLine="0" w:firstLineChars="0"/>
                    <w:jc w:val="center"/>
                    <w:rPr>
                      <w:rFonts w:hint="default" w:ascii="Times New Roman" w:hAnsi="Times New Roman" w:cs="Times New Roman"/>
                      <w:color w:val="000000" w:themeColor="text1"/>
                      <w:sz w:val="21"/>
                      <w:highlight w:val="none"/>
                      <w14:textFill>
                        <w14:solidFill>
                          <w14:schemeClr w14:val="tx1"/>
                        </w14:solidFill>
                      </w14:textFill>
                    </w:rPr>
                  </w:pPr>
                  <w:r>
                    <w:rPr>
                      <w:rFonts w:hint="default" w:ascii="Times New Roman" w:hAnsi="Times New Roman" w:cs="Times New Roman"/>
                      <w:color w:val="000000" w:themeColor="text1"/>
                      <w:sz w:val="21"/>
                      <w:highlight w:val="none"/>
                      <w14:textFill>
                        <w14:solidFill>
                          <w14:schemeClr w14:val="tx1"/>
                        </w14:solidFill>
                      </w14:textFill>
                    </w:rPr>
                    <w:t>汽油，煤油，柴油，燃料油，石脑油，溶剂油，润滑油，液体石蜡，石油气，矿物蜡及合成法制 类似产品，油类残渣</w:t>
                  </w:r>
                </w:p>
              </w:tc>
            </w:tr>
            <w:tr w14:paraId="5D6F2925">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691" w:type="dxa"/>
                  <w:tcBorders>
                    <w:tl2br w:val="nil"/>
                    <w:tr2bl w:val="nil"/>
                  </w:tcBorders>
                  <w:vAlign w:val="center"/>
                </w:tcPr>
                <w:p w14:paraId="3C84048C">
                  <w:pPr>
                    <w:pStyle w:val="68"/>
                    <w:spacing w:line="240" w:lineRule="auto"/>
                    <w:ind w:firstLine="0" w:firstLineChars="0"/>
                    <w:jc w:val="center"/>
                    <w:rPr>
                      <w:rFonts w:hint="default" w:ascii="Times New Roman" w:hAnsi="Times New Roman" w:cs="Times New Roman"/>
                      <w:color w:val="000000" w:themeColor="text1"/>
                      <w:sz w:val="21"/>
                      <w:highlight w:val="none"/>
                      <w14:textFill>
                        <w14:solidFill>
                          <w14:schemeClr w14:val="tx1"/>
                        </w14:solidFill>
                      </w14:textFill>
                    </w:rPr>
                  </w:pPr>
                  <w:r>
                    <w:rPr>
                      <w:rFonts w:hint="default" w:ascii="Times New Roman" w:hAnsi="Times New Roman" w:cs="Times New Roman"/>
                      <w:color w:val="000000" w:themeColor="text1"/>
                      <w:sz w:val="21"/>
                      <w:highlight w:val="none"/>
                      <w14:textFill>
                        <w14:solidFill>
                          <w14:schemeClr w14:val="tx1"/>
                        </w14:solidFill>
                      </w14:textFill>
                    </w:rPr>
                    <w:t>10</w:t>
                  </w:r>
                </w:p>
              </w:tc>
              <w:tc>
                <w:tcPr>
                  <w:tcW w:w="876" w:type="dxa"/>
                  <w:tcBorders>
                    <w:tl2br w:val="nil"/>
                    <w:tr2bl w:val="nil"/>
                  </w:tcBorders>
                  <w:vAlign w:val="center"/>
                </w:tcPr>
                <w:p w14:paraId="13E2BB87">
                  <w:pPr>
                    <w:pStyle w:val="68"/>
                    <w:spacing w:line="240" w:lineRule="auto"/>
                    <w:ind w:firstLine="0" w:firstLineChars="0"/>
                    <w:jc w:val="center"/>
                    <w:rPr>
                      <w:rFonts w:hint="default" w:ascii="Times New Roman" w:hAnsi="Times New Roman" w:cs="Times New Roman"/>
                      <w:color w:val="000000" w:themeColor="text1"/>
                      <w:sz w:val="21"/>
                      <w:highlight w:val="none"/>
                      <w14:textFill>
                        <w14:solidFill>
                          <w14:schemeClr w14:val="tx1"/>
                        </w14:solidFill>
                      </w14:textFill>
                    </w:rPr>
                  </w:pPr>
                  <w:r>
                    <w:rPr>
                      <w:rFonts w:hint="default" w:ascii="Times New Roman" w:hAnsi="Times New Roman" w:cs="Times New Roman"/>
                      <w:color w:val="000000" w:themeColor="text1"/>
                      <w:sz w:val="21"/>
                      <w:highlight w:val="none"/>
                      <w14:textFill>
                        <w14:solidFill>
                          <w14:schemeClr w14:val="tx1"/>
                        </w14:solidFill>
                      </w14:textFill>
                    </w:rPr>
                    <w:t>甲醇</w:t>
                  </w:r>
                </w:p>
              </w:tc>
              <w:tc>
                <w:tcPr>
                  <w:tcW w:w="1296" w:type="dxa"/>
                  <w:tcBorders>
                    <w:tl2br w:val="nil"/>
                    <w:tr2bl w:val="nil"/>
                  </w:tcBorders>
                  <w:vAlign w:val="center"/>
                </w:tcPr>
                <w:p w14:paraId="256B9263">
                  <w:pPr>
                    <w:pStyle w:val="68"/>
                    <w:spacing w:line="240" w:lineRule="auto"/>
                    <w:ind w:firstLine="0" w:firstLineChars="0"/>
                    <w:jc w:val="center"/>
                    <w:rPr>
                      <w:rFonts w:hint="default" w:ascii="Times New Roman" w:hAnsi="Times New Roman" w:cs="Times New Roman"/>
                      <w:color w:val="000000" w:themeColor="text1"/>
                      <w:sz w:val="21"/>
                      <w:highlight w:val="none"/>
                      <w14:textFill>
                        <w14:solidFill>
                          <w14:schemeClr w14:val="tx1"/>
                        </w14:solidFill>
                      </w14:textFill>
                    </w:rPr>
                  </w:pPr>
                  <w:r>
                    <w:rPr>
                      <w:rFonts w:hint="default" w:ascii="Times New Roman" w:hAnsi="Times New Roman" w:cs="Times New Roman"/>
                      <w:color w:val="000000" w:themeColor="text1"/>
                      <w:sz w:val="21"/>
                      <w:highlight w:val="none"/>
                      <w14:textFill>
                        <w14:solidFill>
                          <w14:schemeClr w14:val="tx1"/>
                        </w14:solidFill>
                      </w14:textFill>
                    </w:rPr>
                    <w:t>煤制液体燃料生产</w:t>
                  </w:r>
                </w:p>
              </w:tc>
              <w:tc>
                <w:tcPr>
                  <w:tcW w:w="864" w:type="dxa"/>
                  <w:tcBorders>
                    <w:tl2br w:val="nil"/>
                    <w:tr2bl w:val="nil"/>
                  </w:tcBorders>
                  <w:vAlign w:val="center"/>
                </w:tcPr>
                <w:p w14:paraId="54FBD7F1">
                  <w:pPr>
                    <w:pStyle w:val="68"/>
                    <w:spacing w:line="240" w:lineRule="auto"/>
                    <w:ind w:firstLine="0" w:firstLineChars="0"/>
                    <w:jc w:val="center"/>
                    <w:rPr>
                      <w:rFonts w:hint="default" w:ascii="Times New Roman" w:hAnsi="Times New Roman" w:cs="Times New Roman"/>
                      <w:color w:val="000000" w:themeColor="text1"/>
                      <w:sz w:val="21"/>
                      <w:highlight w:val="none"/>
                      <w14:textFill>
                        <w14:solidFill>
                          <w14:schemeClr w14:val="tx1"/>
                        </w14:solidFill>
                      </w14:textFill>
                    </w:rPr>
                  </w:pPr>
                  <w:r>
                    <w:rPr>
                      <w:rFonts w:hint="default" w:ascii="Times New Roman" w:hAnsi="Times New Roman" w:cs="Times New Roman"/>
                      <w:color w:val="000000" w:themeColor="text1"/>
                      <w:sz w:val="21"/>
                      <w:highlight w:val="none"/>
                      <w14:textFill>
                        <w14:solidFill>
                          <w14:schemeClr w14:val="tx1"/>
                        </w14:solidFill>
                      </w14:textFill>
                    </w:rPr>
                    <w:t>2523</w:t>
                  </w:r>
                </w:p>
              </w:tc>
              <w:tc>
                <w:tcPr>
                  <w:tcW w:w="3200" w:type="dxa"/>
                  <w:tcBorders>
                    <w:tl2br w:val="nil"/>
                    <w:tr2bl w:val="nil"/>
                  </w:tcBorders>
                  <w:vAlign w:val="center"/>
                </w:tcPr>
                <w:p w14:paraId="3CACCBDC">
                  <w:pPr>
                    <w:pStyle w:val="68"/>
                    <w:spacing w:line="240" w:lineRule="auto"/>
                    <w:ind w:firstLine="0" w:firstLineChars="0"/>
                    <w:jc w:val="center"/>
                    <w:rPr>
                      <w:rFonts w:hint="default" w:ascii="Times New Roman" w:hAnsi="Times New Roman" w:cs="Times New Roman"/>
                      <w:color w:val="000000" w:themeColor="text1"/>
                      <w:sz w:val="21"/>
                      <w:highlight w:val="none"/>
                      <w14:textFill>
                        <w14:solidFill>
                          <w14:schemeClr w14:val="tx1"/>
                        </w14:solidFill>
                      </w14:textFill>
                    </w:rPr>
                  </w:pPr>
                  <w:r>
                    <w:rPr>
                      <w:rFonts w:hint="default" w:ascii="Times New Roman" w:hAnsi="Times New Roman" w:cs="Times New Roman"/>
                      <w:color w:val="000000" w:themeColor="text1"/>
                      <w:sz w:val="21"/>
                      <w:highlight w:val="none"/>
                      <w14:textFill>
                        <w14:solidFill>
                          <w14:schemeClr w14:val="tx1"/>
                        </w14:solidFill>
                      </w14:textFill>
                    </w:rPr>
                    <w:t>煤制甲醇</w:t>
                  </w:r>
                </w:p>
              </w:tc>
            </w:tr>
            <w:tr w14:paraId="63C67F37">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691" w:type="dxa"/>
                  <w:tcBorders>
                    <w:tl2br w:val="nil"/>
                    <w:tr2bl w:val="nil"/>
                  </w:tcBorders>
                  <w:vAlign w:val="center"/>
                </w:tcPr>
                <w:p w14:paraId="1718477E">
                  <w:pPr>
                    <w:pStyle w:val="68"/>
                    <w:spacing w:line="240" w:lineRule="auto"/>
                    <w:ind w:firstLine="0" w:firstLineChars="0"/>
                    <w:jc w:val="center"/>
                    <w:rPr>
                      <w:rFonts w:hint="default" w:ascii="Times New Roman" w:hAnsi="Times New Roman" w:cs="Times New Roman"/>
                      <w:color w:val="000000" w:themeColor="text1"/>
                      <w:sz w:val="21"/>
                      <w:highlight w:val="none"/>
                      <w14:textFill>
                        <w14:solidFill>
                          <w14:schemeClr w14:val="tx1"/>
                        </w14:solidFill>
                      </w14:textFill>
                    </w:rPr>
                  </w:pPr>
                  <w:r>
                    <w:rPr>
                      <w:rFonts w:hint="default" w:ascii="Times New Roman" w:hAnsi="Times New Roman" w:cs="Times New Roman"/>
                      <w:color w:val="000000" w:themeColor="text1"/>
                      <w:sz w:val="21"/>
                      <w:highlight w:val="none"/>
                      <w14:textFill>
                        <w14:solidFill>
                          <w14:schemeClr w14:val="tx1"/>
                        </w14:solidFill>
                      </w14:textFill>
                    </w:rPr>
                    <w:t>11</w:t>
                  </w:r>
                </w:p>
              </w:tc>
              <w:tc>
                <w:tcPr>
                  <w:tcW w:w="876" w:type="dxa"/>
                  <w:tcBorders>
                    <w:tl2br w:val="nil"/>
                    <w:tr2bl w:val="nil"/>
                  </w:tcBorders>
                  <w:vAlign w:val="center"/>
                </w:tcPr>
                <w:p w14:paraId="464382CF">
                  <w:pPr>
                    <w:pStyle w:val="68"/>
                    <w:spacing w:line="240" w:lineRule="auto"/>
                    <w:ind w:firstLine="0" w:firstLineChars="0"/>
                    <w:jc w:val="center"/>
                    <w:rPr>
                      <w:rFonts w:hint="default" w:ascii="Times New Roman" w:hAnsi="Times New Roman" w:cs="Times New Roman"/>
                      <w:color w:val="000000" w:themeColor="text1"/>
                      <w:sz w:val="21"/>
                      <w:highlight w:val="none"/>
                      <w14:textFill>
                        <w14:solidFill>
                          <w14:schemeClr w14:val="tx1"/>
                        </w14:solidFill>
                      </w14:textFill>
                    </w:rPr>
                  </w:pPr>
                  <w:r>
                    <w:rPr>
                      <w:rFonts w:hint="default" w:ascii="Times New Roman" w:hAnsi="Times New Roman" w:cs="Times New Roman"/>
                      <w:color w:val="000000" w:themeColor="text1"/>
                      <w:sz w:val="21"/>
                      <w:highlight w:val="none"/>
                      <w14:textFill>
                        <w14:solidFill>
                          <w14:schemeClr w14:val="tx1"/>
                        </w14:solidFill>
                      </w14:textFill>
                    </w:rPr>
                    <w:t>焦化</w:t>
                  </w:r>
                </w:p>
              </w:tc>
              <w:tc>
                <w:tcPr>
                  <w:tcW w:w="1296" w:type="dxa"/>
                  <w:tcBorders>
                    <w:tl2br w:val="nil"/>
                    <w:tr2bl w:val="nil"/>
                  </w:tcBorders>
                  <w:vAlign w:val="center"/>
                </w:tcPr>
                <w:p w14:paraId="2BD68E75">
                  <w:pPr>
                    <w:pStyle w:val="68"/>
                    <w:spacing w:line="240" w:lineRule="auto"/>
                    <w:ind w:firstLine="0" w:firstLineChars="0"/>
                    <w:jc w:val="center"/>
                    <w:rPr>
                      <w:rFonts w:hint="default" w:ascii="Times New Roman" w:hAnsi="Times New Roman" w:cs="Times New Roman"/>
                      <w:color w:val="000000" w:themeColor="text1"/>
                      <w:sz w:val="21"/>
                      <w:highlight w:val="none"/>
                      <w14:textFill>
                        <w14:solidFill>
                          <w14:schemeClr w14:val="tx1"/>
                        </w14:solidFill>
                      </w14:textFill>
                    </w:rPr>
                  </w:pPr>
                  <w:r>
                    <w:rPr>
                      <w:rFonts w:hint="default" w:ascii="Times New Roman" w:hAnsi="Times New Roman" w:cs="Times New Roman"/>
                      <w:color w:val="000000" w:themeColor="text1"/>
                      <w:sz w:val="21"/>
                      <w:highlight w:val="none"/>
                      <w14:textFill>
                        <w14:solidFill>
                          <w14:schemeClr w14:val="tx1"/>
                        </w14:solidFill>
                      </w14:textFill>
                    </w:rPr>
                    <w:t>炼焦</w:t>
                  </w:r>
                </w:p>
              </w:tc>
              <w:tc>
                <w:tcPr>
                  <w:tcW w:w="864" w:type="dxa"/>
                  <w:tcBorders>
                    <w:tl2br w:val="nil"/>
                    <w:tr2bl w:val="nil"/>
                  </w:tcBorders>
                  <w:vAlign w:val="center"/>
                </w:tcPr>
                <w:p w14:paraId="1A78DDAF">
                  <w:pPr>
                    <w:pStyle w:val="68"/>
                    <w:spacing w:line="240" w:lineRule="auto"/>
                    <w:ind w:firstLine="0" w:firstLineChars="0"/>
                    <w:jc w:val="center"/>
                    <w:rPr>
                      <w:rFonts w:hint="default" w:ascii="Times New Roman" w:hAnsi="Times New Roman" w:cs="Times New Roman"/>
                      <w:color w:val="000000" w:themeColor="text1"/>
                      <w:sz w:val="21"/>
                      <w:highlight w:val="none"/>
                      <w14:textFill>
                        <w14:solidFill>
                          <w14:schemeClr w14:val="tx1"/>
                        </w14:solidFill>
                      </w14:textFill>
                    </w:rPr>
                  </w:pPr>
                  <w:r>
                    <w:rPr>
                      <w:rFonts w:hint="default" w:ascii="Times New Roman" w:hAnsi="Times New Roman" w:cs="Times New Roman"/>
                      <w:color w:val="000000" w:themeColor="text1"/>
                      <w:sz w:val="21"/>
                      <w:highlight w:val="none"/>
                      <w14:textFill>
                        <w14:solidFill>
                          <w14:schemeClr w14:val="tx1"/>
                        </w14:solidFill>
                      </w14:textFill>
                    </w:rPr>
                    <w:t>2521</w:t>
                  </w:r>
                </w:p>
              </w:tc>
              <w:tc>
                <w:tcPr>
                  <w:tcW w:w="3200" w:type="dxa"/>
                  <w:tcBorders>
                    <w:tl2br w:val="nil"/>
                    <w:tr2bl w:val="nil"/>
                  </w:tcBorders>
                  <w:vAlign w:val="center"/>
                </w:tcPr>
                <w:p w14:paraId="4DEDFD58">
                  <w:pPr>
                    <w:pStyle w:val="68"/>
                    <w:spacing w:line="240" w:lineRule="auto"/>
                    <w:ind w:firstLine="0" w:firstLineChars="0"/>
                    <w:jc w:val="center"/>
                    <w:rPr>
                      <w:rFonts w:hint="default" w:ascii="Times New Roman" w:hAnsi="Times New Roman" w:cs="Times New Roman"/>
                      <w:color w:val="000000" w:themeColor="text1"/>
                      <w:sz w:val="21"/>
                      <w:highlight w:val="none"/>
                      <w14:textFill>
                        <w14:solidFill>
                          <w14:schemeClr w14:val="tx1"/>
                        </w14:solidFill>
                      </w14:textFill>
                    </w:rPr>
                  </w:pPr>
                  <w:r>
                    <w:rPr>
                      <w:rFonts w:hint="default" w:ascii="Times New Roman" w:hAnsi="Times New Roman" w:cs="Times New Roman"/>
                      <w:color w:val="000000" w:themeColor="text1"/>
                      <w:sz w:val="21"/>
                      <w:highlight w:val="none"/>
                      <w14:textFill>
                        <w14:solidFill>
                          <w14:schemeClr w14:val="tx1"/>
                        </w14:solidFill>
                      </w14:textFill>
                    </w:rPr>
                    <w:t>煤质焦炭，石油焦（焦炭类）， 沥青焦，其他原料生产焦炭，机 焦，型焦，土焦，半焦炭，其他工艺生产焦炭，矿物油焦</w:t>
                  </w:r>
                </w:p>
              </w:tc>
            </w:tr>
            <w:tr w14:paraId="1C9DB996">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691" w:type="dxa"/>
                  <w:tcBorders>
                    <w:tl2br w:val="nil"/>
                    <w:tr2bl w:val="nil"/>
                  </w:tcBorders>
                  <w:vAlign w:val="center"/>
                </w:tcPr>
                <w:p w14:paraId="1BF50F00">
                  <w:pPr>
                    <w:pStyle w:val="68"/>
                    <w:spacing w:line="240" w:lineRule="auto"/>
                    <w:ind w:firstLine="0" w:firstLineChars="0"/>
                    <w:jc w:val="center"/>
                    <w:rPr>
                      <w:rFonts w:hint="default" w:ascii="Times New Roman" w:hAnsi="Times New Roman" w:cs="Times New Roman"/>
                      <w:color w:val="000000" w:themeColor="text1"/>
                      <w:sz w:val="21"/>
                      <w:highlight w:val="none"/>
                      <w14:textFill>
                        <w14:solidFill>
                          <w14:schemeClr w14:val="tx1"/>
                        </w14:solidFill>
                      </w14:textFill>
                    </w:rPr>
                  </w:pPr>
                  <w:r>
                    <w:rPr>
                      <w:rFonts w:hint="default" w:ascii="Times New Roman" w:hAnsi="Times New Roman" w:cs="Times New Roman"/>
                      <w:color w:val="000000" w:themeColor="text1"/>
                      <w:sz w:val="21"/>
                      <w:highlight w:val="none"/>
                      <w14:textFill>
                        <w14:solidFill>
                          <w14:schemeClr w14:val="tx1"/>
                        </w14:solidFill>
                      </w14:textFill>
                    </w:rPr>
                    <w:t>12</w:t>
                  </w:r>
                </w:p>
              </w:tc>
              <w:tc>
                <w:tcPr>
                  <w:tcW w:w="876" w:type="dxa"/>
                  <w:tcBorders>
                    <w:tl2br w:val="nil"/>
                    <w:tr2bl w:val="nil"/>
                  </w:tcBorders>
                  <w:vAlign w:val="center"/>
                </w:tcPr>
                <w:p w14:paraId="7E4AD637">
                  <w:pPr>
                    <w:pStyle w:val="68"/>
                    <w:spacing w:line="240" w:lineRule="auto"/>
                    <w:ind w:firstLine="0" w:firstLineChars="0"/>
                    <w:jc w:val="center"/>
                    <w:rPr>
                      <w:rFonts w:hint="default" w:ascii="Times New Roman" w:hAnsi="Times New Roman" w:cs="Times New Roman"/>
                      <w:color w:val="000000" w:themeColor="text1"/>
                      <w:sz w:val="21"/>
                      <w:highlight w:val="none"/>
                      <w14:textFill>
                        <w14:solidFill>
                          <w14:schemeClr w14:val="tx1"/>
                        </w14:solidFill>
                      </w14:textFill>
                    </w:rPr>
                  </w:pPr>
                  <w:r>
                    <w:rPr>
                      <w:rFonts w:hint="default" w:ascii="Times New Roman" w:hAnsi="Times New Roman" w:cs="Times New Roman"/>
                      <w:color w:val="000000" w:themeColor="text1"/>
                      <w:sz w:val="21"/>
                      <w:highlight w:val="none"/>
                      <w14:textFill>
                        <w14:solidFill>
                          <w14:schemeClr w14:val="tx1"/>
                        </w14:solidFill>
                      </w14:textFill>
                    </w:rPr>
                    <w:t>氮肥</w:t>
                  </w:r>
                </w:p>
              </w:tc>
              <w:tc>
                <w:tcPr>
                  <w:tcW w:w="1296" w:type="dxa"/>
                  <w:tcBorders>
                    <w:tl2br w:val="nil"/>
                    <w:tr2bl w:val="nil"/>
                  </w:tcBorders>
                  <w:vAlign w:val="center"/>
                </w:tcPr>
                <w:p w14:paraId="78C13F5A">
                  <w:pPr>
                    <w:pStyle w:val="68"/>
                    <w:spacing w:line="240" w:lineRule="auto"/>
                    <w:ind w:firstLine="0" w:firstLineChars="0"/>
                    <w:jc w:val="center"/>
                    <w:rPr>
                      <w:rFonts w:hint="default" w:ascii="Times New Roman" w:hAnsi="Times New Roman" w:cs="Times New Roman"/>
                      <w:color w:val="000000" w:themeColor="text1"/>
                      <w:sz w:val="21"/>
                      <w:highlight w:val="none"/>
                      <w14:textFill>
                        <w14:solidFill>
                          <w14:schemeClr w14:val="tx1"/>
                        </w14:solidFill>
                      </w14:textFill>
                    </w:rPr>
                  </w:pPr>
                  <w:r>
                    <w:rPr>
                      <w:rFonts w:hint="default" w:ascii="Times New Roman" w:hAnsi="Times New Roman" w:cs="Times New Roman"/>
                      <w:color w:val="000000" w:themeColor="text1"/>
                      <w:sz w:val="21"/>
                      <w:highlight w:val="none"/>
                      <w14:textFill>
                        <w14:solidFill>
                          <w14:schemeClr w14:val="tx1"/>
                        </w14:solidFill>
                      </w14:textFill>
                    </w:rPr>
                    <w:t>氮肥制造</w:t>
                  </w:r>
                </w:p>
              </w:tc>
              <w:tc>
                <w:tcPr>
                  <w:tcW w:w="864" w:type="dxa"/>
                  <w:tcBorders>
                    <w:tl2br w:val="nil"/>
                    <w:tr2bl w:val="nil"/>
                  </w:tcBorders>
                  <w:vAlign w:val="center"/>
                </w:tcPr>
                <w:p w14:paraId="5B218852">
                  <w:pPr>
                    <w:pStyle w:val="68"/>
                    <w:spacing w:line="240" w:lineRule="auto"/>
                    <w:ind w:firstLine="0" w:firstLineChars="0"/>
                    <w:jc w:val="center"/>
                    <w:rPr>
                      <w:rFonts w:hint="default" w:ascii="Times New Roman" w:hAnsi="Times New Roman" w:cs="Times New Roman"/>
                      <w:color w:val="000000" w:themeColor="text1"/>
                      <w:sz w:val="21"/>
                      <w:highlight w:val="none"/>
                      <w14:textFill>
                        <w14:solidFill>
                          <w14:schemeClr w14:val="tx1"/>
                        </w14:solidFill>
                      </w14:textFill>
                    </w:rPr>
                  </w:pPr>
                  <w:r>
                    <w:rPr>
                      <w:rFonts w:hint="default" w:ascii="Times New Roman" w:hAnsi="Times New Roman" w:cs="Times New Roman"/>
                      <w:color w:val="000000" w:themeColor="text1"/>
                      <w:sz w:val="21"/>
                      <w:highlight w:val="none"/>
                      <w14:textFill>
                        <w14:solidFill>
                          <w14:schemeClr w14:val="tx1"/>
                        </w14:solidFill>
                      </w14:textFill>
                    </w:rPr>
                    <w:t>2621</w:t>
                  </w:r>
                </w:p>
              </w:tc>
              <w:tc>
                <w:tcPr>
                  <w:tcW w:w="3200" w:type="dxa"/>
                  <w:tcBorders>
                    <w:tl2br w:val="nil"/>
                    <w:tr2bl w:val="nil"/>
                  </w:tcBorders>
                  <w:vAlign w:val="center"/>
                </w:tcPr>
                <w:p w14:paraId="69D04230">
                  <w:pPr>
                    <w:pStyle w:val="68"/>
                    <w:spacing w:line="240" w:lineRule="auto"/>
                    <w:ind w:firstLine="0" w:firstLineChars="0"/>
                    <w:jc w:val="center"/>
                    <w:rPr>
                      <w:rFonts w:hint="default" w:ascii="Times New Roman" w:hAnsi="Times New Roman" w:cs="Times New Roman"/>
                      <w:color w:val="000000" w:themeColor="text1"/>
                      <w:sz w:val="21"/>
                      <w:highlight w:val="none"/>
                      <w14:textFill>
                        <w14:solidFill>
                          <w14:schemeClr w14:val="tx1"/>
                        </w14:solidFill>
                      </w14:textFill>
                    </w:rPr>
                  </w:pPr>
                  <w:r>
                    <w:rPr>
                      <w:rFonts w:hint="default" w:ascii="Times New Roman" w:hAnsi="Times New Roman" w:cs="Times New Roman"/>
                      <w:color w:val="000000" w:themeColor="text1"/>
                      <w:sz w:val="21"/>
                      <w:highlight w:val="none"/>
                      <w14:textFill>
                        <w14:solidFill>
                          <w14:schemeClr w14:val="tx1"/>
                        </w14:solidFill>
                      </w14:textFill>
                    </w:rPr>
                    <w:t>氨及氨水，氨肥（含尿素）</w:t>
                  </w:r>
                </w:p>
              </w:tc>
            </w:tr>
            <w:tr w14:paraId="177FEAD2">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691" w:type="dxa"/>
                  <w:tcBorders>
                    <w:tl2br w:val="nil"/>
                    <w:tr2bl w:val="nil"/>
                  </w:tcBorders>
                  <w:vAlign w:val="center"/>
                </w:tcPr>
                <w:p w14:paraId="6CAC8C62">
                  <w:pPr>
                    <w:pStyle w:val="68"/>
                    <w:spacing w:line="240" w:lineRule="auto"/>
                    <w:ind w:firstLine="0" w:firstLineChars="0"/>
                    <w:jc w:val="center"/>
                    <w:rPr>
                      <w:rFonts w:hint="default" w:ascii="Times New Roman" w:hAnsi="Times New Roman" w:cs="Times New Roman"/>
                      <w:color w:val="000000" w:themeColor="text1"/>
                      <w:sz w:val="21"/>
                      <w:highlight w:val="none"/>
                      <w14:textFill>
                        <w14:solidFill>
                          <w14:schemeClr w14:val="tx1"/>
                        </w14:solidFill>
                      </w14:textFill>
                    </w:rPr>
                  </w:pPr>
                  <w:r>
                    <w:rPr>
                      <w:rFonts w:hint="default" w:ascii="Times New Roman" w:hAnsi="Times New Roman" w:cs="Times New Roman"/>
                      <w:color w:val="000000" w:themeColor="text1"/>
                      <w:sz w:val="21"/>
                      <w:highlight w:val="none"/>
                      <w14:textFill>
                        <w14:solidFill>
                          <w14:schemeClr w14:val="tx1"/>
                        </w14:solidFill>
                      </w14:textFill>
                    </w:rPr>
                    <w:t>13</w:t>
                  </w:r>
                </w:p>
              </w:tc>
              <w:tc>
                <w:tcPr>
                  <w:tcW w:w="876" w:type="dxa"/>
                  <w:tcBorders>
                    <w:tl2br w:val="nil"/>
                    <w:tr2bl w:val="nil"/>
                  </w:tcBorders>
                  <w:vAlign w:val="center"/>
                </w:tcPr>
                <w:p w14:paraId="49427073">
                  <w:pPr>
                    <w:pStyle w:val="68"/>
                    <w:spacing w:line="240" w:lineRule="auto"/>
                    <w:ind w:firstLine="0" w:firstLineChars="0"/>
                    <w:jc w:val="center"/>
                    <w:rPr>
                      <w:rFonts w:hint="default" w:ascii="Times New Roman" w:hAnsi="Times New Roman" w:cs="Times New Roman"/>
                      <w:color w:val="000000" w:themeColor="text1"/>
                      <w:sz w:val="21"/>
                      <w:highlight w:val="none"/>
                      <w14:textFill>
                        <w14:solidFill>
                          <w14:schemeClr w14:val="tx1"/>
                        </w14:solidFill>
                      </w14:textFill>
                    </w:rPr>
                  </w:pPr>
                  <w:r>
                    <w:rPr>
                      <w:rFonts w:hint="default" w:ascii="Times New Roman" w:hAnsi="Times New Roman" w:cs="Times New Roman"/>
                      <w:color w:val="000000" w:themeColor="text1"/>
                      <w:sz w:val="21"/>
                      <w:highlight w:val="none"/>
                      <w14:textFill>
                        <w14:solidFill>
                          <w14:schemeClr w14:val="tx1"/>
                        </w14:solidFill>
                      </w14:textFill>
                    </w:rPr>
                    <w:t>醋酸</w:t>
                  </w:r>
                </w:p>
              </w:tc>
              <w:tc>
                <w:tcPr>
                  <w:tcW w:w="1296" w:type="dxa"/>
                  <w:tcBorders>
                    <w:tl2br w:val="nil"/>
                    <w:tr2bl w:val="nil"/>
                  </w:tcBorders>
                  <w:vAlign w:val="center"/>
                </w:tcPr>
                <w:p w14:paraId="7CAA4005">
                  <w:pPr>
                    <w:pStyle w:val="68"/>
                    <w:spacing w:line="240" w:lineRule="auto"/>
                    <w:ind w:firstLine="0" w:firstLineChars="0"/>
                    <w:jc w:val="center"/>
                    <w:rPr>
                      <w:rFonts w:hint="default" w:ascii="Times New Roman" w:hAnsi="Times New Roman" w:cs="Times New Roman"/>
                      <w:color w:val="000000" w:themeColor="text1"/>
                      <w:sz w:val="21"/>
                      <w:highlight w:val="none"/>
                      <w14:textFill>
                        <w14:solidFill>
                          <w14:schemeClr w14:val="tx1"/>
                        </w14:solidFill>
                      </w14:textFill>
                    </w:rPr>
                  </w:pPr>
                  <w:r>
                    <w:rPr>
                      <w:rFonts w:hint="default" w:ascii="Times New Roman" w:hAnsi="Times New Roman" w:cs="Times New Roman"/>
                      <w:color w:val="000000" w:themeColor="text1"/>
                      <w:sz w:val="21"/>
                      <w:highlight w:val="none"/>
                      <w14:textFill>
                        <w14:solidFill>
                          <w14:schemeClr w14:val="tx1"/>
                        </w14:solidFill>
                      </w14:textFill>
                    </w:rPr>
                    <w:t>有机化学原料制造</w:t>
                  </w:r>
                </w:p>
              </w:tc>
              <w:tc>
                <w:tcPr>
                  <w:tcW w:w="864" w:type="dxa"/>
                  <w:tcBorders>
                    <w:tl2br w:val="nil"/>
                    <w:tr2bl w:val="nil"/>
                  </w:tcBorders>
                  <w:vAlign w:val="center"/>
                </w:tcPr>
                <w:p w14:paraId="00BE592A">
                  <w:pPr>
                    <w:pStyle w:val="68"/>
                    <w:spacing w:line="240" w:lineRule="auto"/>
                    <w:ind w:firstLine="0" w:firstLineChars="0"/>
                    <w:jc w:val="center"/>
                    <w:rPr>
                      <w:rFonts w:hint="default" w:ascii="Times New Roman" w:hAnsi="Times New Roman" w:cs="Times New Roman"/>
                      <w:color w:val="000000" w:themeColor="text1"/>
                      <w:sz w:val="21"/>
                      <w:highlight w:val="none"/>
                      <w14:textFill>
                        <w14:solidFill>
                          <w14:schemeClr w14:val="tx1"/>
                        </w14:solidFill>
                      </w14:textFill>
                    </w:rPr>
                  </w:pPr>
                  <w:r>
                    <w:rPr>
                      <w:rFonts w:hint="default" w:ascii="Times New Roman" w:hAnsi="Times New Roman" w:cs="Times New Roman"/>
                      <w:color w:val="000000" w:themeColor="text1"/>
                      <w:sz w:val="21"/>
                      <w:highlight w:val="none"/>
                      <w14:textFill>
                        <w14:solidFill>
                          <w14:schemeClr w14:val="tx1"/>
                        </w14:solidFill>
                      </w14:textFill>
                    </w:rPr>
                    <w:t>2614</w:t>
                  </w:r>
                </w:p>
              </w:tc>
              <w:tc>
                <w:tcPr>
                  <w:tcW w:w="3200" w:type="dxa"/>
                  <w:tcBorders>
                    <w:tl2br w:val="nil"/>
                    <w:tr2bl w:val="nil"/>
                  </w:tcBorders>
                  <w:vAlign w:val="center"/>
                </w:tcPr>
                <w:p w14:paraId="73C8C0A1">
                  <w:pPr>
                    <w:pStyle w:val="68"/>
                    <w:spacing w:line="240" w:lineRule="auto"/>
                    <w:ind w:firstLine="0" w:firstLineChars="0"/>
                    <w:jc w:val="center"/>
                    <w:rPr>
                      <w:rFonts w:hint="default" w:ascii="Times New Roman" w:hAnsi="Times New Roman" w:cs="Times New Roman"/>
                      <w:color w:val="000000" w:themeColor="text1"/>
                      <w:sz w:val="21"/>
                      <w:highlight w:val="none"/>
                      <w14:textFill>
                        <w14:solidFill>
                          <w14:schemeClr w14:val="tx1"/>
                        </w14:solidFill>
                      </w14:textFill>
                    </w:rPr>
                  </w:pPr>
                  <w:r>
                    <w:rPr>
                      <w:rFonts w:hint="default" w:ascii="Times New Roman" w:hAnsi="Times New Roman" w:cs="Times New Roman"/>
                      <w:color w:val="000000" w:themeColor="text1"/>
                      <w:sz w:val="21"/>
                      <w:highlight w:val="none"/>
                      <w14:textFill>
                        <w14:solidFill>
                          <w14:schemeClr w14:val="tx1"/>
                        </w14:solidFill>
                      </w14:textFill>
                    </w:rPr>
                    <w:t>醋酸</w:t>
                  </w:r>
                </w:p>
              </w:tc>
            </w:tr>
            <w:tr w14:paraId="753A7961">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691" w:type="dxa"/>
                  <w:tcBorders>
                    <w:tl2br w:val="nil"/>
                    <w:tr2bl w:val="nil"/>
                  </w:tcBorders>
                  <w:vAlign w:val="center"/>
                </w:tcPr>
                <w:p w14:paraId="6039336E">
                  <w:pPr>
                    <w:pStyle w:val="68"/>
                    <w:spacing w:line="240" w:lineRule="auto"/>
                    <w:ind w:firstLine="0" w:firstLineChars="0"/>
                    <w:jc w:val="center"/>
                    <w:rPr>
                      <w:rFonts w:hint="default" w:ascii="Times New Roman" w:hAnsi="Times New Roman" w:cs="Times New Roman"/>
                      <w:color w:val="000000" w:themeColor="text1"/>
                      <w:sz w:val="21"/>
                      <w:highlight w:val="none"/>
                      <w14:textFill>
                        <w14:solidFill>
                          <w14:schemeClr w14:val="tx1"/>
                        </w14:solidFill>
                      </w14:textFill>
                    </w:rPr>
                  </w:pPr>
                  <w:r>
                    <w:rPr>
                      <w:rFonts w:hint="default" w:ascii="Times New Roman" w:hAnsi="Times New Roman" w:cs="Times New Roman"/>
                      <w:color w:val="000000" w:themeColor="text1"/>
                      <w:sz w:val="21"/>
                      <w:highlight w:val="none"/>
                      <w14:textFill>
                        <w14:solidFill>
                          <w14:schemeClr w14:val="tx1"/>
                        </w14:solidFill>
                      </w14:textFill>
                    </w:rPr>
                    <w:t>14</w:t>
                  </w:r>
                </w:p>
              </w:tc>
              <w:tc>
                <w:tcPr>
                  <w:tcW w:w="876" w:type="dxa"/>
                  <w:tcBorders>
                    <w:tl2br w:val="nil"/>
                    <w:tr2bl w:val="nil"/>
                  </w:tcBorders>
                  <w:vAlign w:val="center"/>
                </w:tcPr>
                <w:p w14:paraId="7E5CDE0A">
                  <w:pPr>
                    <w:pStyle w:val="68"/>
                    <w:spacing w:line="240" w:lineRule="auto"/>
                    <w:ind w:firstLine="0" w:firstLineChars="0"/>
                    <w:jc w:val="center"/>
                    <w:rPr>
                      <w:rFonts w:hint="default" w:ascii="Times New Roman" w:hAnsi="Times New Roman" w:cs="Times New Roman"/>
                      <w:color w:val="000000" w:themeColor="text1"/>
                      <w:sz w:val="21"/>
                      <w:highlight w:val="none"/>
                      <w14:textFill>
                        <w14:solidFill>
                          <w14:schemeClr w14:val="tx1"/>
                        </w14:solidFill>
                      </w14:textFill>
                    </w:rPr>
                  </w:pPr>
                  <w:r>
                    <w:rPr>
                      <w:rFonts w:hint="default" w:ascii="Times New Roman" w:hAnsi="Times New Roman" w:cs="Times New Roman"/>
                      <w:color w:val="000000" w:themeColor="text1"/>
                      <w:sz w:val="21"/>
                      <w:highlight w:val="none"/>
                      <w14:textFill>
                        <w14:solidFill>
                          <w14:schemeClr w14:val="tx1"/>
                        </w14:solidFill>
                      </w14:textFill>
                    </w:rPr>
                    <w:t>氯硫</w:t>
                  </w:r>
                </w:p>
              </w:tc>
              <w:tc>
                <w:tcPr>
                  <w:tcW w:w="1296" w:type="dxa"/>
                  <w:tcBorders>
                    <w:tl2br w:val="nil"/>
                    <w:tr2bl w:val="nil"/>
                  </w:tcBorders>
                  <w:vAlign w:val="center"/>
                </w:tcPr>
                <w:p w14:paraId="426A837A">
                  <w:pPr>
                    <w:pStyle w:val="68"/>
                    <w:spacing w:line="240" w:lineRule="auto"/>
                    <w:ind w:firstLine="0" w:firstLineChars="0"/>
                    <w:jc w:val="center"/>
                    <w:rPr>
                      <w:rFonts w:hint="default" w:ascii="Times New Roman" w:hAnsi="Times New Roman" w:cs="Times New Roman"/>
                      <w:color w:val="000000" w:themeColor="text1"/>
                      <w:sz w:val="21"/>
                      <w:highlight w:val="none"/>
                      <w14:textFill>
                        <w14:solidFill>
                          <w14:schemeClr w14:val="tx1"/>
                        </w14:solidFill>
                      </w14:textFill>
                    </w:rPr>
                  </w:pPr>
                  <w:r>
                    <w:rPr>
                      <w:rFonts w:hint="default" w:ascii="Times New Roman" w:hAnsi="Times New Roman" w:cs="Times New Roman"/>
                      <w:color w:val="000000" w:themeColor="text1"/>
                      <w:sz w:val="21"/>
                      <w:highlight w:val="none"/>
                      <w14:textFill>
                        <w14:solidFill>
                          <w14:schemeClr w14:val="tx1"/>
                        </w14:solidFill>
                      </w14:textFill>
                    </w:rPr>
                    <w:t>无机碱制造</w:t>
                  </w:r>
                </w:p>
              </w:tc>
              <w:tc>
                <w:tcPr>
                  <w:tcW w:w="864" w:type="dxa"/>
                  <w:tcBorders>
                    <w:tl2br w:val="nil"/>
                    <w:tr2bl w:val="nil"/>
                  </w:tcBorders>
                  <w:vAlign w:val="center"/>
                </w:tcPr>
                <w:p w14:paraId="3636AE82">
                  <w:pPr>
                    <w:pStyle w:val="68"/>
                    <w:spacing w:line="240" w:lineRule="auto"/>
                    <w:ind w:firstLine="0" w:firstLineChars="0"/>
                    <w:jc w:val="center"/>
                    <w:rPr>
                      <w:rFonts w:hint="default" w:ascii="Times New Roman" w:hAnsi="Times New Roman" w:cs="Times New Roman"/>
                      <w:color w:val="000000" w:themeColor="text1"/>
                      <w:sz w:val="21"/>
                      <w:highlight w:val="none"/>
                      <w14:textFill>
                        <w14:solidFill>
                          <w14:schemeClr w14:val="tx1"/>
                        </w14:solidFill>
                      </w14:textFill>
                    </w:rPr>
                  </w:pPr>
                  <w:r>
                    <w:rPr>
                      <w:rFonts w:hint="default" w:ascii="Times New Roman" w:hAnsi="Times New Roman" w:cs="Times New Roman"/>
                      <w:color w:val="000000" w:themeColor="text1"/>
                      <w:sz w:val="21"/>
                      <w:highlight w:val="none"/>
                      <w14:textFill>
                        <w14:solidFill>
                          <w14:schemeClr w14:val="tx1"/>
                        </w14:solidFill>
                      </w14:textFill>
                    </w:rPr>
                    <w:t>2612</w:t>
                  </w:r>
                </w:p>
              </w:tc>
              <w:tc>
                <w:tcPr>
                  <w:tcW w:w="3200" w:type="dxa"/>
                  <w:tcBorders>
                    <w:tl2br w:val="nil"/>
                    <w:tr2bl w:val="nil"/>
                  </w:tcBorders>
                  <w:vAlign w:val="center"/>
                </w:tcPr>
                <w:p w14:paraId="2B18C17E">
                  <w:pPr>
                    <w:pStyle w:val="68"/>
                    <w:spacing w:line="240" w:lineRule="auto"/>
                    <w:ind w:firstLine="0" w:firstLineChars="0"/>
                    <w:jc w:val="center"/>
                    <w:rPr>
                      <w:rFonts w:hint="default" w:ascii="Times New Roman" w:hAnsi="Times New Roman" w:cs="Times New Roman"/>
                      <w:color w:val="000000" w:themeColor="text1"/>
                      <w:sz w:val="21"/>
                      <w:highlight w:val="none"/>
                      <w14:textFill>
                        <w14:solidFill>
                          <w14:schemeClr w14:val="tx1"/>
                        </w14:solidFill>
                      </w14:textFill>
                    </w:rPr>
                  </w:pPr>
                  <w:r>
                    <w:rPr>
                      <w:rFonts w:hint="default" w:ascii="Times New Roman" w:hAnsi="Times New Roman" w:cs="Times New Roman"/>
                      <w:color w:val="000000" w:themeColor="text1"/>
                      <w:sz w:val="21"/>
                      <w:highlight w:val="none"/>
                      <w14:textFill>
                        <w14:solidFill>
                          <w14:schemeClr w14:val="tx1"/>
                        </w14:solidFill>
                      </w14:textFill>
                    </w:rPr>
                    <w:t>烧碱</w:t>
                  </w:r>
                </w:p>
              </w:tc>
            </w:tr>
            <w:tr w14:paraId="008D29B3">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691" w:type="dxa"/>
                  <w:tcBorders>
                    <w:tl2br w:val="nil"/>
                    <w:tr2bl w:val="nil"/>
                  </w:tcBorders>
                  <w:vAlign w:val="center"/>
                </w:tcPr>
                <w:p w14:paraId="23ED0F17">
                  <w:pPr>
                    <w:pStyle w:val="68"/>
                    <w:spacing w:line="240" w:lineRule="auto"/>
                    <w:ind w:firstLine="0" w:firstLineChars="0"/>
                    <w:jc w:val="center"/>
                    <w:rPr>
                      <w:rFonts w:hint="default" w:ascii="Times New Roman" w:hAnsi="Times New Roman" w:cs="Times New Roman"/>
                      <w:color w:val="000000" w:themeColor="text1"/>
                      <w:sz w:val="21"/>
                      <w:highlight w:val="none"/>
                      <w14:textFill>
                        <w14:solidFill>
                          <w14:schemeClr w14:val="tx1"/>
                        </w14:solidFill>
                      </w14:textFill>
                    </w:rPr>
                  </w:pPr>
                  <w:r>
                    <w:rPr>
                      <w:rFonts w:hint="default" w:ascii="Times New Roman" w:hAnsi="Times New Roman" w:cs="Times New Roman"/>
                      <w:color w:val="000000" w:themeColor="text1"/>
                      <w:sz w:val="21"/>
                      <w:highlight w:val="none"/>
                      <w14:textFill>
                        <w14:solidFill>
                          <w14:schemeClr w14:val="tx1"/>
                        </w14:solidFill>
                      </w14:textFill>
                    </w:rPr>
                    <w:t>15</w:t>
                  </w:r>
                </w:p>
              </w:tc>
              <w:tc>
                <w:tcPr>
                  <w:tcW w:w="876" w:type="dxa"/>
                  <w:tcBorders>
                    <w:tl2br w:val="nil"/>
                    <w:tr2bl w:val="nil"/>
                  </w:tcBorders>
                  <w:vAlign w:val="center"/>
                </w:tcPr>
                <w:p w14:paraId="6822D523">
                  <w:pPr>
                    <w:pStyle w:val="68"/>
                    <w:spacing w:line="240" w:lineRule="auto"/>
                    <w:ind w:firstLine="0" w:firstLineChars="0"/>
                    <w:jc w:val="center"/>
                    <w:rPr>
                      <w:rFonts w:hint="default" w:ascii="Times New Roman" w:hAnsi="Times New Roman" w:cs="Times New Roman"/>
                      <w:color w:val="000000" w:themeColor="text1"/>
                      <w:sz w:val="21"/>
                      <w:highlight w:val="none"/>
                      <w14:textFill>
                        <w14:solidFill>
                          <w14:schemeClr w14:val="tx1"/>
                        </w14:solidFill>
                      </w14:textFill>
                    </w:rPr>
                  </w:pPr>
                  <w:r>
                    <w:rPr>
                      <w:rFonts w:hint="default" w:ascii="Times New Roman" w:hAnsi="Times New Roman" w:cs="Times New Roman"/>
                      <w:color w:val="000000" w:themeColor="text1"/>
                      <w:sz w:val="21"/>
                      <w:highlight w:val="none"/>
                      <w14:textFill>
                        <w14:solidFill>
                          <w14:schemeClr w14:val="tx1"/>
                        </w14:solidFill>
                      </w14:textFill>
                    </w:rPr>
                    <w:t>电石</w:t>
                  </w:r>
                </w:p>
              </w:tc>
              <w:tc>
                <w:tcPr>
                  <w:tcW w:w="1296" w:type="dxa"/>
                  <w:tcBorders>
                    <w:tl2br w:val="nil"/>
                    <w:tr2bl w:val="nil"/>
                  </w:tcBorders>
                  <w:vAlign w:val="center"/>
                </w:tcPr>
                <w:p w14:paraId="3D40B1A6">
                  <w:pPr>
                    <w:pStyle w:val="68"/>
                    <w:spacing w:line="240" w:lineRule="auto"/>
                    <w:ind w:firstLine="0" w:firstLineChars="0"/>
                    <w:jc w:val="center"/>
                    <w:rPr>
                      <w:rFonts w:hint="default" w:ascii="Times New Roman" w:hAnsi="Times New Roman" w:cs="Times New Roman"/>
                      <w:color w:val="000000" w:themeColor="text1"/>
                      <w:sz w:val="21"/>
                      <w:highlight w:val="none"/>
                      <w14:textFill>
                        <w14:solidFill>
                          <w14:schemeClr w14:val="tx1"/>
                        </w14:solidFill>
                      </w14:textFill>
                    </w:rPr>
                  </w:pPr>
                  <w:r>
                    <w:rPr>
                      <w:rFonts w:hint="default" w:ascii="Times New Roman" w:hAnsi="Times New Roman" w:cs="Times New Roman"/>
                      <w:color w:val="000000" w:themeColor="text1"/>
                      <w:sz w:val="21"/>
                      <w:highlight w:val="none"/>
                      <w14:textFill>
                        <w14:solidFill>
                          <w14:schemeClr w14:val="tx1"/>
                        </w14:solidFill>
                      </w14:textFill>
                    </w:rPr>
                    <w:t>无机碱制造</w:t>
                  </w:r>
                </w:p>
              </w:tc>
              <w:tc>
                <w:tcPr>
                  <w:tcW w:w="864" w:type="dxa"/>
                  <w:tcBorders>
                    <w:tl2br w:val="nil"/>
                    <w:tr2bl w:val="nil"/>
                  </w:tcBorders>
                  <w:vAlign w:val="center"/>
                </w:tcPr>
                <w:p w14:paraId="32A904C2">
                  <w:pPr>
                    <w:pStyle w:val="68"/>
                    <w:spacing w:line="240" w:lineRule="auto"/>
                    <w:ind w:firstLine="0" w:firstLineChars="0"/>
                    <w:jc w:val="center"/>
                    <w:rPr>
                      <w:rFonts w:hint="default" w:ascii="Times New Roman" w:hAnsi="Times New Roman" w:cs="Times New Roman"/>
                      <w:color w:val="000000" w:themeColor="text1"/>
                      <w:sz w:val="21"/>
                      <w:highlight w:val="none"/>
                      <w14:textFill>
                        <w14:solidFill>
                          <w14:schemeClr w14:val="tx1"/>
                        </w14:solidFill>
                      </w14:textFill>
                    </w:rPr>
                  </w:pPr>
                  <w:r>
                    <w:rPr>
                      <w:rFonts w:hint="default" w:ascii="Times New Roman" w:hAnsi="Times New Roman" w:cs="Times New Roman"/>
                      <w:color w:val="000000" w:themeColor="text1"/>
                      <w:sz w:val="21"/>
                      <w:highlight w:val="none"/>
                      <w14:textFill>
                        <w14:solidFill>
                          <w14:schemeClr w14:val="tx1"/>
                        </w14:solidFill>
                      </w14:textFill>
                    </w:rPr>
                    <w:t>2613</w:t>
                  </w:r>
                </w:p>
              </w:tc>
              <w:tc>
                <w:tcPr>
                  <w:tcW w:w="3200" w:type="dxa"/>
                  <w:tcBorders>
                    <w:tl2br w:val="nil"/>
                    <w:tr2bl w:val="nil"/>
                  </w:tcBorders>
                  <w:vAlign w:val="center"/>
                </w:tcPr>
                <w:p w14:paraId="7DCB9F88">
                  <w:pPr>
                    <w:pStyle w:val="68"/>
                    <w:spacing w:line="240" w:lineRule="auto"/>
                    <w:ind w:firstLine="0" w:firstLineChars="0"/>
                    <w:jc w:val="center"/>
                    <w:rPr>
                      <w:rFonts w:hint="default" w:ascii="Times New Roman" w:hAnsi="Times New Roman" w:cs="Times New Roman"/>
                      <w:color w:val="000000" w:themeColor="text1"/>
                      <w:sz w:val="21"/>
                      <w:highlight w:val="none"/>
                      <w14:textFill>
                        <w14:solidFill>
                          <w14:schemeClr w14:val="tx1"/>
                        </w14:solidFill>
                      </w14:textFill>
                    </w:rPr>
                  </w:pPr>
                  <w:r>
                    <w:rPr>
                      <w:rFonts w:hint="default" w:ascii="Times New Roman" w:hAnsi="Times New Roman" w:cs="Times New Roman"/>
                      <w:color w:val="000000" w:themeColor="text1"/>
                      <w:sz w:val="21"/>
                      <w:highlight w:val="none"/>
                      <w14:textFill>
                        <w14:solidFill>
                          <w14:schemeClr w14:val="tx1"/>
                        </w14:solidFill>
                      </w14:textFill>
                    </w:rPr>
                    <w:t>碳化钙</w:t>
                  </w:r>
                </w:p>
              </w:tc>
            </w:tr>
            <w:tr w14:paraId="1EE7D0D8">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691" w:type="dxa"/>
                  <w:tcBorders>
                    <w:tl2br w:val="nil"/>
                    <w:tr2bl w:val="nil"/>
                  </w:tcBorders>
                  <w:vAlign w:val="center"/>
                </w:tcPr>
                <w:p w14:paraId="4BF2375C">
                  <w:pPr>
                    <w:pStyle w:val="68"/>
                    <w:spacing w:line="240" w:lineRule="auto"/>
                    <w:ind w:firstLine="0" w:firstLineChars="0"/>
                    <w:jc w:val="center"/>
                    <w:rPr>
                      <w:rFonts w:hint="default" w:ascii="Times New Roman" w:hAnsi="Times New Roman" w:cs="Times New Roman"/>
                      <w:color w:val="000000" w:themeColor="text1"/>
                      <w:sz w:val="21"/>
                      <w:highlight w:val="none"/>
                      <w14:textFill>
                        <w14:solidFill>
                          <w14:schemeClr w14:val="tx1"/>
                        </w14:solidFill>
                      </w14:textFill>
                    </w:rPr>
                  </w:pPr>
                  <w:r>
                    <w:rPr>
                      <w:rFonts w:hint="default" w:ascii="Times New Roman" w:hAnsi="Times New Roman" w:cs="Times New Roman"/>
                      <w:color w:val="000000" w:themeColor="text1"/>
                      <w:sz w:val="21"/>
                      <w:highlight w:val="none"/>
                      <w14:textFill>
                        <w14:solidFill>
                          <w14:schemeClr w14:val="tx1"/>
                        </w14:solidFill>
                      </w14:textFill>
                    </w:rPr>
                    <w:t>16</w:t>
                  </w:r>
                </w:p>
              </w:tc>
              <w:tc>
                <w:tcPr>
                  <w:tcW w:w="876" w:type="dxa"/>
                  <w:tcBorders>
                    <w:tl2br w:val="nil"/>
                    <w:tr2bl w:val="nil"/>
                  </w:tcBorders>
                  <w:vAlign w:val="center"/>
                </w:tcPr>
                <w:p w14:paraId="716B6109">
                  <w:pPr>
                    <w:pStyle w:val="68"/>
                    <w:spacing w:line="240" w:lineRule="auto"/>
                    <w:ind w:firstLine="0" w:firstLineChars="0"/>
                    <w:jc w:val="center"/>
                    <w:rPr>
                      <w:rFonts w:hint="default" w:ascii="Times New Roman" w:hAnsi="Times New Roman" w:cs="Times New Roman"/>
                      <w:color w:val="000000" w:themeColor="text1"/>
                      <w:sz w:val="21"/>
                      <w:highlight w:val="none"/>
                      <w14:textFill>
                        <w14:solidFill>
                          <w14:schemeClr w14:val="tx1"/>
                        </w14:solidFill>
                      </w14:textFill>
                    </w:rPr>
                  </w:pPr>
                  <w:r>
                    <w:rPr>
                      <w:rFonts w:hint="default" w:ascii="Times New Roman" w:hAnsi="Times New Roman" w:cs="Times New Roman"/>
                      <w:color w:val="000000" w:themeColor="text1"/>
                      <w:sz w:val="21"/>
                      <w:highlight w:val="none"/>
                      <w14:textFill>
                        <w14:solidFill>
                          <w14:schemeClr w14:val="tx1"/>
                        </w14:solidFill>
                      </w14:textFill>
                    </w:rPr>
                    <w:t>沥青防水材料</w:t>
                  </w:r>
                </w:p>
              </w:tc>
              <w:tc>
                <w:tcPr>
                  <w:tcW w:w="1296" w:type="dxa"/>
                  <w:tcBorders>
                    <w:tl2br w:val="nil"/>
                    <w:tr2bl w:val="nil"/>
                  </w:tcBorders>
                  <w:vAlign w:val="center"/>
                </w:tcPr>
                <w:p w14:paraId="7C27655C">
                  <w:pPr>
                    <w:pStyle w:val="68"/>
                    <w:spacing w:line="240" w:lineRule="auto"/>
                    <w:ind w:firstLine="0" w:firstLineChars="0"/>
                    <w:jc w:val="center"/>
                    <w:rPr>
                      <w:rFonts w:hint="default" w:ascii="Times New Roman" w:hAnsi="Times New Roman" w:cs="Times New Roman"/>
                      <w:color w:val="000000" w:themeColor="text1"/>
                      <w:sz w:val="21"/>
                      <w:highlight w:val="none"/>
                      <w14:textFill>
                        <w14:solidFill>
                          <w14:schemeClr w14:val="tx1"/>
                        </w14:solidFill>
                      </w14:textFill>
                    </w:rPr>
                  </w:pPr>
                  <w:r>
                    <w:rPr>
                      <w:rFonts w:hint="default" w:ascii="Times New Roman" w:hAnsi="Times New Roman" w:cs="Times New Roman"/>
                      <w:color w:val="000000" w:themeColor="text1"/>
                      <w:sz w:val="21"/>
                      <w:highlight w:val="none"/>
                      <w14:textFill>
                        <w14:solidFill>
                          <w14:schemeClr w14:val="tx1"/>
                        </w14:solidFill>
                      </w14:textFill>
                    </w:rPr>
                    <w:t>防水建筑材料制造</w:t>
                  </w:r>
                </w:p>
              </w:tc>
              <w:tc>
                <w:tcPr>
                  <w:tcW w:w="864" w:type="dxa"/>
                  <w:tcBorders>
                    <w:tl2br w:val="nil"/>
                    <w:tr2bl w:val="nil"/>
                  </w:tcBorders>
                  <w:vAlign w:val="center"/>
                </w:tcPr>
                <w:p w14:paraId="34BA5334">
                  <w:pPr>
                    <w:pStyle w:val="68"/>
                    <w:spacing w:line="240" w:lineRule="auto"/>
                    <w:ind w:firstLine="0" w:firstLineChars="0"/>
                    <w:jc w:val="center"/>
                    <w:rPr>
                      <w:rFonts w:hint="default" w:ascii="Times New Roman" w:hAnsi="Times New Roman" w:cs="Times New Roman"/>
                      <w:color w:val="000000" w:themeColor="text1"/>
                      <w:sz w:val="21"/>
                      <w:highlight w:val="none"/>
                      <w14:textFill>
                        <w14:solidFill>
                          <w14:schemeClr w14:val="tx1"/>
                        </w14:solidFill>
                      </w14:textFill>
                    </w:rPr>
                  </w:pPr>
                  <w:r>
                    <w:rPr>
                      <w:rFonts w:hint="default" w:ascii="Times New Roman" w:hAnsi="Times New Roman" w:cs="Times New Roman"/>
                      <w:color w:val="000000" w:themeColor="text1"/>
                      <w:sz w:val="21"/>
                      <w:highlight w:val="none"/>
                      <w14:textFill>
                        <w14:solidFill>
                          <w14:schemeClr w14:val="tx1"/>
                        </w14:solidFill>
                      </w14:textFill>
                    </w:rPr>
                    <w:t>3033</w:t>
                  </w:r>
                </w:p>
              </w:tc>
              <w:tc>
                <w:tcPr>
                  <w:tcW w:w="3200" w:type="dxa"/>
                  <w:tcBorders>
                    <w:tl2br w:val="nil"/>
                    <w:tr2bl w:val="nil"/>
                  </w:tcBorders>
                  <w:vAlign w:val="center"/>
                </w:tcPr>
                <w:p w14:paraId="194262D3">
                  <w:pPr>
                    <w:pStyle w:val="68"/>
                    <w:spacing w:line="240" w:lineRule="auto"/>
                    <w:ind w:firstLine="0" w:firstLineChars="0"/>
                    <w:jc w:val="center"/>
                    <w:rPr>
                      <w:rFonts w:hint="default" w:ascii="Times New Roman" w:hAnsi="Times New Roman" w:cs="Times New Roman"/>
                      <w:color w:val="000000" w:themeColor="text1"/>
                      <w:sz w:val="21"/>
                      <w:highlight w:val="none"/>
                      <w14:textFill>
                        <w14:solidFill>
                          <w14:schemeClr w14:val="tx1"/>
                        </w14:solidFill>
                      </w14:textFill>
                    </w:rPr>
                  </w:pPr>
                  <w:r>
                    <w:rPr>
                      <w:rFonts w:hint="default" w:ascii="Times New Roman" w:hAnsi="Times New Roman" w:cs="Times New Roman"/>
                      <w:color w:val="000000" w:themeColor="text1"/>
                      <w:sz w:val="21"/>
                      <w:highlight w:val="none"/>
                      <w14:textFill>
                        <w14:solidFill>
                          <w14:schemeClr w14:val="tx1"/>
                        </w14:solidFill>
                      </w14:textFill>
                    </w:rPr>
                    <w:t>石油沥青防水卷材（不包括改性 沥青防水卷材，自粘防水卷材）， 其他理清防水卷材，金属胎油毡， 玻纤胎沥青瓦，纳基膨润土防水</w:t>
                  </w:r>
                </w:p>
              </w:tc>
            </w:tr>
          </w:tbl>
          <w:p w14:paraId="371522D2">
            <w:pPr>
              <w:pStyle w:val="68"/>
              <w:ind w:firstLine="48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本项目行业类别为生态保护和环境治理业中危险废物治理业，不属文件中所列的“两高”项目范围内，故本项目不属“两高”项目。</w:t>
            </w:r>
          </w:p>
          <w:p w14:paraId="442198F4">
            <w:pPr>
              <w:pStyle w:val="68"/>
              <w:numPr>
                <w:ilvl w:val="0"/>
                <w:numId w:val="1"/>
              </w:numPr>
              <w:ind w:firstLineChars="0"/>
              <w:rPr>
                <w:rFonts w:hint="default" w:ascii="Times New Roman" w:hAnsi="Times New Roman" w:cs="Times New Roman"/>
                <w:b/>
                <w:bCs w:val="0"/>
                <w:color w:val="000000" w:themeColor="text1"/>
                <w:highlight w:val="none"/>
                <w14:textFill>
                  <w14:solidFill>
                    <w14:schemeClr w14:val="tx1"/>
                  </w14:solidFill>
                </w14:textFill>
              </w:rPr>
            </w:pPr>
            <w:r>
              <w:rPr>
                <w:rFonts w:hint="default" w:ascii="Times New Roman" w:hAnsi="Times New Roman" w:cs="Times New Roman"/>
                <w:b/>
                <w:bCs w:val="0"/>
                <w:color w:val="000000" w:themeColor="text1"/>
                <w:highlight w:val="none"/>
                <w14:textFill>
                  <w14:solidFill>
                    <w14:schemeClr w14:val="tx1"/>
                  </w14:solidFill>
                </w14:textFill>
              </w:rPr>
              <w:t>与《“十三五”挥发性有机物污染防治工作方案》的符合性分析</w:t>
            </w:r>
          </w:p>
          <w:p w14:paraId="566BDB98">
            <w:pPr>
              <w:pStyle w:val="68"/>
              <w:ind w:firstLine="0" w:firstLineChars="0"/>
              <w:jc w:val="center"/>
              <w:rPr>
                <w:rFonts w:hint="default" w:ascii="Times New Roman" w:hAnsi="Times New Roman" w:cs="Times New Roman"/>
                <w:b/>
                <w:bCs w:val="0"/>
                <w:color w:val="000000" w:themeColor="text1"/>
                <w:sz w:val="21"/>
                <w:szCs w:val="18"/>
                <w:highlight w:val="none"/>
                <w14:textFill>
                  <w14:solidFill>
                    <w14:schemeClr w14:val="tx1"/>
                  </w14:solidFill>
                </w14:textFill>
              </w:rPr>
            </w:pPr>
            <w:r>
              <w:rPr>
                <w:rFonts w:hint="default" w:ascii="Times New Roman" w:hAnsi="Times New Roman" w:cs="Times New Roman"/>
                <w:b/>
                <w:bCs w:val="0"/>
                <w:color w:val="000000" w:themeColor="text1"/>
                <w:sz w:val="21"/>
                <w:szCs w:val="18"/>
                <w:highlight w:val="none"/>
                <w14:textFill>
                  <w14:solidFill>
                    <w14:schemeClr w14:val="tx1"/>
                  </w14:solidFill>
                </w14:textFill>
              </w:rPr>
              <w:t>表1-</w:t>
            </w:r>
            <w:r>
              <w:rPr>
                <w:rFonts w:hint="eastAsia" w:cs="Times New Roman"/>
                <w:b/>
                <w:bCs w:val="0"/>
                <w:color w:val="000000" w:themeColor="text1"/>
                <w:sz w:val="21"/>
                <w:szCs w:val="18"/>
                <w:highlight w:val="none"/>
                <w:lang w:val="en-US" w:eastAsia="zh-CN"/>
                <w14:textFill>
                  <w14:solidFill>
                    <w14:schemeClr w14:val="tx1"/>
                  </w14:solidFill>
                </w14:textFill>
              </w:rPr>
              <w:t>8</w:t>
            </w:r>
            <w:r>
              <w:rPr>
                <w:rFonts w:hint="default" w:ascii="Times New Roman" w:hAnsi="Times New Roman" w:cs="Times New Roman"/>
                <w:b/>
                <w:bCs w:val="0"/>
                <w:color w:val="000000" w:themeColor="text1"/>
                <w:sz w:val="21"/>
                <w:szCs w:val="18"/>
                <w:highlight w:val="none"/>
                <w14:textFill>
                  <w14:solidFill>
                    <w14:schemeClr w14:val="tx1"/>
                  </w14:solidFill>
                </w14:textFill>
              </w:rPr>
              <w:t xml:space="preserve"> 与《“十三五”挥发性有机物污染防治工作方案》符合性分析</w:t>
            </w:r>
          </w:p>
          <w:tbl>
            <w:tblPr>
              <w:tblStyle w:val="28"/>
              <w:tblW w:w="6909" w:type="dxa"/>
              <w:tblInd w:w="5" w:type="dxa"/>
              <w:tblBorders>
                <w:top w:val="double" w:color="auto" w:sz="4" w:space="0"/>
                <w:left w:val="none" w:color="auto" w:sz="0" w:space="0"/>
                <w:bottom w:val="doub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967"/>
              <w:gridCol w:w="2846"/>
              <w:gridCol w:w="1968"/>
              <w:gridCol w:w="1128"/>
            </w:tblGrid>
            <w:tr w14:paraId="1CE9BE01">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3813" w:type="dxa"/>
                  <w:gridSpan w:val="2"/>
                  <w:tcBorders>
                    <w:tl2br w:val="nil"/>
                    <w:tr2bl w:val="nil"/>
                  </w:tcBorders>
                  <w:vAlign w:val="center"/>
                </w:tcPr>
                <w:p w14:paraId="290AEEBD">
                  <w:pPr>
                    <w:pStyle w:val="68"/>
                    <w:spacing w:line="240" w:lineRule="auto"/>
                    <w:ind w:firstLine="0" w:firstLineChars="0"/>
                    <w:jc w:val="center"/>
                    <w:rPr>
                      <w:rFonts w:hint="default" w:ascii="Times New Roman" w:hAnsi="Times New Roman" w:cs="Times New Roman"/>
                      <w:color w:val="000000" w:themeColor="text1"/>
                      <w:sz w:val="21"/>
                      <w:highlight w:val="none"/>
                      <w14:textFill>
                        <w14:solidFill>
                          <w14:schemeClr w14:val="tx1"/>
                        </w14:solidFill>
                      </w14:textFill>
                    </w:rPr>
                  </w:pPr>
                  <w:r>
                    <w:rPr>
                      <w:rFonts w:hint="default" w:ascii="Times New Roman" w:hAnsi="Times New Roman" w:cs="Times New Roman"/>
                      <w:color w:val="000000" w:themeColor="text1"/>
                      <w:sz w:val="21"/>
                      <w:highlight w:val="none"/>
                      <w14:textFill>
                        <w14:solidFill>
                          <w14:schemeClr w14:val="tx1"/>
                        </w14:solidFill>
                      </w14:textFill>
                    </w:rPr>
                    <w:t>“十三五”挥发性有机物污染防治工作方案</w:t>
                  </w:r>
                </w:p>
              </w:tc>
              <w:tc>
                <w:tcPr>
                  <w:tcW w:w="1968" w:type="dxa"/>
                  <w:tcBorders>
                    <w:tl2br w:val="nil"/>
                    <w:tr2bl w:val="nil"/>
                  </w:tcBorders>
                  <w:vAlign w:val="center"/>
                </w:tcPr>
                <w:p w14:paraId="78676E76">
                  <w:pPr>
                    <w:pStyle w:val="68"/>
                    <w:spacing w:line="240" w:lineRule="auto"/>
                    <w:ind w:firstLine="0" w:firstLineChars="0"/>
                    <w:jc w:val="center"/>
                    <w:rPr>
                      <w:rFonts w:hint="default" w:ascii="Times New Roman" w:hAnsi="Times New Roman" w:cs="Times New Roman"/>
                      <w:color w:val="000000" w:themeColor="text1"/>
                      <w:sz w:val="21"/>
                      <w:highlight w:val="none"/>
                      <w14:textFill>
                        <w14:solidFill>
                          <w14:schemeClr w14:val="tx1"/>
                        </w14:solidFill>
                      </w14:textFill>
                    </w:rPr>
                  </w:pPr>
                  <w:r>
                    <w:rPr>
                      <w:rFonts w:hint="default" w:ascii="Times New Roman" w:hAnsi="Times New Roman" w:cs="Times New Roman"/>
                      <w:color w:val="000000" w:themeColor="text1"/>
                      <w:sz w:val="21"/>
                      <w:highlight w:val="none"/>
                      <w14:textFill>
                        <w14:solidFill>
                          <w14:schemeClr w14:val="tx1"/>
                        </w14:solidFill>
                      </w14:textFill>
                    </w:rPr>
                    <w:t>本项目情况</w:t>
                  </w:r>
                </w:p>
              </w:tc>
              <w:tc>
                <w:tcPr>
                  <w:tcW w:w="1128" w:type="dxa"/>
                  <w:tcBorders>
                    <w:tl2br w:val="nil"/>
                    <w:tr2bl w:val="nil"/>
                  </w:tcBorders>
                  <w:vAlign w:val="center"/>
                </w:tcPr>
                <w:p w14:paraId="686658FD">
                  <w:pPr>
                    <w:pStyle w:val="68"/>
                    <w:spacing w:line="240" w:lineRule="auto"/>
                    <w:ind w:firstLine="0" w:firstLineChars="0"/>
                    <w:jc w:val="center"/>
                    <w:rPr>
                      <w:rFonts w:hint="default" w:ascii="Times New Roman" w:hAnsi="Times New Roman" w:cs="Times New Roman"/>
                      <w:color w:val="000000" w:themeColor="text1"/>
                      <w:sz w:val="21"/>
                      <w:highlight w:val="none"/>
                      <w14:textFill>
                        <w14:solidFill>
                          <w14:schemeClr w14:val="tx1"/>
                        </w14:solidFill>
                      </w14:textFill>
                    </w:rPr>
                  </w:pPr>
                  <w:r>
                    <w:rPr>
                      <w:rFonts w:hint="default" w:ascii="Times New Roman" w:hAnsi="Times New Roman" w:cs="Times New Roman"/>
                      <w:color w:val="000000" w:themeColor="text1"/>
                      <w:sz w:val="21"/>
                      <w:highlight w:val="none"/>
                      <w14:textFill>
                        <w14:solidFill>
                          <w14:schemeClr w14:val="tx1"/>
                        </w14:solidFill>
                      </w14:textFill>
                    </w:rPr>
                    <w:t>相符性</w:t>
                  </w:r>
                </w:p>
              </w:tc>
            </w:tr>
            <w:tr w14:paraId="4B46A7CA">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967" w:type="dxa"/>
                  <w:vMerge w:val="restart"/>
                  <w:tcBorders>
                    <w:tl2br w:val="nil"/>
                    <w:tr2bl w:val="nil"/>
                  </w:tcBorders>
                  <w:vAlign w:val="center"/>
                </w:tcPr>
                <w:p w14:paraId="23543B70">
                  <w:pPr>
                    <w:pStyle w:val="68"/>
                    <w:spacing w:line="240" w:lineRule="auto"/>
                    <w:ind w:firstLine="0" w:firstLineChars="0"/>
                    <w:jc w:val="center"/>
                    <w:rPr>
                      <w:rFonts w:hint="default" w:ascii="Times New Roman" w:hAnsi="Times New Roman" w:cs="Times New Roman"/>
                      <w:color w:val="000000" w:themeColor="text1"/>
                      <w:sz w:val="21"/>
                      <w:highlight w:val="none"/>
                      <w14:textFill>
                        <w14:solidFill>
                          <w14:schemeClr w14:val="tx1"/>
                        </w14:solidFill>
                      </w14:textFill>
                    </w:rPr>
                  </w:pPr>
                  <w:r>
                    <w:rPr>
                      <w:rFonts w:hint="default" w:ascii="Times New Roman" w:hAnsi="Times New Roman" w:cs="Times New Roman"/>
                      <w:color w:val="000000" w:themeColor="text1"/>
                      <w:sz w:val="21"/>
                      <w:highlight w:val="none"/>
                      <w14:textFill>
                        <w14:solidFill>
                          <w14:schemeClr w14:val="tx1"/>
                        </w14:solidFill>
                      </w14:textFill>
                    </w:rPr>
                    <w:t>（一）加大产业结构调整力度。</w:t>
                  </w:r>
                </w:p>
              </w:tc>
              <w:tc>
                <w:tcPr>
                  <w:tcW w:w="2846" w:type="dxa"/>
                  <w:tcBorders>
                    <w:tl2br w:val="nil"/>
                    <w:tr2bl w:val="nil"/>
                  </w:tcBorders>
                  <w:vAlign w:val="center"/>
                </w:tcPr>
                <w:p w14:paraId="7767BE09">
                  <w:pPr>
                    <w:pStyle w:val="68"/>
                    <w:spacing w:line="240" w:lineRule="auto"/>
                    <w:ind w:firstLine="0" w:firstLineChars="0"/>
                    <w:jc w:val="center"/>
                    <w:rPr>
                      <w:rFonts w:hint="default" w:ascii="Times New Roman" w:hAnsi="Times New Roman" w:cs="Times New Roman"/>
                      <w:color w:val="000000" w:themeColor="text1"/>
                      <w:sz w:val="21"/>
                      <w:highlight w:val="none"/>
                      <w14:textFill>
                        <w14:solidFill>
                          <w14:schemeClr w14:val="tx1"/>
                        </w14:solidFill>
                      </w14:textFill>
                    </w:rPr>
                  </w:pPr>
                  <w:r>
                    <w:rPr>
                      <w:rFonts w:hint="default" w:ascii="Times New Roman" w:hAnsi="Times New Roman" w:cs="Times New Roman"/>
                      <w:color w:val="000000" w:themeColor="text1"/>
                      <w:sz w:val="21"/>
                      <w:highlight w:val="none"/>
                      <w14:textFill>
                        <w14:solidFill>
                          <w14:schemeClr w14:val="tx1"/>
                        </w14:solidFill>
                      </w14:textFill>
                    </w:rPr>
                    <w:t>1.加快推进“散乱污”企业综合整治</w:t>
                  </w:r>
                </w:p>
              </w:tc>
              <w:tc>
                <w:tcPr>
                  <w:tcW w:w="1968" w:type="dxa"/>
                  <w:tcBorders>
                    <w:tl2br w:val="nil"/>
                    <w:tr2bl w:val="nil"/>
                  </w:tcBorders>
                  <w:vAlign w:val="center"/>
                </w:tcPr>
                <w:p w14:paraId="3FBD3956">
                  <w:pPr>
                    <w:pStyle w:val="68"/>
                    <w:spacing w:line="240" w:lineRule="auto"/>
                    <w:ind w:firstLine="0" w:firstLineChars="0"/>
                    <w:jc w:val="center"/>
                    <w:rPr>
                      <w:rFonts w:hint="default" w:ascii="Times New Roman" w:hAnsi="Times New Roman" w:cs="Times New Roman"/>
                      <w:color w:val="000000" w:themeColor="text1"/>
                      <w:sz w:val="21"/>
                      <w:highlight w:val="none"/>
                      <w14:textFill>
                        <w14:solidFill>
                          <w14:schemeClr w14:val="tx1"/>
                        </w14:solidFill>
                      </w14:textFill>
                    </w:rPr>
                  </w:pPr>
                  <w:r>
                    <w:rPr>
                      <w:rFonts w:hint="default" w:ascii="Times New Roman" w:hAnsi="Times New Roman" w:cs="Times New Roman"/>
                      <w:color w:val="000000" w:themeColor="text1"/>
                      <w:sz w:val="21"/>
                      <w:highlight w:val="none"/>
                      <w14:textFill>
                        <w14:solidFill>
                          <w14:schemeClr w14:val="tx1"/>
                        </w14:solidFill>
                      </w14:textFill>
                    </w:rPr>
                    <w:t>本项目不属于“散乱污”企业</w:t>
                  </w:r>
                </w:p>
              </w:tc>
              <w:tc>
                <w:tcPr>
                  <w:tcW w:w="1128" w:type="dxa"/>
                  <w:tcBorders>
                    <w:tl2br w:val="nil"/>
                    <w:tr2bl w:val="nil"/>
                  </w:tcBorders>
                  <w:vAlign w:val="center"/>
                </w:tcPr>
                <w:p w14:paraId="2E68AA9D">
                  <w:pPr>
                    <w:pStyle w:val="68"/>
                    <w:spacing w:line="240" w:lineRule="auto"/>
                    <w:ind w:firstLine="0" w:firstLineChars="0"/>
                    <w:jc w:val="center"/>
                    <w:rPr>
                      <w:rFonts w:hint="default" w:ascii="Times New Roman" w:hAnsi="Times New Roman" w:cs="Times New Roman"/>
                      <w:color w:val="000000" w:themeColor="text1"/>
                      <w:sz w:val="21"/>
                      <w:highlight w:val="none"/>
                      <w14:textFill>
                        <w14:solidFill>
                          <w14:schemeClr w14:val="tx1"/>
                        </w14:solidFill>
                      </w14:textFill>
                    </w:rPr>
                  </w:pPr>
                  <w:r>
                    <w:rPr>
                      <w:rFonts w:hint="default" w:ascii="Times New Roman" w:hAnsi="Times New Roman" w:cs="Times New Roman"/>
                      <w:color w:val="000000" w:themeColor="text1"/>
                      <w:sz w:val="21"/>
                      <w:highlight w:val="none"/>
                      <w14:textFill>
                        <w14:solidFill>
                          <w14:schemeClr w14:val="tx1"/>
                        </w14:solidFill>
                      </w14:textFill>
                    </w:rPr>
                    <w:t>符合</w:t>
                  </w:r>
                </w:p>
              </w:tc>
            </w:tr>
            <w:tr w14:paraId="3EC7E245">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967" w:type="dxa"/>
                  <w:vMerge w:val="continue"/>
                  <w:tcBorders>
                    <w:tl2br w:val="nil"/>
                    <w:tr2bl w:val="nil"/>
                  </w:tcBorders>
                  <w:vAlign w:val="center"/>
                </w:tcPr>
                <w:p w14:paraId="06D724DC">
                  <w:pPr>
                    <w:pStyle w:val="68"/>
                    <w:spacing w:line="240" w:lineRule="auto"/>
                    <w:ind w:firstLine="0" w:firstLineChars="0"/>
                    <w:jc w:val="center"/>
                    <w:rPr>
                      <w:rFonts w:hint="default" w:ascii="Times New Roman" w:hAnsi="Times New Roman" w:cs="Times New Roman"/>
                      <w:color w:val="000000" w:themeColor="text1"/>
                      <w:sz w:val="21"/>
                      <w:highlight w:val="none"/>
                      <w14:textFill>
                        <w14:solidFill>
                          <w14:schemeClr w14:val="tx1"/>
                        </w14:solidFill>
                      </w14:textFill>
                    </w:rPr>
                  </w:pPr>
                </w:p>
              </w:tc>
              <w:tc>
                <w:tcPr>
                  <w:tcW w:w="2846" w:type="dxa"/>
                  <w:tcBorders>
                    <w:tl2br w:val="nil"/>
                    <w:tr2bl w:val="nil"/>
                  </w:tcBorders>
                  <w:vAlign w:val="center"/>
                </w:tcPr>
                <w:p w14:paraId="0B784D98">
                  <w:pPr>
                    <w:pStyle w:val="68"/>
                    <w:spacing w:line="240" w:lineRule="auto"/>
                    <w:ind w:firstLine="0" w:firstLineChars="0"/>
                    <w:jc w:val="center"/>
                    <w:rPr>
                      <w:rFonts w:hint="default" w:ascii="Times New Roman" w:hAnsi="Times New Roman" w:cs="Times New Roman"/>
                      <w:color w:val="000000" w:themeColor="text1"/>
                      <w:sz w:val="21"/>
                      <w:highlight w:val="none"/>
                      <w14:textFill>
                        <w14:solidFill>
                          <w14:schemeClr w14:val="tx1"/>
                        </w14:solidFill>
                      </w14:textFill>
                    </w:rPr>
                  </w:pPr>
                  <w:r>
                    <w:rPr>
                      <w:rFonts w:hint="default" w:ascii="Times New Roman" w:hAnsi="Times New Roman" w:cs="Times New Roman"/>
                      <w:color w:val="000000" w:themeColor="text1"/>
                      <w:sz w:val="21"/>
                      <w:highlight w:val="none"/>
                      <w14:textFill>
                        <w14:solidFill>
                          <w14:schemeClr w14:val="tx1"/>
                        </w14:solidFill>
                      </w14:textFill>
                    </w:rPr>
                    <w:t>2.严格建设项目环境准入：新、改、扩建涉VOCs排放项目，应从源头加强控制，使用低（无）VOCs含量的原辅材料，加强废气收集，安装高效治理设施。</w:t>
                  </w:r>
                </w:p>
              </w:tc>
              <w:tc>
                <w:tcPr>
                  <w:tcW w:w="1968" w:type="dxa"/>
                  <w:tcBorders>
                    <w:tl2br w:val="nil"/>
                    <w:tr2bl w:val="nil"/>
                  </w:tcBorders>
                  <w:vAlign w:val="center"/>
                </w:tcPr>
                <w:p w14:paraId="063A2634">
                  <w:pPr>
                    <w:pStyle w:val="68"/>
                    <w:spacing w:line="240" w:lineRule="auto"/>
                    <w:ind w:firstLine="0" w:firstLineChars="0"/>
                    <w:jc w:val="center"/>
                    <w:rPr>
                      <w:rFonts w:hint="default" w:ascii="Times New Roman" w:hAnsi="Times New Roman" w:cs="Times New Roman"/>
                      <w:color w:val="000000" w:themeColor="text1"/>
                      <w:sz w:val="21"/>
                      <w:highlight w:val="none"/>
                      <w14:textFill>
                        <w14:solidFill>
                          <w14:schemeClr w14:val="tx1"/>
                        </w14:solidFill>
                      </w14:textFill>
                    </w:rPr>
                  </w:pPr>
                  <w:r>
                    <w:rPr>
                      <w:rFonts w:hint="default" w:ascii="Times New Roman" w:hAnsi="Times New Roman" w:cs="Times New Roman"/>
                      <w:color w:val="000000" w:themeColor="text1"/>
                      <w:sz w:val="21"/>
                      <w:highlight w:val="none"/>
                      <w14:textFill>
                        <w14:solidFill>
                          <w14:schemeClr w14:val="tx1"/>
                        </w14:solidFill>
                      </w14:textFill>
                    </w:rPr>
                    <w:t>本项目</w:t>
                  </w:r>
                  <w:r>
                    <w:rPr>
                      <w:rFonts w:hint="eastAsia" w:cs="Times New Roman"/>
                      <w:color w:val="000000" w:themeColor="text1"/>
                      <w:sz w:val="21"/>
                      <w:highlight w:val="none"/>
                      <w:lang w:val="en-US" w:eastAsia="zh-CN"/>
                      <w14:textFill>
                        <w14:solidFill>
                          <w14:schemeClr w14:val="tx1"/>
                        </w14:solidFill>
                      </w14:textFill>
                    </w:rPr>
                    <w:t>废矿物油</w:t>
                  </w:r>
                  <w:r>
                    <w:rPr>
                      <w:rFonts w:hint="default" w:ascii="Times New Roman" w:hAnsi="Times New Roman" w:cs="Times New Roman"/>
                      <w:color w:val="000000" w:themeColor="text1"/>
                      <w:sz w:val="21"/>
                      <w:highlight w:val="none"/>
                      <w14:textFill>
                        <w14:solidFill>
                          <w14:schemeClr w14:val="tx1"/>
                        </w14:solidFill>
                      </w14:textFill>
                    </w:rPr>
                    <w:t>贮存过程产生的VOCs收集后经活性炭吸附箱处理后达标排放</w:t>
                  </w:r>
                </w:p>
              </w:tc>
              <w:tc>
                <w:tcPr>
                  <w:tcW w:w="1128" w:type="dxa"/>
                  <w:tcBorders>
                    <w:tl2br w:val="nil"/>
                    <w:tr2bl w:val="nil"/>
                  </w:tcBorders>
                  <w:vAlign w:val="center"/>
                </w:tcPr>
                <w:p w14:paraId="18FA16E7">
                  <w:pPr>
                    <w:pStyle w:val="68"/>
                    <w:spacing w:line="240" w:lineRule="auto"/>
                    <w:ind w:firstLine="0" w:firstLineChars="0"/>
                    <w:jc w:val="center"/>
                    <w:rPr>
                      <w:rFonts w:hint="default" w:ascii="Times New Roman" w:hAnsi="Times New Roman" w:cs="Times New Roman"/>
                      <w:color w:val="000000" w:themeColor="text1"/>
                      <w:sz w:val="21"/>
                      <w:highlight w:val="none"/>
                      <w14:textFill>
                        <w14:solidFill>
                          <w14:schemeClr w14:val="tx1"/>
                        </w14:solidFill>
                      </w14:textFill>
                    </w:rPr>
                  </w:pPr>
                  <w:r>
                    <w:rPr>
                      <w:rFonts w:hint="default" w:ascii="Times New Roman" w:hAnsi="Times New Roman" w:cs="Times New Roman"/>
                      <w:color w:val="000000" w:themeColor="text1"/>
                      <w:sz w:val="21"/>
                      <w:highlight w:val="none"/>
                      <w14:textFill>
                        <w14:solidFill>
                          <w14:schemeClr w14:val="tx1"/>
                        </w14:solidFill>
                      </w14:textFill>
                    </w:rPr>
                    <w:t>符合</w:t>
                  </w:r>
                </w:p>
              </w:tc>
            </w:tr>
            <w:tr w14:paraId="0F967492">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967" w:type="dxa"/>
                  <w:tcBorders>
                    <w:tl2br w:val="nil"/>
                    <w:tr2bl w:val="nil"/>
                  </w:tcBorders>
                  <w:vAlign w:val="center"/>
                </w:tcPr>
                <w:p w14:paraId="4BF5A077">
                  <w:pPr>
                    <w:pStyle w:val="68"/>
                    <w:spacing w:line="240" w:lineRule="auto"/>
                    <w:ind w:firstLine="0" w:firstLineChars="0"/>
                    <w:jc w:val="center"/>
                    <w:rPr>
                      <w:rFonts w:hint="default" w:ascii="Times New Roman" w:hAnsi="Times New Roman" w:cs="Times New Roman"/>
                      <w:color w:val="000000" w:themeColor="text1"/>
                      <w:sz w:val="21"/>
                      <w:highlight w:val="none"/>
                      <w14:textFill>
                        <w14:solidFill>
                          <w14:schemeClr w14:val="tx1"/>
                        </w14:solidFill>
                      </w14:textFill>
                    </w:rPr>
                  </w:pPr>
                  <w:r>
                    <w:rPr>
                      <w:rFonts w:hint="default" w:ascii="Times New Roman" w:hAnsi="Times New Roman" w:cs="Times New Roman"/>
                      <w:color w:val="000000" w:themeColor="text1"/>
                      <w:sz w:val="21"/>
                      <w:highlight w:val="none"/>
                      <w14:textFill>
                        <w14:solidFill>
                          <w14:schemeClr w14:val="tx1"/>
                        </w14:solidFill>
                      </w14:textFill>
                    </w:rPr>
                    <w:t>（二）加快实施工业源VOCs污染防治。</w:t>
                  </w:r>
                </w:p>
              </w:tc>
              <w:tc>
                <w:tcPr>
                  <w:tcW w:w="2846" w:type="dxa"/>
                  <w:tcBorders>
                    <w:tl2br w:val="nil"/>
                    <w:tr2bl w:val="nil"/>
                  </w:tcBorders>
                  <w:vAlign w:val="center"/>
                </w:tcPr>
                <w:p w14:paraId="4EABF6A2">
                  <w:pPr>
                    <w:pStyle w:val="68"/>
                    <w:spacing w:line="240" w:lineRule="auto"/>
                    <w:ind w:firstLine="0" w:firstLineChars="0"/>
                    <w:jc w:val="center"/>
                    <w:rPr>
                      <w:rFonts w:hint="default" w:ascii="Times New Roman" w:hAnsi="Times New Roman" w:cs="Times New Roman"/>
                      <w:color w:val="000000" w:themeColor="text1"/>
                      <w:sz w:val="21"/>
                      <w:highlight w:val="none"/>
                      <w14:textFill>
                        <w14:solidFill>
                          <w14:schemeClr w14:val="tx1"/>
                        </w14:solidFill>
                      </w14:textFill>
                    </w:rPr>
                  </w:pPr>
                  <w:r>
                    <w:rPr>
                      <w:rFonts w:hint="default" w:ascii="Times New Roman" w:hAnsi="Times New Roman" w:cs="Times New Roman"/>
                      <w:color w:val="000000" w:themeColor="text1"/>
                      <w:sz w:val="21"/>
                      <w:highlight w:val="none"/>
                      <w14:textFill>
                        <w14:solidFill>
                          <w14:schemeClr w14:val="tx1"/>
                        </w14:solidFill>
                      </w14:textFill>
                    </w:rPr>
                    <w:t>1.全面实施石化行业达标排放。石油炼制、石油化工、合成树脂等行业应严格按照排放标准要求，全面加强精细化管理，确保稳定达标排放</w:t>
                  </w:r>
                </w:p>
              </w:tc>
              <w:tc>
                <w:tcPr>
                  <w:tcW w:w="1968" w:type="dxa"/>
                  <w:tcBorders>
                    <w:tl2br w:val="nil"/>
                    <w:tr2bl w:val="nil"/>
                  </w:tcBorders>
                  <w:vAlign w:val="center"/>
                </w:tcPr>
                <w:p w14:paraId="35C03BEB">
                  <w:pPr>
                    <w:pStyle w:val="68"/>
                    <w:spacing w:line="240" w:lineRule="auto"/>
                    <w:ind w:firstLine="0" w:firstLineChars="0"/>
                    <w:jc w:val="center"/>
                    <w:rPr>
                      <w:rFonts w:hint="default" w:ascii="Times New Roman" w:hAnsi="Times New Roman" w:cs="Times New Roman"/>
                      <w:color w:val="000000" w:themeColor="text1"/>
                      <w:sz w:val="21"/>
                      <w:highlight w:val="none"/>
                      <w14:textFill>
                        <w14:solidFill>
                          <w14:schemeClr w14:val="tx1"/>
                        </w14:solidFill>
                      </w14:textFill>
                    </w:rPr>
                  </w:pPr>
                  <w:r>
                    <w:rPr>
                      <w:rFonts w:hint="default" w:ascii="Times New Roman" w:hAnsi="Times New Roman" w:cs="Times New Roman"/>
                      <w:color w:val="000000" w:themeColor="text1"/>
                      <w:sz w:val="21"/>
                      <w:highlight w:val="none"/>
                      <w14:textFill>
                        <w14:solidFill>
                          <w14:schemeClr w14:val="tx1"/>
                        </w14:solidFill>
                      </w14:textFill>
                    </w:rPr>
                    <w:t>本项目</w:t>
                  </w:r>
                  <w:r>
                    <w:rPr>
                      <w:rFonts w:hint="eastAsia" w:cs="Times New Roman"/>
                      <w:color w:val="000000" w:themeColor="text1"/>
                      <w:sz w:val="21"/>
                      <w:highlight w:val="none"/>
                      <w:lang w:val="en-US" w:eastAsia="zh-CN"/>
                      <w14:textFill>
                        <w14:solidFill>
                          <w14:schemeClr w14:val="tx1"/>
                        </w14:solidFill>
                      </w14:textFill>
                    </w:rPr>
                    <w:t>废矿物油</w:t>
                  </w:r>
                  <w:r>
                    <w:rPr>
                      <w:rFonts w:hint="default" w:ascii="Times New Roman" w:hAnsi="Times New Roman" w:cs="Times New Roman"/>
                      <w:color w:val="000000" w:themeColor="text1"/>
                      <w:sz w:val="21"/>
                      <w:highlight w:val="none"/>
                      <w14:textFill>
                        <w14:solidFill>
                          <w14:schemeClr w14:val="tx1"/>
                        </w14:solidFill>
                      </w14:textFill>
                    </w:rPr>
                    <w:t>贮存过程产生的VOCs收集后经活性炭吸附箱处理后达标排放</w:t>
                  </w:r>
                </w:p>
              </w:tc>
              <w:tc>
                <w:tcPr>
                  <w:tcW w:w="1128" w:type="dxa"/>
                  <w:tcBorders>
                    <w:tl2br w:val="nil"/>
                    <w:tr2bl w:val="nil"/>
                  </w:tcBorders>
                  <w:vAlign w:val="center"/>
                </w:tcPr>
                <w:p w14:paraId="799759BD">
                  <w:pPr>
                    <w:pStyle w:val="68"/>
                    <w:spacing w:line="240" w:lineRule="auto"/>
                    <w:ind w:firstLine="0" w:firstLineChars="0"/>
                    <w:jc w:val="center"/>
                    <w:rPr>
                      <w:rFonts w:hint="default" w:ascii="Times New Roman" w:hAnsi="Times New Roman" w:cs="Times New Roman"/>
                      <w:color w:val="000000" w:themeColor="text1"/>
                      <w:sz w:val="21"/>
                      <w:highlight w:val="none"/>
                      <w14:textFill>
                        <w14:solidFill>
                          <w14:schemeClr w14:val="tx1"/>
                        </w14:solidFill>
                      </w14:textFill>
                    </w:rPr>
                  </w:pPr>
                  <w:r>
                    <w:rPr>
                      <w:rFonts w:hint="default" w:ascii="Times New Roman" w:hAnsi="Times New Roman" w:cs="Times New Roman"/>
                      <w:color w:val="000000" w:themeColor="text1"/>
                      <w:sz w:val="21"/>
                      <w:highlight w:val="none"/>
                      <w14:textFill>
                        <w14:solidFill>
                          <w14:schemeClr w14:val="tx1"/>
                        </w14:solidFill>
                      </w14:textFill>
                    </w:rPr>
                    <w:t>符合</w:t>
                  </w:r>
                </w:p>
              </w:tc>
            </w:tr>
            <w:tr w14:paraId="4D4C7C60">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3813" w:type="dxa"/>
                  <w:gridSpan w:val="2"/>
                  <w:tcBorders>
                    <w:tl2br w:val="nil"/>
                    <w:tr2bl w:val="nil"/>
                  </w:tcBorders>
                  <w:vAlign w:val="center"/>
                </w:tcPr>
                <w:p w14:paraId="56E6F4CC">
                  <w:pPr>
                    <w:pStyle w:val="68"/>
                    <w:spacing w:line="240" w:lineRule="auto"/>
                    <w:ind w:firstLine="0" w:firstLineChars="0"/>
                    <w:jc w:val="center"/>
                    <w:rPr>
                      <w:rFonts w:hint="default" w:ascii="Times New Roman" w:hAnsi="Times New Roman" w:cs="Times New Roman"/>
                      <w:color w:val="000000" w:themeColor="text1"/>
                      <w:sz w:val="21"/>
                      <w:highlight w:val="none"/>
                      <w14:textFill>
                        <w14:solidFill>
                          <w14:schemeClr w14:val="tx1"/>
                        </w14:solidFill>
                      </w14:textFill>
                    </w:rPr>
                  </w:pPr>
                  <w:r>
                    <w:rPr>
                      <w:rFonts w:hint="default" w:ascii="Times New Roman" w:hAnsi="Times New Roman" w:cs="Times New Roman"/>
                      <w:color w:val="000000" w:themeColor="text1"/>
                      <w:sz w:val="21"/>
                      <w:highlight w:val="none"/>
                      <w14:textFill>
                        <w14:solidFill>
                          <w14:schemeClr w14:val="tx1"/>
                        </w14:solidFill>
                      </w14:textFill>
                    </w:rPr>
                    <w:t>（三）深入推进交通源VOCs污染防治</w:t>
                  </w:r>
                </w:p>
              </w:tc>
              <w:tc>
                <w:tcPr>
                  <w:tcW w:w="1968" w:type="dxa"/>
                  <w:tcBorders>
                    <w:tl2br w:val="nil"/>
                    <w:tr2bl w:val="nil"/>
                  </w:tcBorders>
                  <w:vAlign w:val="center"/>
                </w:tcPr>
                <w:p w14:paraId="6C6BD6E9">
                  <w:pPr>
                    <w:pStyle w:val="68"/>
                    <w:spacing w:line="240" w:lineRule="auto"/>
                    <w:ind w:firstLine="0" w:firstLineChars="0"/>
                    <w:jc w:val="center"/>
                    <w:rPr>
                      <w:rFonts w:hint="default" w:ascii="Times New Roman" w:hAnsi="Times New Roman" w:cs="Times New Roman"/>
                      <w:color w:val="000000" w:themeColor="text1"/>
                      <w:sz w:val="21"/>
                      <w:highlight w:val="none"/>
                      <w14:textFill>
                        <w14:solidFill>
                          <w14:schemeClr w14:val="tx1"/>
                        </w14:solidFill>
                      </w14:textFill>
                    </w:rPr>
                  </w:pPr>
                  <w:r>
                    <w:rPr>
                      <w:rFonts w:hint="default" w:ascii="Times New Roman" w:hAnsi="Times New Roman" w:cs="Times New Roman"/>
                      <w:color w:val="000000" w:themeColor="text1"/>
                      <w:sz w:val="21"/>
                      <w:highlight w:val="none"/>
                      <w14:textFill>
                        <w14:solidFill>
                          <w14:schemeClr w14:val="tx1"/>
                        </w14:solidFill>
                      </w14:textFill>
                    </w:rPr>
                    <w:t>不涉及</w:t>
                  </w:r>
                </w:p>
              </w:tc>
              <w:tc>
                <w:tcPr>
                  <w:tcW w:w="1128" w:type="dxa"/>
                  <w:tcBorders>
                    <w:tl2br w:val="nil"/>
                    <w:tr2bl w:val="nil"/>
                  </w:tcBorders>
                  <w:vAlign w:val="center"/>
                </w:tcPr>
                <w:p w14:paraId="644299ED">
                  <w:pPr>
                    <w:pStyle w:val="68"/>
                    <w:spacing w:line="240" w:lineRule="auto"/>
                    <w:ind w:firstLine="0" w:firstLineChars="0"/>
                    <w:jc w:val="center"/>
                    <w:rPr>
                      <w:rFonts w:hint="default" w:ascii="Times New Roman" w:hAnsi="Times New Roman" w:cs="Times New Roman"/>
                      <w:color w:val="000000" w:themeColor="text1"/>
                      <w:sz w:val="21"/>
                      <w:highlight w:val="none"/>
                      <w14:textFill>
                        <w14:solidFill>
                          <w14:schemeClr w14:val="tx1"/>
                        </w14:solidFill>
                      </w14:textFill>
                    </w:rPr>
                  </w:pPr>
                  <w:r>
                    <w:rPr>
                      <w:rFonts w:hint="default" w:ascii="Times New Roman" w:hAnsi="Times New Roman" w:cs="Times New Roman"/>
                      <w:color w:val="000000" w:themeColor="text1"/>
                      <w:sz w:val="21"/>
                      <w:highlight w:val="none"/>
                      <w14:textFill>
                        <w14:solidFill>
                          <w14:schemeClr w14:val="tx1"/>
                        </w14:solidFill>
                      </w14:textFill>
                    </w:rPr>
                    <w:t>符合</w:t>
                  </w:r>
                </w:p>
              </w:tc>
            </w:tr>
            <w:tr w14:paraId="7A1051CA">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3813" w:type="dxa"/>
                  <w:gridSpan w:val="2"/>
                  <w:tcBorders>
                    <w:tl2br w:val="nil"/>
                    <w:tr2bl w:val="nil"/>
                  </w:tcBorders>
                  <w:vAlign w:val="center"/>
                </w:tcPr>
                <w:p w14:paraId="576E43BF">
                  <w:pPr>
                    <w:pStyle w:val="68"/>
                    <w:spacing w:line="240" w:lineRule="auto"/>
                    <w:ind w:firstLine="0" w:firstLineChars="0"/>
                    <w:jc w:val="center"/>
                    <w:rPr>
                      <w:rFonts w:hint="default" w:ascii="Times New Roman" w:hAnsi="Times New Roman" w:cs="Times New Roman"/>
                      <w:color w:val="000000" w:themeColor="text1"/>
                      <w:sz w:val="21"/>
                      <w:highlight w:val="none"/>
                      <w14:textFill>
                        <w14:solidFill>
                          <w14:schemeClr w14:val="tx1"/>
                        </w14:solidFill>
                      </w14:textFill>
                    </w:rPr>
                  </w:pPr>
                  <w:r>
                    <w:rPr>
                      <w:rFonts w:hint="default" w:ascii="Times New Roman" w:hAnsi="Times New Roman" w:cs="Times New Roman"/>
                      <w:color w:val="000000" w:themeColor="text1"/>
                      <w:sz w:val="21"/>
                      <w:highlight w:val="none"/>
                      <w14:textFill>
                        <w14:solidFill>
                          <w14:schemeClr w14:val="tx1"/>
                        </w14:solidFill>
                      </w14:textFill>
                    </w:rPr>
                    <w:t>（四）有序开展生活源农业源VOCs污染防治</w:t>
                  </w:r>
                </w:p>
              </w:tc>
              <w:tc>
                <w:tcPr>
                  <w:tcW w:w="1968" w:type="dxa"/>
                  <w:tcBorders>
                    <w:tl2br w:val="nil"/>
                    <w:tr2bl w:val="nil"/>
                  </w:tcBorders>
                  <w:vAlign w:val="center"/>
                </w:tcPr>
                <w:p w14:paraId="37BEC4CD">
                  <w:pPr>
                    <w:pStyle w:val="68"/>
                    <w:spacing w:line="240" w:lineRule="auto"/>
                    <w:ind w:firstLine="0" w:firstLineChars="0"/>
                    <w:jc w:val="center"/>
                    <w:rPr>
                      <w:rFonts w:hint="default" w:ascii="Times New Roman" w:hAnsi="Times New Roman" w:cs="Times New Roman"/>
                      <w:color w:val="000000" w:themeColor="text1"/>
                      <w:sz w:val="21"/>
                      <w:highlight w:val="none"/>
                      <w14:textFill>
                        <w14:solidFill>
                          <w14:schemeClr w14:val="tx1"/>
                        </w14:solidFill>
                      </w14:textFill>
                    </w:rPr>
                  </w:pPr>
                  <w:r>
                    <w:rPr>
                      <w:rFonts w:hint="default" w:ascii="Times New Roman" w:hAnsi="Times New Roman" w:cs="Times New Roman"/>
                      <w:color w:val="000000" w:themeColor="text1"/>
                      <w:sz w:val="21"/>
                      <w:highlight w:val="none"/>
                      <w14:textFill>
                        <w14:solidFill>
                          <w14:schemeClr w14:val="tx1"/>
                        </w14:solidFill>
                      </w14:textFill>
                    </w:rPr>
                    <w:t>不涉及</w:t>
                  </w:r>
                </w:p>
              </w:tc>
              <w:tc>
                <w:tcPr>
                  <w:tcW w:w="1128" w:type="dxa"/>
                  <w:tcBorders>
                    <w:tl2br w:val="nil"/>
                    <w:tr2bl w:val="nil"/>
                  </w:tcBorders>
                  <w:vAlign w:val="center"/>
                </w:tcPr>
                <w:p w14:paraId="3099B8B9">
                  <w:pPr>
                    <w:pStyle w:val="68"/>
                    <w:spacing w:line="240" w:lineRule="auto"/>
                    <w:ind w:firstLine="0" w:firstLineChars="0"/>
                    <w:jc w:val="center"/>
                    <w:rPr>
                      <w:rFonts w:hint="default" w:ascii="Times New Roman" w:hAnsi="Times New Roman" w:cs="Times New Roman"/>
                      <w:color w:val="000000" w:themeColor="text1"/>
                      <w:sz w:val="21"/>
                      <w:highlight w:val="none"/>
                      <w14:textFill>
                        <w14:solidFill>
                          <w14:schemeClr w14:val="tx1"/>
                        </w14:solidFill>
                      </w14:textFill>
                    </w:rPr>
                  </w:pPr>
                  <w:r>
                    <w:rPr>
                      <w:rFonts w:hint="default" w:ascii="Times New Roman" w:hAnsi="Times New Roman" w:cs="Times New Roman"/>
                      <w:color w:val="000000" w:themeColor="text1"/>
                      <w:sz w:val="21"/>
                      <w:highlight w:val="none"/>
                      <w14:textFill>
                        <w14:solidFill>
                          <w14:schemeClr w14:val="tx1"/>
                        </w14:solidFill>
                      </w14:textFill>
                    </w:rPr>
                    <w:t>符合</w:t>
                  </w:r>
                </w:p>
              </w:tc>
            </w:tr>
            <w:tr w14:paraId="7809E5AD">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967" w:type="dxa"/>
                  <w:tcBorders>
                    <w:tl2br w:val="nil"/>
                    <w:tr2bl w:val="nil"/>
                  </w:tcBorders>
                  <w:vAlign w:val="center"/>
                </w:tcPr>
                <w:p w14:paraId="0EE49B35">
                  <w:pPr>
                    <w:pStyle w:val="68"/>
                    <w:spacing w:line="240" w:lineRule="auto"/>
                    <w:ind w:firstLine="0" w:firstLineChars="0"/>
                    <w:jc w:val="center"/>
                    <w:rPr>
                      <w:rFonts w:hint="default" w:ascii="Times New Roman" w:hAnsi="Times New Roman" w:cs="Times New Roman"/>
                      <w:color w:val="000000" w:themeColor="text1"/>
                      <w:sz w:val="21"/>
                      <w:highlight w:val="none"/>
                      <w14:textFill>
                        <w14:solidFill>
                          <w14:schemeClr w14:val="tx1"/>
                        </w14:solidFill>
                      </w14:textFill>
                    </w:rPr>
                  </w:pPr>
                  <w:r>
                    <w:rPr>
                      <w:rFonts w:hint="default" w:ascii="Times New Roman" w:hAnsi="Times New Roman" w:cs="Times New Roman"/>
                      <w:color w:val="000000" w:themeColor="text1"/>
                      <w:sz w:val="21"/>
                      <w:highlight w:val="none"/>
                      <w14:textFill>
                        <w14:solidFill>
                          <w14:schemeClr w14:val="tx1"/>
                        </w14:solidFill>
                      </w14:textFill>
                    </w:rPr>
                    <w:t>（五）建立健全VOCs管理体系。</w:t>
                  </w:r>
                </w:p>
              </w:tc>
              <w:tc>
                <w:tcPr>
                  <w:tcW w:w="2846" w:type="dxa"/>
                  <w:tcBorders>
                    <w:tl2br w:val="nil"/>
                    <w:tr2bl w:val="nil"/>
                  </w:tcBorders>
                  <w:vAlign w:val="center"/>
                </w:tcPr>
                <w:p w14:paraId="02129CF2">
                  <w:pPr>
                    <w:pStyle w:val="68"/>
                    <w:spacing w:line="240" w:lineRule="auto"/>
                    <w:ind w:firstLine="0" w:firstLineChars="0"/>
                    <w:jc w:val="center"/>
                    <w:rPr>
                      <w:rFonts w:hint="default" w:ascii="Times New Roman" w:hAnsi="Times New Roman" w:cs="Times New Roman"/>
                      <w:color w:val="000000" w:themeColor="text1"/>
                      <w:sz w:val="21"/>
                      <w:highlight w:val="none"/>
                      <w14:textFill>
                        <w14:solidFill>
                          <w14:schemeClr w14:val="tx1"/>
                        </w14:solidFill>
                      </w14:textFill>
                    </w:rPr>
                  </w:pPr>
                  <w:r>
                    <w:rPr>
                      <w:rFonts w:hint="default" w:ascii="Times New Roman" w:hAnsi="Times New Roman" w:cs="Times New Roman"/>
                      <w:color w:val="000000" w:themeColor="text1"/>
                      <w:sz w:val="21"/>
                      <w:highlight w:val="none"/>
                      <w14:textFill>
                        <w14:solidFill>
                          <w14:schemeClr w14:val="tx1"/>
                        </w14:solidFill>
                      </w14:textFill>
                    </w:rPr>
                    <w:t>2.建立健全监测监控体系。将石化、化工、包装印刷、工业涂装等VOCs排放重点源纳入重点排污单位名录，主要排污口要安装污（五）建立完善VOCs监管体系。3.建立健全监测监控体系。2020年，将石化、化工、包装、印刷、工业涂装等VOCs排放重点企业纳入重点排污单位名录，主要排污口VOCs自动监测设备，并本项目不属于废气重点排污单位名录的重点排污单位符合14染物排放自动监测设备，并与环保部门联网，其他企业逐步配备自动监测设备或便携式VOCs检测仪。</w:t>
                  </w:r>
                </w:p>
              </w:tc>
              <w:tc>
                <w:tcPr>
                  <w:tcW w:w="1968" w:type="dxa"/>
                  <w:tcBorders>
                    <w:tl2br w:val="nil"/>
                    <w:tr2bl w:val="nil"/>
                  </w:tcBorders>
                  <w:vAlign w:val="center"/>
                </w:tcPr>
                <w:p w14:paraId="093D2A04">
                  <w:pPr>
                    <w:pStyle w:val="68"/>
                    <w:spacing w:line="240" w:lineRule="auto"/>
                    <w:ind w:firstLine="0" w:firstLineChars="0"/>
                    <w:jc w:val="center"/>
                    <w:rPr>
                      <w:rFonts w:hint="default" w:ascii="Times New Roman" w:hAnsi="Times New Roman" w:cs="Times New Roman"/>
                      <w:color w:val="000000" w:themeColor="text1"/>
                      <w:sz w:val="21"/>
                      <w:highlight w:val="none"/>
                      <w14:textFill>
                        <w14:solidFill>
                          <w14:schemeClr w14:val="tx1"/>
                        </w14:solidFill>
                      </w14:textFill>
                    </w:rPr>
                  </w:pPr>
                  <w:r>
                    <w:rPr>
                      <w:rFonts w:hint="default" w:ascii="Times New Roman" w:hAnsi="Times New Roman" w:cs="Times New Roman"/>
                      <w:color w:val="000000" w:themeColor="text1"/>
                      <w:sz w:val="21"/>
                      <w:highlight w:val="none"/>
                      <w14:textFill>
                        <w14:solidFill>
                          <w14:schemeClr w14:val="tx1"/>
                        </w14:solidFill>
                      </w14:textFill>
                    </w:rPr>
                    <w:t>本项目废气排污口为一般排污口，</w:t>
                  </w:r>
                  <w:r>
                    <w:rPr>
                      <w:rFonts w:hint="eastAsia" w:cs="Times New Roman"/>
                      <w:color w:val="000000" w:themeColor="text1"/>
                      <w:sz w:val="21"/>
                      <w:highlight w:val="none"/>
                      <w:lang w:val="en-US" w:eastAsia="zh-CN"/>
                      <w14:textFill>
                        <w14:solidFill>
                          <w14:schemeClr w14:val="tx1"/>
                        </w14:solidFill>
                      </w14:textFill>
                    </w:rPr>
                    <w:t>废矿物油</w:t>
                  </w:r>
                  <w:r>
                    <w:rPr>
                      <w:rFonts w:hint="default" w:ascii="Times New Roman" w:hAnsi="Times New Roman" w:cs="Times New Roman"/>
                      <w:color w:val="000000" w:themeColor="text1"/>
                      <w:sz w:val="21"/>
                      <w:highlight w:val="none"/>
                      <w14:textFill>
                        <w14:solidFill>
                          <w14:schemeClr w14:val="tx1"/>
                        </w14:solidFill>
                      </w14:textFill>
                    </w:rPr>
                    <w:t>贮存过程产生的VOCs经活性炭箱处理后达标排放</w:t>
                  </w:r>
                </w:p>
              </w:tc>
              <w:tc>
                <w:tcPr>
                  <w:tcW w:w="1128" w:type="dxa"/>
                  <w:tcBorders>
                    <w:tl2br w:val="nil"/>
                    <w:tr2bl w:val="nil"/>
                  </w:tcBorders>
                  <w:vAlign w:val="center"/>
                </w:tcPr>
                <w:p w14:paraId="7CB07201">
                  <w:pPr>
                    <w:pStyle w:val="68"/>
                    <w:spacing w:line="240" w:lineRule="auto"/>
                    <w:ind w:firstLine="0" w:firstLineChars="0"/>
                    <w:jc w:val="center"/>
                    <w:rPr>
                      <w:rFonts w:hint="default" w:ascii="Times New Roman" w:hAnsi="Times New Roman" w:cs="Times New Roman"/>
                      <w:color w:val="000000" w:themeColor="text1"/>
                      <w:sz w:val="21"/>
                      <w:highlight w:val="none"/>
                      <w14:textFill>
                        <w14:solidFill>
                          <w14:schemeClr w14:val="tx1"/>
                        </w14:solidFill>
                      </w14:textFill>
                    </w:rPr>
                  </w:pPr>
                  <w:r>
                    <w:rPr>
                      <w:rFonts w:hint="default" w:ascii="Times New Roman" w:hAnsi="Times New Roman" w:cs="Times New Roman"/>
                      <w:color w:val="000000" w:themeColor="text1"/>
                      <w:sz w:val="21"/>
                      <w:highlight w:val="none"/>
                      <w14:textFill>
                        <w14:solidFill>
                          <w14:schemeClr w14:val="tx1"/>
                        </w14:solidFill>
                      </w14:textFill>
                    </w:rPr>
                    <w:t>符合</w:t>
                  </w:r>
                </w:p>
              </w:tc>
            </w:tr>
          </w:tbl>
          <w:p w14:paraId="24146DB7">
            <w:pPr>
              <w:pStyle w:val="68"/>
              <w:ind w:firstLine="480"/>
              <w:rPr>
                <w:rFonts w:hint="default" w:ascii="Times New Roman" w:hAnsi="Times New Roman" w:cs="Times New Roman"/>
                <w:b/>
                <w:bCs w:val="0"/>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综上所述，本项目符合《“十三五”挥发性有机物污染防治工作方案》。</w:t>
            </w:r>
          </w:p>
          <w:p w14:paraId="6AE51FBE">
            <w:pPr>
              <w:pStyle w:val="68"/>
              <w:numPr>
                <w:ilvl w:val="0"/>
                <w:numId w:val="1"/>
              </w:numPr>
              <w:ind w:firstLineChars="0"/>
              <w:rPr>
                <w:rFonts w:hint="default" w:ascii="Times New Roman" w:hAnsi="Times New Roman" w:cs="Times New Roman"/>
                <w:b/>
                <w:bCs w:val="0"/>
                <w:color w:val="000000" w:themeColor="text1"/>
                <w:highlight w:val="none"/>
                <w14:textFill>
                  <w14:solidFill>
                    <w14:schemeClr w14:val="tx1"/>
                  </w14:solidFill>
                </w14:textFill>
              </w:rPr>
            </w:pPr>
            <w:r>
              <w:rPr>
                <w:rFonts w:hint="default" w:ascii="Times New Roman" w:hAnsi="Times New Roman" w:cs="Times New Roman"/>
                <w:b/>
                <w:bCs w:val="0"/>
                <w:color w:val="000000" w:themeColor="text1"/>
                <w:highlight w:val="none"/>
                <w14:textFill>
                  <w14:solidFill>
                    <w14:schemeClr w14:val="tx1"/>
                  </w14:solidFill>
                </w14:textFill>
              </w:rPr>
              <w:t>与关于印发《2020年挥发性有机物治理攻坚方案的通知》符合性分析</w:t>
            </w:r>
          </w:p>
          <w:p w14:paraId="70EE2FB6">
            <w:pPr>
              <w:pStyle w:val="68"/>
              <w:spacing w:line="240" w:lineRule="auto"/>
              <w:ind w:firstLine="0" w:firstLineChars="0"/>
              <w:jc w:val="center"/>
              <w:rPr>
                <w:rFonts w:hint="default" w:ascii="Times New Roman" w:hAnsi="Times New Roman" w:cs="Times New Roman"/>
                <w:b/>
                <w:bCs w:val="0"/>
                <w:color w:val="000000" w:themeColor="text1"/>
                <w:sz w:val="21"/>
                <w:szCs w:val="18"/>
                <w:highlight w:val="none"/>
                <w14:textFill>
                  <w14:solidFill>
                    <w14:schemeClr w14:val="tx1"/>
                  </w14:solidFill>
                </w14:textFill>
              </w:rPr>
            </w:pPr>
            <w:r>
              <w:rPr>
                <w:rFonts w:hint="default" w:ascii="Times New Roman" w:hAnsi="Times New Roman" w:cs="Times New Roman"/>
                <w:b/>
                <w:bCs w:val="0"/>
                <w:color w:val="000000" w:themeColor="text1"/>
                <w:sz w:val="21"/>
                <w:szCs w:val="18"/>
                <w:highlight w:val="none"/>
                <w14:textFill>
                  <w14:solidFill>
                    <w14:schemeClr w14:val="tx1"/>
                  </w14:solidFill>
                </w14:textFill>
              </w:rPr>
              <w:t>表1-</w:t>
            </w:r>
            <w:r>
              <w:rPr>
                <w:rFonts w:hint="eastAsia" w:cs="Times New Roman"/>
                <w:b/>
                <w:bCs w:val="0"/>
                <w:color w:val="000000" w:themeColor="text1"/>
                <w:sz w:val="21"/>
                <w:szCs w:val="18"/>
                <w:highlight w:val="none"/>
                <w:lang w:val="en-US" w:eastAsia="zh-CN"/>
                <w14:textFill>
                  <w14:solidFill>
                    <w14:schemeClr w14:val="tx1"/>
                  </w14:solidFill>
                </w14:textFill>
              </w:rPr>
              <w:t>9</w:t>
            </w:r>
            <w:r>
              <w:rPr>
                <w:rFonts w:hint="default" w:ascii="Times New Roman" w:hAnsi="Times New Roman" w:cs="Times New Roman"/>
                <w:b/>
                <w:bCs w:val="0"/>
                <w:color w:val="000000" w:themeColor="text1"/>
                <w:sz w:val="21"/>
                <w:szCs w:val="18"/>
                <w:highlight w:val="none"/>
                <w14:textFill>
                  <w14:solidFill>
                    <w14:schemeClr w14:val="tx1"/>
                  </w14:solidFill>
                </w14:textFill>
              </w:rPr>
              <w:t xml:space="preserve"> 与《2020年挥发性有机物有机物治理攻坚方案的通知》符合性分析</w:t>
            </w:r>
          </w:p>
          <w:tbl>
            <w:tblPr>
              <w:tblStyle w:val="28"/>
              <w:tblW w:w="6927" w:type="dxa"/>
              <w:tblInd w:w="5" w:type="dxa"/>
              <w:tblBorders>
                <w:top w:val="double" w:color="auto" w:sz="4" w:space="0"/>
                <w:left w:val="none" w:color="auto" w:sz="0" w:space="0"/>
                <w:bottom w:val="doub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2973"/>
              <w:gridCol w:w="2904"/>
              <w:gridCol w:w="1050"/>
            </w:tblGrid>
            <w:tr w14:paraId="39487A12">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2973" w:type="dxa"/>
                  <w:tcBorders>
                    <w:tl2br w:val="nil"/>
                    <w:tr2bl w:val="nil"/>
                  </w:tcBorders>
                  <w:vAlign w:val="center"/>
                </w:tcPr>
                <w:p w14:paraId="17DE676E">
                  <w:pPr>
                    <w:pStyle w:val="68"/>
                    <w:spacing w:line="240" w:lineRule="auto"/>
                    <w:ind w:firstLine="0" w:firstLineChars="0"/>
                    <w:jc w:val="center"/>
                    <w:rPr>
                      <w:rFonts w:hint="default" w:ascii="Times New Roman" w:hAnsi="Times New Roman" w:cs="Times New Roman"/>
                      <w:color w:val="000000" w:themeColor="text1"/>
                      <w:sz w:val="21"/>
                      <w:highlight w:val="none"/>
                      <w14:textFill>
                        <w14:solidFill>
                          <w14:schemeClr w14:val="tx1"/>
                        </w14:solidFill>
                      </w14:textFill>
                    </w:rPr>
                  </w:pPr>
                  <w:r>
                    <w:rPr>
                      <w:rFonts w:hint="default" w:ascii="Times New Roman" w:hAnsi="Times New Roman" w:cs="Times New Roman"/>
                      <w:color w:val="000000" w:themeColor="text1"/>
                      <w:sz w:val="21"/>
                      <w:highlight w:val="none"/>
                      <w14:textFill>
                        <w14:solidFill>
                          <w14:schemeClr w14:val="tx1"/>
                        </w14:solidFill>
                      </w14:textFill>
                    </w:rPr>
                    <w:t>文件要求</w:t>
                  </w:r>
                </w:p>
              </w:tc>
              <w:tc>
                <w:tcPr>
                  <w:tcW w:w="2904" w:type="dxa"/>
                  <w:tcBorders>
                    <w:tl2br w:val="nil"/>
                    <w:tr2bl w:val="nil"/>
                  </w:tcBorders>
                  <w:vAlign w:val="center"/>
                </w:tcPr>
                <w:p w14:paraId="45E51934">
                  <w:pPr>
                    <w:pStyle w:val="68"/>
                    <w:spacing w:line="240" w:lineRule="auto"/>
                    <w:ind w:firstLine="0" w:firstLineChars="0"/>
                    <w:jc w:val="center"/>
                    <w:rPr>
                      <w:rFonts w:hint="default" w:ascii="Times New Roman" w:hAnsi="Times New Roman" w:cs="Times New Roman"/>
                      <w:color w:val="000000" w:themeColor="text1"/>
                      <w:sz w:val="21"/>
                      <w:highlight w:val="none"/>
                      <w14:textFill>
                        <w14:solidFill>
                          <w14:schemeClr w14:val="tx1"/>
                        </w14:solidFill>
                      </w14:textFill>
                    </w:rPr>
                  </w:pPr>
                  <w:r>
                    <w:rPr>
                      <w:rFonts w:hint="default" w:ascii="Times New Roman" w:hAnsi="Times New Roman" w:cs="Times New Roman"/>
                      <w:color w:val="000000" w:themeColor="text1"/>
                      <w:sz w:val="21"/>
                      <w:highlight w:val="none"/>
                      <w14:textFill>
                        <w14:solidFill>
                          <w14:schemeClr w14:val="tx1"/>
                        </w14:solidFill>
                      </w14:textFill>
                    </w:rPr>
                    <w:t>项目情况</w:t>
                  </w:r>
                </w:p>
              </w:tc>
              <w:tc>
                <w:tcPr>
                  <w:tcW w:w="1050" w:type="dxa"/>
                  <w:tcBorders>
                    <w:tl2br w:val="nil"/>
                    <w:tr2bl w:val="nil"/>
                  </w:tcBorders>
                  <w:vAlign w:val="center"/>
                </w:tcPr>
                <w:p w14:paraId="525DE7A7">
                  <w:pPr>
                    <w:pStyle w:val="68"/>
                    <w:spacing w:line="240" w:lineRule="auto"/>
                    <w:ind w:firstLine="0" w:firstLineChars="0"/>
                    <w:jc w:val="center"/>
                    <w:rPr>
                      <w:rFonts w:hint="default" w:ascii="Times New Roman" w:hAnsi="Times New Roman" w:cs="Times New Roman"/>
                      <w:color w:val="000000" w:themeColor="text1"/>
                      <w:sz w:val="21"/>
                      <w:highlight w:val="none"/>
                      <w14:textFill>
                        <w14:solidFill>
                          <w14:schemeClr w14:val="tx1"/>
                        </w14:solidFill>
                      </w14:textFill>
                    </w:rPr>
                  </w:pPr>
                  <w:r>
                    <w:rPr>
                      <w:rFonts w:hint="default" w:ascii="Times New Roman" w:hAnsi="Times New Roman" w:cs="Times New Roman"/>
                      <w:color w:val="000000" w:themeColor="text1"/>
                      <w:sz w:val="21"/>
                      <w:highlight w:val="none"/>
                      <w14:textFill>
                        <w14:solidFill>
                          <w14:schemeClr w14:val="tx1"/>
                        </w14:solidFill>
                      </w14:textFill>
                    </w:rPr>
                    <w:t>符合性</w:t>
                  </w:r>
                </w:p>
              </w:tc>
            </w:tr>
            <w:tr w14:paraId="126565AD">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2973" w:type="dxa"/>
                  <w:tcBorders>
                    <w:tl2br w:val="nil"/>
                    <w:tr2bl w:val="nil"/>
                  </w:tcBorders>
                  <w:vAlign w:val="center"/>
                </w:tcPr>
                <w:p w14:paraId="6F6FF59E">
                  <w:pPr>
                    <w:pStyle w:val="68"/>
                    <w:spacing w:line="240" w:lineRule="auto"/>
                    <w:ind w:firstLine="0" w:firstLineChars="0"/>
                    <w:jc w:val="center"/>
                    <w:rPr>
                      <w:rFonts w:hint="default" w:ascii="Times New Roman" w:hAnsi="Times New Roman" w:cs="Times New Roman"/>
                      <w:color w:val="000000" w:themeColor="text1"/>
                      <w:sz w:val="21"/>
                      <w:highlight w:val="none"/>
                      <w14:textFill>
                        <w14:solidFill>
                          <w14:schemeClr w14:val="tx1"/>
                        </w14:solidFill>
                      </w14:textFill>
                    </w:rPr>
                  </w:pPr>
                  <w:r>
                    <w:rPr>
                      <w:rFonts w:hint="default" w:ascii="Times New Roman" w:hAnsi="Times New Roman" w:cs="Times New Roman"/>
                      <w:color w:val="000000" w:themeColor="text1"/>
                      <w:sz w:val="21"/>
                      <w:highlight w:val="none"/>
                      <w14:textFill>
                        <w14:solidFill>
                          <w14:schemeClr w14:val="tx1"/>
                        </w14:solidFill>
                      </w14:textFill>
                    </w:rPr>
                    <w:t>一、大力推进源头替代，有效减少VOCs产生</w:t>
                  </w:r>
                </w:p>
              </w:tc>
              <w:tc>
                <w:tcPr>
                  <w:tcW w:w="2904" w:type="dxa"/>
                  <w:tcBorders>
                    <w:tl2br w:val="nil"/>
                    <w:tr2bl w:val="nil"/>
                  </w:tcBorders>
                  <w:vAlign w:val="center"/>
                </w:tcPr>
                <w:p w14:paraId="0BE20A43">
                  <w:pPr>
                    <w:pStyle w:val="68"/>
                    <w:spacing w:line="240" w:lineRule="auto"/>
                    <w:ind w:firstLine="0" w:firstLineChars="0"/>
                    <w:jc w:val="center"/>
                    <w:rPr>
                      <w:rFonts w:hint="default" w:ascii="Times New Roman" w:hAnsi="Times New Roman" w:cs="Times New Roman"/>
                      <w:color w:val="000000" w:themeColor="text1"/>
                      <w:sz w:val="21"/>
                      <w:highlight w:val="none"/>
                      <w14:textFill>
                        <w14:solidFill>
                          <w14:schemeClr w14:val="tx1"/>
                        </w14:solidFill>
                      </w14:textFill>
                    </w:rPr>
                  </w:pPr>
                  <w:r>
                    <w:rPr>
                      <w:rFonts w:hint="default" w:ascii="Times New Roman" w:hAnsi="Times New Roman" w:cs="Times New Roman"/>
                      <w:color w:val="000000" w:themeColor="text1"/>
                      <w:sz w:val="21"/>
                      <w:highlight w:val="none"/>
                      <w14:textFill>
                        <w14:solidFill>
                          <w14:schemeClr w14:val="tx1"/>
                        </w14:solidFill>
                      </w14:textFill>
                    </w:rPr>
                    <w:t>本项目为新建危险废物暂存间项目，不涉及涂料、油漆等。</w:t>
                  </w:r>
                </w:p>
              </w:tc>
              <w:tc>
                <w:tcPr>
                  <w:tcW w:w="1050" w:type="dxa"/>
                  <w:tcBorders>
                    <w:tl2br w:val="nil"/>
                    <w:tr2bl w:val="nil"/>
                  </w:tcBorders>
                  <w:vAlign w:val="center"/>
                </w:tcPr>
                <w:p w14:paraId="58462781">
                  <w:pPr>
                    <w:pStyle w:val="68"/>
                    <w:spacing w:line="240" w:lineRule="auto"/>
                    <w:ind w:firstLine="0" w:firstLineChars="0"/>
                    <w:jc w:val="center"/>
                    <w:rPr>
                      <w:rFonts w:hint="default" w:ascii="Times New Roman" w:hAnsi="Times New Roman" w:cs="Times New Roman"/>
                      <w:color w:val="000000" w:themeColor="text1"/>
                      <w:sz w:val="21"/>
                      <w:highlight w:val="none"/>
                      <w14:textFill>
                        <w14:solidFill>
                          <w14:schemeClr w14:val="tx1"/>
                        </w14:solidFill>
                      </w14:textFill>
                    </w:rPr>
                  </w:pPr>
                  <w:r>
                    <w:rPr>
                      <w:rFonts w:hint="default" w:ascii="Times New Roman" w:hAnsi="Times New Roman" w:cs="Times New Roman"/>
                      <w:color w:val="000000" w:themeColor="text1"/>
                      <w:sz w:val="21"/>
                      <w:highlight w:val="none"/>
                      <w14:textFill>
                        <w14:solidFill>
                          <w14:schemeClr w14:val="tx1"/>
                        </w14:solidFill>
                      </w14:textFill>
                    </w:rPr>
                    <w:t>符合</w:t>
                  </w:r>
                </w:p>
              </w:tc>
            </w:tr>
            <w:tr w14:paraId="13264A35">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2973" w:type="dxa"/>
                  <w:tcBorders>
                    <w:tl2br w:val="nil"/>
                    <w:tr2bl w:val="nil"/>
                  </w:tcBorders>
                  <w:vAlign w:val="center"/>
                </w:tcPr>
                <w:p w14:paraId="62A55D32">
                  <w:pPr>
                    <w:pStyle w:val="68"/>
                    <w:spacing w:line="240" w:lineRule="auto"/>
                    <w:ind w:firstLine="0" w:firstLineChars="0"/>
                    <w:jc w:val="center"/>
                    <w:rPr>
                      <w:rFonts w:hint="default" w:ascii="Times New Roman" w:hAnsi="Times New Roman" w:cs="Times New Roman"/>
                      <w:color w:val="000000" w:themeColor="text1"/>
                      <w:sz w:val="21"/>
                      <w:highlight w:val="none"/>
                      <w14:textFill>
                        <w14:solidFill>
                          <w14:schemeClr w14:val="tx1"/>
                        </w14:solidFill>
                      </w14:textFill>
                    </w:rPr>
                  </w:pPr>
                  <w:r>
                    <w:rPr>
                      <w:rFonts w:hint="default" w:ascii="Times New Roman" w:hAnsi="Times New Roman" w:cs="Times New Roman"/>
                      <w:color w:val="000000" w:themeColor="text1"/>
                      <w:sz w:val="21"/>
                      <w:highlight w:val="none"/>
                      <w14:textFill>
                        <w14:solidFill>
                          <w14:schemeClr w14:val="tx1"/>
                        </w14:solidFill>
                      </w14:textFill>
                    </w:rPr>
                    <w:t>二、全面落实标准要求，强化无组织排放控制；处置环节应将盛装过VOCs物料的包装容器、含VOCs废料（渣、液）、废吸附剂等通过加盖、封装等方式密闭，妥善存放，不得随意丢弃，7月15日前集中清运一次，交有资质的单位处置；处置单位在贮存、清洗、破碎等环节应按照要求对VOCs无组织排放废气进行收集、处理。</w:t>
                  </w:r>
                </w:p>
              </w:tc>
              <w:tc>
                <w:tcPr>
                  <w:tcW w:w="2904" w:type="dxa"/>
                  <w:tcBorders>
                    <w:tl2br w:val="nil"/>
                    <w:tr2bl w:val="nil"/>
                  </w:tcBorders>
                  <w:vAlign w:val="center"/>
                </w:tcPr>
                <w:p w14:paraId="60B85B31">
                  <w:pPr>
                    <w:pStyle w:val="68"/>
                    <w:spacing w:line="240" w:lineRule="auto"/>
                    <w:ind w:firstLine="0" w:firstLineChars="0"/>
                    <w:jc w:val="center"/>
                    <w:rPr>
                      <w:rFonts w:hint="default" w:ascii="Times New Roman" w:hAnsi="Times New Roman" w:cs="Times New Roman"/>
                      <w:color w:val="000000" w:themeColor="text1"/>
                      <w:sz w:val="21"/>
                      <w:highlight w:val="none"/>
                      <w14:textFill>
                        <w14:solidFill>
                          <w14:schemeClr w14:val="tx1"/>
                        </w14:solidFill>
                      </w14:textFill>
                    </w:rPr>
                  </w:pPr>
                  <w:r>
                    <w:rPr>
                      <w:rFonts w:hint="default" w:ascii="Times New Roman" w:hAnsi="Times New Roman" w:cs="Times New Roman"/>
                      <w:color w:val="000000" w:themeColor="text1"/>
                      <w:sz w:val="21"/>
                      <w:highlight w:val="none"/>
                      <w14:textFill>
                        <w14:solidFill>
                          <w14:schemeClr w14:val="tx1"/>
                        </w14:solidFill>
                      </w14:textFill>
                    </w:rPr>
                    <w:t>本项目危险废物暂存间内存放的危险废物均在包装桶和包装袋内存放，定期清运交有资质单位集中处置；危险废物在贮存过程产生的VOCs进行收集，并通过活性炭箱进行吸附处理，处理后的废气由15m排气筒达标排放</w:t>
                  </w:r>
                </w:p>
              </w:tc>
              <w:tc>
                <w:tcPr>
                  <w:tcW w:w="1050" w:type="dxa"/>
                  <w:tcBorders>
                    <w:tl2br w:val="nil"/>
                    <w:tr2bl w:val="nil"/>
                  </w:tcBorders>
                  <w:vAlign w:val="center"/>
                </w:tcPr>
                <w:p w14:paraId="63664239">
                  <w:pPr>
                    <w:pStyle w:val="68"/>
                    <w:spacing w:line="240" w:lineRule="auto"/>
                    <w:ind w:firstLine="0" w:firstLineChars="0"/>
                    <w:jc w:val="center"/>
                    <w:rPr>
                      <w:rFonts w:hint="default" w:ascii="Times New Roman" w:hAnsi="Times New Roman" w:cs="Times New Roman"/>
                      <w:color w:val="000000" w:themeColor="text1"/>
                      <w:sz w:val="21"/>
                      <w:highlight w:val="none"/>
                      <w14:textFill>
                        <w14:solidFill>
                          <w14:schemeClr w14:val="tx1"/>
                        </w14:solidFill>
                      </w14:textFill>
                    </w:rPr>
                  </w:pPr>
                  <w:r>
                    <w:rPr>
                      <w:rFonts w:hint="default" w:ascii="Times New Roman" w:hAnsi="Times New Roman" w:cs="Times New Roman"/>
                      <w:color w:val="000000" w:themeColor="text1"/>
                      <w:sz w:val="21"/>
                      <w:highlight w:val="none"/>
                      <w14:textFill>
                        <w14:solidFill>
                          <w14:schemeClr w14:val="tx1"/>
                        </w14:solidFill>
                      </w14:textFill>
                    </w:rPr>
                    <w:t>符合</w:t>
                  </w:r>
                </w:p>
              </w:tc>
            </w:tr>
            <w:tr w14:paraId="4FCCE31E">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2973" w:type="dxa"/>
                  <w:tcBorders>
                    <w:tl2br w:val="nil"/>
                    <w:tr2bl w:val="nil"/>
                  </w:tcBorders>
                  <w:vAlign w:val="center"/>
                </w:tcPr>
                <w:p w14:paraId="34568C54">
                  <w:pPr>
                    <w:pStyle w:val="68"/>
                    <w:spacing w:line="240" w:lineRule="auto"/>
                    <w:ind w:firstLine="0" w:firstLineChars="0"/>
                    <w:jc w:val="center"/>
                    <w:rPr>
                      <w:rFonts w:hint="default" w:ascii="Times New Roman" w:hAnsi="Times New Roman" w:cs="Times New Roman"/>
                      <w:color w:val="000000" w:themeColor="text1"/>
                      <w:sz w:val="21"/>
                      <w:highlight w:val="none"/>
                      <w14:textFill>
                        <w14:solidFill>
                          <w14:schemeClr w14:val="tx1"/>
                        </w14:solidFill>
                      </w14:textFill>
                    </w:rPr>
                  </w:pPr>
                  <w:r>
                    <w:rPr>
                      <w:rFonts w:hint="default" w:ascii="Times New Roman" w:hAnsi="Times New Roman" w:cs="Times New Roman"/>
                      <w:color w:val="000000" w:themeColor="text1"/>
                      <w:sz w:val="21"/>
                      <w:highlight w:val="none"/>
                      <w14:textFill>
                        <w14:solidFill>
                          <w14:schemeClr w14:val="tx1"/>
                        </w14:solidFill>
                      </w14:textFill>
                    </w:rPr>
                    <w:t>三、聚焦治污设施“三率”，提升综合治理效率。采用活性炭吸附技术的，应选择碘值不低于800毫克/克的活性炭，并按设计要求足量添加、及时更换；</w:t>
                  </w:r>
                </w:p>
              </w:tc>
              <w:tc>
                <w:tcPr>
                  <w:tcW w:w="2904" w:type="dxa"/>
                  <w:tcBorders>
                    <w:tl2br w:val="nil"/>
                    <w:tr2bl w:val="nil"/>
                  </w:tcBorders>
                  <w:vAlign w:val="center"/>
                </w:tcPr>
                <w:p w14:paraId="649253A4">
                  <w:pPr>
                    <w:pStyle w:val="68"/>
                    <w:spacing w:line="240" w:lineRule="auto"/>
                    <w:ind w:firstLine="0" w:firstLineChars="0"/>
                    <w:jc w:val="center"/>
                    <w:rPr>
                      <w:rFonts w:hint="default" w:ascii="Times New Roman" w:hAnsi="Times New Roman" w:cs="Times New Roman"/>
                      <w:color w:val="000000" w:themeColor="text1"/>
                      <w:sz w:val="21"/>
                      <w:highlight w:val="none"/>
                      <w14:textFill>
                        <w14:solidFill>
                          <w14:schemeClr w14:val="tx1"/>
                        </w14:solidFill>
                      </w14:textFill>
                    </w:rPr>
                  </w:pPr>
                  <w:r>
                    <w:rPr>
                      <w:rFonts w:hint="default" w:ascii="Times New Roman" w:hAnsi="Times New Roman" w:cs="Times New Roman"/>
                      <w:color w:val="000000" w:themeColor="text1"/>
                      <w:sz w:val="21"/>
                      <w:highlight w:val="none"/>
                      <w14:textFill>
                        <w14:solidFill>
                          <w14:schemeClr w14:val="tx1"/>
                        </w14:solidFill>
                      </w14:textFill>
                    </w:rPr>
                    <w:t>本项目VOCs设施采用活性炭箱吸附，选用符合技术要求的活性炭，并足量添加、及时更换。</w:t>
                  </w:r>
                </w:p>
              </w:tc>
              <w:tc>
                <w:tcPr>
                  <w:tcW w:w="1050" w:type="dxa"/>
                  <w:tcBorders>
                    <w:tl2br w:val="nil"/>
                    <w:tr2bl w:val="nil"/>
                  </w:tcBorders>
                  <w:vAlign w:val="center"/>
                </w:tcPr>
                <w:p w14:paraId="7F90D6FF">
                  <w:pPr>
                    <w:pStyle w:val="68"/>
                    <w:spacing w:line="240" w:lineRule="auto"/>
                    <w:ind w:firstLine="0" w:firstLineChars="0"/>
                    <w:jc w:val="center"/>
                    <w:rPr>
                      <w:rFonts w:hint="default" w:ascii="Times New Roman" w:hAnsi="Times New Roman" w:cs="Times New Roman"/>
                      <w:color w:val="000000" w:themeColor="text1"/>
                      <w:sz w:val="21"/>
                      <w:highlight w:val="none"/>
                      <w14:textFill>
                        <w14:solidFill>
                          <w14:schemeClr w14:val="tx1"/>
                        </w14:solidFill>
                      </w14:textFill>
                    </w:rPr>
                  </w:pPr>
                  <w:r>
                    <w:rPr>
                      <w:rFonts w:hint="default" w:ascii="Times New Roman" w:hAnsi="Times New Roman" w:cs="Times New Roman"/>
                      <w:color w:val="000000" w:themeColor="text1"/>
                      <w:sz w:val="21"/>
                      <w:highlight w:val="none"/>
                      <w14:textFill>
                        <w14:solidFill>
                          <w14:schemeClr w14:val="tx1"/>
                        </w14:solidFill>
                      </w14:textFill>
                    </w:rPr>
                    <w:t>符合</w:t>
                  </w:r>
                </w:p>
              </w:tc>
            </w:tr>
          </w:tbl>
          <w:p w14:paraId="02AA491B">
            <w:pPr>
              <w:pStyle w:val="68"/>
              <w:ind w:firstLine="48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综上所述，本项目符合《2020年挥发性有机物治理攻坚方案》（环大气[2020]33号）。</w:t>
            </w:r>
          </w:p>
          <w:p w14:paraId="68C148D6">
            <w:pPr>
              <w:pStyle w:val="68"/>
              <w:numPr>
                <w:ilvl w:val="0"/>
                <w:numId w:val="1"/>
              </w:numPr>
              <w:ind w:firstLineChars="0"/>
              <w:rPr>
                <w:rFonts w:hint="default" w:ascii="Times New Roman" w:hAnsi="Times New Roman" w:cs="Times New Roman"/>
                <w:b/>
                <w:bCs w:val="0"/>
                <w:color w:val="000000" w:themeColor="text1"/>
                <w:highlight w:val="none"/>
                <w14:textFill>
                  <w14:solidFill>
                    <w14:schemeClr w14:val="tx1"/>
                  </w14:solidFill>
                </w14:textFill>
              </w:rPr>
            </w:pPr>
            <w:r>
              <w:rPr>
                <w:rFonts w:hint="default" w:ascii="Times New Roman" w:hAnsi="Times New Roman" w:cs="Times New Roman"/>
                <w:b/>
                <w:bCs w:val="0"/>
                <w:color w:val="000000" w:themeColor="text1"/>
                <w:highlight w:val="none"/>
                <w14:textFill>
                  <w14:solidFill>
                    <w14:schemeClr w14:val="tx1"/>
                  </w14:solidFill>
                </w14:textFill>
              </w:rPr>
              <w:t>与《重点行业挥发性有机物综合治理方案》的符合性性分析</w:t>
            </w:r>
          </w:p>
          <w:p w14:paraId="3D65D683">
            <w:pPr>
              <w:pStyle w:val="68"/>
              <w:spacing w:line="240" w:lineRule="auto"/>
              <w:ind w:firstLine="0" w:firstLineChars="0"/>
              <w:jc w:val="center"/>
              <w:rPr>
                <w:rFonts w:hint="default" w:ascii="Times New Roman" w:hAnsi="Times New Roman" w:cs="Times New Roman"/>
                <w:b/>
                <w:bCs w:val="0"/>
                <w:color w:val="000000" w:themeColor="text1"/>
                <w:sz w:val="21"/>
                <w:szCs w:val="18"/>
                <w:highlight w:val="none"/>
                <w14:textFill>
                  <w14:solidFill>
                    <w14:schemeClr w14:val="tx1"/>
                  </w14:solidFill>
                </w14:textFill>
              </w:rPr>
            </w:pPr>
            <w:r>
              <w:rPr>
                <w:rFonts w:hint="default" w:ascii="Times New Roman" w:hAnsi="Times New Roman" w:cs="Times New Roman"/>
                <w:b/>
                <w:bCs w:val="0"/>
                <w:color w:val="000000" w:themeColor="text1"/>
                <w:sz w:val="21"/>
                <w:szCs w:val="18"/>
                <w:highlight w:val="none"/>
                <w14:textFill>
                  <w14:solidFill>
                    <w14:schemeClr w14:val="tx1"/>
                  </w14:solidFill>
                </w14:textFill>
              </w:rPr>
              <w:t>表1-1</w:t>
            </w:r>
            <w:r>
              <w:rPr>
                <w:rFonts w:hint="eastAsia" w:cs="Times New Roman"/>
                <w:b/>
                <w:bCs w:val="0"/>
                <w:color w:val="000000" w:themeColor="text1"/>
                <w:sz w:val="21"/>
                <w:szCs w:val="18"/>
                <w:highlight w:val="none"/>
                <w:lang w:val="en-US" w:eastAsia="zh-CN"/>
                <w14:textFill>
                  <w14:solidFill>
                    <w14:schemeClr w14:val="tx1"/>
                  </w14:solidFill>
                </w14:textFill>
              </w:rPr>
              <w:t>0</w:t>
            </w:r>
            <w:r>
              <w:rPr>
                <w:rFonts w:hint="default" w:ascii="Times New Roman" w:hAnsi="Times New Roman" w:cs="Times New Roman"/>
                <w:b/>
                <w:bCs w:val="0"/>
                <w:color w:val="000000" w:themeColor="text1"/>
                <w:sz w:val="21"/>
                <w:szCs w:val="18"/>
                <w:highlight w:val="none"/>
                <w14:textFill>
                  <w14:solidFill>
                    <w14:schemeClr w14:val="tx1"/>
                  </w14:solidFill>
                </w14:textFill>
              </w:rPr>
              <w:t xml:space="preserve"> 与《重点行业挥发性有机物综合治理方案》符合性分析</w:t>
            </w:r>
          </w:p>
          <w:tbl>
            <w:tblPr>
              <w:tblStyle w:val="28"/>
              <w:tblW w:w="6927" w:type="dxa"/>
              <w:tblInd w:w="5" w:type="dxa"/>
              <w:tblBorders>
                <w:top w:val="double" w:color="auto" w:sz="4" w:space="0"/>
                <w:left w:val="none" w:color="auto" w:sz="0" w:space="0"/>
                <w:bottom w:val="doub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113"/>
              <w:gridCol w:w="2436"/>
              <w:gridCol w:w="2436"/>
              <w:gridCol w:w="942"/>
            </w:tblGrid>
            <w:tr w14:paraId="6EF1C105">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549" w:type="dxa"/>
                  <w:gridSpan w:val="2"/>
                  <w:tcBorders>
                    <w:tl2br w:val="nil"/>
                    <w:tr2bl w:val="nil"/>
                  </w:tcBorders>
                  <w:vAlign w:val="center"/>
                </w:tcPr>
                <w:p w14:paraId="5B0F6ED0">
                  <w:pPr>
                    <w:pStyle w:val="68"/>
                    <w:spacing w:line="240" w:lineRule="auto"/>
                    <w:ind w:firstLine="0" w:firstLineChars="0"/>
                    <w:jc w:val="center"/>
                    <w:rPr>
                      <w:rFonts w:hint="default" w:ascii="Times New Roman" w:hAnsi="Times New Roman" w:cs="Times New Roman"/>
                      <w:color w:val="000000" w:themeColor="text1"/>
                      <w:sz w:val="21"/>
                      <w:highlight w:val="none"/>
                      <w14:textFill>
                        <w14:solidFill>
                          <w14:schemeClr w14:val="tx1"/>
                        </w14:solidFill>
                      </w14:textFill>
                    </w:rPr>
                  </w:pPr>
                  <w:r>
                    <w:rPr>
                      <w:rFonts w:hint="default" w:ascii="Times New Roman" w:hAnsi="Times New Roman" w:cs="Times New Roman"/>
                      <w:color w:val="000000" w:themeColor="text1"/>
                      <w:sz w:val="21"/>
                      <w:highlight w:val="none"/>
                      <w14:textFill>
                        <w14:solidFill>
                          <w14:schemeClr w14:val="tx1"/>
                        </w14:solidFill>
                      </w14:textFill>
                    </w:rPr>
                    <w:t>文件要求</w:t>
                  </w:r>
                </w:p>
              </w:tc>
              <w:tc>
                <w:tcPr>
                  <w:tcW w:w="2436" w:type="dxa"/>
                  <w:tcBorders>
                    <w:tl2br w:val="nil"/>
                    <w:tr2bl w:val="nil"/>
                  </w:tcBorders>
                  <w:vAlign w:val="center"/>
                </w:tcPr>
                <w:p w14:paraId="1B3C4B97">
                  <w:pPr>
                    <w:pStyle w:val="68"/>
                    <w:spacing w:line="240" w:lineRule="auto"/>
                    <w:ind w:firstLine="0" w:firstLineChars="0"/>
                    <w:jc w:val="center"/>
                    <w:rPr>
                      <w:rFonts w:hint="default" w:ascii="Times New Roman" w:hAnsi="Times New Roman" w:cs="Times New Roman"/>
                      <w:color w:val="000000" w:themeColor="text1"/>
                      <w:sz w:val="21"/>
                      <w:highlight w:val="none"/>
                      <w14:textFill>
                        <w14:solidFill>
                          <w14:schemeClr w14:val="tx1"/>
                        </w14:solidFill>
                      </w14:textFill>
                    </w:rPr>
                  </w:pPr>
                  <w:r>
                    <w:rPr>
                      <w:rFonts w:hint="default" w:ascii="Times New Roman" w:hAnsi="Times New Roman" w:cs="Times New Roman"/>
                      <w:color w:val="000000" w:themeColor="text1"/>
                      <w:sz w:val="21"/>
                      <w:highlight w:val="none"/>
                      <w14:textFill>
                        <w14:solidFill>
                          <w14:schemeClr w14:val="tx1"/>
                        </w14:solidFill>
                      </w14:textFill>
                    </w:rPr>
                    <w:t>本项目情况</w:t>
                  </w:r>
                </w:p>
              </w:tc>
              <w:tc>
                <w:tcPr>
                  <w:tcW w:w="942" w:type="dxa"/>
                  <w:tcBorders>
                    <w:tl2br w:val="nil"/>
                    <w:tr2bl w:val="nil"/>
                  </w:tcBorders>
                  <w:vAlign w:val="center"/>
                </w:tcPr>
                <w:p w14:paraId="30D1DFB1">
                  <w:pPr>
                    <w:pStyle w:val="68"/>
                    <w:spacing w:line="240" w:lineRule="auto"/>
                    <w:ind w:firstLine="0" w:firstLineChars="0"/>
                    <w:jc w:val="center"/>
                    <w:rPr>
                      <w:rFonts w:hint="default" w:ascii="Times New Roman" w:hAnsi="Times New Roman" w:cs="Times New Roman"/>
                      <w:color w:val="000000" w:themeColor="text1"/>
                      <w:sz w:val="21"/>
                      <w:highlight w:val="none"/>
                      <w14:textFill>
                        <w14:solidFill>
                          <w14:schemeClr w14:val="tx1"/>
                        </w14:solidFill>
                      </w14:textFill>
                    </w:rPr>
                  </w:pPr>
                  <w:r>
                    <w:rPr>
                      <w:rFonts w:hint="default" w:ascii="Times New Roman" w:hAnsi="Times New Roman" w:cs="Times New Roman"/>
                      <w:color w:val="000000" w:themeColor="text1"/>
                      <w:sz w:val="21"/>
                      <w:highlight w:val="none"/>
                      <w14:textFill>
                        <w14:solidFill>
                          <w14:schemeClr w14:val="tx1"/>
                        </w14:solidFill>
                      </w14:textFill>
                    </w:rPr>
                    <w:t>符合性</w:t>
                  </w:r>
                </w:p>
              </w:tc>
            </w:tr>
            <w:tr w14:paraId="42811696">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113" w:type="dxa"/>
                  <w:tcBorders>
                    <w:tl2br w:val="nil"/>
                    <w:tr2bl w:val="nil"/>
                  </w:tcBorders>
                  <w:vAlign w:val="center"/>
                </w:tcPr>
                <w:p w14:paraId="5E950CAB">
                  <w:pPr>
                    <w:pStyle w:val="68"/>
                    <w:spacing w:line="240" w:lineRule="auto"/>
                    <w:ind w:firstLine="0" w:firstLineChars="0"/>
                    <w:jc w:val="center"/>
                    <w:rPr>
                      <w:rFonts w:hint="default" w:ascii="Times New Roman" w:hAnsi="Times New Roman" w:cs="Times New Roman"/>
                      <w:color w:val="000000" w:themeColor="text1"/>
                      <w:sz w:val="21"/>
                      <w:highlight w:val="none"/>
                      <w14:textFill>
                        <w14:solidFill>
                          <w14:schemeClr w14:val="tx1"/>
                        </w14:solidFill>
                      </w14:textFill>
                    </w:rPr>
                  </w:pPr>
                  <w:r>
                    <w:rPr>
                      <w:rFonts w:hint="default" w:ascii="Times New Roman" w:hAnsi="Times New Roman" w:cs="Times New Roman"/>
                      <w:color w:val="000000" w:themeColor="text1"/>
                      <w:sz w:val="21"/>
                      <w:highlight w:val="none"/>
                      <w14:textFill>
                        <w14:solidFill>
                          <w14:schemeClr w14:val="tx1"/>
                        </w14:solidFill>
                      </w14:textFill>
                    </w:rPr>
                    <w:t>大力推进源头替代</w:t>
                  </w:r>
                </w:p>
              </w:tc>
              <w:tc>
                <w:tcPr>
                  <w:tcW w:w="2436" w:type="dxa"/>
                  <w:tcBorders>
                    <w:tl2br w:val="nil"/>
                    <w:tr2bl w:val="nil"/>
                  </w:tcBorders>
                  <w:vAlign w:val="center"/>
                </w:tcPr>
                <w:p w14:paraId="1E27BD94">
                  <w:pPr>
                    <w:pStyle w:val="68"/>
                    <w:spacing w:line="240" w:lineRule="auto"/>
                    <w:ind w:firstLine="0" w:firstLineChars="0"/>
                    <w:jc w:val="center"/>
                    <w:rPr>
                      <w:rFonts w:hint="default" w:ascii="Times New Roman" w:hAnsi="Times New Roman" w:cs="Times New Roman"/>
                      <w:color w:val="000000" w:themeColor="text1"/>
                      <w:sz w:val="21"/>
                      <w:highlight w:val="none"/>
                      <w14:textFill>
                        <w14:solidFill>
                          <w14:schemeClr w14:val="tx1"/>
                        </w14:solidFill>
                      </w14:textFill>
                    </w:rPr>
                  </w:pPr>
                  <w:r>
                    <w:rPr>
                      <w:rFonts w:hint="default" w:ascii="Times New Roman" w:hAnsi="Times New Roman" w:cs="Times New Roman"/>
                      <w:color w:val="000000" w:themeColor="text1"/>
                      <w:sz w:val="21"/>
                      <w:highlight w:val="none"/>
                      <w14:textFill>
                        <w14:solidFill>
                          <w14:schemeClr w14:val="tx1"/>
                        </w14:solidFill>
                      </w14:textFill>
                    </w:rPr>
                    <w:t>化工行业要推广使用低（无）VOCs含量、低反应活性的原辅材料，加快对芳香烃、含卤素有机化合物的绿色替代。</w:t>
                  </w:r>
                </w:p>
              </w:tc>
              <w:tc>
                <w:tcPr>
                  <w:tcW w:w="2436" w:type="dxa"/>
                  <w:tcBorders>
                    <w:tl2br w:val="nil"/>
                    <w:tr2bl w:val="nil"/>
                  </w:tcBorders>
                  <w:vAlign w:val="center"/>
                </w:tcPr>
                <w:p w14:paraId="4FA615C0">
                  <w:pPr>
                    <w:pStyle w:val="68"/>
                    <w:spacing w:line="240" w:lineRule="auto"/>
                    <w:ind w:firstLine="0" w:firstLineChars="0"/>
                    <w:jc w:val="center"/>
                    <w:rPr>
                      <w:rFonts w:hint="default" w:ascii="Times New Roman" w:hAnsi="Times New Roman" w:eastAsia="宋体" w:cs="Times New Roman"/>
                      <w:color w:val="000000" w:themeColor="text1"/>
                      <w:sz w:val="21"/>
                      <w:highlight w:val="none"/>
                      <w:lang w:val="en-US" w:eastAsia="zh-CN"/>
                      <w14:textFill>
                        <w14:solidFill>
                          <w14:schemeClr w14:val="tx1"/>
                        </w14:solidFill>
                      </w14:textFill>
                    </w:rPr>
                  </w:pPr>
                  <w:r>
                    <w:rPr>
                      <w:rFonts w:hint="default" w:ascii="Times New Roman" w:hAnsi="Times New Roman" w:cs="Times New Roman"/>
                      <w:color w:val="000000" w:themeColor="text1"/>
                      <w:sz w:val="21"/>
                      <w:highlight w:val="none"/>
                      <w14:textFill>
                        <w14:solidFill>
                          <w14:schemeClr w14:val="tx1"/>
                        </w14:solidFill>
                      </w14:textFill>
                    </w:rPr>
                    <w:t>本项目为建设一座</w:t>
                  </w:r>
                  <w:r>
                    <w:rPr>
                      <w:rFonts w:hint="eastAsia" w:cs="Times New Roman"/>
                      <w:color w:val="000000" w:themeColor="text1"/>
                      <w:sz w:val="21"/>
                      <w:highlight w:val="none"/>
                      <w:lang w:val="en-US" w:eastAsia="zh-CN"/>
                      <w14:textFill>
                        <w14:solidFill>
                          <w14:schemeClr w14:val="tx1"/>
                        </w14:solidFill>
                      </w14:textFill>
                    </w:rPr>
                    <w:t>废矿物油暂存车间及配套设施</w:t>
                  </w:r>
                  <w:r>
                    <w:rPr>
                      <w:rFonts w:hint="default" w:ascii="Times New Roman" w:hAnsi="Times New Roman" w:cs="Times New Roman"/>
                      <w:color w:val="000000" w:themeColor="text1"/>
                      <w:sz w:val="21"/>
                      <w:highlight w:val="none"/>
                      <w14:textFill>
                        <w14:solidFill>
                          <w14:schemeClr w14:val="tx1"/>
                        </w14:solidFill>
                      </w14:textFill>
                    </w:rPr>
                    <w:t>，不涉及</w:t>
                  </w:r>
                  <w:r>
                    <w:rPr>
                      <w:rFonts w:hint="eastAsia" w:cs="Times New Roman"/>
                      <w:color w:val="000000" w:themeColor="text1"/>
                      <w:sz w:val="21"/>
                      <w:highlight w:val="none"/>
                      <w:lang w:val="en-US" w:eastAsia="zh-CN"/>
                      <w14:textFill>
                        <w14:solidFill>
                          <w14:schemeClr w14:val="tx1"/>
                        </w14:solidFill>
                      </w14:textFill>
                    </w:rPr>
                    <w:t>含VOCs的原辅材料</w:t>
                  </w:r>
                </w:p>
              </w:tc>
              <w:tc>
                <w:tcPr>
                  <w:tcW w:w="942" w:type="dxa"/>
                  <w:tcBorders>
                    <w:tl2br w:val="nil"/>
                    <w:tr2bl w:val="nil"/>
                  </w:tcBorders>
                  <w:vAlign w:val="center"/>
                </w:tcPr>
                <w:p w14:paraId="5A893806">
                  <w:pPr>
                    <w:pStyle w:val="68"/>
                    <w:spacing w:line="240" w:lineRule="auto"/>
                    <w:ind w:firstLine="0" w:firstLineChars="0"/>
                    <w:jc w:val="center"/>
                    <w:rPr>
                      <w:rFonts w:hint="default" w:ascii="Times New Roman" w:hAnsi="Times New Roman" w:cs="Times New Roman"/>
                      <w:color w:val="000000" w:themeColor="text1"/>
                      <w:sz w:val="21"/>
                      <w:highlight w:val="none"/>
                      <w14:textFill>
                        <w14:solidFill>
                          <w14:schemeClr w14:val="tx1"/>
                        </w14:solidFill>
                      </w14:textFill>
                    </w:rPr>
                  </w:pPr>
                  <w:r>
                    <w:rPr>
                      <w:rFonts w:hint="default" w:ascii="Times New Roman" w:hAnsi="Times New Roman" w:cs="Times New Roman"/>
                      <w:color w:val="000000" w:themeColor="text1"/>
                      <w:sz w:val="21"/>
                      <w:highlight w:val="none"/>
                      <w14:textFill>
                        <w14:solidFill>
                          <w14:schemeClr w14:val="tx1"/>
                        </w14:solidFill>
                      </w14:textFill>
                    </w:rPr>
                    <w:t>符合</w:t>
                  </w:r>
                </w:p>
              </w:tc>
            </w:tr>
            <w:tr w14:paraId="420A0092">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113" w:type="dxa"/>
                  <w:tcBorders>
                    <w:tl2br w:val="nil"/>
                    <w:tr2bl w:val="nil"/>
                  </w:tcBorders>
                  <w:vAlign w:val="center"/>
                </w:tcPr>
                <w:p w14:paraId="2872F8A1">
                  <w:pPr>
                    <w:pStyle w:val="68"/>
                    <w:spacing w:line="240" w:lineRule="auto"/>
                    <w:ind w:firstLine="0" w:firstLineChars="0"/>
                    <w:jc w:val="center"/>
                    <w:rPr>
                      <w:rFonts w:hint="default" w:ascii="Times New Roman" w:hAnsi="Times New Roman" w:cs="Times New Roman"/>
                      <w:color w:val="000000" w:themeColor="text1"/>
                      <w:sz w:val="21"/>
                      <w:highlight w:val="none"/>
                      <w14:textFill>
                        <w14:solidFill>
                          <w14:schemeClr w14:val="tx1"/>
                        </w14:solidFill>
                      </w14:textFill>
                    </w:rPr>
                  </w:pPr>
                  <w:r>
                    <w:rPr>
                      <w:rFonts w:hint="default" w:ascii="Times New Roman" w:hAnsi="Times New Roman" w:cs="Times New Roman"/>
                      <w:color w:val="000000" w:themeColor="text1"/>
                      <w:sz w:val="21"/>
                      <w:highlight w:val="none"/>
                      <w14:textFill>
                        <w14:solidFill>
                          <w14:schemeClr w14:val="tx1"/>
                        </w14:solidFill>
                      </w14:textFill>
                    </w:rPr>
                    <w:t>全面加强无组织排放控制</w:t>
                  </w:r>
                </w:p>
              </w:tc>
              <w:tc>
                <w:tcPr>
                  <w:tcW w:w="2436" w:type="dxa"/>
                  <w:tcBorders>
                    <w:tl2br w:val="nil"/>
                    <w:tr2bl w:val="nil"/>
                  </w:tcBorders>
                  <w:vAlign w:val="center"/>
                </w:tcPr>
                <w:p w14:paraId="3134D94C">
                  <w:pPr>
                    <w:pStyle w:val="68"/>
                    <w:spacing w:line="240" w:lineRule="auto"/>
                    <w:ind w:firstLine="0" w:firstLineChars="0"/>
                    <w:jc w:val="center"/>
                    <w:rPr>
                      <w:rFonts w:hint="default" w:ascii="Times New Roman" w:hAnsi="Times New Roman" w:cs="Times New Roman"/>
                      <w:color w:val="000000" w:themeColor="text1"/>
                      <w:sz w:val="21"/>
                      <w:highlight w:val="none"/>
                      <w14:textFill>
                        <w14:solidFill>
                          <w14:schemeClr w14:val="tx1"/>
                        </w14:solidFill>
                      </w14:textFill>
                    </w:rPr>
                  </w:pPr>
                  <w:r>
                    <w:rPr>
                      <w:rFonts w:hint="default" w:ascii="Times New Roman" w:hAnsi="Times New Roman" w:cs="Times New Roman"/>
                      <w:color w:val="000000" w:themeColor="text1"/>
                      <w:sz w:val="21"/>
                      <w:highlight w:val="none"/>
                      <w14:textFill>
                        <w14:solidFill>
                          <w14:schemeClr w14:val="tx1"/>
                        </w14:solidFill>
                      </w14:textFill>
                    </w:rPr>
                    <w:t>重点对含VOCs物料储存、转移和输送、设备与管线组件泄漏、敞开页面逸散以及工艺过程等五类排放源实施管控，通过采取设备与场所密闭、工艺改进、废气有效收集等措施，削减VOCs无组织排放。</w:t>
                  </w:r>
                </w:p>
                <w:p w14:paraId="60662EEF">
                  <w:pPr>
                    <w:pStyle w:val="68"/>
                    <w:spacing w:line="240" w:lineRule="auto"/>
                    <w:ind w:firstLine="0" w:firstLineChars="0"/>
                    <w:jc w:val="center"/>
                    <w:rPr>
                      <w:rFonts w:hint="default" w:ascii="Times New Roman" w:hAnsi="Times New Roman" w:cs="Times New Roman"/>
                      <w:color w:val="000000" w:themeColor="text1"/>
                      <w:sz w:val="21"/>
                      <w:highlight w:val="none"/>
                      <w14:textFill>
                        <w14:solidFill>
                          <w14:schemeClr w14:val="tx1"/>
                        </w14:solidFill>
                      </w14:textFill>
                    </w:rPr>
                  </w:pPr>
                  <w:r>
                    <w:rPr>
                      <w:rFonts w:hint="default" w:ascii="Times New Roman" w:hAnsi="Times New Roman" w:cs="Times New Roman"/>
                      <w:color w:val="000000" w:themeColor="text1"/>
                      <w:sz w:val="21"/>
                      <w:highlight w:val="none"/>
                      <w14:textFill>
                        <w14:solidFill>
                          <w14:schemeClr w14:val="tx1"/>
                        </w14:solidFill>
                      </w14:textFill>
                    </w:rPr>
                    <w:t>加强设备与场所密闭管理。含VOCs物料应储存于密闭容器、包装袋，高效密封储罐，封闭式储库、料仓等、消减VOCs无组织排放。提高废气收集率。遵循“应收尽收、分质收集”的原则，科学设计废气收集系统，将无组织排放转变为有组织排放进行控制。采用全密闭集气罩或密闭空间的，除行业有特殊要求外，应保持微负压状态，并根据相关规范合理设置通风量。采用局部集气罩的，距集气罩开口面最远处的VOCs无组织排放位置，控制风速应不低于0.3米/秒，有行业要求的按相关规定执行。</w:t>
                  </w:r>
                </w:p>
              </w:tc>
              <w:tc>
                <w:tcPr>
                  <w:tcW w:w="2436" w:type="dxa"/>
                  <w:tcBorders>
                    <w:tl2br w:val="nil"/>
                    <w:tr2bl w:val="nil"/>
                  </w:tcBorders>
                  <w:vAlign w:val="center"/>
                </w:tcPr>
                <w:p w14:paraId="1D61682F">
                  <w:pPr>
                    <w:pStyle w:val="68"/>
                    <w:spacing w:line="240" w:lineRule="auto"/>
                    <w:ind w:firstLine="0" w:firstLineChars="0"/>
                    <w:jc w:val="center"/>
                    <w:rPr>
                      <w:rFonts w:hint="default" w:ascii="Times New Roman" w:hAnsi="Times New Roman" w:cs="Times New Roman"/>
                      <w:color w:val="000000" w:themeColor="text1"/>
                      <w:sz w:val="21"/>
                      <w:highlight w:val="none"/>
                      <w14:textFill>
                        <w14:solidFill>
                          <w14:schemeClr w14:val="tx1"/>
                        </w14:solidFill>
                      </w14:textFill>
                    </w:rPr>
                  </w:pPr>
                  <w:r>
                    <w:rPr>
                      <w:rFonts w:hint="default" w:ascii="Times New Roman" w:hAnsi="Times New Roman" w:cs="Times New Roman"/>
                      <w:color w:val="000000" w:themeColor="text1"/>
                      <w:sz w:val="21"/>
                      <w:highlight w:val="none"/>
                      <w14:textFill>
                        <w14:solidFill>
                          <w14:schemeClr w14:val="tx1"/>
                        </w14:solidFill>
                      </w14:textFill>
                    </w:rPr>
                    <w:t>本项目危险废物暂存间内存放的危险废物均在包装桶和包装袋内存放，定期清运交有资质单位集中处置；危险废物在贮存过程产生的VOCs进行收集，并通过活性炭箱进行吸附处理，处理后的废气由15m排气筒达标排放</w:t>
                  </w:r>
                </w:p>
              </w:tc>
              <w:tc>
                <w:tcPr>
                  <w:tcW w:w="942" w:type="dxa"/>
                  <w:tcBorders>
                    <w:tl2br w:val="nil"/>
                    <w:tr2bl w:val="nil"/>
                  </w:tcBorders>
                  <w:vAlign w:val="center"/>
                </w:tcPr>
                <w:p w14:paraId="2B2977A6">
                  <w:pPr>
                    <w:pStyle w:val="68"/>
                    <w:spacing w:line="240" w:lineRule="auto"/>
                    <w:ind w:firstLine="0" w:firstLineChars="0"/>
                    <w:jc w:val="center"/>
                    <w:rPr>
                      <w:rFonts w:hint="default" w:ascii="Times New Roman" w:hAnsi="Times New Roman" w:cs="Times New Roman"/>
                      <w:color w:val="000000" w:themeColor="text1"/>
                      <w:sz w:val="21"/>
                      <w:highlight w:val="none"/>
                      <w14:textFill>
                        <w14:solidFill>
                          <w14:schemeClr w14:val="tx1"/>
                        </w14:solidFill>
                      </w14:textFill>
                    </w:rPr>
                  </w:pPr>
                </w:p>
              </w:tc>
            </w:tr>
            <w:tr w14:paraId="7E3C5BD4">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113" w:type="dxa"/>
                  <w:tcBorders>
                    <w:tl2br w:val="nil"/>
                    <w:tr2bl w:val="nil"/>
                  </w:tcBorders>
                  <w:vAlign w:val="center"/>
                </w:tcPr>
                <w:p w14:paraId="2444D5A4">
                  <w:pPr>
                    <w:pStyle w:val="68"/>
                    <w:spacing w:line="240" w:lineRule="auto"/>
                    <w:ind w:firstLine="0" w:firstLineChars="0"/>
                    <w:jc w:val="center"/>
                    <w:rPr>
                      <w:rFonts w:hint="default" w:ascii="Times New Roman" w:hAnsi="Times New Roman" w:cs="Times New Roman"/>
                      <w:color w:val="000000" w:themeColor="text1"/>
                      <w:sz w:val="21"/>
                      <w:highlight w:val="none"/>
                      <w14:textFill>
                        <w14:solidFill>
                          <w14:schemeClr w14:val="tx1"/>
                        </w14:solidFill>
                      </w14:textFill>
                    </w:rPr>
                  </w:pPr>
                  <w:r>
                    <w:rPr>
                      <w:rFonts w:hint="default" w:ascii="Times New Roman" w:hAnsi="Times New Roman" w:cs="Times New Roman"/>
                      <w:color w:val="000000" w:themeColor="text1"/>
                      <w:sz w:val="21"/>
                      <w:highlight w:val="none"/>
                      <w14:textFill>
                        <w14:solidFill>
                          <w14:schemeClr w14:val="tx1"/>
                        </w14:solidFill>
                      </w14:textFill>
                    </w:rPr>
                    <w:t>推进建设适宜高效的治污设施</w:t>
                  </w:r>
                </w:p>
              </w:tc>
              <w:tc>
                <w:tcPr>
                  <w:tcW w:w="2436" w:type="dxa"/>
                  <w:tcBorders>
                    <w:tl2br w:val="nil"/>
                    <w:tr2bl w:val="nil"/>
                  </w:tcBorders>
                  <w:vAlign w:val="center"/>
                </w:tcPr>
                <w:p w14:paraId="72B21797">
                  <w:pPr>
                    <w:pStyle w:val="68"/>
                    <w:spacing w:line="240" w:lineRule="auto"/>
                    <w:ind w:firstLine="0" w:firstLineChars="0"/>
                    <w:jc w:val="center"/>
                    <w:rPr>
                      <w:rFonts w:hint="default" w:ascii="Times New Roman" w:hAnsi="Times New Roman" w:cs="Times New Roman"/>
                      <w:color w:val="000000" w:themeColor="text1"/>
                      <w:sz w:val="21"/>
                      <w:highlight w:val="none"/>
                      <w14:textFill>
                        <w14:solidFill>
                          <w14:schemeClr w14:val="tx1"/>
                        </w14:solidFill>
                      </w14:textFill>
                    </w:rPr>
                  </w:pPr>
                  <w:r>
                    <w:rPr>
                      <w:rFonts w:hint="default" w:ascii="Times New Roman" w:hAnsi="Times New Roman" w:cs="Times New Roman"/>
                      <w:color w:val="000000" w:themeColor="text1"/>
                      <w:sz w:val="21"/>
                      <w:highlight w:val="none"/>
                      <w14:textFill>
                        <w14:solidFill>
                          <w14:schemeClr w14:val="tx1"/>
                        </w14:solidFill>
                      </w14:textFill>
                    </w:rPr>
                    <w:t>企业新建治污设施或对现有治污设施实施改造，应依据排放废气的浓度、组分、风量，温度、湿度、压力，以及生产工况等，合理选择治理技术。鼓励企业采用多种技术的组合工艺，提高VOCs治理效率。低浓度、大风量废气，宜采用沸石转轮吸附、活性炭吸附、减风增浓等浓缩技术，提高VOCs浓度后净化处理；采用一次性活性炭吸附技术的，应定期更换活性炭，废旧活性炭应再生或处理处置</w:t>
                  </w:r>
                </w:p>
              </w:tc>
              <w:tc>
                <w:tcPr>
                  <w:tcW w:w="2436" w:type="dxa"/>
                  <w:tcBorders>
                    <w:tl2br w:val="nil"/>
                    <w:tr2bl w:val="nil"/>
                  </w:tcBorders>
                  <w:vAlign w:val="center"/>
                </w:tcPr>
                <w:p w14:paraId="5CC1BC18">
                  <w:pPr>
                    <w:pStyle w:val="68"/>
                    <w:spacing w:line="240" w:lineRule="auto"/>
                    <w:ind w:firstLine="0" w:firstLineChars="0"/>
                    <w:jc w:val="center"/>
                    <w:rPr>
                      <w:rFonts w:hint="default" w:ascii="Times New Roman" w:hAnsi="Times New Roman" w:cs="Times New Roman"/>
                      <w:color w:val="000000" w:themeColor="text1"/>
                      <w:sz w:val="21"/>
                      <w:highlight w:val="none"/>
                      <w14:textFill>
                        <w14:solidFill>
                          <w14:schemeClr w14:val="tx1"/>
                        </w14:solidFill>
                      </w14:textFill>
                    </w:rPr>
                  </w:pPr>
                  <w:r>
                    <w:rPr>
                      <w:rFonts w:hint="default" w:ascii="Times New Roman" w:hAnsi="Times New Roman" w:cs="Times New Roman"/>
                      <w:color w:val="000000" w:themeColor="text1"/>
                      <w:sz w:val="21"/>
                      <w:highlight w:val="none"/>
                      <w14:textFill>
                        <w14:solidFill>
                          <w14:schemeClr w14:val="tx1"/>
                        </w14:solidFill>
                      </w14:textFill>
                    </w:rPr>
                    <w:t>本项目</w:t>
                  </w:r>
                  <w:r>
                    <w:rPr>
                      <w:rFonts w:hint="eastAsia" w:cs="Times New Roman"/>
                      <w:color w:val="000000" w:themeColor="text1"/>
                      <w:sz w:val="21"/>
                      <w:highlight w:val="none"/>
                      <w:lang w:val="en-US" w:eastAsia="zh-CN"/>
                      <w14:textFill>
                        <w14:solidFill>
                          <w14:schemeClr w14:val="tx1"/>
                        </w14:solidFill>
                      </w14:textFill>
                    </w:rPr>
                    <w:t>废矿物油储罐大小呼吸</w:t>
                  </w:r>
                  <w:r>
                    <w:rPr>
                      <w:rFonts w:hint="default" w:ascii="Times New Roman" w:hAnsi="Times New Roman" w:cs="Times New Roman"/>
                      <w:color w:val="000000" w:themeColor="text1"/>
                      <w:sz w:val="21"/>
                      <w:highlight w:val="none"/>
                      <w14:textFill>
                        <w14:solidFill>
                          <w14:schemeClr w14:val="tx1"/>
                        </w14:solidFill>
                      </w14:textFill>
                    </w:rPr>
                    <w:t>产生的VOCs进行</w:t>
                  </w:r>
                  <w:r>
                    <w:rPr>
                      <w:rFonts w:hint="eastAsia" w:cs="Times New Roman"/>
                      <w:color w:val="000000" w:themeColor="text1"/>
                      <w:sz w:val="21"/>
                      <w:highlight w:val="none"/>
                      <w:lang w:val="en-US" w:eastAsia="zh-CN"/>
                      <w14:textFill>
                        <w14:solidFill>
                          <w14:schemeClr w14:val="tx1"/>
                        </w14:solidFill>
                      </w14:textFill>
                    </w:rPr>
                    <w:t>管道</w:t>
                  </w:r>
                  <w:r>
                    <w:rPr>
                      <w:rFonts w:hint="default" w:ascii="Times New Roman" w:hAnsi="Times New Roman" w:cs="Times New Roman"/>
                      <w:color w:val="000000" w:themeColor="text1"/>
                      <w:sz w:val="21"/>
                      <w:highlight w:val="none"/>
                      <w14:textFill>
                        <w14:solidFill>
                          <w14:schemeClr w14:val="tx1"/>
                        </w14:solidFill>
                      </w14:textFill>
                    </w:rPr>
                    <w:t>收集+二级活性炭箱进行吸附处理，处理后的废气由15m排气筒达标排放。选用符合技术要求的活性炭，并足量添加、及时更换。</w:t>
                  </w:r>
                </w:p>
              </w:tc>
              <w:tc>
                <w:tcPr>
                  <w:tcW w:w="942" w:type="dxa"/>
                  <w:tcBorders>
                    <w:tl2br w:val="nil"/>
                    <w:tr2bl w:val="nil"/>
                  </w:tcBorders>
                  <w:vAlign w:val="center"/>
                </w:tcPr>
                <w:p w14:paraId="2A012EED">
                  <w:pPr>
                    <w:pStyle w:val="68"/>
                    <w:spacing w:line="240" w:lineRule="auto"/>
                    <w:ind w:firstLine="0" w:firstLineChars="0"/>
                    <w:jc w:val="center"/>
                    <w:rPr>
                      <w:rFonts w:hint="default" w:ascii="Times New Roman" w:hAnsi="Times New Roman" w:cs="Times New Roman"/>
                      <w:color w:val="000000" w:themeColor="text1"/>
                      <w:sz w:val="21"/>
                      <w:highlight w:val="none"/>
                      <w14:textFill>
                        <w14:solidFill>
                          <w14:schemeClr w14:val="tx1"/>
                        </w14:solidFill>
                      </w14:textFill>
                    </w:rPr>
                  </w:pPr>
                </w:p>
              </w:tc>
            </w:tr>
            <w:tr w14:paraId="29B4B70D">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113" w:type="dxa"/>
                  <w:tcBorders>
                    <w:tl2br w:val="nil"/>
                    <w:tr2bl w:val="nil"/>
                  </w:tcBorders>
                  <w:vAlign w:val="center"/>
                </w:tcPr>
                <w:p w14:paraId="13B3B9E4">
                  <w:pPr>
                    <w:pStyle w:val="68"/>
                    <w:spacing w:line="240" w:lineRule="auto"/>
                    <w:ind w:firstLine="0" w:firstLineChars="0"/>
                    <w:jc w:val="center"/>
                    <w:rPr>
                      <w:rFonts w:hint="default" w:ascii="Times New Roman" w:hAnsi="Times New Roman" w:cs="Times New Roman"/>
                      <w:color w:val="000000" w:themeColor="text1"/>
                      <w:sz w:val="21"/>
                      <w:highlight w:val="none"/>
                      <w14:textFill>
                        <w14:solidFill>
                          <w14:schemeClr w14:val="tx1"/>
                        </w14:solidFill>
                      </w14:textFill>
                    </w:rPr>
                  </w:pPr>
                  <w:r>
                    <w:rPr>
                      <w:rFonts w:hint="default" w:ascii="Times New Roman" w:hAnsi="Times New Roman" w:cs="Times New Roman"/>
                      <w:color w:val="000000" w:themeColor="text1"/>
                      <w:sz w:val="21"/>
                      <w:highlight w:val="none"/>
                      <w14:textFill>
                        <w14:solidFill>
                          <w14:schemeClr w14:val="tx1"/>
                        </w14:solidFill>
                      </w14:textFill>
                    </w:rPr>
                    <w:t>重点行业治理任务</w:t>
                  </w:r>
                </w:p>
              </w:tc>
              <w:tc>
                <w:tcPr>
                  <w:tcW w:w="2436" w:type="dxa"/>
                  <w:tcBorders>
                    <w:tl2br w:val="nil"/>
                    <w:tr2bl w:val="nil"/>
                  </w:tcBorders>
                  <w:vAlign w:val="center"/>
                </w:tcPr>
                <w:p w14:paraId="73BC56BE">
                  <w:pPr>
                    <w:pStyle w:val="68"/>
                    <w:spacing w:line="240" w:lineRule="auto"/>
                    <w:ind w:firstLine="0" w:firstLineChars="0"/>
                    <w:jc w:val="center"/>
                    <w:rPr>
                      <w:rFonts w:hint="default" w:ascii="Times New Roman" w:hAnsi="Times New Roman" w:cs="Times New Roman"/>
                      <w:color w:val="000000" w:themeColor="text1"/>
                      <w:sz w:val="21"/>
                      <w:highlight w:val="none"/>
                      <w14:textFill>
                        <w14:solidFill>
                          <w14:schemeClr w14:val="tx1"/>
                        </w14:solidFill>
                      </w14:textFill>
                    </w:rPr>
                  </w:pPr>
                  <w:r>
                    <w:rPr>
                      <w:rFonts w:hint="default" w:ascii="Times New Roman" w:hAnsi="Times New Roman" w:cs="Times New Roman"/>
                      <w:color w:val="000000" w:themeColor="text1"/>
                      <w:sz w:val="21"/>
                      <w:highlight w:val="none"/>
                      <w14:textFill>
                        <w14:solidFill>
                          <w14:schemeClr w14:val="tx1"/>
                        </w14:solidFill>
                      </w14:textFill>
                    </w:rPr>
                    <w:t>（一）石化行业VOCs综合治理。含VOCs废液废渣应密闭储存。</w:t>
                  </w:r>
                </w:p>
              </w:tc>
              <w:tc>
                <w:tcPr>
                  <w:tcW w:w="2436" w:type="dxa"/>
                  <w:tcBorders>
                    <w:tl2br w:val="nil"/>
                    <w:tr2bl w:val="nil"/>
                  </w:tcBorders>
                  <w:vAlign w:val="center"/>
                </w:tcPr>
                <w:p w14:paraId="6BC0303C">
                  <w:pPr>
                    <w:pStyle w:val="68"/>
                    <w:spacing w:line="240" w:lineRule="auto"/>
                    <w:ind w:firstLine="0" w:firstLineChars="0"/>
                    <w:jc w:val="center"/>
                    <w:rPr>
                      <w:rFonts w:hint="default" w:ascii="Times New Roman" w:hAnsi="Times New Roman" w:cs="Times New Roman"/>
                      <w:color w:val="000000" w:themeColor="text1"/>
                      <w:sz w:val="21"/>
                      <w:highlight w:val="none"/>
                      <w14:textFill>
                        <w14:solidFill>
                          <w14:schemeClr w14:val="tx1"/>
                        </w14:solidFill>
                      </w14:textFill>
                    </w:rPr>
                  </w:pPr>
                  <w:r>
                    <w:rPr>
                      <w:rFonts w:hint="default" w:ascii="Times New Roman" w:hAnsi="Times New Roman" w:cs="Times New Roman"/>
                      <w:color w:val="000000" w:themeColor="text1"/>
                      <w:sz w:val="21"/>
                      <w:highlight w:val="none"/>
                      <w14:textFill>
                        <w14:solidFill>
                          <w14:schemeClr w14:val="tx1"/>
                        </w14:solidFill>
                      </w14:textFill>
                    </w:rPr>
                    <w:t>项目</w:t>
                  </w:r>
                  <w:r>
                    <w:rPr>
                      <w:rFonts w:hint="eastAsia" w:cs="Times New Roman"/>
                      <w:color w:val="000000" w:themeColor="text1"/>
                      <w:sz w:val="21"/>
                      <w:highlight w:val="none"/>
                      <w:lang w:val="en-US" w:eastAsia="zh-CN"/>
                      <w14:textFill>
                        <w14:solidFill>
                          <w14:schemeClr w14:val="tx1"/>
                        </w14:solidFill>
                      </w14:textFill>
                    </w:rPr>
                    <w:t>废矿物油在密闭的储罐中存放，</w:t>
                  </w:r>
                  <w:r>
                    <w:rPr>
                      <w:rFonts w:hint="default" w:ascii="Times New Roman" w:hAnsi="Times New Roman" w:cs="Times New Roman"/>
                      <w:color w:val="000000" w:themeColor="text1"/>
                      <w:sz w:val="21"/>
                      <w:highlight w:val="none"/>
                      <w14:textFill>
                        <w14:solidFill>
                          <w14:schemeClr w14:val="tx1"/>
                        </w14:solidFill>
                      </w14:textFill>
                    </w:rPr>
                    <w:t>定期清运交有资质单位集中处置</w:t>
                  </w:r>
                </w:p>
              </w:tc>
              <w:tc>
                <w:tcPr>
                  <w:tcW w:w="942" w:type="dxa"/>
                  <w:tcBorders>
                    <w:tl2br w:val="nil"/>
                    <w:tr2bl w:val="nil"/>
                  </w:tcBorders>
                  <w:vAlign w:val="center"/>
                </w:tcPr>
                <w:p w14:paraId="42ACD1C4">
                  <w:pPr>
                    <w:pStyle w:val="68"/>
                    <w:spacing w:line="240" w:lineRule="auto"/>
                    <w:ind w:firstLine="0" w:firstLineChars="0"/>
                    <w:jc w:val="center"/>
                    <w:rPr>
                      <w:rFonts w:hint="default" w:ascii="Times New Roman" w:hAnsi="Times New Roman" w:cs="Times New Roman"/>
                      <w:color w:val="000000" w:themeColor="text1"/>
                      <w:sz w:val="21"/>
                      <w:highlight w:val="none"/>
                      <w14:textFill>
                        <w14:solidFill>
                          <w14:schemeClr w14:val="tx1"/>
                        </w14:solidFill>
                      </w14:textFill>
                    </w:rPr>
                  </w:pPr>
                </w:p>
              </w:tc>
            </w:tr>
          </w:tbl>
          <w:p w14:paraId="57CC91F3">
            <w:pPr>
              <w:pStyle w:val="68"/>
              <w:ind w:firstLine="48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综上所述，本项目符合《重点行业挥发性有机物综合治理方案》。</w:t>
            </w:r>
          </w:p>
          <w:p w14:paraId="5A0AC1EF">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eastAsia="宋体" w:cs="Times New Roman"/>
                <w:b/>
                <w:bCs/>
                <w:color w:val="auto"/>
                <w:sz w:val="24"/>
                <w:szCs w:val="24"/>
                <w:highlight w:val="none"/>
                <w:lang w:val="en-US" w:eastAsia="zh-CN"/>
              </w:rPr>
            </w:pPr>
            <w:r>
              <w:rPr>
                <w:rFonts w:hint="eastAsia" w:ascii="Times New Roman" w:hAnsi="Times New Roman" w:eastAsia="宋体" w:cs="Times New Roman"/>
                <w:b/>
                <w:bCs/>
                <w:color w:val="auto"/>
                <w:sz w:val="24"/>
                <w:szCs w:val="24"/>
                <w:highlight w:val="none"/>
                <w:lang w:val="en-US" w:eastAsia="zh-CN"/>
              </w:rPr>
              <w:t>与</w:t>
            </w:r>
            <w:r>
              <w:rPr>
                <w:rFonts w:hint="default" w:ascii="Times New Roman" w:hAnsi="Times New Roman" w:eastAsia="宋体" w:cs="Times New Roman"/>
                <w:b/>
                <w:bCs/>
                <w:color w:val="auto"/>
                <w:sz w:val="24"/>
                <w:szCs w:val="24"/>
                <w:highlight w:val="none"/>
              </w:rPr>
              <w:t>《关于加快解决当前挥发性有机物治理突出问题的通知》（环大气[2021]65号）</w:t>
            </w:r>
            <w:r>
              <w:rPr>
                <w:rFonts w:hint="default" w:ascii="Times New Roman" w:hAnsi="Times New Roman" w:eastAsia="宋体" w:cs="Times New Roman"/>
                <w:b/>
                <w:bCs/>
                <w:color w:val="auto"/>
                <w:sz w:val="24"/>
                <w:szCs w:val="24"/>
                <w:highlight w:val="none"/>
                <w:lang w:eastAsia="zh-CN"/>
              </w:rPr>
              <w:t>相符性分析</w:t>
            </w:r>
          </w:p>
          <w:p w14:paraId="2CC50C5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highlight w:val="none"/>
                <w:lang w:val="en-US" w:eastAsia="zh-CN"/>
              </w:rPr>
            </w:pPr>
            <w:r>
              <w:rPr>
                <w:rFonts w:hint="eastAsia" w:ascii="Times New Roman" w:hAnsi="Times New Roman" w:eastAsia="宋体" w:cs="Times New Roman"/>
                <w:b/>
                <w:bCs/>
                <w:color w:val="auto"/>
                <w:sz w:val="21"/>
                <w:szCs w:val="21"/>
                <w:highlight w:val="none"/>
                <w:lang w:val="en-US" w:eastAsia="zh-CN"/>
              </w:rPr>
              <w:t>表1-</w:t>
            </w:r>
            <w:r>
              <w:rPr>
                <w:rFonts w:hint="eastAsia" w:ascii="Times New Roman" w:hAnsi="Times New Roman" w:cs="Times New Roman"/>
                <w:b/>
                <w:bCs/>
                <w:color w:val="auto"/>
                <w:sz w:val="21"/>
                <w:szCs w:val="21"/>
                <w:highlight w:val="none"/>
                <w:lang w:val="en-US" w:eastAsia="zh-CN"/>
              </w:rPr>
              <w:t>1</w:t>
            </w:r>
            <w:r>
              <w:rPr>
                <w:rFonts w:hint="eastAsia" w:cs="Times New Roman"/>
                <w:b/>
                <w:bCs/>
                <w:color w:val="auto"/>
                <w:sz w:val="21"/>
                <w:szCs w:val="21"/>
                <w:highlight w:val="none"/>
                <w:lang w:val="en-US" w:eastAsia="zh-CN"/>
              </w:rPr>
              <w:t>1</w:t>
            </w:r>
            <w:r>
              <w:rPr>
                <w:rFonts w:hint="eastAsia" w:ascii="Times New Roman" w:hAnsi="Times New Roman" w:eastAsia="宋体" w:cs="Times New Roman"/>
                <w:b/>
                <w:bCs/>
                <w:color w:val="auto"/>
                <w:sz w:val="21"/>
                <w:szCs w:val="21"/>
                <w:highlight w:val="none"/>
                <w:lang w:val="en-US" w:eastAsia="zh-CN"/>
              </w:rPr>
              <w:t xml:space="preserve"> 项目与</w:t>
            </w:r>
            <w:r>
              <w:rPr>
                <w:rFonts w:hint="default" w:ascii="Times New Roman" w:hAnsi="Times New Roman" w:eastAsia="宋体" w:cs="Times New Roman"/>
                <w:b/>
                <w:bCs/>
                <w:color w:val="auto"/>
                <w:sz w:val="21"/>
                <w:szCs w:val="21"/>
                <w:highlight w:val="none"/>
              </w:rPr>
              <w:t>《关于加快解决当前挥发性有机物治理突出问题的通知》</w:t>
            </w:r>
            <w:r>
              <w:rPr>
                <w:rFonts w:hint="default" w:ascii="Times New Roman" w:hAnsi="Times New Roman" w:eastAsia="宋体" w:cs="Times New Roman"/>
                <w:b/>
                <w:bCs/>
                <w:color w:val="auto"/>
                <w:sz w:val="21"/>
                <w:szCs w:val="21"/>
                <w:highlight w:val="none"/>
                <w:lang w:eastAsia="zh-CN"/>
              </w:rPr>
              <w:t>相符性分析</w:t>
            </w:r>
            <w:r>
              <w:rPr>
                <w:rFonts w:hint="eastAsia" w:ascii="Times New Roman" w:hAnsi="Times New Roman" w:eastAsia="宋体" w:cs="Times New Roman"/>
                <w:b/>
                <w:bCs/>
                <w:color w:val="auto"/>
                <w:sz w:val="21"/>
                <w:szCs w:val="21"/>
                <w:highlight w:val="none"/>
                <w:lang w:val="en-US" w:eastAsia="zh-CN"/>
              </w:rPr>
              <w:t>一览表</w:t>
            </w:r>
          </w:p>
          <w:tbl>
            <w:tblPr>
              <w:tblStyle w:val="27"/>
              <w:tblW w:w="4999" w:type="pct"/>
              <w:tblInd w:w="0" w:type="dxa"/>
              <w:tblBorders>
                <w:top w:val="double" w:color="auto" w:sz="4" w:space="0"/>
                <w:left w:val="none" w:color="auto" w:sz="0" w:space="0"/>
                <w:bottom w:val="double" w:color="auto" w:sz="4" w:space="0"/>
                <w:right w:val="none" w:color="auto" w:sz="0" w:space="0"/>
                <w:insideH w:val="single" w:color="auto" w:sz="4" w:space="0"/>
                <w:insideV w:val="single" w:color="auto" w:sz="4" w:space="0"/>
              </w:tblBorders>
              <w:tblLayout w:type="autofit"/>
              <w:tblCellMar>
                <w:top w:w="0" w:type="dxa"/>
                <w:left w:w="23" w:type="dxa"/>
                <w:bottom w:w="0" w:type="dxa"/>
                <w:right w:w="23" w:type="dxa"/>
              </w:tblCellMar>
            </w:tblPr>
            <w:tblGrid>
              <w:gridCol w:w="3974"/>
              <w:gridCol w:w="2286"/>
              <w:gridCol w:w="666"/>
            </w:tblGrid>
            <w:tr w14:paraId="227594D5">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23" w:type="dxa"/>
                  <w:bottom w:w="0" w:type="dxa"/>
                  <w:right w:w="23" w:type="dxa"/>
                </w:tblCellMar>
              </w:tblPrEx>
              <w:trPr>
                <w:trHeight w:val="651" w:hRule="atLeast"/>
              </w:trPr>
              <w:tc>
                <w:tcPr>
                  <w:tcW w:w="2869" w:type="pct"/>
                  <w:tcBorders>
                    <w:tl2br w:val="nil"/>
                    <w:tr2bl w:val="nil"/>
                  </w:tcBorders>
                  <w:noWrap w:val="0"/>
                  <w:vAlign w:val="center"/>
                </w:tcPr>
                <w:p w14:paraId="429C5F24">
                  <w:pPr>
                    <w:pStyle w:val="93"/>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文件要求</w:t>
                  </w:r>
                </w:p>
              </w:tc>
              <w:tc>
                <w:tcPr>
                  <w:tcW w:w="1650" w:type="pct"/>
                  <w:tcBorders>
                    <w:tl2br w:val="nil"/>
                    <w:tr2bl w:val="nil"/>
                  </w:tcBorders>
                  <w:noWrap w:val="0"/>
                  <w:vAlign w:val="center"/>
                </w:tcPr>
                <w:p w14:paraId="3F5C62B0">
                  <w:pPr>
                    <w:pStyle w:val="93"/>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项目情况</w:t>
                  </w:r>
                </w:p>
              </w:tc>
              <w:tc>
                <w:tcPr>
                  <w:tcW w:w="480" w:type="pct"/>
                  <w:tcBorders>
                    <w:tl2br w:val="nil"/>
                    <w:tr2bl w:val="nil"/>
                  </w:tcBorders>
                  <w:noWrap w:val="0"/>
                  <w:vAlign w:val="center"/>
                </w:tcPr>
                <w:p w14:paraId="7ADD056B">
                  <w:pPr>
                    <w:pStyle w:val="93"/>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符合</w:t>
                  </w:r>
                </w:p>
                <w:p w14:paraId="061CEDE5">
                  <w:pPr>
                    <w:pStyle w:val="93"/>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情况</w:t>
                  </w:r>
                </w:p>
              </w:tc>
            </w:tr>
            <w:tr w14:paraId="2C36FF57">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23" w:type="dxa"/>
                  <w:bottom w:w="0" w:type="dxa"/>
                  <w:right w:w="23" w:type="dxa"/>
                </w:tblCellMar>
              </w:tblPrEx>
              <w:trPr>
                <w:trHeight w:val="90" w:hRule="atLeast"/>
              </w:trPr>
              <w:tc>
                <w:tcPr>
                  <w:tcW w:w="2869" w:type="pct"/>
                  <w:tcBorders>
                    <w:tl2br w:val="nil"/>
                    <w:tr2bl w:val="nil"/>
                  </w:tcBorders>
                  <w:noWrap w:val="0"/>
                  <w:vAlign w:val="center"/>
                </w:tcPr>
                <w:p w14:paraId="489C8A1B">
                  <w:pPr>
                    <w:pStyle w:val="93"/>
                    <w:keepNext w:val="0"/>
                    <w:keepLines w:val="0"/>
                    <w:pageBreakBefore w:val="0"/>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b w:val="0"/>
                      <w:bCs w:val="0"/>
                      <w:color w:val="auto"/>
                      <w:sz w:val="21"/>
                      <w:szCs w:val="21"/>
                      <w:highlight w:val="none"/>
                      <w:lang w:val="en-US" w:eastAsia="zh-CN"/>
                    </w:rPr>
                  </w:pPr>
                  <w:r>
                    <w:rPr>
                      <w:rFonts w:hint="eastAsia" w:ascii="Times New Roman" w:hAnsi="Times New Roman" w:eastAsia="宋体" w:cs="Times New Roman"/>
                      <w:b w:val="0"/>
                      <w:bCs w:val="0"/>
                      <w:color w:val="auto"/>
                      <w:sz w:val="21"/>
                      <w:szCs w:val="21"/>
                      <w:highlight w:val="none"/>
                      <w:lang w:val="en-US" w:eastAsia="zh-CN"/>
                    </w:rPr>
                    <w:t>一</w:t>
                  </w:r>
                  <w:r>
                    <w:rPr>
                      <w:rFonts w:hint="default" w:ascii="Times New Roman" w:hAnsi="Times New Roman" w:eastAsia="宋体" w:cs="Times New Roman"/>
                      <w:b w:val="0"/>
                      <w:bCs w:val="0"/>
                      <w:color w:val="auto"/>
                      <w:sz w:val="21"/>
                      <w:szCs w:val="21"/>
                      <w:highlight w:val="none"/>
                    </w:rPr>
                    <w:t>、开展重点任务和问题整改“回头看”（详细内容略）</w:t>
                  </w:r>
                </w:p>
              </w:tc>
              <w:tc>
                <w:tcPr>
                  <w:tcW w:w="1650" w:type="pct"/>
                  <w:tcBorders>
                    <w:tl2br w:val="nil"/>
                    <w:tr2bl w:val="nil"/>
                  </w:tcBorders>
                  <w:noWrap w:val="0"/>
                  <w:vAlign w:val="center"/>
                </w:tcPr>
                <w:p w14:paraId="11FC9962">
                  <w:pPr>
                    <w:pStyle w:val="93"/>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w:t>
                  </w:r>
                </w:p>
              </w:tc>
              <w:tc>
                <w:tcPr>
                  <w:tcW w:w="480" w:type="pct"/>
                  <w:tcBorders>
                    <w:tl2br w:val="nil"/>
                    <w:tr2bl w:val="nil"/>
                  </w:tcBorders>
                  <w:noWrap w:val="0"/>
                  <w:vAlign w:val="center"/>
                </w:tcPr>
                <w:p w14:paraId="2107DE5B">
                  <w:pPr>
                    <w:pStyle w:val="93"/>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w:t>
                  </w:r>
                </w:p>
              </w:tc>
            </w:tr>
            <w:tr w14:paraId="2529D016">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23" w:type="dxa"/>
                  <w:bottom w:w="0" w:type="dxa"/>
                  <w:right w:w="23" w:type="dxa"/>
                </w:tblCellMar>
              </w:tblPrEx>
              <w:trPr>
                <w:trHeight w:val="316" w:hRule="atLeast"/>
              </w:trPr>
              <w:tc>
                <w:tcPr>
                  <w:tcW w:w="5000" w:type="pct"/>
                  <w:gridSpan w:val="3"/>
                  <w:tcBorders>
                    <w:tl2br w:val="nil"/>
                    <w:tr2bl w:val="nil"/>
                  </w:tcBorders>
                  <w:noWrap w:val="0"/>
                  <w:vAlign w:val="center"/>
                </w:tcPr>
                <w:p w14:paraId="2C0E7336">
                  <w:pPr>
                    <w:pStyle w:val="93"/>
                    <w:keepNext w:val="0"/>
                    <w:keepLines w:val="0"/>
                    <w:pageBreakBefore w:val="0"/>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b w:val="0"/>
                      <w:bCs w:val="0"/>
                      <w:color w:val="auto"/>
                      <w:sz w:val="21"/>
                      <w:szCs w:val="21"/>
                      <w:highlight w:val="none"/>
                      <w:lang w:val="en-US" w:eastAsia="zh-CN"/>
                    </w:rPr>
                  </w:pPr>
                  <w:r>
                    <w:rPr>
                      <w:rFonts w:hint="eastAsia" w:ascii="Times New Roman" w:hAnsi="Times New Roman" w:eastAsia="宋体" w:cs="Times New Roman"/>
                      <w:b w:val="0"/>
                      <w:bCs w:val="0"/>
                      <w:color w:val="auto"/>
                      <w:sz w:val="21"/>
                      <w:szCs w:val="21"/>
                      <w:highlight w:val="none"/>
                      <w:lang w:val="en-US" w:eastAsia="zh-CN"/>
                    </w:rPr>
                    <w:t>二</w:t>
                  </w:r>
                  <w:r>
                    <w:rPr>
                      <w:rFonts w:hint="default" w:ascii="Times New Roman" w:hAnsi="Times New Roman" w:eastAsia="宋体" w:cs="Times New Roman"/>
                      <w:b w:val="0"/>
                      <w:bCs w:val="0"/>
                      <w:color w:val="auto"/>
                      <w:sz w:val="21"/>
                      <w:szCs w:val="21"/>
                      <w:highlight w:val="none"/>
                      <w:lang w:val="en-US" w:eastAsia="zh-CN"/>
                    </w:rPr>
                    <w:t>、</w:t>
                  </w:r>
                  <w:r>
                    <w:rPr>
                      <w:rFonts w:hint="eastAsia" w:ascii="Times New Roman" w:hAnsi="Times New Roman" w:eastAsia="宋体" w:cs="Times New Roman"/>
                      <w:b w:val="0"/>
                      <w:bCs w:val="0"/>
                      <w:color w:val="auto"/>
                      <w:sz w:val="21"/>
                      <w:szCs w:val="21"/>
                      <w:highlight w:val="none"/>
                      <w:lang w:val="en-US" w:eastAsia="zh-CN"/>
                    </w:rPr>
                    <w:t>针对当前的突出问题开展排查整治</w:t>
                  </w:r>
                </w:p>
              </w:tc>
            </w:tr>
            <w:tr w14:paraId="7D561FA7">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23" w:type="dxa"/>
                  <w:bottom w:w="0" w:type="dxa"/>
                  <w:right w:w="23" w:type="dxa"/>
                </w:tblCellMar>
              </w:tblPrEx>
              <w:trPr>
                <w:trHeight w:val="6171" w:hRule="atLeast"/>
              </w:trPr>
              <w:tc>
                <w:tcPr>
                  <w:tcW w:w="2869" w:type="pct"/>
                  <w:tcBorders>
                    <w:tl2br w:val="nil"/>
                    <w:tr2bl w:val="nil"/>
                  </w:tcBorders>
                  <w:noWrap w:val="0"/>
                  <w:vAlign w:val="center"/>
                </w:tcPr>
                <w:p w14:paraId="1A0F8FD3">
                  <w:pPr>
                    <w:pStyle w:val="93"/>
                    <w:keepNext w:val="0"/>
                    <w:keepLines w:val="0"/>
                    <w:pageBreakBefore w:val="0"/>
                    <w:kinsoku/>
                    <w:wordWrap/>
                    <w:overflowPunct/>
                    <w:topLinePunct w:val="0"/>
                    <w:autoSpaceDE/>
                    <w:autoSpaceDN/>
                    <w:bidi w:val="0"/>
                    <w:adjustRightInd/>
                    <w:snapToGrid/>
                    <w:spacing w:line="240" w:lineRule="auto"/>
                    <w:ind w:firstLine="0" w:firstLineChars="0"/>
                    <w:jc w:val="both"/>
                    <w:textAlignment w:val="auto"/>
                    <w:rPr>
                      <w:rFonts w:hint="eastAsia"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各地要以石油炼制、石油化工、合成树脂等石化行业，有机化工、煤化工、焦化（含兰炭）、制药、农药、涂料、油墨、胶粘剂等化工行业，涉及工业涂装的汽车、家具、零部件、钢结构、彩涂板等行业，包装印刷行业以及油品储运销为重点，并结合本地特色产业，组织企业针对挥发性有机液体储罐、装卸、敞开液面、泄漏检测与修复（LDAR）、废气收集、废气旁路、治理设施、加油站、非正常工况、产品VOCs含量等10个关键环节，认真对照大气污染防治法、排污许可证、相关排放标准和产品VOCs含量限值标准等开展排查整治</w:t>
                  </w:r>
                  <w:r>
                    <w:rPr>
                      <w:rFonts w:hint="eastAsia" w:ascii="Times New Roman" w:hAnsi="Times New Roman" w:eastAsia="宋体" w:cs="Times New Roman"/>
                      <w:b w:val="0"/>
                      <w:bCs w:val="0"/>
                      <w:color w:val="auto"/>
                      <w:sz w:val="21"/>
                      <w:szCs w:val="21"/>
                      <w:highlight w:val="none"/>
                      <w:lang w:val="en-US" w:eastAsia="zh-CN"/>
                    </w:rPr>
                    <w:t>，</w:t>
                  </w:r>
                </w:p>
                <w:p w14:paraId="1184401F">
                  <w:pPr>
                    <w:pStyle w:val="93"/>
                    <w:keepNext w:val="0"/>
                    <w:keepLines w:val="0"/>
                    <w:pageBreakBefore w:val="0"/>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b w:val="0"/>
                      <w:bCs w:val="0"/>
                      <w:color w:val="auto"/>
                      <w:sz w:val="21"/>
                      <w:szCs w:val="21"/>
                      <w:highlight w:val="none"/>
                      <w:lang w:val="en-US" w:eastAsia="zh-CN"/>
                    </w:rPr>
                  </w:pPr>
                  <w:r>
                    <w:rPr>
                      <w:rFonts w:hint="eastAsia" w:ascii="Times New Roman" w:hAnsi="Times New Roman" w:eastAsia="宋体" w:cs="Times New Roman"/>
                      <w:b w:val="0"/>
                      <w:bCs w:val="0"/>
                      <w:color w:val="auto"/>
                      <w:sz w:val="21"/>
                      <w:szCs w:val="21"/>
                      <w:highlight w:val="none"/>
                      <w:lang w:val="en-US" w:eastAsia="zh-CN"/>
                    </w:rPr>
                    <w:t>附件：</w:t>
                  </w:r>
                  <w:r>
                    <w:rPr>
                      <w:rFonts w:hint="default" w:ascii="Times New Roman" w:hAnsi="Times New Roman" w:eastAsia="宋体" w:cs="Times New Roman"/>
                      <w:b w:val="0"/>
                      <w:bCs w:val="0"/>
                      <w:color w:val="auto"/>
                      <w:sz w:val="21"/>
                      <w:szCs w:val="21"/>
                      <w:highlight w:val="none"/>
                      <w:lang w:val="en-US" w:eastAsia="zh-CN"/>
                    </w:rPr>
                    <w:t>挥发性有机物治理突出问题排查整治工作要求</w:t>
                  </w:r>
                </w:p>
                <w:p w14:paraId="5139A53A">
                  <w:pPr>
                    <w:pStyle w:val="93"/>
                    <w:keepNext w:val="0"/>
                    <w:keepLines w:val="0"/>
                    <w:pageBreakBefore w:val="0"/>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b w:val="0"/>
                      <w:bCs w:val="0"/>
                      <w:color w:val="auto"/>
                      <w:sz w:val="21"/>
                      <w:szCs w:val="21"/>
                      <w:highlight w:val="none"/>
                      <w:lang w:val="en-US" w:eastAsia="zh-CN"/>
                    </w:rPr>
                  </w:pPr>
                  <w:r>
                    <w:rPr>
                      <w:rFonts w:hint="eastAsia" w:ascii="Times New Roman" w:hAnsi="Times New Roman" w:eastAsia="宋体" w:cs="Times New Roman"/>
                      <w:b w:val="0"/>
                      <w:bCs w:val="0"/>
                      <w:color w:val="auto"/>
                      <w:sz w:val="21"/>
                      <w:szCs w:val="21"/>
                      <w:highlight w:val="none"/>
                      <w:lang w:val="en-US" w:eastAsia="zh-CN"/>
                    </w:rPr>
                    <w:t>七</w:t>
                  </w:r>
                  <w:r>
                    <w:rPr>
                      <w:rFonts w:hint="default" w:ascii="Times New Roman" w:hAnsi="Times New Roman" w:eastAsia="宋体" w:cs="Times New Roman"/>
                      <w:b w:val="0"/>
                      <w:bCs w:val="0"/>
                      <w:color w:val="auto"/>
                      <w:sz w:val="21"/>
                      <w:szCs w:val="21"/>
                      <w:highlight w:val="none"/>
                      <w:lang w:val="en-US" w:eastAsia="zh-CN"/>
                    </w:rPr>
                    <w:t>有机废气治理设施</w:t>
                  </w:r>
                </w:p>
                <w:p w14:paraId="6899C788">
                  <w:pPr>
                    <w:pStyle w:val="93"/>
                    <w:keepNext w:val="0"/>
                    <w:keepLines w:val="0"/>
                    <w:pageBreakBefore w:val="0"/>
                    <w:kinsoku/>
                    <w:wordWrap/>
                    <w:overflowPunct/>
                    <w:topLinePunct w:val="0"/>
                    <w:autoSpaceDE/>
                    <w:autoSpaceDN/>
                    <w:bidi w:val="0"/>
                    <w:adjustRightInd/>
                    <w:snapToGrid/>
                    <w:spacing w:line="240" w:lineRule="auto"/>
                    <w:ind w:firstLine="0" w:firstLineChars="0"/>
                    <w:jc w:val="both"/>
                    <w:textAlignment w:val="auto"/>
                    <w:rPr>
                      <w:rFonts w:hint="default" w:ascii="宋体" w:hAnsi="宋体" w:eastAsia="宋体" w:cs="宋体"/>
                      <w:color w:val="auto"/>
                      <w:sz w:val="24"/>
                      <w:szCs w:val="24"/>
                      <w:lang w:val="en-US" w:eastAsia="zh-CN"/>
                    </w:rPr>
                  </w:pPr>
                  <w:r>
                    <w:rPr>
                      <w:rFonts w:hint="default" w:ascii="Times New Roman" w:hAnsi="Times New Roman" w:eastAsia="宋体" w:cs="Times New Roman"/>
                      <w:b w:val="0"/>
                      <w:bCs w:val="0"/>
                      <w:color w:val="auto"/>
                      <w:sz w:val="21"/>
                      <w:szCs w:val="21"/>
                      <w:highlight w:val="none"/>
                      <w:lang w:val="en-US" w:eastAsia="zh-CN"/>
                    </w:rPr>
                    <w:t>采用活性炭吸附工艺的企业，应根据废气排放特征，按照相关工程技术规范设计净化工艺和设备，使废气在吸附装置中有足够的 停留时间，选择符合相关产品质量标准的活性炭，并足额充填、及时更换。采用颗粒活性炭作为吸附剂时，其碘值不宜低于800mg/g；采用蜂窝活性炭作为吸附剂时，其碘值不宜低于650mg/g；采用活性炭纤维作为吸附剂时，其比表面积不低于 1100m</w:t>
                  </w:r>
                  <w:r>
                    <w:rPr>
                      <w:rFonts w:hint="default" w:ascii="Times New Roman" w:hAnsi="Times New Roman" w:eastAsia="宋体" w:cs="Times New Roman"/>
                      <w:b w:val="0"/>
                      <w:bCs w:val="0"/>
                      <w:color w:val="auto"/>
                      <w:sz w:val="21"/>
                      <w:szCs w:val="21"/>
                      <w:highlight w:val="none"/>
                      <w:vertAlign w:val="superscript"/>
                      <w:lang w:val="en-US" w:eastAsia="zh-CN"/>
                    </w:rPr>
                    <w:t xml:space="preserve"> 2</w:t>
                  </w:r>
                  <w:r>
                    <w:rPr>
                      <w:rFonts w:hint="default" w:ascii="Times New Roman" w:hAnsi="Times New Roman" w:eastAsia="宋体" w:cs="Times New Roman"/>
                      <w:b w:val="0"/>
                      <w:bCs w:val="0"/>
                      <w:color w:val="auto"/>
                      <w:sz w:val="21"/>
                      <w:szCs w:val="21"/>
                      <w:highlight w:val="none"/>
                      <w:lang w:val="en-US" w:eastAsia="zh-CN"/>
                    </w:rPr>
                    <w:t>/g（BET法）。一次性活性炭吸附工艺宜采用颗粒活性炭作为吸附剂。活性炭、活性炭纤维产品销售时应提供产品质量证明材料。</w:t>
                  </w:r>
                </w:p>
              </w:tc>
              <w:tc>
                <w:tcPr>
                  <w:tcW w:w="1650" w:type="pct"/>
                  <w:tcBorders>
                    <w:tl2br w:val="nil"/>
                    <w:tr2bl w:val="nil"/>
                  </w:tcBorders>
                  <w:noWrap w:val="0"/>
                  <w:vAlign w:val="center"/>
                </w:tcPr>
                <w:p w14:paraId="721F55E8">
                  <w:pPr>
                    <w:pStyle w:val="93"/>
                    <w:keepNext w:val="0"/>
                    <w:keepLines w:val="0"/>
                    <w:pageBreakBefore w:val="0"/>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b w:val="0"/>
                      <w:bCs w:val="0"/>
                      <w:color w:val="auto"/>
                      <w:sz w:val="21"/>
                      <w:szCs w:val="21"/>
                      <w:highlight w:val="none"/>
                      <w:lang w:val="en-US" w:eastAsia="zh-CN"/>
                    </w:rPr>
                  </w:pPr>
                  <w:r>
                    <w:rPr>
                      <w:rFonts w:hint="eastAsia" w:ascii="Times New Roman" w:hAnsi="Times New Roman" w:eastAsia="宋体" w:cs="Times New Roman"/>
                      <w:b w:val="0"/>
                      <w:bCs w:val="0"/>
                      <w:color w:val="auto"/>
                      <w:sz w:val="21"/>
                      <w:szCs w:val="21"/>
                      <w:highlight w:val="none"/>
                      <w:lang w:val="en-US" w:eastAsia="zh-CN"/>
                    </w:rPr>
                    <w:t>该项目</w:t>
                  </w:r>
                  <w:r>
                    <w:rPr>
                      <w:rFonts w:hint="eastAsia" w:cs="Times New Roman"/>
                      <w:b w:val="0"/>
                      <w:bCs w:val="0"/>
                      <w:color w:val="auto"/>
                      <w:sz w:val="21"/>
                      <w:szCs w:val="21"/>
                      <w:highlight w:val="none"/>
                      <w:lang w:val="en-US" w:eastAsia="zh-CN"/>
                    </w:rPr>
                    <w:t>储罐产生的呼吸废气（以NMHC计）</w:t>
                  </w:r>
                  <w:r>
                    <w:rPr>
                      <w:rFonts w:hint="eastAsia" w:ascii="Times New Roman" w:hAnsi="Times New Roman" w:eastAsia="宋体" w:cs="Times New Roman"/>
                      <w:b w:val="0"/>
                      <w:bCs w:val="0"/>
                      <w:color w:val="auto"/>
                      <w:sz w:val="21"/>
                      <w:szCs w:val="21"/>
                      <w:highlight w:val="none"/>
                      <w:lang w:val="en-US" w:eastAsia="zh-CN"/>
                    </w:rPr>
                    <w:t>，收集后</w:t>
                  </w:r>
                  <w:r>
                    <w:rPr>
                      <w:rFonts w:hint="eastAsia" w:cs="Times New Roman"/>
                      <w:b w:val="0"/>
                      <w:bCs w:val="0"/>
                      <w:color w:val="auto"/>
                      <w:sz w:val="21"/>
                      <w:szCs w:val="21"/>
                      <w:highlight w:val="none"/>
                      <w:lang w:val="en-US" w:eastAsia="zh-CN"/>
                    </w:rPr>
                    <w:t>废气经</w:t>
                  </w:r>
                  <w:r>
                    <w:rPr>
                      <w:rFonts w:hint="eastAsia" w:ascii="Times New Roman" w:hAnsi="Times New Roman" w:eastAsia="宋体" w:cs="Times New Roman"/>
                      <w:b w:val="0"/>
                      <w:bCs w:val="0"/>
                      <w:color w:val="auto"/>
                      <w:sz w:val="21"/>
                      <w:szCs w:val="21"/>
                      <w:highlight w:val="none"/>
                      <w:lang w:val="en-US" w:eastAsia="zh-CN"/>
                    </w:rPr>
                    <w:t>活性炭吸附装置处理后通过</w:t>
                  </w:r>
                  <w:r>
                    <w:rPr>
                      <w:rFonts w:hint="eastAsia" w:cs="Times New Roman"/>
                      <w:b w:val="0"/>
                      <w:bCs w:val="0"/>
                      <w:color w:val="auto"/>
                      <w:sz w:val="21"/>
                      <w:szCs w:val="21"/>
                      <w:highlight w:val="none"/>
                      <w:lang w:val="en-US" w:eastAsia="zh-CN"/>
                    </w:rPr>
                    <w:t>15</w:t>
                  </w:r>
                  <w:r>
                    <w:rPr>
                      <w:rFonts w:hint="eastAsia" w:ascii="Times New Roman" w:hAnsi="Times New Roman" w:eastAsia="宋体" w:cs="Times New Roman"/>
                      <w:b w:val="0"/>
                      <w:bCs w:val="0"/>
                      <w:color w:val="auto"/>
                      <w:sz w:val="21"/>
                      <w:szCs w:val="21"/>
                      <w:highlight w:val="none"/>
                      <w:lang w:val="en-US" w:eastAsia="zh-CN"/>
                    </w:rPr>
                    <w:t>m高排气筒排放，使用</w:t>
                  </w:r>
                  <w:r>
                    <w:rPr>
                      <w:rFonts w:hint="default" w:ascii="Times New Roman" w:hAnsi="Times New Roman" w:eastAsia="宋体" w:cs="Times New Roman"/>
                      <w:b w:val="0"/>
                      <w:bCs w:val="0"/>
                      <w:color w:val="auto"/>
                      <w:sz w:val="21"/>
                      <w:szCs w:val="21"/>
                      <w:highlight w:val="none"/>
                      <w:lang w:val="en-US" w:eastAsia="zh-CN"/>
                    </w:rPr>
                    <w:t>颗粒活性炭作为吸附剂</w:t>
                  </w:r>
                  <w:r>
                    <w:rPr>
                      <w:rFonts w:hint="eastAsia" w:ascii="Times New Roman" w:hAnsi="Times New Roman" w:eastAsia="宋体" w:cs="Times New Roman"/>
                      <w:b w:val="0"/>
                      <w:bCs w:val="0"/>
                      <w:color w:val="auto"/>
                      <w:sz w:val="21"/>
                      <w:szCs w:val="21"/>
                      <w:highlight w:val="none"/>
                      <w:lang w:val="en-US" w:eastAsia="zh-CN"/>
                    </w:rPr>
                    <w:t>，</w:t>
                  </w:r>
                  <w:r>
                    <w:rPr>
                      <w:rFonts w:hint="default" w:ascii="Times New Roman" w:hAnsi="Times New Roman" w:eastAsia="宋体" w:cs="Times New Roman"/>
                      <w:b w:val="0"/>
                      <w:bCs w:val="0"/>
                      <w:color w:val="auto"/>
                      <w:sz w:val="21"/>
                      <w:szCs w:val="21"/>
                      <w:highlight w:val="none"/>
                      <w:lang w:val="en-US" w:eastAsia="zh-CN"/>
                    </w:rPr>
                    <w:t>碘值不低于800mg/g</w:t>
                  </w:r>
                </w:p>
              </w:tc>
              <w:tc>
                <w:tcPr>
                  <w:tcW w:w="480" w:type="pct"/>
                  <w:tcBorders>
                    <w:tl2br w:val="nil"/>
                    <w:tr2bl w:val="nil"/>
                  </w:tcBorders>
                  <w:noWrap w:val="0"/>
                  <w:vAlign w:val="center"/>
                </w:tcPr>
                <w:p w14:paraId="0BC4C980">
                  <w:pPr>
                    <w:pStyle w:val="93"/>
                    <w:keepNext w:val="0"/>
                    <w:keepLines w:val="0"/>
                    <w:pageBreakBefore w:val="0"/>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符合</w:t>
                  </w:r>
                </w:p>
              </w:tc>
            </w:tr>
            <w:tr w14:paraId="262FB2B0">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23" w:type="dxa"/>
                  <w:bottom w:w="0" w:type="dxa"/>
                  <w:right w:w="23" w:type="dxa"/>
                </w:tblCellMar>
              </w:tblPrEx>
              <w:trPr>
                <w:trHeight w:val="90" w:hRule="atLeast"/>
              </w:trPr>
              <w:tc>
                <w:tcPr>
                  <w:tcW w:w="2869" w:type="pct"/>
                  <w:tcBorders>
                    <w:tl2br w:val="nil"/>
                    <w:tr2bl w:val="nil"/>
                  </w:tcBorders>
                  <w:noWrap w:val="0"/>
                  <w:vAlign w:val="center"/>
                </w:tcPr>
                <w:p w14:paraId="6F5128CE">
                  <w:pPr>
                    <w:pStyle w:val="23"/>
                    <w:keepNext w:val="0"/>
                    <w:keepLines w:val="0"/>
                    <w:pageBreakBefore w:val="0"/>
                    <w:kinsoku/>
                    <w:wordWrap/>
                    <w:overflowPunct/>
                    <w:topLinePunct w:val="0"/>
                    <w:autoSpaceDE/>
                    <w:autoSpaceDN/>
                    <w:bidi w:val="0"/>
                    <w:adjustRightInd/>
                    <w:snapToGrid/>
                    <w:spacing w:before="0" w:beforeAutospacing="0" w:after="0" w:afterAutospacing="0" w:line="240" w:lineRule="auto"/>
                    <w:ind w:firstLine="0" w:firstLineChars="0"/>
                    <w:textAlignment w:val="auto"/>
                    <w:rPr>
                      <w:rFonts w:hint="default" w:ascii="Times New Roman" w:hAnsi="Times New Roman" w:eastAsia="宋体" w:cs="Times New Roman"/>
                      <w:b w:val="0"/>
                      <w:bCs w:val="0"/>
                      <w:color w:val="auto"/>
                      <w:kern w:val="0"/>
                      <w:sz w:val="21"/>
                      <w:szCs w:val="21"/>
                      <w:highlight w:val="none"/>
                      <w:lang w:val="en-US" w:eastAsia="zh-CN" w:bidi="ar-SA"/>
                    </w:rPr>
                  </w:pPr>
                  <w:r>
                    <w:rPr>
                      <w:rFonts w:hint="eastAsia" w:ascii="Times New Roman" w:hAnsi="Times New Roman" w:eastAsia="宋体" w:cs="Times New Roman"/>
                      <w:b w:val="0"/>
                      <w:bCs w:val="0"/>
                      <w:color w:val="auto"/>
                      <w:kern w:val="0"/>
                      <w:sz w:val="21"/>
                      <w:szCs w:val="21"/>
                      <w:highlight w:val="none"/>
                      <w:lang w:val="en-US" w:eastAsia="zh-CN" w:bidi="ar-SA"/>
                    </w:rPr>
                    <w:t>三</w:t>
                  </w:r>
                  <w:r>
                    <w:rPr>
                      <w:rFonts w:hint="default" w:ascii="Times New Roman" w:hAnsi="Times New Roman" w:eastAsia="宋体" w:cs="Times New Roman"/>
                      <w:b w:val="0"/>
                      <w:bCs w:val="0"/>
                      <w:color w:val="auto"/>
                      <w:kern w:val="0"/>
                      <w:sz w:val="21"/>
                      <w:szCs w:val="21"/>
                      <w:highlight w:val="none"/>
                      <w:lang w:val="en-US" w:eastAsia="zh-CN" w:bidi="ar-SA"/>
                    </w:rPr>
                    <w:t>、加强指导帮扶和能力建设（详细内容略）</w:t>
                  </w:r>
                </w:p>
              </w:tc>
              <w:tc>
                <w:tcPr>
                  <w:tcW w:w="1650" w:type="pct"/>
                  <w:tcBorders>
                    <w:tl2br w:val="nil"/>
                    <w:tr2bl w:val="nil"/>
                  </w:tcBorders>
                  <w:noWrap w:val="0"/>
                  <w:vAlign w:val="center"/>
                </w:tcPr>
                <w:p w14:paraId="27D164BB">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color w:val="auto"/>
                      <w:kern w:val="0"/>
                      <w:sz w:val="21"/>
                      <w:szCs w:val="21"/>
                      <w:highlight w:val="none"/>
                      <w:lang w:val="en-US" w:eastAsia="zh-CN" w:bidi="ar-SA"/>
                    </w:rPr>
                  </w:pPr>
                  <w:r>
                    <w:rPr>
                      <w:rFonts w:hint="default" w:ascii="Times New Roman" w:hAnsi="Times New Roman" w:eastAsia="宋体" w:cs="Times New Roman"/>
                      <w:b w:val="0"/>
                      <w:color w:val="auto"/>
                      <w:kern w:val="0"/>
                      <w:sz w:val="21"/>
                      <w:szCs w:val="21"/>
                      <w:highlight w:val="none"/>
                      <w:lang w:val="en-US" w:eastAsia="zh-CN" w:bidi="ar-SA"/>
                    </w:rPr>
                    <w:t>/</w:t>
                  </w:r>
                </w:p>
              </w:tc>
              <w:tc>
                <w:tcPr>
                  <w:tcW w:w="480" w:type="pct"/>
                  <w:tcBorders>
                    <w:tl2br w:val="nil"/>
                    <w:tr2bl w:val="nil"/>
                  </w:tcBorders>
                  <w:noWrap w:val="0"/>
                  <w:vAlign w:val="center"/>
                </w:tcPr>
                <w:p w14:paraId="501F6361">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color w:val="auto"/>
                      <w:kern w:val="0"/>
                      <w:sz w:val="21"/>
                      <w:szCs w:val="21"/>
                      <w:highlight w:val="none"/>
                      <w:lang w:val="en-US" w:eastAsia="zh-CN" w:bidi="ar-SA"/>
                    </w:rPr>
                  </w:pPr>
                  <w:r>
                    <w:rPr>
                      <w:rFonts w:hint="default" w:ascii="Times New Roman" w:hAnsi="Times New Roman" w:eastAsia="宋体" w:cs="Times New Roman"/>
                      <w:b w:val="0"/>
                      <w:color w:val="auto"/>
                      <w:kern w:val="0"/>
                      <w:sz w:val="21"/>
                      <w:szCs w:val="21"/>
                      <w:highlight w:val="none"/>
                      <w:lang w:val="en-US" w:eastAsia="zh-CN" w:bidi="ar-SA"/>
                    </w:rPr>
                    <w:t>/</w:t>
                  </w:r>
                </w:p>
              </w:tc>
            </w:tr>
            <w:tr w14:paraId="0DF5F1CF">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23" w:type="dxa"/>
                  <w:bottom w:w="0" w:type="dxa"/>
                  <w:right w:w="23" w:type="dxa"/>
                </w:tblCellMar>
              </w:tblPrEx>
              <w:trPr>
                <w:trHeight w:val="90" w:hRule="atLeast"/>
              </w:trPr>
              <w:tc>
                <w:tcPr>
                  <w:tcW w:w="2869" w:type="pct"/>
                  <w:tcBorders>
                    <w:tl2br w:val="nil"/>
                    <w:tr2bl w:val="nil"/>
                  </w:tcBorders>
                  <w:noWrap w:val="0"/>
                  <w:vAlign w:val="center"/>
                </w:tcPr>
                <w:p w14:paraId="24FCEE80">
                  <w:pPr>
                    <w:pStyle w:val="23"/>
                    <w:keepNext w:val="0"/>
                    <w:keepLines w:val="0"/>
                    <w:pageBreakBefore w:val="0"/>
                    <w:kinsoku/>
                    <w:wordWrap/>
                    <w:overflowPunct/>
                    <w:topLinePunct w:val="0"/>
                    <w:autoSpaceDE/>
                    <w:autoSpaceDN/>
                    <w:bidi w:val="0"/>
                    <w:adjustRightInd/>
                    <w:snapToGrid/>
                    <w:spacing w:before="0" w:beforeAutospacing="0" w:after="0" w:afterAutospacing="0" w:line="240" w:lineRule="auto"/>
                    <w:ind w:firstLine="0" w:firstLineChars="0"/>
                    <w:textAlignment w:val="auto"/>
                    <w:rPr>
                      <w:rFonts w:hint="default" w:ascii="Times New Roman" w:hAnsi="Times New Roman" w:eastAsia="宋体" w:cs="Times New Roman"/>
                      <w:b w:val="0"/>
                      <w:bCs w:val="0"/>
                      <w:color w:val="auto"/>
                      <w:kern w:val="0"/>
                      <w:sz w:val="21"/>
                      <w:szCs w:val="21"/>
                      <w:highlight w:val="none"/>
                      <w:lang w:val="en-US" w:eastAsia="zh-CN" w:bidi="ar-SA"/>
                    </w:rPr>
                  </w:pPr>
                  <w:r>
                    <w:rPr>
                      <w:rFonts w:hint="eastAsia" w:ascii="Times New Roman" w:hAnsi="Times New Roman" w:eastAsia="宋体" w:cs="Times New Roman"/>
                      <w:b w:val="0"/>
                      <w:bCs w:val="0"/>
                      <w:color w:val="auto"/>
                      <w:kern w:val="0"/>
                      <w:sz w:val="21"/>
                      <w:szCs w:val="21"/>
                      <w:highlight w:val="none"/>
                      <w:lang w:val="en-US" w:eastAsia="zh-CN" w:bidi="ar-SA"/>
                    </w:rPr>
                    <w:t>四、</w:t>
                  </w:r>
                  <w:r>
                    <w:rPr>
                      <w:rFonts w:hint="default" w:ascii="Times New Roman" w:hAnsi="Times New Roman" w:eastAsia="宋体" w:cs="Times New Roman"/>
                      <w:b w:val="0"/>
                      <w:bCs w:val="0"/>
                      <w:color w:val="auto"/>
                      <w:kern w:val="0"/>
                      <w:sz w:val="21"/>
                      <w:szCs w:val="21"/>
                      <w:highlight w:val="none"/>
                      <w:lang w:val="en-US" w:eastAsia="zh-CN" w:bidi="ar-SA"/>
                    </w:rPr>
                    <w:t>强化监督落实，压实VOCs治理责任</w:t>
                  </w:r>
                </w:p>
              </w:tc>
              <w:tc>
                <w:tcPr>
                  <w:tcW w:w="1650" w:type="pct"/>
                  <w:tcBorders>
                    <w:tl2br w:val="nil"/>
                    <w:tr2bl w:val="nil"/>
                  </w:tcBorders>
                  <w:noWrap w:val="0"/>
                  <w:vAlign w:val="center"/>
                </w:tcPr>
                <w:p w14:paraId="492ABA53">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color w:val="auto"/>
                      <w:kern w:val="0"/>
                      <w:sz w:val="21"/>
                      <w:szCs w:val="21"/>
                      <w:highlight w:val="none"/>
                      <w:lang w:val="en-US" w:eastAsia="zh-CN" w:bidi="ar-SA"/>
                    </w:rPr>
                  </w:pPr>
                  <w:r>
                    <w:rPr>
                      <w:rFonts w:hint="eastAsia" w:ascii="Times New Roman" w:hAnsi="Times New Roman" w:cs="Times New Roman"/>
                      <w:b w:val="0"/>
                      <w:color w:val="auto"/>
                      <w:kern w:val="0"/>
                      <w:sz w:val="21"/>
                      <w:szCs w:val="21"/>
                      <w:highlight w:val="none"/>
                      <w:lang w:val="en-US" w:eastAsia="zh-CN" w:bidi="ar-SA"/>
                    </w:rPr>
                    <w:t>/</w:t>
                  </w:r>
                </w:p>
              </w:tc>
              <w:tc>
                <w:tcPr>
                  <w:tcW w:w="480" w:type="pct"/>
                  <w:tcBorders>
                    <w:tl2br w:val="nil"/>
                    <w:tr2bl w:val="nil"/>
                  </w:tcBorders>
                  <w:noWrap w:val="0"/>
                  <w:vAlign w:val="center"/>
                </w:tcPr>
                <w:p w14:paraId="19FB3495">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color w:val="auto"/>
                      <w:kern w:val="0"/>
                      <w:sz w:val="21"/>
                      <w:szCs w:val="21"/>
                      <w:highlight w:val="none"/>
                      <w:lang w:val="en-US" w:eastAsia="zh-CN" w:bidi="ar-SA"/>
                    </w:rPr>
                  </w:pPr>
                  <w:r>
                    <w:rPr>
                      <w:rFonts w:hint="eastAsia" w:ascii="Times New Roman" w:hAnsi="Times New Roman" w:cs="Times New Roman"/>
                      <w:b w:val="0"/>
                      <w:color w:val="auto"/>
                      <w:kern w:val="0"/>
                      <w:sz w:val="21"/>
                      <w:szCs w:val="21"/>
                      <w:highlight w:val="none"/>
                      <w:lang w:val="en-US" w:eastAsia="zh-CN" w:bidi="ar-SA"/>
                    </w:rPr>
                    <w:t>/</w:t>
                  </w:r>
                </w:p>
              </w:tc>
            </w:tr>
          </w:tbl>
          <w:p w14:paraId="328F0F16">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eastAsia="宋体" w:cs="Times New Roman"/>
                <w:b/>
                <w:bCs/>
                <w:color w:val="auto"/>
                <w:sz w:val="24"/>
                <w:szCs w:val="24"/>
                <w:highlight w:val="none"/>
                <w:shd w:val="clear" w:color="auto" w:fill="FFFFFF"/>
                <w:lang w:eastAsia="zh-CN"/>
              </w:rPr>
            </w:pPr>
            <w:r>
              <w:rPr>
                <w:rFonts w:hint="default" w:ascii="Times New Roman" w:hAnsi="Times New Roman" w:eastAsia="宋体" w:cs="Times New Roman"/>
                <w:b/>
                <w:bCs/>
                <w:color w:val="auto"/>
                <w:sz w:val="24"/>
                <w:szCs w:val="24"/>
                <w:highlight w:val="none"/>
              </w:rPr>
              <w:t>与《辽宁省“十三五”挥发性有机物污染防治与削减工作实施方案》</w:t>
            </w:r>
            <w:r>
              <w:rPr>
                <w:rFonts w:hint="default" w:ascii="Times New Roman" w:hAnsi="Times New Roman" w:eastAsia="宋体" w:cs="Times New Roman"/>
                <w:b/>
                <w:bCs/>
                <w:color w:val="auto"/>
                <w:sz w:val="24"/>
                <w:szCs w:val="24"/>
                <w:highlight w:val="none"/>
                <w:shd w:val="clear" w:color="auto" w:fill="FFFFFF"/>
                <w:lang w:eastAsia="zh-CN"/>
              </w:rPr>
              <w:t>相符性分析</w:t>
            </w:r>
          </w:p>
          <w:p w14:paraId="22EB9988">
            <w:pPr>
              <w:pStyle w:val="92"/>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宋体" w:cs="Times New Roman"/>
                <w:b w:val="0"/>
                <w:bCs w:val="0"/>
                <w:color w:val="auto"/>
                <w:kern w:val="2"/>
                <w:sz w:val="24"/>
                <w:szCs w:val="24"/>
                <w:highlight w:val="none"/>
                <w:u w:val="thick"/>
                <w:lang w:val="en-US" w:eastAsia="zh-CN" w:bidi="ar-SA"/>
              </w:rPr>
            </w:pPr>
            <w:r>
              <w:rPr>
                <w:rFonts w:hint="eastAsia" w:ascii="Times New Roman" w:hAnsi="Times New Roman" w:eastAsia="宋体" w:cs="Times New Roman"/>
                <w:b w:val="0"/>
                <w:bCs w:val="0"/>
                <w:color w:val="auto"/>
                <w:spacing w:val="0"/>
                <w:sz w:val="24"/>
                <w:szCs w:val="24"/>
                <w:highlight w:val="none"/>
                <w:shd w:val="clear" w:color="auto" w:fill="FFFFFF"/>
                <w:lang w:val="en-US" w:eastAsia="zh-CN"/>
              </w:rPr>
              <w:t>对照</w:t>
            </w:r>
            <w:r>
              <w:rPr>
                <w:rFonts w:hint="default" w:ascii="Times New Roman" w:hAnsi="Times New Roman" w:eastAsia="宋体" w:cs="Times New Roman"/>
                <w:b w:val="0"/>
                <w:bCs w:val="0"/>
                <w:color w:val="auto"/>
                <w:spacing w:val="0"/>
                <w:sz w:val="24"/>
                <w:szCs w:val="24"/>
                <w:highlight w:val="none"/>
                <w:shd w:val="clear" w:color="auto" w:fill="FFFFFF"/>
                <w:lang w:eastAsia="zh-CN"/>
              </w:rPr>
              <w:t>《</w:t>
            </w:r>
            <w:r>
              <w:rPr>
                <w:rFonts w:hint="default" w:ascii="Times New Roman" w:hAnsi="Times New Roman" w:eastAsia="宋体" w:cs="Times New Roman"/>
                <w:b w:val="0"/>
                <w:bCs w:val="0"/>
                <w:color w:val="auto"/>
                <w:sz w:val="24"/>
                <w:szCs w:val="24"/>
                <w:highlight w:val="none"/>
              </w:rPr>
              <w:t>辽宁省</w:t>
            </w:r>
            <w:r>
              <w:rPr>
                <w:rFonts w:hint="eastAsia" w:ascii="Times New Roman" w:hAnsi="Times New Roman" w:eastAsia="宋体" w:cs="Times New Roman"/>
                <w:b w:val="0"/>
                <w:bCs w:val="0"/>
                <w:color w:val="auto"/>
                <w:sz w:val="24"/>
                <w:szCs w:val="24"/>
                <w:highlight w:val="none"/>
                <w:lang w:eastAsia="zh-CN"/>
              </w:rPr>
              <w:t>“</w:t>
            </w:r>
            <w:r>
              <w:rPr>
                <w:rFonts w:hint="default" w:ascii="Times New Roman" w:hAnsi="Times New Roman" w:eastAsia="宋体" w:cs="Times New Roman"/>
                <w:b w:val="0"/>
                <w:bCs w:val="0"/>
                <w:color w:val="auto"/>
                <w:sz w:val="24"/>
                <w:szCs w:val="24"/>
                <w:highlight w:val="none"/>
              </w:rPr>
              <w:t>十三五</w:t>
            </w:r>
            <w:r>
              <w:rPr>
                <w:rFonts w:hint="eastAsia" w:ascii="Times New Roman" w:hAnsi="Times New Roman" w:eastAsia="宋体" w:cs="Times New Roman"/>
                <w:b w:val="0"/>
                <w:bCs w:val="0"/>
                <w:color w:val="auto"/>
                <w:sz w:val="24"/>
                <w:szCs w:val="24"/>
                <w:highlight w:val="none"/>
                <w:lang w:eastAsia="zh-CN"/>
              </w:rPr>
              <w:t>”</w:t>
            </w:r>
            <w:r>
              <w:rPr>
                <w:rFonts w:hint="default" w:ascii="Times New Roman" w:hAnsi="Times New Roman" w:eastAsia="宋体" w:cs="Times New Roman"/>
                <w:b w:val="0"/>
                <w:bCs w:val="0"/>
                <w:color w:val="auto"/>
                <w:sz w:val="24"/>
                <w:szCs w:val="24"/>
                <w:highlight w:val="none"/>
              </w:rPr>
              <w:t>挥发性有机物污染防治与削减工作实施方案</w:t>
            </w:r>
            <w:r>
              <w:rPr>
                <w:rFonts w:hint="default" w:ascii="Times New Roman" w:hAnsi="Times New Roman" w:eastAsia="宋体" w:cs="Times New Roman"/>
                <w:b w:val="0"/>
                <w:bCs w:val="0"/>
                <w:color w:val="auto"/>
                <w:spacing w:val="0"/>
                <w:sz w:val="24"/>
                <w:szCs w:val="24"/>
                <w:highlight w:val="none"/>
                <w:shd w:val="clear" w:color="auto" w:fill="FFFFFF"/>
                <w:lang w:eastAsia="zh-CN"/>
              </w:rPr>
              <w:t>》</w:t>
            </w:r>
            <w:r>
              <w:rPr>
                <w:rFonts w:hint="default" w:ascii="Times New Roman" w:hAnsi="Times New Roman" w:eastAsia="宋体" w:cs="Times New Roman"/>
                <w:b w:val="0"/>
                <w:bCs w:val="0"/>
                <w:color w:val="auto"/>
                <w:spacing w:val="0"/>
                <w:kern w:val="2"/>
                <w:sz w:val="24"/>
                <w:szCs w:val="24"/>
                <w:highlight w:val="none"/>
              </w:rPr>
              <w:t>（</w:t>
            </w:r>
            <w:r>
              <w:rPr>
                <w:rFonts w:hint="eastAsia" w:ascii="Times New Roman" w:hAnsi="Times New Roman" w:eastAsia="宋体" w:cs="Times New Roman"/>
                <w:b w:val="0"/>
                <w:bCs w:val="0"/>
                <w:color w:val="auto"/>
                <w:spacing w:val="0"/>
                <w:kern w:val="2"/>
                <w:sz w:val="24"/>
                <w:szCs w:val="24"/>
                <w:highlight w:val="none"/>
                <w:lang w:val="en-US" w:eastAsia="zh-CN"/>
              </w:rPr>
              <w:t>辽</w:t>
            </w:r>
            <w:r>
              <w:rPr>
                <w:rFonts w:hint="default" w:ascii="Times New Roman" w:hAnsi="Times New Roman" w:eastAsia="宋体" w:cs="Times New Roman"/>
                <w:b w:val="0"/>
                <w:bCs w:val="0"/>
                <w:color w:val="auto"/>
                <w:spacing w:val="0"/>
                <w:kern w:val="2"/>
                <w:sz w:val="24"/>
                <w:szCs w:val="24"/>
                <w:highlight w:val="none"/>
                <w:lang w:eastAsia="zh-CN"/>
              </w:rPr>
              <w:t>环</w:t>
            </w:r>
            <w:r>
              <w:rPr>
                <w:rFonts w:hint="eastAsia" w:ascii="Times New Roman" w:hAnsi="Times New Roman" w:eastAsia="宋体" w:cs="Times New Roman"/>
                <w:b w:val="0"/>
                <w:bCs w:val="0"/>
                <w:color w:val="auto"/>
                <w:spacing w:val="0"/>
                <w:kern w:val="2"/>
                <w:sz w:val="24"/>
                <w:szCs w:val="24"/>
                <w:highlight w:val="none"/>
                <w:lang w:val="en-US" w:eastAsia="zh-CN"/>
              </w:rPr>
              <w:t>发</w:t>
            </w:r>
            <w:r>
              <w:rPr>
                <w:rFonts w:hint="default" w:ascii="Times New Roman" w:hAnsi="Times New Roman" w:eastAsia="宋体" w:cs="Times New Roman"/>
                <w:b w:val="0"/>
                <w:bCs w:val="0"/>
                <w:color w:val="auto"/>
                <w:spacing w:val="0"/>
                <w:kern w:val="2"/>
                <w:sz w:val="24"/>
                <w:szCs w:val="24"/>
                <w:highlight w:val="none"/>
              </w:rPr>
              <w:t>〔201</w:t>
            </w:r>
            <w:r>
              <w:rPr>
                <w:rFonts w:hint="eastAsia" w:ascii="Times New Roman" w:hAnsi="Times New Roman" w:eastAsia="宋体" w:cs="Times New Roman"/>
                <w:b w:val="0"/>
                <w:bCs w:val="0"/>
                <w:color w:val="auto"/>
                <w:spacing w:val="0"/>
                <w:kern w:val="2"/>
                <w:sz w:val="24"/>
                <w:szCs w:val="24"/>
                <w:highlight w:val="none"/>
                <w:lang w:val="en-US" w:eastAsia="zh-CN"/>
              </w:rPr>
              <w:t>8</w:t>
            </w:r>
            <w:r>
              <w:rPr>
                <w:rFonts w:hint="default" w:ascii="Times New Roman" w:hAnsi="Times New Roman" w:eastAsia="宋体" w:cs="Times New Roman"/>
                <w:b w:val="0"/>
                <w:bCs w:val="0"/>
                <w:color w:val="auto"/>
                <w:spacing w:val="0"/>
                <w:kern w:val="2"/>
                <w:sz w:val="24"/>
                <w:szCs w:val="24"/>
                <w:highlight w:val="none"/>
              </w:rPr>
              <w:t>〕</w:t>
            </w:r>
            <w:r>
              <w:rPr>
                <w:rFonts w:hint="eastAsia" w:ascii="Times New Roman" w:hAnsi="Times New Roman" w:eastAsia="宋体" w:cs="Times New Roman"/>
                <w:b w:val="0"/>
                <w:bCs w:val="0"/>
                <w:color w:val="auto"/>
                <w:spacing w:val="0"/>
                <w:kern w:val="2"/>
                <w:sz w:val="24"/>
                <w:szCs w:val="24"/>
                <w:highlight w:val="none"/>
                <w:lang w:val="en-US" w:eastAsia="zh-CN"/>
              </w:rPr>
              <w:t>69</w:t>
            </w:r>
            <w:r>
              <w:rPr>
                <w:rFonts w:hint="default" w:ascii="Times New Roman" w:hAnsi="Times New Roman" w:eastAsia="宋体" w:cs="Times New Roman"/>
                <w:b w:val="0"/>
                <w:bCs w:val="0"/>
                <w:color w:val="auto"/>
                <w:spacing w:val="0"/>
                <w:kern w:val="2"/>
                <w:sz w:val="24"/>
                <w:szCs w:val="24"/>
                <w:highlight w:val="none"/>
              </w:rPr>
              <w:t>号）</w:t>
            </w:r>
            <w:r>
              <w:rPr>
                <w:rFonts w:hint="eastAsia" w:ascii="Times New Roman" w:hAnsi="Times New Roman" w:eastAsia="宋体" w:cs="Times New Roman"/>
                <w:b w:val="0"/>
                <w:bCs w:val="0"/>
                <w:color w:val="auto"/>
                <w:kern w:val="2"/>
                <w:sz w:val="24"/>
                <w:szCs w:val="24"/>
                <w:highlight w:val="none"/>
                <w:lang w:val="en-US" w:eastAsia="zh-CN" w:bidi="ar-SA"/>
              </w:rPr>
              <w:t>相关符合性分析见表1-4。</w:t>
            </w:r>
          </w:p>
          <w:p w14:paraId="7BF7793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表</w:t>
            </w:r>
            <w:r>
              <w:rPr>
                <w:rFonts w:hint="eastAsia" w:ascii="Times New Roman" w:hAnsi="Times New Roman" w:eastAsia="宋体" w:cs="Times New Roman"/>
                <w:b/>
                <w:bCs/>
                <w:color w:val="auto"/>
                <w:sz w:val="21"/>
                <w:szCs w:val="21"/>
                <w:highlight w:val="none"/>
                <w:lang w:val="en-US" w:eastAsia="zh-CN"/>
              </w:rPr>
              <w:t>1-</w:t>
            </w:r>
            <w:r>
              <w:rPr>
                <w:rFonts w:hint="eastAsia" w:ascii="Times New Roman" w:hAnsi="Times New Roman" w:cs="Times New Roman"/>
                <w:b/>
                <w:bCs/>
                <w:color w:val="auto"/>
                <w:sz w:val="21"/>
                <w:szCs w:val="21"/>
                <w:highlight w:val="none"/>
                <w:lang w:val="en-US" w:eastAsia="zh-CN"/>
              </w:rPr>
              <w:t>1</w:t>
            </w:r>
            <w:r>
              <w:rPr>
                <w:rFonts w:hint="eastAsia" w:cs="Times New Roman"/>
                <w:b/>
                <w:bCs/>
                <w:color w:val="auto"/>
                <w:sz w:val="21"/>
                <w:szCs w:val="21"/>
                <w:highlight w:val="none"/>
                <w:lang w:val="en-US" w:eastAsia="zh-CN"/>
              </w:rPr>
              <w:t>2</w:t>
            </w:r>
            <w:r>
              <w:rPr>
                <w:rFonts w:hint="default" w:ascii="Times New Roman" w:hAnsi="Times New Roman" w:eastAsia="宋体" w:cs="Times New Roman"/>
                <w:b/>
                <w:bCs/>
                <w:color w:val="auto"/>
                <w:sz w:val="21"/>
                <w:szCs w:val="21"/>
                <w:highlight w:val="none"/>
              </w:rPr>
              <w:t xml:space="preserve"> </w:t>
            </w:r>
            <w:r>
              <w:rPr>
                <w:rFonts w:hint="eastAsia" w:ascii="Times New Roman" w:hAnsi="Times New Roman" w:eastAsia="宋体" w:cs="Times New Roman"/>
                <w:b/>
                <w:bCs/>
                <w:color w:val="auto"/>
                <w:sz w:val="21"/>
                <w:szCs w:val="21"/>
                <w:highlight w:val="none"/>
                <w:lang w:val="en-US" w:eastAsia="zh-CN"/>
              </w:rPr>
              <w:t xml:space="preserve"> 项目</w:t>
            </w:r>
            <w:r>
              <w:rPr>
                <w:rFonts w:hint="default" w:ascii="Times New Roman" w:hAnsi="Times New Roman" w:eastAsia="宋体" w:cs="Times New Roman"/>
                <w:b/>
                <w:bCs/>
                <w:color w:val="auto"/>
                <w:sz w:val="21"/>
                <w:szCs w:val="21"/>
                <w:highlight w:val="none"/>
              </w:rPr>
              <w:t>与《</w:t>
            </w:r>
            <w:r>
              <w:rPr>
                <w:rFonts w:hint="eastAsia" w:ascii="Times New Roman" w:hAnsi="Times New Roman" w:eastAsia="宋体" w:cs="Times New Roman"/>
                <w:b/>
                <w:bCs/>
                <w:color w:val="auto"/>
                <w:sz w:val="21"/>
                <w:szCs w:val="21"/>
                <w:highlight w:val="none"/>
                <w:lang w:val="en-US" w:eastAsia="zh-CN"/>
              </w:rPr>
              <w:t>辽宁省</w:t>
            </w:r>
            <w:r>
              <w:rPr>
                <w:rFonts w:hint="eastAsia" w:ascii="Times New Roman" w:hAnsi="Times New Roman" w:eastAsia="宋体" w:cs="Times New Roman"/>
                <w:b/>
                <w:bCs/>
                <w:color w:val="auto"/>
                <w:spacing w:val="0"/>
                <w:sz w:val="21"/>
                <w:szCs w:val="21"/>
                <w:highlight w:val="none"/>
                <w:shd w:val="clear" w:color="auto" w:fill="FFFFFF"/>
                <w:lang w:eastAsia="zh-CN"/>
              </w:rPr>
              <w:t>“</w:t>
            </w:r>
            <w:r>
              <w:rPr>
                <w:rFonts w:hint="default" w:ascii="Times New Roman" w:hAnsi="Times New Roman" w:eastAsia="宋体" w:cs="Times New Roman"/>
                <w:b/>
                <w:bCs/>
                <w:color w:val="auto"/>
                <w:spacing w:val="0"/>
                <w:sz w:val="21"/>
                <w:szCs w:val="21"/>
                <w:highlight w:val="none"/>
                <w:shd w:val="clear" w:color="auto" w:fill="FFFFFF"/>
                <w:lang w:eastAsia="zh-CN"/>
              </w:rPr>
              <w:t>十三五</w:t>
            </w:r>
            <w:r>
              <w:rPr>
                <w:rFonts w:hint="eastAsia" w:ascii="Times New Roman" w:hAnsi="Times New Roman" w:eastAsia="宋体" w:cs="Times New Roman"/>
                <w:b/>
                <w:bCs/>
                <w:color w:val="auto"/>
                <w:spacing w:val="0"/>
                <w:sz w:val="21"/>
                <w:szCs w:val="21"/>
                <w:highlight w:val="none"/>
                <w:shd w:val="clear" w:color="auto" w:fill="FFFFFF"/>
                <w:lang w:eastAsia="zh-CN"/>
              </w:rPr>
              <w:t>”</w:t>
            </w:r>
            <w:r>
              <w:rPr>
                <w:rFonts w:hint="default" w:ascii="Times New Roman" w:hAnsi="Times New Roman" w:eastAsia="宋体" w:cs="Times New Roman"/>
                <w:b/>
                <w:bCs/>
                <w:color w:val="auto"/>
                <w:spacing w:val="0"/>
                <w:sz w:val="21"/>
                <w:szCs w:val="21"/>
                <w:highlight w:val="none"/>
                <w:shd w:val="clear" w:color="auto" w:fill="FFFFFF"/>
                <w:lang w:eastAsia="zh-CN"/>
              </w:rPr>
              <w:t>挥发性有机物污染防治</w:t>
            </w:r>
            <w:r>
              <w:rPr>
                <w:rFonts w:hint="default" w:ascii="Times New Roman" w:hAnsi="Times New Roman" w:eastAsia="宋体" w:cs="Times New Roman"/>
                <w:b/>
                <w:bCs/>
                <w:color w:val="auto"/>
                <w:sz w:val="21"/>
                <w:szCs w:val="21"/>
                <w:highlight w:val="none"/>
              </w:rPr>
              <w:t>与削减工作实施方案》相符性分析一览表</w:t>
            </w:r>
          </w:p>
          <w:tbl>
            <w:tblPr>
              <w:tblStyle w:val="27"/>
              <w:tblW w:w="4998" w:type="pct"/>
              <w:tblInd w:w="0" w:type="dxa"/>
              <w:tblBorders>
                <w:top w:val="double" w:color="auto" w:sz="4" w:space="0"/>
                <w:left w:val="none" w:color="auto" w:sz="0" w:space="0"/>
                <w:bottom w:val="double" w:color="auto" w:sz="4" w:space="0"/>
                <w:right w:val="none" w:color="auto" w:sz="0" w:space="0"/>
                <w:insideH w:val="single" w:color="auto" w:sz="4" w:space="0"/>
                <w:insideV w:val="single" w:color="auto" w:sz="4" w:space="0"/>
              </w:tblBorders>
              <w:tblLayout w:type="autofit"/>
              <w:tblCellMar>
                <w:top w:w="0" w:type="dxa"/>
                <w:left w:w="23" w:type="dxa"/>
                <w:bottom w:w="0" w:type="dxa"/>
                <w:right w:w="23" w:type="dxa"/>
              </w:tblCellMar>
            </w:tblPr>
            <w:tblGrid>
              <w:gridCol w:w="3974"/>
              <w:gridCol w:w="2284"/>
              <w:gridCol w:w="666"/>
            </w:tblGrid>
            <w:tr w14:paraId="3BB58B80">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23" w:type="dxa"/>
                  <w:bottom w:w="0" w:type="dxa"/>
                  <w:right w:w="23" w:type="dxa"/>
                </w:tblCellMar>
              </w:tblPrEx>
              <w:trPr>
                <w:trHeight w:val="363" w:hRule="atLeast"/>
              </w:trPr>
              <w:tc>
                <w:tcPr>
                  <w:tcW w:w="2870" w:type="pct"/>
                  <w:tcBorders>
                    <w:tl2br w:val="nil"/>
                    <w:tr2bl w:val="nil"/>
                  </w:tcBorders>
                  <w:noWrap w:val="0"/>
                  <w:vAlign w:val="center"/>
                </w:tcPr>
                <w:p w14:paraId="0043A85F">
                  <w:pPr>
                    <w:pStyle w:val="93"/>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文件要求</w:t>
                  </w:r>
                </w:p>
              </w:tc>
              <w:tc>
                <w:tcPr>
                  <w:tcW w:w="1649" w:type="pct"/>
                  <w:tcBorders>
                    <w:tl2br w:val="nil"/>
                    <w:tr2bl w:val="nil"/>
                  </w:tcBorders>
                  <w:noWrap w:val="0"/>
                  <w:vAlign w:val="center"/>
                </w:tcPr>
                <w:p w14:paraId="01CB6950">
                  <w:pPr>
                    <w:pStyle w:val="93"/>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项目情况</w:t>
                  </w:r>
                </w:p>
              </w:tc>
              <w:tc>
                <w:tcPr>
                  <w:tcW w:w="480" w:type="pct"/>
                  <w:tcBorders>
                    <w:tl2br w:val="nil"/>
                    <w:tr2bl w:val="nil"/>
                  </w:tcBorders>
                  <w:noWrap w:val="0"/>
                  <w:vAlign w:val="center"/>
                </w:tcPr>
                <w:p w14:paraId="6AC5D4F9">
                  <w:pPr>
                    <w:pStyle w:val="93"/>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符合</w:t>
                  </w:r>
                </w:p>
                <w:p w14:paraId="39B2AA30">
                  <w:pPr>
                    <w:pStyle w:val="93"/>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情况</w:t>
                  </w:r>
                </w:p>
              </w:tc>
            </w:tr>
            <w:tr w14:paraId="5FD7BBF0">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23" w:type="dxa"/>
                  <w:bottom w:w="0" w:type="dxa"/>
                  <w:right w:w="23" w:type="dxa"/>
                </w:tblCellMar>
              </w:tblPrEx>
              <w:trPr>
                <w:trHeight w:val="363" w:hRule="atLeast"/>
              </w:trPr>
              <w:tc>
                <w:tcPr>
                  <w:tcW w:w="2870" w:type="pct"/>
                  <w:tcBorders>
                    <w:tl2br w:val="nil"/>
                    <w:tr2bl w:val="nil"/>
                  </w:tcBorders>
                  <w:noWrap w:val="0"/>
                  <w:vAlign w:val="center"/>
                </w:tcPr>
                <w:p w14:paraId="2B895451">
                  <w:pPr>
                    <w:pStyle w:val="93"/>
                    <w:keepNext w:val="0"/>
                    <w:keepLines w:val="0"/>
                    <w:pageBreakBefore w:val="0"/>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b w:val="0"/>
                      <w:bCs w:val="0"/>
                      <w:color w:val="auto"/>
                      <w:sz w:val="21"/>
                      <w:szCs w:val="21"/>
                      <w:highlight w:val="none"/>
                      <w:lang w:val="en-US" w:eastAsia="zh-CN"/>
                    </w:rPr>
                  </w:pPr>
                  <w:r>
                    <w:rPr>
                      <w:rFonts w:hint="eastAsia" w:ascii="Times New Roman" w:hAnsi="Times New Roman" w:eastAsia="宋体" w:cs="Times New Roman"/>
                      <w:b w:val="0"/>
                      <w:bCs w:val="0"/>
                      <w:color w:val="auto"/>
                      <w:sz w:val="21"/>
                      <w:szCs w:val="21"/>
                      <w:highlight w:val="none"/>
                      <w:lang w:val="en-US" w:eastAsia="zh-CN"/>
                    </w:rPr>
                    <w:t>一</w:t>
                  </w:r>
                  <w:r>
                    <w:rPr>
                      <w:rFonts w:hint="default" w:ascii="Times New Roman" w:hAnsi="Times New Roman" w:eastAsia="宋体" w:cs="Times New Roman"/>
                      <w:b w:val="0"/>
                      <w:bCs w:val="0"/>
                      <w:color w:val="auto"/>
                      <w:sz w:val="21"/>
                      <w:szCs w:val="21"/>
                      <w:highlight w:val="none"/>
                    </w:rPr>
                    <w:t>、总体要求</w:t>
                  </w:r>
                  <w:r>
                    <w:rPr>
                      <w:rFonts w:hint="eastAsia" w:ascii="Times New Roman" w:hAnsi="Times New Roman" w:eastAsia="宋体" w:cs="Times New Roman"/>
                      <w:b w:val="0"/>
                      <w:bCs w:val="0"/>
                      <w:color w:val="auto"/>
                      <w:sz w:val="21"/>
                      <w:szCs w:val="21"/>
                      <w:highlight w:val="none"/>
                      <w:lang w:val="en-US" w:eastAsia="zh-CN"/>
                    </w:rPr>
                    <w:t>和</w:t>
                  </w:r>
                  <w:r>
                    <w:rPr>
                      <w:rFonts w:hint="default" w:ascii="Times New Roman" w:hAnsi="Times New Roman" w:eastAsia="宋体" w:cs="Times New Roman"/>
                      <w:b w:val="0"/>
                      <w:bCs w:val="0"/>
                      <w:color w:val="auto"/>
                      <w:sz w:val="21"/>
                      <w:szCs w:val="21"/>
                      <w:highlight w:val="none"/>
                    </w:rPr>
                    <w:t>目标（详细内容略）</w:t>
                  </w:r>
                </w:p>
              </w:tc>
              <w:tc>
                <w:tcPr>
                  <w:tcW w:w="1649" w:type="pct"/>
                  <w:tcBorders>
                    <w:tl2br w:val="nil"/>
                    <w:tr2bl w:val="nil"/>
                  </w:tcBorders>
                  <w:noWrap w:val="0"/>
                  <w:vAlign w:val="center"/>
                </w:tcPr>
                <w:p w14:paraId="4BAA0EB3">
                  <w:pPr>
                    <w:pStyle w:val="93"/>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w:t>
                  </w:r>
                </w:p>
              </w:tc>
              <w:tc>
                <w:tcPr>
                  <w:tcW w:w="480" w:type="pct"/>
                  <w:tcBorders>
                    <w:tl2br w:val="nil"/>
                    <w:tr2bl w:val="nil"/>
                  </w:tcBorders>
                  <w:noWrap w:val="0"/>
                  <w:vAlign w:val="center"/>
                </w:tcPr>
                <w:p w14:paraId="1A1C75B6">
                  <w:pPr>
                    <w:pStyle w:val="93"/>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w:t>
                  </w:r>
                </w:p>
              </w:tc>
            </w:tr>
            <w:tr w14:paraId="317FDA09">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23" w:type="dxa"/>
                  <w:bottom w:w="0" w:type="dxa"/>
                  <w:right w:w="23" w:type="dxa"/>
                </w:tblCellMar>
              </w:tblPrEx>
              <w:trPr>
                <w:trHeight w:val="363" w:hRule="atLeast"/>
              </w:trPr>
              <w:tc>
                <w:tcPr>
                  <w:tcW w:w="5000" w:type="pct"/>
                  <w:gridSpan w:val="3"/>
                  <w:tcBorders>
                    <w:tl2br w:val="nil"/>
                    <w:tr2bl w:val="nil"/>
                  </w:tcBorders>
                  <w:noWrap w:val="0"/>
                  <w:vAlign w:val="center"/>
                </w:tcPr>
                <w:p w14:paraId="24C8EEC3">
                  <w:pPr>
                    <w:pStyle w:val="93"/>
                    <w:keepNext w:val="0"/>
                    <w:keepLines w:val="0"/>
                    <w:pageBreakBefore w:val="0"/>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b w:val="0"/>
                      <w:bCs w:val="0"/>
                      <w:color w:val="auto"/>
                      <w:sz w:val="21"/>
                      <w:szCs w:val="21"/>
                      <w:highlight w:val="none"/>
                      <w:lang w:val="en-US" w:eastAsia="zh-CN"/>
                    </w:rPr>
                  </w:pPr>
                  <w:r>
                    <w:rPr>
                      <w:rFonts w:hint="eastAsia" w:ascii="Times New Roman" w:hAnsi="Times New Roman" w:eastAsia="宋体" w:cs="Times New Roman"/>
                      <w:color w:val="auto"/>
                      <w:sz w:val="21"/>
                      <w:szCs w:val="21"/>
                      <w:lang w:val="en-US" w:eastAsia="zh-CN"/>
                    </w:rPr>
                    <w:t>二</w:t>
                  </w:r>
                  <w:r>
                    <w:rPr>
                      <w:rFonts w:hint="default" w:ascii="Times New Roman" w:hAnsi="Times New Roman" w:eastAsia="宋体" w:cs="Times New Roman"/>
                      <w:color w:val="auto"/>
                      <w:sz w:val="21"/>
                      <w:szCs w:val="21"/>
                    </w:rPr>
                    <w:t>、</w:t>
                  </w:r>
                  <w:r>
                    <w:rPr>
                      <w:rFonts w:hint="eastAsia" w:ascii="Times New Roman" w:hAnsi="Times New Roman" w:eastAsia="宋体" w:cs="Times New Roman"/>
                      <w:color w:val="auto"/>
                      <w:sz w:val="21"/>
                      <w:szCs w:val="21"/>
                      <w:lang w:val="en-US" w:eastAsia="zh-CN"/>
                    </w:rPr>
                    <w:t>主要任务</w:t>
                  </w:r>
                </w:p>
              </w:tc>
            </w:tr>
            <w:tr w14:paraId="53818F0D">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23" w:type="dxa"/>
                  <w:bottom w:w="0" w:type="dxa"/>
                  <w:right w:w="23" w:type="dxa"/>
                </w:tblCellMar>
              </w:tblPrEx>
              <w:trPr>
                <w:trHeight w:val="363" w:hRule="atLeast"/>
              </w:trPr>
              <w:tc>
                <w:tcPr>
                  <w:tcW w:w="5000" w:type="pct"/>
                  <w:gridSpan w:val="3"/>
                  <w:tcBorders>
                    <w:tl2br w:val="nil"/>
                    <w:tr2bl w:val="nil"/>
                  </w:tcBorders>
                  <w:noWrap w:val="0"/>
                  <w:vAlign w:val="center"/>
                </w:tcPr>
                <w:p w14:paraId="05A5CC0D">
                  <w:pPr>
                    <w:pStyle w:val="93"/>
                    <w:keepNext w:val="0"/>
                    <w:keepLines w:val="0"/>
                    <w:pageBreakBefore w:val="0"/>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（一）</w:t>
                  </w:r>
                  <w:r>
                    <w:rPr>
                      <w:rFonts w:hint="eastAsia" w:ascii="Times New Roman" w:hAnsi="Times New Roman" w:eastAsia="宋体" w:cs="Times New Roman"/>
                      <w:color w:val="auto"/>
                      <w:sz w:val="21"/>
                      <w:szCs w:val="21"/>
                      <w:lang w:val="en-US" w:eastAsia="zh-CN"/>
                    </w:rPr>
                    <w:t>大力实施</w:t>
                  </w:r>
                  <w:r>
                    <w:rPr>
                      <w:rFonts w:hint="default" w:ascii="Times New Roman" w:hAnsi="Times New Roman" w:eastAsia="宋体" w:cs="Times New Roman"/>
                      <w:color w:val="auto"/>
                      <w:sz w:val="21"/>
                      <w:szCs w:val="21"/>
                    </w:rPr>
                    <w:t>产业结构调整。</w:t>
                  </w:r>
                </w:p>
              </w:tc>
            </w:tr>
            <w:tr w14:paraId="1EE745BE">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23" w:type="dxa"/>
                  <w:bottom w:w="0" w:type="dxa"/>
                  <w:right w:w="23" w:type="dxa"/>
                </w:tblCellMar>
              </w:tblPrEx>
              <w:trPr>
                <w:trHeight w:val="363" w:hRule="atLeast"/>
              </w:trPr>
              <w:tc>
                <w:tcPr>
                  <w:tcW w:w="2870" w:type="pct"/>
                  <w:tcBorders>
                    <w:tl2br w:val="nil"/>
                    <w:tr2bl w:val="nil"/>
                  </w:tcBorders>
                  <w:noWrap w:val="0"/>
                  <w:vAlign w:val="center"/>
                </w:tcPr>
                <w:p w14:paraId="680ECE6D">
                  <w:pPr>
                    <w:pStyle w:val="93"/>
                    <w:keepNext w:val="0"/>
                    <w:keepLines w:val="0"/>
                    <w:pageBreakBefore w:val="0"/>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color w:val="auto"/>
                      <w:sz w:val="21"/>
                      <w:szCs w:val="21"/>
                    </w:rPr>
                    <w:t>2</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严格建设项目环境准入。提高VOCs排放重点行业环保准入门槛，严格执行我省相关产业的环境准入指导意见，控制新增污染物排放量。逐步提高石化、化工、工业涂装、包装印刷等高VOCs 排放建设项目的环保准入门槛，实行严格的控制措施。未纳入《石化产业规划布局方案》的新建炼化项目一律不得建设。新建涉VOCs排放的重点工业企业应进入园区。新建化工项目进入符合区域规划和规划环评要求的化工园区或化工集聚区块</w:t>
                  </w:r>
                  <w:r>
                    <w:rPr>
                      <w:rFonts w:hint="default" w:ascii="Times New Roman" w:hAnsi="Times New Roman" w:eastAsia="宋体" w:cs="Times New Roman"/>
                      <w:color w:val="auto"/>
                      <w:sz w:val="21"/>
                      <w:szCs w:val="21"/>
                      <w:highlight w:val="none"/>
                    </w:rPr>
                    <w:t>。严格涉VOCs建设项目环境影响评价，</w:t>
                  </w:r>
                  <w:r>
                    <w:rPr>
                      <w:rFonts w:hint="default" w:ascii="Times New Roman" w:hAnsi="Times New Roman" w:eastAsia="宋体" w:cs="Times New Roman"/>
                      <w:color w:val="auto"/>
                      <w:sz w:val="21"/>
                      <w:szCs w:val="21"/>
                      <w:highlight w:val="none"/>
                      <w:shd w:val="clear" w:color="auto" w:fill="FFFFFF"/>
                    </w:rPr>
                    <w:t>实行区域内VOCs排放等量削减替代，并将替代方案落实到企业排污许可证中，纳入环境执法管理。</w:t>
                  </w:r>
                  <w:r>
                    <w:rPr>
                      <w:rFonts w:hint="default" w:ascii="Times New Roman" w:hAnsi="Times New Roman" w:eastAsia="宋体" w:cs="Times New Roman"/>
                      <w:color w:val="auto"/>
                      <w:sz w:val="21"/>
                      <w:szCs w:val="21"/>
                      <w:highlight w:val="none"/>
                    </w:rPr>
                    <w:t>新、改、扩建排放VOCs的项目，应从</w:t>
                  </w:r>
                  <w:r>
                    <w:rPr>
                      <w:rFonts w:hint="default" w:ascii="Times New Roman" w:hAnsi="Times New Roman" w:eastAsia="宋体" w:cs="Times New Roman"/>
                      <w:color w:val="auto"/>
                      <w:sz w:val="21"/>
                      <w:szCs w:val="21"/>
                    </w:rPr>
                    <w:t>源头加强控制，使用低（无）VOCs含量的原辅材料，加强废气收集，配套安装高效收集治理设施。</w:t>
                  </w:r>
                </w:p>
              </w:tc>
              <w:tc>
                <w:tcPr>
                  <w:tcW w:w="1649" w:type="pct"/>
                  <w:tcBorders>
                    <w:tl2br w:val="nil"/>
                    <w:tr2bl w:val="nil"/>
                  </w:tcBorders>
                  <w:noWrap w:val="0"/>
                  <w:vAlign w:val="center"/>
                </w:tcPr>
                <w:p w14:paraId="237AA144">
                  <w:pPr>
                    <w:pStyle w:val="93"/>
                    <w:keepNext w:val="0"/>
                    <w:keepLines w:val="0"/>
                    <w:pageBreakBefore w:val="0"/>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该项目</w:t>
                  </w:r>
                  <w:r>
                    <w:rPr>
                      <w:rFonts w:hint="eastAsia" w:cs="Times New Roman"/>
                      <w:b w:val="0"/>
                      <w:bCs w:val="0"/>
                      <w:color w:val="auto"/>
                      <w:sz w:val="21"/>
                      <w:szCs w:val="21"/>
                      <w:highlight w:val="none"/>
                      <w:lang w:val="en-US" w:eastAsia="zh-CN"/>
                    </w:rPr>
                    <w:t>主要为废矿物油贮存，</w:t>
                  </w:r>
                  <w:r>
                    <w:rPr>
                      <w:rFonts w:hint="default" w:ascii="Times New Roman" w:hAnsi="Times New Roman" w:eastAsia="宋体" w:cs="Times New Roman"/>
                      <w:b w:val="0"/>
                      <w:bCs w:val="0"/>
                      <w:color w:val="auto"/>
                      <w:sz w:val="21"/>
                      <w:szCs w:val="21"/>
                      <w:highlight w:val="none"/>
                      <w:lang w:val="en-US" w:eastAsia="zh-CN"/>
                    </w:rPr>
                    <w:t>不属于</w:t>
                  </w:r>
                  <w:r>
                    <w:rPr>
                      <w:rFonts w:hint="eastAsia" w:cs="Times New Roman"/>
                      <w:b w:val="0"/>
                      <w:bCs w:val="0"/>
                      <w:color w:val="auto"/>
                      <w:sz w:val="21"/>
                      <w:szCs w:val="21"/>
                      <w:highlight w:val="none"/>
                      <w:lang w:val="en-US" w:eastAsia="zh-CN"/>
                    </w:rPr>
                    <w:t>“</w:t>
                  </w:r>
                  <w:r>
                    <w:rPr>
                      <w:rFonts w:hint="default" w:ascii="Times New Roman" w:hAnsi="Times New Roman" w:eastAsia="宋体" w:cs="Times New Roman"/>
                      <w:b w:val="0"/>
                      <w:bCs w:val="0"/>
                      <w:color w:val="auto"/>
                      <w:sz w:val="21"/>
                      <w:szCs w:val="21"/>
                      <w:highlight w:val="none"/>
                      <w:lang w:val="en-US" w:eastAsia="zh-CN"/>
                    </w:rPr>
                    <w:t>石化、化工、工业涂装</w:t>
                  </w:r>
                  <w:r>
                    <w:rPr>
                      <w:rFonts w:hint="eastAsia" w:ascii="Times New Roman" w:hAnsi="Times New Roman" w:eastAsia="宋体" w:cs="Times New Roman"/>
                      <w:b w:val="0"/>
                      <w:bCs w:val="0"/>
                      <w:color w:val="auto"/>
                      <w:sz w:val="21"/>
                      <w:szCs w:val="21"/>
                      <w:highlight w:val="none"/>
                      <w:lang w:val="en-US" w:eastAsia="zh-CN"/>
                    </w:rPr>
                    <w:t>、</w:t>
                  </w:r>
                  <w:r>
                    <w:rPr>
                      <w:rFonts w:hint="default" w:ascii="Times New Roman" w:hAnsi="Times New Roman" w:eastAsia="宋体" w:cs="Times New Roman"/>
                      <w:b w:val="0"/>
                      <w:bCs w:val="0"/>
                      <w:color w:val="auto"/>
                      <w:sz w:val="21"/>
                      <w:szCs w:val="21"/>
                      <w:highlight w:val="none"/>
                      <w:lang w:val="en-US" w:eastAsia="zh-CN"/>
                    </w:rPr>
                    <w:t>包装印刷</w:t>
                  </w:r>
                  <w:r>
                    <w:rPr>
                      <w:rFonts w:hint="eastAsia" w:cs="Times New Roman"/>
                      <w:b w:val="0"/>
                      <w:bCs w:val="0"/>
                      <w:color w:val="auto"/>
                      <w:sz w:val="21"/>
                      <w:szCs w:val="21"/>
                      <w:highlight w:val="none"/>
                      <w:lang w:val="en-US" w:eastAsia="zh-CN"/>
                    </w:rPr>
                    <w:t>”</w:t>
                  </w:r>
                  <w:r>
                    <w:rPr>
                      <w:rFonts w:hint="default" w:ascii="Times New Roman" w:hAnsi="Times New Roman" w:eastAsia="宋体" w:cs="Times New Roman"/>
                      <w:b w:val="0"/>
                      <w:bCs w:val="0"/>
                      <w:color w:val="auto"/>
                      <w:sz w:val="21"/>
                      <w:szCs w:val="21"/>
                      <w:highlight w:val="none"/>
                      <w:lang w:val="en-US" w:eastAsia="zh-CN"/>
                    </w:rPr>
                    <w:t>等重点</w:t>
                  </w:r>
                  <w:r>
                    <w:rPr>
                      <w:rFonts w:hint="eastAsia" w:ascii="Times New Roman" w:hAnsi="Times New Roman" w:eastAsia="宋体" w:cs="Times New Roman"/>
                      <w:b w:val="0"/>
                      <w:bCs w:val="0"/>
                      <w:color w:val="auto"/>
                      <w:sz w:val="21"/>
                      <w:szCs w:val="21"/>
                      <w:highlight w:val="none"/>
                      <w:lang w:val="en-US" w:eastAsia="zh-CN"/>
                    </w:rPr>
                    <w:t>工业</w:t>
                  </w:r>
                  <w:r>
                    <w:rPr>
                      <w:rFonts w:hint="default" w:ascii="Times New Roman" w:hAnsi="Times New Roman" w:eastAsia="宋体" w:cs="Times New Roman"/>
                      <w:b w:val="0"/>
                      <w:bCs w:val="0"/>
                      <w:color w:val="auto"/>
                      <w:sz w:val="21"/>
                      <w:szCs w:val="21"/>
                      <w:highlight w:val="none"/>
                      <w:lang w:val="en-US" w:eastAsia="zh-CN"/>
                    </w:rPr>
                    <w:t>企业。该项目</w:t>
                  </w:r>
                  <w:r>
                    <w:rPr>
                      <w:rFonts w:hint="eastAsia" w:eastAsia="宋体" w:cs="Times New Roman"/>
                      <w:b w:val="0"/>
                      <w:bCs w:val="0"/>
                      <w:color w:val="auto"/>
                      <w:sz w:val="21"/>
                      <w:szCs w:val="21"/>
                      <w:highlight w:val="none"/>
                      <w:lang w:val="en-US" w:eastAsia="zh-CN"/>
                    </w:rPr>
                    <w:t>位于</w:t>
                  </w:r>
                  <w:r>
                    <w:rPr>
                      <w:rFonts w:hint="eastAsia" w:ascii="Times New Roman" w:hAnsi="Times New Roman" w:eastAsia="宋体" w:cs="Times New Roman"/>
                      <w:b w:val="0"/>
                      <w:bCs w:val="0"/>
                      <w:color w:val="auto"/>
                      <w:sz w:val="21"/>
                      <w:szCs w:val="21"/>
                      <w:highlight w:val="none"/>
                      <w:lang w:val="en-US" w:eastAsia="zh-CN"/>
                    </w:rPr>
                    <w:t>辽宁省本溪市溪湖区郑家建材龙山街，</w:t>
                  </w:r>
                  <w:r>
                    <w:rPr>
                      <w:rFonts w:hint="eastAsia" w:eastAsia="宋体" w:cs="Times New Roman"/>
                      <w:b w:val="0"/>
                      <w:bCs w:val="0"/>
                      <w:color w:val="auto"/>
                      <w:sz w:val="21"/>
                      <w:szCs w:val="21"/>
                      <w:highlight w:val="none"/>
                      <w:lang w:val="en-US" w:eastAsia="zh-CN"/>
                    </w:rPr>
                    <w:t>位于本溪湖经济开发区工业园区内</w:t>
                  </w:r>
                  <w:r>
                    <w:rPr>
                      <w:rFonts w:hint="default" w:ascii="Times New Roman" w:hAnsi="Times New Roman" w:eastAsia="宋体" w:cs="Times New Roman"/>
                      <w:b w:val="0"/>
                      <w:bCs w:val="0"/>
                      <w:color w:val="auto"/>
                      <w:sz w:val="21"/>
                      <w:szCs w:val="21"/>
                      <w:highlight w:val="none"/>
                      <w:lang w:val="en-US" w:eastAsia="zh-CN"/>
                    </w:rPr>
                    <w:t>。</w:t>
                  </w:r>
                  <w:r>
                    <w:rPr>
                      <w:rFonts w:hint="eastAsia" w:eastAsia="宋体" w:cs="Times New Roman"/>
                      <w:b w:val="0"/>
                      <w:bCs w:val="0"/>
                      <w:color w:val="auto"/>
                      <w:sz w:val="21"/>
                      <w:szCs w:val="21"/>
                      <w:highlight w:val="none"/>
                      <w:lang w:val="en-US" w:eastAsia="zh-CN"/>
                    </w:rPr>
                    <w:t>用地性质</w:t>
                  </w:r>
                  <w:r>
                    <w:rPr>
                      <w:rFonts w:hint="default" w:ascii="Times New Roman" w:hAnsi="Times New Roman" w:eastAsia="宋体" w:cs="Times New Roman"/>
                      <w:b w:val="0"/>
                      <w:bCs w:val="0"/>
                      <w:color w:val="auto"/>
                      <w:sz w:val="21"/>
                      <w:szCs w:val="21"/>
                      <w:highlight w:val="none"/>
                      <w:lang w:val="en-US" w:eastAsia="zh-CN"/>
                    </w:rPr>
                    <w:t>为工业用</w:t>
                  </w:r>
                  <w:r>
                    <w:rPr>
                      <w:rFonts w:hint="eastAsia" w:cs="Times New Roman"/>
                      <w:b w:val="0"/>
                      <w:bCs w:val="0"/>
                      <w:color w:val="auto"/>
                      <w:sz w:val="21"/>
                      <w:szCs w:val="21"/>
                      <w:highlight w:val="none"/>
                      <w:lang w:val="en-US" w:eastAsia="zh-CN"/>
                    </w:rPr>
                    <w:t>地</w:t>
                  </w:r>
                  <w:r>
                    <w:rPr>
                      <w:rFonts w:hint="default" w:ascii="Times New Roman" w:hAnsi="Times New Roman" w:eastAsia="宋体" w:cs="Times New Roman"/>
                      <w:b w:val="0"/>
                      <w:bCs w:val="0"/>
                      <w:color w:val="auto"/>
                      <w:sz w:val="21"/>
                      <w:szCs w:val="21"/>
                      <w:highlight w:val="none"/>
                      <w:lang w:val="en-US" w:eastAsia="zh-CN"/>
                    </w:rPr>
                    <w:t>，且项目所在地周围多为工业企业，属于工业聚集地。</w:t>
                  </w:r>
                  <w:r>
                    <w:rPr>
                      <w:rFonts w:hint="eastAsia" w:ascii="Times New Roman" w:hAnsi="Times New Roman" w:eastAsia="宋体" w:cs="Times New Roman"/>
                      <w:b w:val="0"/>
                      <w:bCs/>
                      <w:color w:val="auto"/>
                      <w:highlight w:val="none"/>
                      <w:lang w:val="en-US" w:eastAsia="zh-CN"/>
                    </w:rPr>
                    <w:t>该项目产生非甲烷总烃，收集后</w:t>
                  </w:r>
                  <w:r>
                    <w:rPr>
                      <w:rFonts w:hint="eastAsia" w:cs="Times New Roman"/>
                      <w:b w:val="0"/>
                      <w:bCs/>
                      <w:color w:val="auto"/>
                      <w:highlight w:val="none"/>
                      <w:lang w:val="en-US" w:eastAsia="zh-CN"/>
                    </w:rPr>
                    <w:t>经</w:t>
                  </w:r>
                  <w:r>
                    <w:rPr>
                      <w:rFonts w:hint="eastAsia" w:ascii="Times New Roman" w:hAnsi="Times New Roman" w:eastAsia="宋体" w:cs="Times New Roman"/>
                      <w:b w:val="0"/>
                      <w:bCs/>
                      <w:color w:val="auto"/>
                      <w:highlight w:val="none"/>
                      <w:lang w:val="en-US" w:eastAsia="zh-CN"/>
                    </w:rPr>
                    <w:t>活性炭吸附装置处理后通过</w:t>
                  </w:r>
                  <w:r>
                    <w:rPr>
                      <w:rFonts w:hint="eastAsia" w:cs="Times New Roman"/>
                      <w:b w:val="0"/>
                      <w:bCs/>
                      <w:color w:val="auto"/>
                      <w:highlight w:val="none"/>
                      <w:lang w:val="en-US" w:eastAsia="zh-CN"/>
                    </w:rPr>
                    <w:t>15m</w:t>
                  </w:r>
                  <w:r>
                    <w:rPr>
                      <w:rFonts w:hint="eastAsia" w:ascii="Times New Roman" w:hAnsi="Times New Roman" w:eastAsia="宋体" w:cs="Times New Roman"/>
                      <w:b w:val="0"/>
                      <w:bCs/>
                      <w:color w:val="auto"/>
                      <w:highlight w:val="none"/>
                      <w:lang w:val="en-US" w:eastAsia="zh-CN"/>
                    </w:rPr>
                    <w:t>高排气筒排放。</w:t>
                  </w:r>
                </w:p>
              </w:tc>
              <w:tc>
                <w:tcPr>
                  <w:tcW w:w="480" w:type="pct"/>
                  <w:tcBorders>
                    <w:tl2br w:val="nil"/>
                    <w:tr2bl w:val="nil"/>
                  </w:tcBorders>
                  <w:noWrap w:val="0"/>
                  <w:vAlign w:val="center"/>
                </w:tcPr>
                <w:p w14:paraId="63FE1D20">
                  <w:pPr>
                    <w:pStyle w:val="93"/>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符合</w:t>
                  </w:r>
                </w:p>
              </w:tc>
            </w:tr>
            <w:tr w14:paraId="0442CAA5">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23" w:type="dxa"/>
                  <w:bottom w:w="0" w:type="dxa"/>
                  <w:right w:w="23" w:type="dxa"/>
                </w:tblCellMar>
              </w:tblPrEx>
              <w:trPr>
                <w:trHeight w:val="363" w:hRule="atLeast"/>
              </w:trPr>
              <w:tc>
                <w:tcPr>
                  <w:tcW w:w="5000" w:type="pct"/>
                  <w:gridSpan w:val="3"/>
                  <w:tcBorders>
                    <w:tl2br w:val="nil"/>
                    <w:tr2bl w:val="nil"/>
                  </w:tcBorders>
                  <w:noWrap w:val="0"/>
                  <w:vAlign w:val="center"/>
                </w:tcPr>
                <w:p w14:paraId="6D022F6B">
                  <w:pPr>
                    <w:pStyle w:val="94"/>
                    <w:keepNext w:val="0"/>
                    <w:keepLines w:val="0"/>
                    <w:pageBreakBefore w:val="0"/>
                    <w:kinsoku/>
                    <w:wordWrap/>
                    <w:overflowPunct/>
                    <w:topLinePunct w:val="0"/>
                    <w:autoSpaceDE/>
                    <w:autoSpaceDN/>
                    <w:bidi w:val="0"/>
                    <w:adjustRightInd/>
                    <w:snapToGrid/>
                    <w:spacing w:beforeLines="0" w:line="240" w:lineRule="auto"/>
                    <w:ind w:firstLine="0" w:firstLineChars="0"/>
                    <w:jc w:val="both"/>
                    <w:textAlignment w:val="auto"/>
                    <w:rPr>
                      <w:rFonts w:hint="default" w:ascii="Times New Roman" w:hAnsi="Times New Roman" w:eastAsia="宋体" w:cs="Times New Roman"/>
                      <w:b w:val="0"/>
                      <w:bCs/>
                      <w:color w:val="auto"/>
                      <w:sz w:val="21"/>
                      <w:szCs w:val="21"/>
                      <w:highlight w:val="none"/>
                    </w:rPr>
                  </w:pPr>
                  <w:r>
                    <w:rPr>
                      <w:rFonts w:hint="default" w:ascii="Times New Roman" w:hAnsi="Times New Roman" w:eastAsia="宋体" w:cs="Times New Roman"/>
                      <w:b w:val="0"/>
                      <w:bCs/>
                      <w:color w:val="auto"/>
                      <w:sz w:val="21"/>
                      <w:szCs w:val="21"/>
                    </w:rPr>
                    <w:t>（二）</w:t>
                  </w:r>
                  <w:r>
                    <w:rPr>
                      <w:rFonts w:hint="eastAsia" w:ascii="Times New Roman" w:hAnsi="Times New Roman" w:eastAsia="宋体" w:cs="Times New Roman"/>
                      <w:b w:val="0"/>
                      <w:bCs/>
                      <w:color w:val="auto"/>
                      <w:sz w:val="21"/>
                      <w:szCs w:val="21"/>
                      <w:lang w:val="en-US" w:eastAsia="zh-CN"/>
                    </w:rPr>
                    <w:t>深入推进</w:t>
                  </w:r>
                  <w:r>
                    <w:rPr>
                      <w:rFonts w:hint="default" w:ascii="Times New Roman" w:hAnsi="Times New Roman" w:eastAsia="宋体" w:cs="Times New Roman"/>
                      <w:b w:val="0"/>
                      <w:bCs/>
                      <w:color w:val="auto"/>
                      <w:sz w:val="21"/>
                      <w:szCs w:val="21"/>
                    </w:rPr>
                    <w:t>工业源VOCs</w:t>
                  </w:r>
                  <w:r>
                    <w:rPr>
                      <w:rFonts w:hint="eastAsia" w:ascii="Times New Roman" w:hAnsi="Times New Roman" w:eastAsia="宋体" w:cs="Times New Roman"/>
                      <w:b w:val="0"/>
                      <w:bCs/>
                      <w:color w:val="auto"/>
                      <w:sz w:val="21"/>
                      <w:szCs w:val="21"/>
                      <w:lang w:val="en-US" w:eastAsia="zh-CN"/>
                    </w:rPr>
                    <w:t>减排</w:t>
                  </w:r>
                  <w:r>
                    <w:rPr>
                      <w:rFonts w:hint="default" w:ascii="Times New Roman" w:hAnsi="Times New Roman" w:eastAsia="宋体" w:cs="Times New Roman"/>
                      <w:b w:val="0"/>
                      <w:bCs/>
                      <w:color w:val="auto"/>
                      <w:sz w:val="21"/>
                      <w:szCs w:val="21"/>
                      <w:lang w:val="en-US" w:eastAsia="zh-CN"/>
                    </w:rPr>
                    <w:t>。</w:t>
                  </w:r>
                </w:p>
              </w:tc>
            </w:tr>
            <w:tr w14:paraId="6BBF6730">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23" w:type="dxa"/>
                  <w:bottom w:w="0" w:type="dxa"/>
                  <w:right w:w="23" w:type="dxa"/>
                </w:tblCellMar>
              </w:tblPrEx>
              <w:trPr>
                <w:trHeight w:val="363" w:hRule="atLeast"/>
              </w:trPr>
              <w:tc>
                <w:tcPr>
                  <w:tcW w:w="2870" w:type="pct"/>
                  <w:tcBorders>
                    <w:tl2br w:val="nil"/>
                    <w:tr2bl w:val="nil"/>
                  </w:tcBorders>
                  <w:noWrap w:val="0"/>
                  <w:vAlign w:val="center"/>
                </w:tcPr>
                <w:p w14:paraId="1A3A4848">
                  <w:pPr>
                    <w:pStyle w:val="94"/>
                    <w:keepNext w:val="0"/>
                    <w:keepLines w:val="0"/>
                    <w:pageBreakBefore w:val="0"/>
                    <w:kinsoku/>
                    <w:wordWrap/>
                    <w:overflowPunct/>
                    <w:topLinePunct w:val="0"/>
                    <w:autoSpaceDE/>
                    <w:autoSpaceDN/>
                    <w:bidi w:val="0"/>
                    <w:adjustRightInd/>
                    <w:snapToGrid/>
                    <w:spacing w:beforeLines="0" w:line="240" w:lineRule="auto"/>
                    <w:ind w:firstLine="0" w:firstLineChars="0"/>
                    <w:jc w:val="both"/>
                    <w:textAlignment w:val="auto"/>
                    <w:rPr>
                      <w:rFonts w:hint="default" w:ascii="Times New Roman" w:hAnsi="Times New Roman" w:eastAsia="宋体" w:cs="Times New Roman"/>
                      <w:b w:val="0"/>
                      <w:bCs/>
                      <w:color w:val="auto"/>
                      <w:sz w:val="21"/>
                      <w:szCs w:val="21"/>
                      <w:highlight w:val="none"/>
                    </w:rPr>
                  </w:pPr>
                  <w:r>
                    <w:rPr>
                      <w:rFonts w:hint="default" w:ascii="Times New Roman" w:hAnsi="Times New Roman" w:eastAsia="宋体" w:cs="Times New Roman"/>
                      <w:b w:val="0"/>
                      <w:bCs/>
                      <w:color w:val="auto"/>
                      <w:sz w:val="21"/>
                      <w:szCs w:val="21"/>
                    </w:rPr>
                    <w:t>1.全面实施石化行业达标排放。</w:t>
                  </w:r>
                </w:p>
              </w:tc>
              <w:tc>
                <w:tcPr>
                  <w:tcW w:w="1649" w:type="pct"/>
                  <w:tcBorders>
                    <w:tl2br w:val="nil"/>
                    <w:tr2bl w:val="nil"/>
                  </w:tcBorders>
                  <w:noWrap w:val="0"/>
                  <w:vAlign w:val="center"/>
                </w:tcPr>
                <w:p w14:paraId="3F200A2A">
                  <w:pPr>
                    <w:pStyle w:val="94"/>
                    <w:keepNext w:val="0"/>
                    <w:keepLines w:val="0"/>
                    <w:pageBreakBefore w:val="0"/>
                    <w:kinsoku/>
                    <w:wordWrap/>
                    <w:overflowPunct/>
                    <w:topLinePunct w:val="0"/>
                    <w:autoSpaceDE/>
                    <w:autoSpaceDN/>
                    <w:bidi w:val="0"/>
                    <w:adjustRightInd/>
                    <w:snapToGrid/>
                    <w:spacing w:beforeLines="0" w:line="240" w:lineRule="auto"/>
                    <w:ind w:firstLine="0" w:firstLineChars="0"/>
                    <w:jc w:val="center"/>
                    <w:textAlignment w:val="auto"/>
                    <w:rPr>
                      <w:rFonts w:hint="default" w:ascii="Times New Roman" w:hAnsi="Times New Roman" w:eastAsia="宋体" w:cs="Times New Roman"/>
                      <w:b w:val="0"/>
                      <w:bCs/>
                      <w:color w:val="auto"/>
                      <w:sz w:val="21"/>
                      <w:szCs w:val="21"/>
                      <w:highlight w:val="none"/>
                    </w:rPr>
                  </w:pPr>
                  <w:r>
                    <w:rPr>
                      <w:rFonts w:hint="default" w:ascii="Times New Roman" w:hAnsi="Times New Roman" w:eastAsia="宋体" w:cs="Times New Roman"/>
                      <w:b w:val="0"/>
                      <w:bCs/>
                      <w:color w:val="auto"/>
                      <w:kern w:val="2"/>
                      <w:sz w:val="21"/>
                      <w:szCs w:val="21"/>
                      <w:highlight w:val="none"/>
                      <w:lang w:val="en-US" w:eastAsia="zh-CN" w:bidi="ar-SA"/>
                    </w:rPr>
                    <w:t>该项目属于</w:t>
                  </w:r>
                  <w:r>
                    <w:rPr>
                      <w:rFonts w:hint="eastAsia" w:ascii="Times New Roman" w:hAnsi="Times New Roman" w:cs="Times New Roman"/>
                      <w:b w:val="0"/>
                      <w:bCs/>
                      <w:color w:val="auto"/>
                      <w:kern w:val="2"/>
                      <w:sz w:val="21"/>
                      <w:szCs w:val="21"/>
                      <w:highlight w:val="none"/>
                      <w:lang w:val="en-US" w:eastAsia="zh-CN" w:bidi="ar-SA"/>
                    </w:rPr>
                    <w:t>危险废物治理行业</w:t>
                  </w:r>
                  <w:r>
                    <w:rPr>
                      <w:rFonts w:hint="default" w:ascii="Times New Roman" w:hAnsi="Times New Roman" w:eastAsia="宋体" w:cs="Times New Roman"/>
                      <w:b w:val="0"/>
                      <w:bCs/>
                      <w:color w:val="auto"/>
                      <w:kern w:val="2"/>
                      <w:sz w:val="21"/>
                      <w:szCs w:val="21"/>
                      <w:highlight w:val="none"/>
                      <w:lang w:val="en-US" w:eastAsia="zh-CN" w:bidi="ar-SA"/>
                    </w:rPr>
                    <w:t>，不涉及。</w:t>
                  </w:r>
                </w:p>
              </w:tc>
              <w:tc>
                <w:tcPr>
                  <w:tcW w:w="480" w:type="pct"/>
                  <w:tcBorders>
                    <w:tl2br w:val="nil"/>
                    <w:tr2bl w:val="nil"/>
                  </w:tcBorders>
                  <w:noWrap w:val="0"/>
                  <w:vAlign w:val="center"/>
                </w:tcPr>
                <w:p w14:paraId="2762CD15">
                  <w:pPr>
                    <w:pStyle w:val="94"/>
                    <w:keepNext w:val="0"/>
                    <w:keepLines w:val="0"/>
                    <w:pageBreakBefore w:val="0"/>
                    <w:kinsoku/>
                    <w:wordWrap/>
                    <w:overflowPunct/>
                    <w:topLinePunct w:val="0"/>
                    <w:autoSpaceDE/>
                    <w:autoSpaceDN/>
                    <w:bidi w:val="0"/>
                    <w:adjustRightInd/>
                    <w:snapToGrid/>
                    <w:spacing w:beforeLines="0" w:line="240" w:lineRule="auto"/>
                    <w:ind w:firstLine="0" w:firstLineChars="0"/>
                    <w:jc w:val="center"/>
                    <w:textAlignment w:val="auto"/>
                    <w:rPr>
                      <w:rFonts w:hint="default" w:ascii="Times New Roman" w:hAnsi="Times New Roman" w:eastAsia="宋体" w:cs="Times New Roman"/>
                      <w:b w:val="0"/>
                      <w:bCs/>
                      <w:color w:val="auto"/>
                      <w:sz w:val="21"/>
                      <w:szCs w:val="21"/>
                      <w:highlight w:val="none"/>
                    </w:rPr>
                  </w:pPr>
                  <w:r>
                    <w:rPr>
                      <w:rFonts w:hint="default" w:ascii="Times New Roman" w:hAnsi="Times New Roman" w:eastAsia="宋体" w:cs="Times New Roman"/>
                      <w:b w:val="0"/>
                      <w:bCs/>
                      <w:color w:val="auto"/>
                      <w:sz w:val="21"/>
                      <w:szCs w:val="21"/>
                      <w:highlight w:val="none"/>
                    </w:rPr>
                    <w:t>符合</w:t>
                  </w:r>
                </w:p>
              </w:tc>
            </w:tr>
            <w:tr w14:paraId="612B7E90">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23" w:type="dxa"/>
                  <w:bottom w:w="0" w:type="dxa"/>
                  <w:right w:w="23" w:type="dxa"/>
                </w:tblCellMar>
              </w:tblPrEx>
              <w:trPr>
                <w:trHeight w:val="363" w:hRule="atLeast"/>
              </w:trPr>
              <w:tc>
                <w:tcPr>
                  <w:tcW w:w="2870" w:type="pct"/>
                  <w:tcBorders>
                    <w:tl2br w:val="nil"/>
                    <w:tr2bl w:val="nil"/>
                  </w:tcBorders>
                  <w:noWrap w:val="0"/>
                  <w:vAlign w:val="center"/>
                </w:tcPr>
                <w:p w14:paraId="3BE15484">
                  <w:pPr>
                    <w:pStyle w:val="94"/>
                    <w:keepNext w:val="0"/>
                    <w:keepLines w:val="0"/>
                    <w:pageBreakBefore w:val="0"/>
                    <w:kinsoku/>
                    <w:wordWrap/>
                    <w:overflowPunct/>
                    <w:topLinePunct w:val="0"/>
                    <w:autoSpaceDE/>
                    <w:autoSpaceDN/>
                    <w:bidi w:val="0"/>
                    <w:adjustRightInd/>
                    <w:snapToGrid/>
                    <w:spacing w:beforeLines="0" w:line="240" w:lineRule="auto"/>
                    <w:ind w:firstLine="0" w:firstLineChars="0"/>
                    <w:textAlignment w:val="auto"/>
                    <w:rPr>
                      <w:rFonts w:hint="default" w:ascii="Times New Roman" w:hAnsi="Times New Roman" w:eastAsia="宋体" w:cs="Times New Roman"/>
                      <w:b w:val="0"/>
                      <w:bCs/>
                      <w:color w:val="auto"/>
                      <w:sz w:val="21"/>
                      <w:szCs w:val="21"/>
                      <w:lang w:eastAsia="zh-CN"/>
                    </w:rPr>
                  </w:pPr>
                  <w:r>
                    <w:rPr>
                      <w:rFonts w:hint="default" w:ascii="Times New Roman" w:hAnsi="Times New Roman" w:eastAsia="宋体" w:cs="Times New Roman"/>
                      <w:b w:val="0"/>
                      <w:bCs/>
                      <w:color w:val="auto"/>
                      <w:sz w:val="21"/>
                      <w:szCs w:val="21"/>
                    </w:rPr>
                    <w:t>2.加快推进化工行业VOCs综合治理</w:t>
                  </w:r>
                  <w:r>
                    <w:rPr>
                      <w:rFonts w:hint="default" w:ascii="Times New Roman" w:hAnsi="Times New Roman" w:eastAsia="宋体" w:cs="Times New Roman"/>
                      <w:b w:val="0"/>
                      <w:bCs/>
                      <w:color w:val="auto"/>
                      <w:sz w:val="21"/>
                      <w:szCs w:val="21"/>
                      <w:lang w:eastAsia="zh-CN"/>
                    </w:rPr>
                    <w:t>。</w:t>
                  </w:r>
                </w:p>
                <w:p w14:paraId="4D31E1C7">
                  <w:pPr>
                    <w:pStyle w:val="94"/>
                    <w:keepNext w:val="0"/>
                    <w:keepLines w:val="0"/>
                    <w:pageBreakBefore w:val="0"/>
                    <w:kinsoku/>
                    <w:wordWrap/>
                    <w:overflowPunct/>
                    <w:topLinePunct w:val="0"/>
                    <w:autoSpaceDE/>
                    <w:autoSpaceDN/>
                    <w:bidi w:val="0"/>
                    <w:adjustRightInd/>
                    <w:snapToGrid/>
                    <w:spacing w:beforeLines="0" w:line="240" w:lineRule="auto"/>
                    <w:ind w:firstLine="0" w:firstLineChars="0"/>
                    <w:jc w:val="both"/>
                    <w:textAlignment w:val="auto"/>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化工企业设备动静密封点、储存、装卸、废水系统、有组织工艺废气和非正常工况等源项，参照石化行业要求开展VOCs防治工作。现代煤化工行业全面实施LDAR，制药、农药、炼焦、涂料、油墨、胶粘剂、染料等行业逐步推广LDAR工作。在连续密闭化生产的化工企业、含有有机化学品储存企业试点开展LDAR工作。加强无组织废气排放控制，含VOCs物料的储存、输送、投料、卸料，涉及VOCs物料的生产及含VOCs产品分装等过程应密闭操作。反应尾气、蒸馏装置不凝尾气等工艺排气，工艺容器的置换气、吹扫气、抽真空排气等应进行收集处理。参照石化行业要求开展废水收集处理系统的VOCs污染防治工作。加强精细化管理，实施排污许可制，通过源头预防、过程控制和末端治理等综合措施，推动行业改造升级，实现达标排放。</w:t>
                  </w:r>
                </w:p>
              </w:tc>
              <w:tc>
                <w:tcPr>
                  <w:tcW w:w="1649" w:type="pct"/>
                  <w:tcBorders>
                    <w:tl2br w:val="nil"/>
                    <w:tr2bl w:val="nil"/>
                  </w:tcBorders>
                  <w:noWrap w:val="0"/>
                  <w:vAlign w:val="center"/>
                </w:tcPr>
                <w:p w14:paraId="31BAA51F">
                  <w:pPr>
                    <w:pStyle w:val="94"/>
                    <w:keepNext w:val="0"/>
                    <w:keepLines w:val="0"/>
                    <w:pageBreakBefore w:val="0"/>
                    <w:kinsoku/>
                    <w:wordWrap/>
                    <w:overflowPunct/>
                    <w:topLinePunct w:val="0"/>
                    <w:autoSpaceDE/>
                    <w:autoSpaceDN/>
                    <w:bidi w:val="0"/>
                    <w:adjustRightInd/>
                    <w:snapToGrid/>
                    <w:spacing w:beforeLines="0" w:line="240" w:lineRule="auto"/>
                    <w:ind w:firstLine="0" w:firstLineChars="0"/>
                    <w:jc w:val="both"/>
                    <w:textAlignment w:val="auto"/>
                    <w:rPr>
                      <w:rFonts w:hint="eastAsia" w:ascii="Times New Roman" w:hAnsi="Times New Roman" w:eastAsia="宋体" w:cs="Times New Roman"/>
                      <w:b w:val="0"/>
                      <w:bCs/>
                      <w:color w:val="auto"/>
                      <w:sz w:val="21"/>
                      <w:szCs w:val="21"/>
                      <w:highlight w:val="none"/>
                      <w:lang w:eastAsia="zh-CN"/>
                    </w:rPr>
                  </w:pPr>
                  <w:r>
                    <w:rPr>
                      <w:rFonts w:hint="eastAsia" w:ascii="Times New Roman" w:hAnsi="Times New Roman" w:eastAsia="宋体" w:cs="Times New Roman"/>
                      <w:b w:val="0"/>
                      <w:bCs/>
                      <w:color w:val="auto"/>
                      <w:highlight w:val="none"/>
                      <w:lang w:val="en-US" w:eastAsia="zh-CN"/>
                    </w:rPr>
                    <w:t>该项目产生非甲烷总烃，收集后</w:t>
                  </w:r>
                  <w:r>
                    <w:rPr>
                      <w:rFonts w:hint="eastAsia" w:ascii="Times New Roman" w:hAnsi="Times New Roman" w:cs="Times New Roman"/>
                      <w:b w:val="0"/>
                      <w:bCs/>
                      <w:color w:val="auto"/>
                      <w:highlight w:val="none"/>
                      <w:lang w:val="en-US" w:eastAsia="zh-CN"/>
                    </w:rPr>
                    <w:t>经</w:t>
                  </w:r>
                  <w:r>
                    <w:rPr>
                      <w:rFonts w:hint="eastAsia" w:ascii="Times New Roman" w:hAnsi="Times New Roman" w:eastAsia="宋体" w:cs="Times New Roman"/>
                      <w:b w:val="0"/>
                      <w:bCs/>
                      <w:color w:val="auto"/>
                      <w:highlight w:val="none"/>
                      <w:lang w:val="en-US" w:eastAsia="zh-CN"/>
                    </w:rPr>
                    <w:t>活性炭吸附装置处理后通过</w:t>
                  </w:r>
                  <w:r>
                    <w:rPr>
                      <w:rFonts w:hint="eastAsia" w:ascii="Times New Roman" w:hAnsi="Times New Roman" w:cs="Times New Roman"/>
                      <w:b w:val="0"/>
                      <w:bCs/>
                      <w:color w:val="auto"/>
                      <w:highlight w:val="none"/>
                      <w:lang w:val="en-US" w:eastAsia="zh-CN"/>
                    </w:rPr>
                    <w:t>15</w:t>
                  </w:r>
                  <w:r>
                    <w:rPr>
                      <w:rFonts w:hint="eastAsia" w:ascii="Times New Roman" w:hAnsi="Times New Roman" w:eastAsia="宋体" w:cs="Times New Roman"/>
                      <w:b w:val="0"/>
                      <w:bCs/>
                      <w:color w:val="auto"/>
                      <w:highlight w:val="none"/>
                      <w:lang w:val="en-US" w:eastAsia="zh-CN"/>
                    </w:rPr>
                    <w:t>m高排气筒排放。</w:t>
                  </w:r>
                  <w:r>
                    <w:rPr>
                      <w:rFonts w:hint="default" w:ascii="Times New Roman" w:hAnsi="Times New Roman" w:eastAsia="宋体" w:cs="Times New Roman"/>
                      <w:b w:val="0"/>
                      <w:bCs/>
                      <w:color w:val="auto"/>
                      <w:highlight w:val="none"/>
                      <w:lang w:val="en-US" w:eastAsia="zh-CN"/>
                    </w:rPr>
                    <w:t>经处理后废气可满足达标排放</w:t>
                  </w:r>
                  <w:r>
                    <w:rPr>
                      <w:rFonts w:hint="default" w:ascii="Times New Roman" w:hAnsi="Times New Roman" w:eastAsia="宋体" w:cs="Times New Roman"/>
                      <w:b w:val="0"/>
                      <w:bCs/>
                      <w:color w:val="auto"/>
                      <w:sz w:val="21"/>
                      <w:szCs w:val="21"/>
                      <w:highlight w:val="none"/>
                    </w:rPr>
                    <w:t>。</w:t>
                  </w:r>
                </w:p>
              </w:tc>
              <w:tc>
                <w:tcPr>
                  <w:tcW w:w="480" w:type="pct"/>
                  <w:tcBorders>
                    <w:tl2br w:val="nil"/>
                    <w:tr2bl w:val="nil"/>
                  </w:tcBorders>
                  <w:noWrap w:val="0"/>
                  <w:vAlign w:val="center"/>
                </w:tcPr>
                <w:p w14:paraId="0355ECE8">
                  <w:pPr>
                    <w:pStyle w:val="94"/>
                    <w:keepNext w:val="0"/>
                    <w:keepLines w:val="0"/>
                    <w:pageBreakBefore w:val="0"/>
                    <w:kinsoku/>
                    <w:wordWrap/>
                    <w:overflowPunct/>
                    <w:topLinePunct w:val="0"/>
                    <w:autoSpaceDE/>
                    <w:autoSpaceDN/>
                    <w:bidi w:val="0"/>
                    <w:adjustRightInd/>
                    <w:snapToGrid/>
                    <w:spacing w:beforeLines="0" w:line="240" w:lineRule="auto"/>
                    <w:ind w:firstLine="0" w:firstLineChars="0"/>
                    <w:jc w:val="center"/>
                    <w:textAlignment w:val="auto"/>
                    <w:rPr>
                      <w:rFonts w:hint="default" w:ascii="Times New Roman" w:hAnsi="Times New Roman" w:eastAsia="宋体" w:cs="Times New Roman"/>
                      <w:b w:val="0"/>
                      <w:bCs/>
                      <w:color w:val="auto"/>
                      <w:sz w:val="21"/>
                      <w:szCs w:val="21"/>
                      <w:highlight w:val="none"/>
                    </w:rPr>
                  </w:pPr>
                  <w:r>
                    <w:rPr>
                      <w:rFonts w:hint="default" w:ascii="Times New Roman" w:hAnsi="Times New Roman" w:eastAsia="宋体" w:cs="Times New Roman"/>
                      <w:b w:val="0"/>
                      <w:bCs/>
                      <w:color w:val="auto"/>
                      <w:sz w:val="21"/>
                      <w:szCs w:val="21"/>
                      <w:highlight w:val="none"/>
                    </w:rPr>
                    <w:t>符合</w:t>
                  </w:r>
                </w:p>
              </w:tc>
            </w:tr>
            <w:tr w14:paraId="070A87CE">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23" w:type="dxa"/>
                  <w:bottom w:w="0" w:type="dxa"/>
                  <w:right w:w="23" w:type="dxa"/>
                </w:tblCellMar>
              </w:tblPrEx>
              <w:trPr>
                <w:trHeight w:val="363" w:hRule="atLeast"/>
              </w:trPr>
              <w:tc>
                <w:tcPr>
                  <w:tcW w:w="2870" w:type="pct"/>
                  <w:tcBorders>
                    <w:tl2br w:val="nil"/>
                    <w:tr2bl w:val="nil"/>
                  </w:tcBorders>
                  <w:noWrap w:val="0"/>
                  <w:vAlign w:val="center"/>
                </w:tcPr>
                <w:p w14:paraId="4E579CB5">
                  <w:pPr>
                    <w:pStyle w:val="94"/>
                    <w:keepNext w:val="0"/>
                    <w:keepLines w:val="0"/>
                    <w:pageBreakBefore w:val="0"/>
                    <w:kinsoku/>
                    <w:wordWrap/>
                    <w:overflowPunct/>
                    <w:topLinePunct w:val="0"/>
                    <w:autoSpaceDE/>
                    <w:autoSpaceDN/>
                    <w:bidi w:val="0"/>
                    <w:adjustRightInd/>
                    <w:snapToGrid/>
                    <w:spacing w:beforeLines="0" w:line="240" w:lineRule="auto"/>
                    <w:ind w:firstLine="0" w:firstLineChars="0"/>
                    <w:textAlignment w:val="auto"/>
                    <w:rPr>
                      <w:rFonts w:hint="default" w:ascii="Times New Roman" w:hAnsi="Times New Roman" w:eastAsia="宋体" w:cs="Times New Roman"/>
                      <w:b w:val="0"/>
                      <w:bCs/>
                      <w:color w:val="auto"/>
                      <w:sz w:val="21"/>
                      <w:szCs w:val="21"/>
                      <w:lang w:eastAsia="zh-CN"/>
                    </w:rPr>
                  </w:pPr>
                  <w:r>
                    <w:rPr>
                      <w:rFonts w:hint="default" w:ascii="Times New Roman" w:hAnsi="Times New Roman" w:eastAsia="宋体" w:cs="Times New Roman"/>
                      <w:b w:val="0"/>
                      <w:bCs/>
                      <w:color w:val="auto"/>
                      <w:sz w:val="21"/>
                      <w:szCs w:val="21"/>
                    </w:rPr>
                    <w:t>3.加大工业涂装VOCs治理力度</w:t>
                  </w:r>
                  <w:r>
                    <w:rPr>
                      <w:rFonts w:hint="default" w:ascii="Times New Roman" w:hAnsi="Times New Roman" w:eastAsia="宋体" w:cs="Times New Roman"/>
                      <w:b w:val="0"/>
                      <w:bCs/>
                      <w:color w:val="auto"/>
                      <w:sz w:val="21"/>
                      <w:szCs w:val="21"/>
                      <w:lang w:eastAsia="zh-CN"/>
                    </w:rPr>
                    <w:t>。</w:t>
                  </w:r>
                </w:p>
              </w:tc>
              <w:tc>
                <w:tcPr>
                  <w:tcW w:w="1649" w:type="pct"/>
                  <w:vMerge w:val="restart"/>
                  <w:tcBorders>
                    <w:tl2br w:val="nil"/>
                    <w:tr2bl w:val="nil"/>
                  </w:tcBorders>
                  <w:noWrap w:val="0"/>
                  <w:vAlign w:val="center"/>
                </w:tcPr>
                <w:p w14:paraId="041CA19F">
                  <w:pPr>
                    <w:pStyle w:val="94"/>
                    <w:keepNext w:val="0"/>
                    <w:keepLines w:val="0"/>
                    <w:pageBreakBefore w:val="0"/>
                    <w:kinsoku/>
                    <w:wordWrap/>
                    <w:overflowPunct/>
                    <w:topLinePunct w:val="0"/>
                    <w:autoSpaceDE/>
                    <w:autoSpaceDN/>
                    <w:bidi w:val="0"/>
                    <w:adjustRightInd/>
                    <w:snapToGrid/>
                    <w:spacing w:beforeLines="0" w:line="240" w:lineRule="auto"/>
                    <w:ind w:firstLine="0" w:firstLineChars="0"/>
                    <w:jc w:val="center"/>
                    <w:textAlignment w:val="auto"/>
                    <w:rPr>
                      <w:rFonts w:hint="default" w:ascii="Times New Roman" w:hAnsi="Times New Roman" w:eastAsia="宋体" w:cs="Times New Roman"/>
                      <w:b w:val="0"/>
                      <w:bCs/>
                      <w:color w:val="auto"/>
                      <w:sz w:val="21"/>
                      <w:szCs w:val="21"/>
                      <w:highlight w:val="none"/>
                    </w:rPr>
                  </w:pPr>
                  <w:r>
                    <w:rPr>
                      <w:rFonts w:hint="default" w:ascii="Times New Roman" w:hAnsi="Times New Roman" w:eastAsia="宋体" w:cs="Times New Roman"/>
                      <w:b w:val="0"/>
                      <w:bCs/>
                      <w:color w:val="auto"/>
                      <w:kern w:val="2"/>
                      <w:sz w:val="21"/>
                      <w:szCs w:val="21"/>
                      <w:highlight w:val="none"/>
                      <w:lang w:val="en-US" w:eastAsia="zh-CN" w:bidi="ar-SA"/>
                    </w:rPr>
                    <w:t>该项目属于</w:t>
                  </w:r>
                  <w:r>
                    <w:rPr>
                      <w:rFonts w:hint="eastAsia" w:ascii="Times New Roman" w:hAnsi="Times New Roman" w:cs="Times New Roman"/>
                      <w:b w:val="0"/>
                      <w:bCs w:val="0"/>
                      <w:color w:val="auto"/>
                      <w:kern w:val="2"/>
                      <w:sz w:val="21"/>
                      <w:szCs w:val="21"/>
                      <w:highlight w:val="none"/>
                      <w:lang w:val="en-US" w:eastAsia="zh-CN" w:bidi="ar-SA"/>
                    </w:rPr>
                    <w:t>危险废物治理行业</w:t>
                  </w:r>
                  <w:r>
                    <w:rPr>
                      <w:rFonts w:hint="default" w:ascii="Times New Roman" w:hAnsi="Times New Roman" w:eastAsia="宋体" w:cs="Times New Roman"/>
                      <w:b w:val="0"/>
                      <w:bCs/>
                      <w:color w:val="auto"/>
                      <w:kern w:val="2"/>
                      <w:sz w:val="21"/>
                      <w:szCs w:val="21"/>
                      <w:highlight w:val="none"/>
                      <w:lang w:val="en-US" w:eastAsia="zh-CN" w:bidi="ar-SA"/>
                    </w:rPr>
                    <w:t>，不涉及。</w:t>
                  </w:r>
                </w:p>
              </w:tc>
              <w:tc>
                <w:tcPr>
                  <w:tcW w:w="480" w:type="pct"/>
                  <w:vMerge w:val="restart"/>
                  <w:tcBorders>
                    <w:tl2br w:val="nil"/>
                    <w:tr2bl w:val="nil"/>
                  </w:tcBorders>
                  <w:noWrap w:val="0"/>
                  <w:vAlign w:val="center"/>
                </w:tcPr>
                <w:p w14:paraId="1BD61C44">
                  <w:pPr>
                    <w:pStyle w:val="94"/>
                    <w:keepNext w:val="0"/>
                    <w:keepLines w:val="0"/>
                    <w:pageBreakBefore w:val="0"/>
                    <w:kinsoku/>
                    <w:wordWrap/>
                    <w:overflowPunct/>
                    <w:topLinePunct w:val="0"/>
                    <w:autoSpaceDE/>
                    <w:autoSpaceDN/>
                    <w:bidi w:val="0"/>
                    <w:adjustRightInd/>
                    <w:snapToGrid/>
                    <w:spacing w:beforeLines="0"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val="0"/>
                      <w:bCs/>
                      <w:color w:val="auto"/>
                      <w:sz w:val="21"/>
                      <w:szCs w:val="21"/>
                      <w:highlight w:val="none"/>
                    </w:rPr>
                    <w:t>符合</w:t>
                  </w:r>
                </w:p>
              </w:tc>
            </w:tr>
            <w:tr w14:paraId="24F73E57">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23" w:type="dxa"/>
                  <w:bottom w:w="0" w:type="dxa"/>
                  <w:right w:w="23" w:type="dxa"/>
                </w:tblCellMar>
              </w:tblPrEx>
              <w:trPr>
                <w:trHeight w:val="363" w:hRule="atLeast"/>
              </w:trPr>
              <w:tc>
                <w:tcPr>
                  <w:tcW w:w="2870" w:type="pct"/>
                  <w:tcBorders>
                    <w:tl2br w:val="nil"/>
                    <w:tr2bl w:val="nil"/>
                  </w:tcBorders>
                  <w:noWrap w:val="0"/>
                  <w:vAlign w:val="center"/>
                </w:tcPr>
                <w:p w14:paraId="4F03542A">
                  <w:pPr>
                    <w:pStyle w:val="94"/>
                    <w:keepNext w:val="0"/>
                    <w:keepLines w:val="0"/>
                    <w:pageBreakBefore w:val="0"/>
                    <w:kinsoku/>
                    <w:wordWrap/>
                    <w:overflowPunct/>
                    <w:topLinePunct w:val="0"/>
                    <w:autoSpaceDE/>
                    <w:autoSpaceDN/>
                    <w:bidi w:val="0"/>
                    <w:adjustRightInd/>
                    <w:snapToGrid/>
                    <w:spacing w:beforeLines="0" w:line="240" w:lineRule="auto"/>
                    <w:ind w:firstLine="0" w:firstLineChars="0"/>
                    <w:textAlignment w:val="auto"/>
                    <w:rPr>
                      <w:rFonts w:hint="default" w:ascii="Times New Roman" w:hAnsi="Times New Roman" w:eastAsia="宋体" w:cs="Times New Roman"/>
                      <w:b w:val="0"/>
                      <w:bCs/>
                      <w:color w:val="auto"/>
                      <w:sz w:val="21"/>
                      <w:szCs w:val="21"/>
                      <w:lang w:eastAsia="zh-CN"/>
                    </w:rPr>
                  </w:pPr>
                  <w:r>
                    <w:rPr>
                      <w:rFonts w:hint="default" w:ascii="Times New Roman" w:hAnsi="Times New Roman" w:eastAsia="宋体" w:cs="Times New Roman"/>
                      <w:b w:val="0"/>
                      <w:bCs/>
                      <w:color w:val="auto"/>
                      <w:sz w:val="21"/>
                      <w:szCs w:val="21"/>
                    </w:rPr>
                    <w:t>4.深入推进包装印刷行业VOCs综合治理</w:t>
                  </w:r>
                  <w:r>
                    <w:rPr>
                      <w:rFonts w:hint="default" w:ascii="Times New Roman" w:hAnsi="Times New Roman" w:eastAsia="宋体" w:cs="Times New Roman"/>
                      <w:b w:val="0"/>
                      <w:bCs/>
                      <w:color w:val="auto"/>
                      <w:sz w:val="21"/>
                      <w:szCs w:val="21"/>
                      <w:lang w:eastAsia="zh-CN"/>
                    </w:rPr>
                    <w:t>。</w:t>
                  </w:r>
                </w:p>
              </w:tc>
              <w:tc>
                <w:tcPr>
                  <w:tcW w:w="1649" w:type="pct"/>
                  <w:vMerge w:val="continue"/>
                  <w:tcBorders>
                    <w:tl2br w:val="nil"/>
                    <w:tr2bl w:val="nil"/>
                  </w:tcBorders>
                  <w:noWrap w:val="0"/>
                  <w:vAlign w:val="center"/>
                </w:tcPr>
                <w:p w14:paraId="59A15F96">
                  <w:pPr>
                    <w:pStyle w:val="94"/>
                    <w:keepNext w:val="0"/>
                    <w:keepLines w:val="0"/>
                    <w:pageBreakBefore w:val="0"/>
                    <w:kinsoku/>
                    <w:wordWrap/>
                    <w:overflowPunct/>
                    <w:topLinePunct w:val="0"/>
                    <w:autoSpaceDE/>
                    <w:autoSpaceDN/>
                    <w:bidi w:val="0"/>
                    <w:adjustRightInd/>
                    <w:snapToGrid/>
                    <w:spacing w:beforeLines="0" w:line="240" w:lineRule="auto"/>
                    <w:ind w:firstLine="0" w:firstLineChars="0"/>
                    <w:jc w:val="center"/>
                    <w:textAlignment w:val="auto"/>
                    <w:rPr>
                      <w:rFonts w:hint="default" w:ascii="Times New Roman" w:hAnsi="Times New Roman" w:eastAsia="宋体" w:cs="Times New Roman"/>
                      <w:b w:val="0"/>
                      <w:bCs/>
                      <w:color w:val="auto"/>
                      <w:sz w:val="21"/>
                      <w:szCs w:val="21"/>
                      <w:highlight w:val="none"/>
                    </w:rPr>
                  </w:pPr>
                </w:p>
              </w:tc>
              <w:tc>
                <w:tcPr>
                  <w:tcW w:w="480" w:type="pct"/>
                  <w:vMerge w:val="continue"/>
                  <w:tcBorders>
                    <w:tl2br w:val="nil"/>
                    <w:tr2bl w:val="nil"/>
                  </w:tcBorders>
                  <w:noWrap w:val="0"/>
                  <w:vAlign w:val="center"/>
                </w:tcPr>
                <w:p w14:paraId="45205673">
                  <w:pPr>
                    <w:pStyle w:val="94"/>
                    <w:keepNext w:val="0"/>
                    <w:keepLines w:val="0"/>
                    <w:pageBreakBefore w:val="0"/>
                    <w:kinsoku/>
                    <w:wordWrap/>
                    <w:overflowPunct/>
                    <w:topLinePunct w:val="0"/>
                    <w:autoSpaceDE/>
                    <w:autoSpaceDN/>
                    <w:bidi w:val="0"/>
                    <w:adjustRightInd/>
                    <w:snapToGrid/>
                    <w:spacing w:beforeLines="0" w:line="240" w:lineRule="auto"/>
                    <w:ind w:firstLine="0" w:firstLineChars="0"/>
                    <w:jc w:val="center"/>
                    <w:textAlignment w:val="auto"/>
                    <w:rPr>
                      <w:rFonts w:hint="default" w:ascii="Times New Roman" w:hAnsi="Times New Roman" w:eastAsia="宋体" w:cs="Times New Roman"/>
                      <w:color w:val="auto"/>
                      <w:sz w:val="21"/>
                      <w:szCs w:val="21"/>
                      <w:highlight w:val="none"/>
                    </w:rPr>
                  </w:pPr>
                </w:p>
              </w:tc>
            </w:tr>
            <w:tr w14:paraId="71EAA000">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23" w:type="dxa"/>
                  <w:bottom w:w="0" w:type="dxa"/>
                  <w:right w:w="23" w:type="dxa"/>
                </w:tblCellMar>
              </w:tblPrEx>
              <w:trPr>
                <w:trHeight w:val="363" w:hRule="atLeast"/>
              </w:trPr>
              <w:tc>
                <w:tcPr>
                  <w:tcW w:w="2870" w:type="pct"/>
                  <w:tcBorders>
                    <w:tl2br w:val="nil"/>
                    <w:tr2bl w:val="nil"/>
                  </w:tcBorders>
                  <w:noWrap w:val="0"/>
                  <w:vAlign w:val="center"/>
                </w:tcPr>
                <w:p w14:paraId="05C0F809">
                  <w:pPr>
                    <w:pStyle w:val="94"/>
                    <w:keepNext w:val="0"/>
                    <w:keepLines w:val="0"/>
                    <w:pageBreakBefore w:val="0"/>
                    <w:kinsoku/>
                    <w:wordWrap/>
                    <w:overflowPunct/>
                    <w:topLinePunct w:val="0"/>
                    <w:autoSpaceDE/>
                    <w:autoSpaceDN/>
                    <w:bidi w:val="0"/>
                    <w:adjustRightInd/>
                    <w:snapToGrid/>
                    <w:spacing w:beforeLines="0" w:line="240" w:lineRule="auto"/>
                    <w:ind w:firstLine="0" w:firstLineChars="0"/>
                    <w:textAlignment w:val="auto"/>
                    <w:rPr>
                      <w:rFonts w:hint="default" w:ascii="Times New Roman" w:hAnsi="Times New Roman" w:eastAsia="宋体" w:cs="Times New Roman"/>
                      <w:b w:val="0"/>
                      <w:bCs/>
                      <w:color w:val="auto"/>
                      <w:sz w:val="21"/>
                      <w:szCs w:val="21"/>
                      <w:lang w:eastAsia="zh-CN"/>
                    </w:rPr>
                  </w:pPr>
                  <w:r>
                    <w:rPr>
                      <w:rFonts w:hint="default" w:ascii="Times New Roman" w:hAnsi="Times New Roman" w:eastAsia="宋体" w:cs="Times New Roman"/>
                      <w:b w:val="0"/>
                      <w:bCs/>
                      <w:color w:val="auto"/>
                      <w:sz w:val="21"/>
                      <w:szCs w:val="21"/>
                    </w:rPr>
                    <w:t>5.因地制宜推进其他工业行业VOCs综合治理</w:t>
                  </w:r>
                  <w:r>
                    <w:rPr>
                      <w:rFonts w:hint="default" w:ascii="Times New Roman" w:hAnsi="Times New Roman" w:eastAsia="宋体" w:cs="Times New Roman"/>
                      <w:b w:val="0"/>
                      <w:bCs/>
                      <w:color w:val="auto"/>
                      <w:sz w:val="21"/>
                      <w:szCs w:val="21"/>
                      <w:lang w:eastAsia="zh-CN"/>
                    </w:rPr>
                    <w:t>。</w:t>
                  </w:r>
                </w:p>
              </w:tc>
              <w:tc>
                <w:tcPr>
                  <w:tcW w:w="1649" w:type="pct"/>
                  <w:vMerge w:val="continue"/>
                  <w:tcBorders>
                    <w:tl2br w:val="nil"/>
                    <w:tr2bl w:val="nil"/>
                  </w:tcBorders>
                  <w:noWrap w:val="0"/>
                  <w:vAlign w:val="center"/>
                </w:tcPr>
                <w:p w14:paraId="0BA684E8">
                  <w:pPr>
                    <w:pStyle w:val="94"/>
                    <w:keepNext w:val="0"/>
                    <w:keepLines w:val="0"/>
                    <w:pageBreakBefore w:val="0"/>
                    <w:kinsoku/>
                    <w:wordWrap/>
                    <w:overflowPunct/>
                    <w:topLinePunct w:val="0"/>
                    <w:autoSpaceDE/>
                    <w:autoSpaceDN/>
                    <w:bidi w:val="0"/>
                    <w:adjustRightInd/>
                    <w:snapToGrid/>
                    <w:spacing w:beforeLines="0" w:line="240" w:lineRule="auto"/>
                    <w:ind w:firstLine="0" w:firstLineChars="0"/>
                    <w:jc w:val="center"/>
                    <w:textAlignment w:val="auto"/>
                    <w:rPr>
                      <w:rFonts w:hint="default" w:ascii="Times New Roman" w:hAnsi="Times New Roman" w:eastAsia="宋体" w:cs="Times New Roman"/>
                      <w:b w:val="0"/>
                      <w:bCs/>
                      <w:color w:val="auto"/>
                      <w:sz w:val="21"/>
                      <w:szCs w:val="21"/>
                      <w:highlight w:val="none"/>
                    </w:rPr>
                  </w:pPr>
                </w:p>
              </w:tc>
              <w:tc>
                <w:tcPr>
                  <w:tcW w:w="480" w:type="pct"/>
                  <w:vMerge w:val="continue"/>
                  <w:tcBorders>
                    <w:tl2br w:val="nil"/>
                    <w:tr2bl w:val="nil"/>
                  </w:tcBorders>
                  <w:noWrap w:val="0"/>
                  <w:vAlign w:val="center"/>
                </w:tcPr>
                <w:p w14:paraId="5C88C5F9">
                  <w:pPr>
                    <w:pStyle w:val="94"/>
                    <w:keepNext w:val="0"/>
                    <w:keepLines w:val="0"/>
                    <w:pageBreakBefore w:val="0"/>
                    <w:kinsoku/>
                    <w:wordWrap/>
                    <w:overflowPunct/>
                    <w:topLinePunct w:val="0"/>
                    <w:autoSpaceDE/>
                    <w:autoSpaceDN/>
                    <w:bidi w:val="0"/>
                    <w:adjustRightInd/>
                    <w:snapToGrid/>
                    <w:spacing w:beforeLines="0" w:line="240" w:lineRule="auto"/>
                    <w:ind w:firstLine="0" w:firstLineChars="0"/>
                    <w:jc w:val="center"/>
                    <w:textAlignment w:val="auto"/>
                    <w:rPr>
                      <w:rFonts w:hint="default" w:ascii="Times New Roman" w:hAnsi="Times New Roman" w:eastAsia="宋体" w:cs="Times New Roman"/>
                      <w:color w:val="auto"/>
                      <w:sz w:val="21"/>
                      <w:szCs w:val="21"/>
                      <w:highlight w:val="none"/>
                    </w:rPr>
                  </w:pPr>
                </w:p>
              </w:tc>
            </w:tr>
            <w:tr w14:paraId="2639048A">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23" w:type="dxa"/>
                  <w:bottom w:w="0" w:type="dxa"/>
                  <w:right w:w="23" w:type="dxa"/>
                </w:tblCellMar>
              </w:tblPrEx>
              <w:trPr>
                <w:trHeight w:val="363" w:hRule="atLeast"/>
              </w:trPr>
              <w:tc>
                <w:tcPr>
                  <w:tcW w:w="2870" w:type="pct"/>
                  <w:tcBorders>
                    <w:tl2br w:val="nil"/>
                    <w:tr2bl w:val="nil"/>
                  </w:tcBorders>
                  <w:noWrap w:val="0"/>
                  <w:vAlign w:val="center"/>
                </w:tcPr>
                <w:p w14:paraId="1D4BCBA6">
                  <w:pPr>
                    <w:pStyle w:val="94"/>
                    <w:keepNext w:val="0"/>
                    <w:keepLines w:val="0"/>
                    <w:pageBreakBefore w:val="0"/>
                    <w:kinsoku/>
                    <w:wordWrap/>
                    <w:overflowPunct/>
                    <w:topLinePunct w:val="0"/>
                    <w:autoSpaceDE/>
                    <w:autoSpaceDN/>
                    <w:bidi w:val="0"/>
                    <w:adjustRightInd/>
                    <w:snapToGrid/>
                    <w:spacing w:beforeLines="0" w:line="240" w:lineRule="auto"/>
                    <w:ind w:firstLine="0" w:firstLineChars="0"/>
                    <w:textAlignment w:val="auto"/>
                    <w:rPr>
                      <w:rFonts w:hint="default" w:ascii="Times New Roman" w:hAnsi="Times New Roman" w:eastAsia="宋体" w:cs="Times New Roman"/>
                      <w:b w:val="0"/>
                      <w:bCs/>
                      <w:color w:val="auto"/>
                      <w:sz w:val="21"/>
                      <w:szCs w:val="21"/>
                      <w:highlight w:val="none"/>
                    </w:rPr>
                  </w:pPr>
                  <w:r>
                    <w:rPr>
                      <w:rFonts w:hint="default" w:ascii="Times New Roman" w:hAnsi="Times New Roman" w:eastAsia="宋体" w:cs="Times New Roman"/>
                      <w:b w:val="0"/>
                      <w:bCs/>
                      <w:color w:val="auto"/>
                      <w:sz w:val="21"/>
                      <w:szCs w:val="21"/>
                      <w:highlight w:val="none"/>
                    </w:rPr>
                    <w:t>（三）深入推进交通源VOCs污染防治</w:t>
                  </w:r>
                  <w:r>
                    <w:rPr>
                      <w:rFonts w:hint="default" w:ascii="Times New Roman" w:hAnsi="Times New Roman" w:eastAsia="宋体" w:cs="Times New Roman"/>
                      <w:b w:val="0"/>
                      <w:bCs/>
                      <w:color w:val="auto"/>
                      <w:sz w:val="21"/>
                      <w:szCs w:val="21"/>
                      <w:highlight w:val="none"/>
                      <w:lang w:eastAsia="zh-CN"/>
                    </w:rPr>
                    <w:t>。</w:t>
                  </w:r>
                </w:p>
              </w:tc>
              <w:tc>
                <w:tcPr>
                  <w:tcW w:w="1649" w:type="pct"/>
                  <w:tcBorders>
                    <w:tl2br w:val="nil"/>
                    <w:tr2bl w:val="nil"/>
                  </w:tcBorders>
                  <w:noWrap w:val="0"/>
                  <w:vAlign w:val="center"/>
                </w:tcPr>
                <w:p w14:paraId="3A4277A1">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color w:val="auto"/>
                      <w:sz w:val="21"/>
                      <w:szCs w:val="21"/>
                      <w:highlight w:val="none"/>
                      <w:lang w:val="en-US" w:eastAsia="zh-CN"/>
                    </w:rPr>
                  </w:pPr>
                  <w:r>
                    <w:rPr>
                      <w:rFonts w:hint="default" w:ascii="Times New Roman" w:hAnsi="Times New Roman" w:eastAsia="宋体" w:cs="Times New Roman"/>
                      <w:b w:val="0"/>
                      <w:bCs/>
                      <w:color w:val="auto"/>
                      <w:sz w:val="21"/>
                      <w:szCs w:val="21"/>
                      <w:highlight w:val="none"/>
                      <w:lang w:val="en-US" w:eastAsia="zh-CN"/>
                    </w:rPr>
                    <w:t>/</w:t>
                  </w:r>
                </w:p>
              </w:tc>
              <w:tc>
                <w:tcPr>
                  <w:tcW w:w="480" w:type="pct"/>
                  <w:tcBorders>
                    <w:tl2br w:val="nil"/>
                    <w:tr2bl w:val="nil"/>
                  </w:tcBorders>
                  <w:noWrap w:val="0"/>
                  <w:vAlign w:val="center"/>
                </w:tcPr>
                <w:p w14:paraId="344BBDCD">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w:t>
                  </w:r>
                </w:p>
              </w:tc>
            </w:tr>
            <w:tr w14:paraId="7170921F">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23" w:type="dxa"/>
                  <w:bottom w:w="0" w:type="dxa"/>
                  <w:right w:w="23" w:type="dxa"/>
                </w:tblCellMar>
              </w:tblPrEx>
              <w:trPr>
                <w:trHeight w:val="363" w:hRule="atLeast"/>
              </w:trPr>
              <w:tc>
                <w:tcPr>
                  <w:tcW w:w="2870" w:type="pct"/>
                  <w:tcBorders>
                    <w:tl2br w:val="nil"/>
                    <w:tr2bl w:val="nil"/>
                  </w:tcBorders>
                  <w:noWrap w:val="0"/>
                  <w:vAlign w:val="center"/>
                </w:tcPr>
                <w:p w14:paraId="073F0586">
                  <w:pPr>
                    <w:pStyle w:val="94"/>
                    <w:keepNext w:val="0"/>
                    <w:keepLines w:val="0"/>
                    <w:pageBreakBefore w:val="0"/>
                    <w:kinsoku/>
                    <w:wordWrap/>
                    <w:overflowPunct/>
                    <w:topLinePunct w:val="0"/>
                    <w:autoSpaceDE/>
                    <w:autoSpaceDN/>
                    <w:bidi w:val="0"/>
                    <w:adjustRightInd/>
                    <w:snapToGrid/>
                    <w:spacing w:beforeLines="0" w:line="240" w:lineRule="auto"/>
                    <w:ind w:firstLine="0" w:firstLineChars="0"/>
                    <w:jc w:val="both"/>
                    <w:textAlignment w:val="auto"/>
                    <w:rPr>
                      <w:rFonts w:hint="default" w:ascii="Times New Roman" w:hAnsi="Times New Roman" w:eastAsia="宋体" w:cs="Times New Roman"/>
                      <w:b w:val="0"/>
                      <w:color w:val="auto"/>
                      <w:kern w:val="0"/>
                      <w:sz w:val="21"/>
                      <w:szCs w:val="21"/>
                      <w:highlight w:val="none"/>
                      <w:lang w:val="en-US" w:eastAsia="zh-CN" w:bidi="ar-SA"/>
                    </w:rPr>
                  </w:pPr>
                  <w:r>
                    <w:rPr>
                      <w:rFonts w:hint="default" w:ascii="Times New Roman" w:hAnsi="Times New Roman" w:eastAsia="宋体" w:cs="Times New Roman"/>
                      <w:b w:val="0"/>
                      <w:color w:val="auto"/>
                      <w:kern w:val="0"/>
                      <w:sz w:val="21"/>
                      <w:szCs w:val="21"/>
                      <w:highlight w:val="none"/>
                      <w:lang w:val="en-US" w:eastAsia="zh-CN" w:bidi="ar-SA"/>
                    </w:rPr>
                    <w:t>（四）有序开展生活源农业源VOCs污染防治。</w:t>
                  </w:r>
                </w:p>
              </w:tc>
              <w:tc>
                <w:tcPr>
                  <w:tcW w:w="1649" w:type="pct"/>
                  <w:tcBorders>
                    <w:tl2br w:val="nil"/>
                    <w:tr2bl w:val="nil"/>
                  </w:tcBorders>
                  <w:noWrap w:val="0"/>
                  <w:vAlign w:val="center"/>
                </w:tcPr>
                <w:p w14:paraId="7F78902A">
                  <w:pPr>
                    <w:pStyle w:val="94"/>
                    <w:keepNext w:val="0"/>
                    <w:keepLines w:val="0"/>
                    <w:pageBreakBefore w:val="0"/>
                    <w:kinsoku/>
                    <w:wordWrap/>
                    <w:overflowPunct/>
                    <w:topLinePunct w:val="0"/>
                    <w:autoSpaceDE/>
                    <w:autoSpaceDN/>
                    <w:bidi w:val="0"/>
                    <w:adjustRightInd/>
                    <w:snapToGrid/>
                    <w:spacing w:beforeLines="0" w:line="240" w:lineRule="auto"/>
                    <w:ind w:firstLine="0" w:firstLineChars="0"/>
                    <w:jc w:val="center"/>
                    <w:textAlignment w:val="auto"/>
                    <w:rPr>
                      <w:rFonts w:hint="default" w:ascii="Times New Roman" w:hAnsi="Times New Roman" w:eastAsia="宋体" w:cs="Times New Roman"/>
                      <w:b w:val="0"/>
                      <w:color w:val="auto"/>
                      <w:kern w:val="0"/>
                      <w:sz w:val="21"/>
                      <w:szCs w:val="21"/>
                      <w:highlight w:val="none"/>
                      <w:lang w:val="en-US" w:eastAsia="zh-CN" w:bidi="ar-SA"/>
                    </w:rPr>
                  </w:pPr>
                  <w:r>
                    <w:rPr>
                      <w:rFonts w:hint="default" w:ascii="Times New Roman" w:hAnsi="Times New Roman" w:eastAsia="宋体" w:cs="Times New Roman"/>
                      <w:b w:val="0"/>
                      <w:color w:val="auto"/>
                      <w:kern w:val="0"/>
                      <w:sz w:val="21"/>
                      <w:szCs w:val="21"/>
                      <w:highlight w:val="none"/>
                      <w:lang w:val="en-US" w:eastAsia="zh-CN" w:bidi="ar-SA"/>
                    </w:rPr>
                    <w:t>/</w:t>
                  </w:r>
                </w:p>
              </w:tc>
              <w:tc>
                <w:tcPr>
                  <w:tcW w:w="480" w:type="pct"/>
                  <w:tcBorders>
                    <w:tl2br w:val="nil"/>
                    <w:tr2bl w:val="nil"/>
                  </w:tcBorders>
                  <w:noWrap w:val="0"/>
                  <w:vAlign w:val="center"/>
                </w:tcPr>
                <w:p w14:paraId="5CDE8F18">
                  <w:pPr>
                    <w:pStyle w:val="94"/>
                    <w:keepNext w:val="0"/>
                    <w:keepLines w:val="0"/>
                    <w:pageBreakBefore w:val="0"/>
                    <w:kinsoku/>
                    <w:wordWrap/>
                    <w:overflowPunct/>
                    <w:topLinePunct w:val="0"/>
                    <w:autoSpaceDE/>
                    <w:autoSpaceDN/>
                    <w:bidi w:val="0"/>
                    <w:adjustRightInd/>
                    <w:snapToGrid/>
                    <w:spacing w:beforeLines="0" w:line="240" w:lineRule="auto"/>
                    <w:ind w:firstLine="0" w:firstLineChars="0"/>
                    <w:jc w:val="center"/>
                    <w:textAlignment w:val="auto"/>
                    <w:rPr>
                      <w:rFonts w:hint="default" w:ascii="Times New Roman" w:hAnsi="Times New Roman" w:eastAsia="宋体" w:cs="Times New Roman"/>
                      <w:b w:val="0"/>
                      <w:color w:val="auto"/>
                      <w:kern w:val="0"/>
                      <w:sz w:val="21"/>
                      <w:szCs w:val="21"/>
                      <w:highlight w:val="none"/>
                      <w:lang w:val="en-US" w:eastAsia="zh-CN" w:bidi="ar-SA"/>
                    </w:rPr>
                  </w:pPr>
                  <w:r>
                    <w:rPr>
                      <w:rFonts w:hint="default" w:ascii="Times New Roman" w:hAnsi="Times New Roman" w:eastAsia="宋体" w:cs="Times New Roman"/>
                      <w:b w:val="0"/>
                      <w:color w:val="auto"/>
                      <w:kern w:val="0"/>
                      <w:sz w:val="21"/>
                      <w:szCs w:val="21"/>
                      <w:highlight w:val="none"/>
                      <w:lang w:val="en-US" w:eastAsia="zh-CN" w:bidi="ar-SA"/>
                    </w:rPr>
                    <w:t>/</w:t>
                  </w:r>
                </w:p>
              </w:tc>
            </w:tr>
            <w:tr w14:paraId="25B1383F">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23" w:type="dxa"/>
                  <w:bottom w:w="0" w:type="dxa"/>
                  <w:right w:w="23" w:type="dxa"/>
                </w:tblCellMar>
              </w:tblPrEx>
              <w:trPr>
                <w:trHeight w:val="363" w:hRule="atLeast"/>
              </w:trPr>
              <w:tc>
                <w:tcPr>
                  <w:tcW w:w="2870" w:type="pct"/>
                  <w:tcBorders>
                    <w:tl2br w:val="nil"/>
                    <w:tr2bl w:val="nil"/>
                  </w:tcBorders>
                  <w:noWrap w:val="0"/>
                  <w:vAlign w:val="center"/>
                </w:tcPr>
                <w:p w14:paraId="18872BAD">
                  <w:pPr>
                    <w:pStyle w:val="94"/>
                    <w:keepNext w:val="0"/>
                    <w:keepLines w:val="0"/>
                    <w:pageBreakBefore w:val="0"/>
                    <w:kinsoku/>
                    <w:wordWrap/>
                    <w:overflowPunct/>
                    <w:topLinePunct w:val="0"/>
                    <w:autoSpaceDE/>
                    <w:autoSpaceDN/>
                    <w:bidi w:val="0"/>
                    <w:adjustRightInd/>
                    <w:snapToGrid/>
                    <w:spacing w:beforeLines="0" w:line="240" w:lineRule="auto"/>
                    <w:ind w:firstLine="0" w:firstLineChars="0"/>
                    <w:jc w:val="both"/>
                    <w:textAlignment w:val="auto"/>
                    <w:rPr>
                      <w:rFonts w:hint="default" w:ascii="Times New Roman" w:hAnsi="Times New Roman" w:eastAsia="宋体" w:cs="Times New Roman"/>
                      <w:b w:val="0"/>
                      <w:color w:val="auto"/>
                      <w:kern w:val="0"/>
                      <w:sz w:val="21"/>
                      <w:szCs w:val="21"/>
                      <w:highlight w:val="none"/>
                      <w:lang w:val="en-US" w:eastAsia="zh-CN" w:bidi="ar-SA"/>
                    </w:rPr>
                  </w:pPr>
                  <w:r>
                    <w:rPr>
                      <w:rFonts w:hint="default" w:ascii="Times New Roman" w:hAnsi="Times New Roman" w:eastAsia="宋体" w:cs="Times New Roman"/>
                      <w:b w:val="0"/>
                      <w:color w:val="auto"/>
                      <w:kern w:val="0"/>
                      <w:sz w:val="21"/>
                      <w:szCs w:val="21"/>
                      <w:highlight w:val="none"/>
                      <w:lang w:val="en-US" w:eastAsia="zh-CN" w:bidi="ar-SA"/>
                    </w:rPr>
                    <w:t>（五）建立</w:t>
                  </w:r>
                  <w:r>
                    <w:rPr>
                      <w:rFonts w:hint="eastAsia" w:ascii="Times New Roman" w:hAnsi="Times New Roman" w:eastAsia="宋体" w:cs="Times New Roman"/>
                      <w:b w:val="0"/>
                      <w:color w:val="auto"/>
                      <w:kern w:val="0"/>
                      <w:sz w:val="21"/>
                      <w:szCs w:val="21"/>
                      <w:highlight w:val="none"/>
                      <w:lang w:val="en-US" w:eastAsia="zh-CN" w:bidi="ar-SA"/>
                    </w:rPr>
                    <w:t>完善</w:t>
                  </w:r>
                  <w:r>
                    <w:rPr>
                      <w:rFonts w:hint="default" w:ascii="Times New Roman" w:hAnsi="Times New Roman" w:eastAsia="宋体" w:cs="Times New Roman"/>
                      <w:b w:val="0"/>
                      <w:color w:val="auto"/>
                      <w:kern w:val="0"/>
                      <w:sz w:val="21"/>
                      <w:szCs w:val="21"/>
                      <w:highlight w:val="none"/>
                      <w:lang w:val="en-US" w:eastAsia="zh-CN" w:bidi="ar-SA"/>
                    </w:rPr>
                    <w:t>VOCs</w:t>
                  </w:r>
                  <w:r>
                    <w:rPr>
                      <w:rFonts w:hint="eastAsia" w:ascii="Times New Roman" w:hAnsi="Times New Roman" w:eastAsia="宋体" w:cs="Times New Roman"/>
                      <w:b w:val="0"/>
                      <w:color w:val="auto"/>
                      <w:kern w:val="0"/>
                      <w:sz w:val="21"/>
                      <w:szCs w:val="21"/>
                      <w:highlight w:val="none"/>
                      <w:lang w:val="en-US" w:eastAsia="zh-CN" w:bidi="ar-SA"/>
                    </w:rPr>
                    <w:t>监管</w:t>
                  </w:r>
                  <w:r>
                    <w:rPr>
                      <w:rFonts w:hint="default" w:ascii="Times New Roman" w:hAnsi="Times New Roman" w:eastAsia="宋体" w:cs="Times New Roman"/>
                      <w:b w:val="0"/>
                      <w:color w:val="auto"/>
                      <w:kern w:val="0"/>
                      <w:sz w:val="21"/>
                      <w:szCs w:val="21"/>
                      <w:highlight w:val="none"/>
                      <w:lang w:val="en-US" w:eastAsia="zh-CN" w:bidi="ar-SA"/>
                    </w:rPr>
                    <w:t>体系。</w:t>
                  </w:r>
                </w:p>
              </w:tc>
              <w:tc>
                <w:tcPr>
                  <w:tcW w:w="1649" w:type="pct"/>
                  <w:tcBorders>
                    <w:tl2br w:val="nil"/>
                    <w:tr2bl w:val="nil"/>
                  </w:tcBorders>
                  <w:noWrap w:val="0"/>
                  <w:vAlign w:val="center"/>
                </w:tcPr>
                <w:p w14:paraId="558E4ACC">
                  <w:pPr>
                    <w:pStyle w:val="94"/>
                    <w:keepNext w:val="0"/>
                    <w:keepLines w:val="0"/>
                    <w:pageBreakBefore w:val="0"/>
                    <w:kinsoku/>
                    <w:wordWrap/>
                    <w:overflowPunct/>
                    <w:topLinePunct w:val="0"/>
                    <w:autoSpaceDE/>
                    <w:autoSpaceDN/>
                    <w:bidi w:val="0"/>
                    <w:adjustRightInd/>
                    <w:snapToGrid/>
                    <w:spacing w:beforeLines="0"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w:t>
                  </w:r>
                </w:p>
              </w:tc>
              <w:tc>
                <w:tcPr>
                  <w:tcW w:w="480" w:type="pct"/>
                  <w:tcBorders>
                    <w:tl2br w:val="nil"/>
                    <w:tr2bl w:val="nil"/>
                  </w:tcBorders>
                  <w:noWrap w:val="0"/>
                  <w:vAlign w:val="center"/>
                </w:tcPr>
                <w:p w14:paraId="6F379486">
                  <w:pPr>
                    <w:pStyle w:val="94"/>
                    <w:keepNext w:val="0"/>
                    <w:keepLines w:val="0"/>
                    <w:pageBreakBefore w:val="0"/>
                    <w:kinsoku/>
                    <w:wordWrap/>
                    <w:overflowPunct/>
                    <w:topLinePunct w:val="0"/>
                    <w:autoSpaceDE/>
                    <w:autoSpaceDN/>
                    <w:bidi w:val="0"/>
                    <w:adjustRightInd/>
                    <w:snapToGrid/>
                    <w:spacing w:beforeLines="0"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w:t>
                  </w:r>
                </w:p>
              </w:tc>
            </w:tr>
            <w:tr w14:paraId="71916D45">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23" w:type="dxa"/>
                  <w:bottom w:w="0" w:type="dxa"/>
                  <w:right w:w="23" w:type="dxa"/>
                </w:tblCellMar>
              </w:tblPrEx>
              <w:trPr>
                <w:trHeight w:val="363" w:hRule="atLeast"/>
              </w:trPr>
              <w:tc>
                <w:tcPr>
                  <w:tcW w:w="2870" w:type="pct"/>
                  <w:tcBorders>
                    <w:tl2br w:val="nil"/>
                    <w:tr2bl w:val="nil"/>
                  </w:tcBorders>
                  <w:noWrap w:val="0"/>
                  <w:vAlign w:val="center"/>
                </w:tcPr>
                <w:p w14:paraId="72F9CA32">
                  <w:pPr>
                    <w:pStyle w:val="23"/>
                    <w:keepNext w:val="0"/>
                    <w:keepLines w:val="0"/>
                    <w:pageBreakBefore w:val="0"/>
                    <w:kinsoku/>
                    <w:wordWrap/>
                    <w:overflowPunct/>
                    <w:topLinePunct w:val="0"/>
                    <w:autoSpaceDE/>
                    <w:autoSpaceDN/>
                    <w:bidi w:val="0"/>
                    <w:adjustRightInd/>
                    <w:snapToGrid/>
                    <w:spacing w:before="0" w:beforeAutospacing="0" w:after="0" w:afterAutospacing="0" w:line="240" w:lineRule="auto"/>
                    <w:ind w:firstLine="0" w:firstLineChars="0"/>
                    <w:textAlignment w:val="auto"/>
                    <w:rPr>
                      <w:rFonts w:hint="default"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lang w:val="en-US" w:eastAsia="zh-CN"/>
                    </w:rPr>
                    <w:t>三</w:t>
                  </w:r>
                  <w:r>
                    <w:rPr>
                      <w:rFonts w:hint="default" w:ascii="Times New Roman" w:hAnsi="Times New Roman" w:eastAsia="宋体" w:cs="Times New Roman"/>
                      <w:color w:val="auto"/>
                      <w:sz w:val="21"/>
                      <w:szCs w:val="21"/>
                    </w:rPr>
                    <w:t>、保障措施</w:t>
                  </w:r>
                  <w:r>
                    <w:rPr>
                      <w:rFonts w:hint="default" w:ascii="Times New Roman" w:hAnsi="Times New Roman" w:eastAsia="宋体" w:cs="Times New Roman"/>
                      <w:b w:val="0"/>
                      <w:bCs w:val="0"/>
                      <w:color w:val="auto"/>
                      <w:sz w:val="21"/>
                      <w:szCs w:val="21"/>
                      <w:highlight w:val="none"/>
                    </w:rPr>
                    <w:t>（详细内容略）</w:t>
                  </w:r>
                </w:p>
              </w:tc>
              <w:tc>
                <w:tcPr>
                  <w:tcW w:w="1649" w:type="pct"/>
                  <w:tcBorders>
                    <w:tl2br w:val="nil"/>
                    <w:tr2bl w:val="nil"/>
                  </w:tcBorders>
                  <w:noWrap w:val="0"/>
                  <w:vAlign w:val="center"/>
                </w:tcPr>
                <w:p w14:paraId="7BE5A159">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color w:val="auto"/>
                      <w:kern w:val="0"/>
                      <w:sz w:val="21"/>
                      <w:szCs w:val="21"/>
                      <w:highlight w:val="none"/>
                      <w:lang w:val="en-US" w:eastAsia="zh-CN" w:bidi="ar-SA"/>
                    </w:rPr>
                  </w:pPr>
                  <w:r>
                    <w:rPr>
                      <w:rFonts w:hint="default" w:ascii="Times New Roman" w:hAnsi="Times New Roman" w:eastAsia="宋体" w:cs="Times New Roman"/>
                      <w:b w:val="0"/>
                      <w:color w:val="auto"/>
                      <w:kern w:val="0"/>
                      <w:sz w:val="21"/>
                      <w:szCs w:val="21"/>
                      <w:highlight w:val="none"/>
                      <w:lang w:val="en-US" w:eastAsia="zh-CN" w:bidi="ar-SA"/>
                    </w:rPr>
                    <w:t>/</w:t>
                  </w:r>
                </w:p>
              </w:tc>
              <w:tc>
                <w:tcPr>
                  <w:tcW w:w="480" w:type="pct"/>
                  <w:tcBorders>
                    <w:tl2br w:val="nil"/>
                    <w:tr2bl w:val="nil"/>
                  </w:tcBorders>
                  <w:noWrap w:val="0"/>
                  <w:vAlign w:val="center"/>
                </w:tcPr>
                <w:p w14:paraId="3A0A3961">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color w:val="auto"/>
                      <w:kern w:val="0"/>
                      <w:sz w:val="21"/>
                      <w:szCs w:val="21"/>
                      <w:highlight w:val="none"/>
                      <w:lang w:val="en-US" w:eastAsia="zh-CN" w:bidi="ar-SA"/>
                    </w:rPr>
                  </w:pPr>
                  <w:r>
                    <w:rPr>
                      <w:rFonts w:hint="default" w:ascii="Times New Roman" w:hAnsi="Times New Roman" w:eastAsia="宋体" w:cs="Times New Roman"/>
                      <w:b w:val="0"/>
                      <w:color w:val="auto"/>
                      <w:kern w:val="0"/>
                      <w:sz w:val="21"/>
                      <w:szCs w:val="21"/>
                      <w:highlight w:val="none"/>
                      <w:lang w:val="en-US" w:eastAsia="zh-CN" w:bidi="ar-SA"/>
                    </w:rPr>
                    <w:t>/</w:t>
                  </w:r>
                </w:p>
              </w:tc>
            </w:tr>
          </w:tbl>
          <w:p w14:paraId="5615BA03">
            <w:pPr>
              <w:keepNext w:val="0"/>
              <w:keepLines w:val="0"/>
              <w:pageBreakBefore w:val="0"/>
              <w:widowControl w:val="0"/>
              <w:numPr>
                <w:ilvl w:val="0"/>
                <w:numId w:val="1"/>
              </w:numPr>
              <w:kinsoku/>
              <w:wordWrap/>
              <w:overflowPunct/>
              <w:topLinePunct w:val="0"/>
              <w:autoSpaceDE/>
              <w:autoSpaceDN/>
              <w:bidi w:val="0"/>
              <w:adjustRightInd/>
              <w:spacing w:line="360" w:lineRule="auto"/>
              <w:ind w:left="420" w:leftChars="0" w:hanging="420" w:firstLineChars="0"/>
              <w:textAlignment w:val="auto"/>
              <w:rPr>
                <w:rFonts w:hint="default" w:ascii="Times New Roman" w:hAnsi="Times New Roman" w:eastAsia="宋体" w:cs="Times New Roman"/>
                <w:b/>
                <w:bCs/>
                <w:color w:val="auto"/>
                <w:spacing w:val="-6"/>
                <w:sz w:val="24"/>
                <w:szCs w:val="24"/>
                <w:highlight w:val="none"/>
              </w:rPr>
            </w:pPr>
            <w:r>
              <w:rPr>
                <w:rFonts w:hint="eastAsia" w:ascii="Times New Roman" w:hAnsi="Times New Roman" w:eastAsia="宋体" w:cs="Times New Roman"/>
                <w:b/>
                <w:bCs/>
                <w:color w:val="auto"/>
                <w:spacing w:val="-6"/>
                <w:sz w:val="24"/>
                <w:szCs w:val="24"/>
                <w:highlight w:val="none"/>
                <w:lang w:val="en-US" w:eastAsia="zh-CN"/>
              </w:rPr>
              <w:t>与</w:t>
            </w:r>
            <w:r>
              <w:rPr>
                <w:rFonts w:hint="default" w:ascii="Times New Roman" w:hAnsi="Times New Roman" w:eastAsia="宋体" w:cs="Times New Roman"/>
                <w:b/>
                <w:bCs/>
                <w:color w:val="auto"/>
                <w:spacing w:val="-6"/>
                <w:sz w:val="24"/>
                <w:szCs w:val="24"/>
                <w:highlight w:val="none"/>
              </w:rPr>
              <w:t>《辽宁省深入打好污染防治攻坚战实施方案》（辽委发[2022]8号）的相符性分析</w:t>
            </w:r>
          </w:p>
          <w:p w14:paraId="49DFCE94">
            <w:pPr>
              <w:keepNext w:val="0"/>
              <w:keepLines w:val="0"/>
              <w:pageBreakBefore w:val="0"/>
              <w:widowControl w:val="0"/>
              <w:kinsoku/>
              <w:wordWrap/>
              <w:overflowPunct/>
              <w:topLinePunct w:val="0"/>
              <w:autoSpaceDE/>
              <w:autoSpaceDN/>
              <w:bidi w:val="0"/>
              <w:adjustRightInd/>
              <w:snapToGrid w:val="0"/>
              <w:spacing w:line="240" w:lineRule="auto"/>
              <w:ind w:firstLine="422" w:firstLineChars="200"/>
              <w:jc w:val="center"/>
              <w:textAlignment w:val="auto"/>
              <w:rPr>
                <w:rFonts w:hint="eastAsia" w:ascii="Times New Roman" w:hAnsi="Times New Roman" w:eastAsia="宋体" w:cs="Times New Roman"/>
                <w:b/>
                <w:color w:val="auto"/>
                <w:sz w:val="21"/>
                <w:szCs w:val="21"/>
                <w:highlight w:val="none"/>
                <w:lang w:val="en-US" w:eastAsia="zh-CN"/>
              </w:rPr>
            </w:pPr>
            <w:r>
              <w:rPr>
                <w:rFonts w:hint="eastAsia" w:ascii="Times New Roman" w:hAnsi="Times New Roman" w:eastAsia="宋体" w:cs="Times New Roman"/>
                <w:b/>
                <w:color w:val="auto"/>
                <w:sz w:val="21"/>
                <w:szCs w:val="21"/>
                <w:highlight w:val="none"/>
                <w:lang w:val="en-US" w:eastAsia="zh-CN"/>
              </w:rPr>
              <w:t>表1-</w:t>
            </w:r>
            <w:r>
              <w:rPr>
                <w:rFonts w:hint="eastAsia" w:ascii="Times New Roman" w:hAnsi="Times New Roman" w:cs="Times New Roman"/>
                <w:b/>
                <w:color w:val="auto"/>
                <w:sz w:val="21"/>
                <w:szCs w:val="21"/>
                <w:highlight w:val="none"/>
                <w:lang w:val="en-US" w:eastAsia="zh-CN"/>
              </w:rPr>
              <w:t>1</w:t>
            </w:r>
            <w:r>
              <w:rPr>
                <w:rFonts w:hint="eastAsia" w:cs="Times New Roman"/>
                <w:b/>
                <w:color w:val="auto"/>
                <w:sz w:val="21"/>
                <w:szCs w:val="21"/>
                <w:highlight w:val="none"/>
                <w:lang w:val="en-US" w:eastAsia="zh-CN"/>
              </w:rPr>
              <w:t>3</w:t>
            </w:r>
            <w:r>
              <w:rPr>
                <w:rFonts w:hint="eastAsia" w:ascii="Times New Roman" w:hAnsi="Times New Roman" w:eastAsia="宋体" w:cs="Times New Roman"/>
                <w:b/>
                <w:color w:val="auto"/>
                <w:sz w:val="21"/>
                <w:szCs w:val="21"/>
                <w:highlight w:val="none"/>
                <w:lang w:val="en-US" w:eastAsia="zh-CN"/>
              </w:rPr>
              <w:t xml:space="preserve">  与</w:t>
            </w:r>
            <w:r>
              <w:rPr>
                <w:rFonts w:hint="default" w:ascii="Times New Roman" w:hAnsi="Times New Roman" w:eastAsia="宋体" w:cs="Times New Roman"/>
                <w:b/>
                <w:color w:val="auto"/>
                <w:sz w:val="21"/>
                <w:szCs w:val="21"/>
                <w:highlight w:val="none"/>
              </w:rPr>
              <w:t>《辽宁省深入打好污染防治攻坚战实施方案》（辽委发[2022]8号）的相符性分析</w:t>
            </w:r>
            <w:r>
              <w:rPr>
                <w:rFonts w:hint="eastAsia" w:ascii="Times New Roman" w:hAnsi="Times New Roman" w:eastAsia="宋体" w:cs="Times New Roman"/>
                <w:b/>
                <w:color w:val="auto"/>
                <w:sz w:val="21"/>
                <w:szCs w:val="21"/>
                <w:highlight w:val="none"/>
                <w:lang w:val="en-US" w:eastAsia="zh-CN"/>
              </w:rPr>
              <w:t>一览表</w:t>
            </w:r>
          </w:p>
          <w:tbl>
            <w:tblPr>
              <w:tblStyle w:val="27"/>
              <w:tblW w:w="4999" w:type="pct"/>
              <w:tblInd w:w="0" w:type="dxa"/>
              <w:tblBorders>
                <w:top w:val="double" w:color="auto" w:sz="4" w:space="0"/>
                <w:left w:val="none" w:color="auto" w:sz="0" w:space="0"/>
                <w:bottom w:val="double" w:color="auto" w:sz="4" w:space="0"/>
                <w:right w:val="none" w:color="auto" w:sz="0" w:space="0"/>
                <w:insideH w:val="single" w:color="auto" w:sz="4" w:space="0"/>
                <w:insideV w:val="single" w:color="auto" w:sz="4" w:space="0"/>
              </w:tblBorders>
              <w:tblLayout w:type="autofit"/>
              <w:tblCellMar>
                <w:top w:w="0" w:type="dxa"/>
                <w:left w:w="23" w:type="dxa"/>
                <w:bottom w:w="0" w:type="dxa"/>
                <w:right w:w="23" w:type="dxa"/>
              </w:tblCellMar>
            </w:tblPr>
            <w:tblGrid>
              <w:gridCol w:w="4203"/>
              <w:gridCol w:w="2021"/>
              <w:gridCol w:w="702"/>
            </w:tblGrid>
            <w:tr w14:paraId="303C9464">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23" w:type="dxa"/>
                  <w:bottom w:w="0" w:type="dxa"/>
                  <w:right w:w="23" w:type="dxa"/>
                </w:tblCellMar>
              </w:tblPrEx>
              <w:trPr>
                <w:trHeight w:val="363" w:hRule="atLeast"/>
              </w:trPr>
              <w:tc>
                <w:tcPr>
                  <w:tcW w:w="3034" w:type="pct"/>
                  <w:tcBorders>
                    <w:tl2br w:val="nil"/>
                    <w:tr2bl w:val="nil"/>
                  </w:tcBorders>
                  <w:noWrap w:val="0"/>
                  <w:vAlign w:val="center"/>
                </w:tcPr>
                <w:p w14:paraId="65BBA814">
                  <w:pPr>
                    <w:keepNext w:val="0"/>
                    <w:keepLines w:val="0"/>
                    <w:pageBreakBefore w:val="0"/>
                    <w:widowControl w:val="0"/>
                    <w:kinsoku/>
                    <w:wordWrap/>
                    <w:overflowPunct/>
                    <w:topLinePunct w:val="0"/>
                    <w:autoSpaceDE/>
                    <w:autoSpaceDN/>
                    <w:bidi w:val="0"/>
                    <w:adjustRightInd/>
                    <w:snapToGrid w:val="0"/>
                    <w:spacing w:beforeAutospacing="0" w:afterAutospacing="0" w:line="240" w:lineRule="auto"/>
                    <w:ind w:firstLine="0" w:firstLineChars="0"/>
                    <w:jc w:val="center"/>
                    <w:textAlignment w:val="auto"/>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eastAsia="宋体" w:cs="Times New Roman"/>
                      <w:b/>
                      <w:bCs/>
                      <w:color w:val="auto"/>
                      <w:sz w:val="21"/>
                      <w:szCs w:val="21"/>
                      <w:highlight w:val="none"/>
                      <w:lang w:val="en-US" w:eastAsia="zh-CN"/>
                    </w:rPr>
                    <w:t>方案要求</w:t>
                  </w:r>
                </w:p>
              </w:tc>
              <w:tc>
                <w:tcPr>
                  <w:tcW w:w="1459" w:type="pct"/>
                  <w:tcBorders>
                    <w:tl2br w:val="nil"/>
                    <w:tr2bl w:val="nil"/>
                  </w:tcBorders>
                  <w:noWrap w:val="0"/>
                  <w:vAlign w:val="center"/>
                </w:tcPr>
                <w:p w14:paraId="0AB6DE70">
                  <w:pPr>
                    <w:keepNext w:val="0"/>
                    <w:keepLines w:val="0"/>
                    <w:pageBreakBefore w:val="0"/>
                    <w:widowControl w:val="0"/>
                    <w:kinsoku/>
                    <w:wordWrap/>
                    <w:overflowPunct/>
                    <w:topLinePunct w:val="0"/>
                    <w:autoSpaceDE/>
                    <w:autoSpaceDN/>
                    <w:bidi w:val="0"/>
                    <w:adjustRightInd/>
                    <w:snapToGrid w:val="0"/>
                    <w:spacing w:beforeAutospacing="0" w:afterAutospacing="0" w:line="240" w:lineRule="auto"/>
                    <w:ind w:firstLine="0" w:firstLineChars="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本项目拟建设情况</w:t>
                  </w:r>
                </w:p>
              </w:tc>
              <w:tc>
                <w:tcPr>
                  <w:tcW w:w="506" w:type="pct"/>
                  <w:tcBorders>
                    <w:tl2br w:val="nil"/>
                    <w:tr2bl w:val="nil"/>
                  </w:tcBorders>
                  <w:noWrap w:val="0"/>
                  <w:vAlign w:val="center"/>
                </w:tcPr>
                <w:p w14:paraId="61B50EF4">
                  <w:pPr>
                    <w:keepNext w:val="0"/>
                    <w:keepLines w:val="0"/>
                    <w:pageBreakBefore w:val="0"/>
                    <w:widowControl w:val="0"/>
                    <w:kinsoku/>
                    <w:wordWrap/>
                    <w:overflowPunct/>
                    <w:topLinePunct w:val="0"/>
                    <w:autoSpaceDE/>
                    <w:autoSpaceDN/>
                    <w:bidi w:val="0"/>
                    <w:adjustRightInd/>
                    <w:snapToGrid w:val="0"/>
                    <w:spacing w:beforeAutospacing="0" w:afterAutospacing="0" w:line="240" w:lineRule="auto"/>
                    <w:ind w:firstLine="0" w:firstLineChars="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符合性</w:t>
                  </w:r>
                </w:p>
              </w:tc>
            </w:tr>
            <w:tr w14:paraId="69B50632">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23" w:type="dxa"/>
                  <w:bottom w:w="0" w:type="dxa"/>
                  <w:right w:w="23" w:type="dxa"/>
                </w:tblCellMar>
              </w:tblPrEx>
              <w:trPr>
                <w:trHeight w:val="363" w:hRule="atLeast"/>
              </w:trPr>
              <w:tc>
                <w:tcPr>
                  <w:tcW w:w="3034" w:type="pct"/>
                  <w:tcBorders>
                    <w:tl2br w:val="nil"/>
                    <w:tr2bl w:val="nil"/>
                  </w:tcBorders>
                  <w:noWrap w:val="0"/>
                  <w:vAlign w:val="center"/>
                </w:tcPr>
                <w:p w14:paraId="7CC252BF">
                  <w:pPr>
                    <w:keepNext w:val="0"/>
                    <w:keepLines w:val="0"/>
                    <w:pageBreakBefore w:val="0"/>
                    <w:widowControl w:val="0"/>
                    <w:numPr>
                      <w:ilvl w:val="0"/>
                      <w:numId w:val="0"/>
                    </w:numPr>
                    <w:kinsoku/>
                    <w:wordWrap/>
                    <w:overflowPunct/>
                    <w:topLinePunct w:val="0"/>
                    <w:autoSpaceDE/>
                    <w:autoSpaceDN/>
                    <w:bidi w:val="0"/>
                    <w:adjustRightInd/>
                    <w:snapToGrid w:val="0"/>
                    <w:spacing w:beforeAutospacing="0" w:afterAutospacing="0" w:line="240" w:lineRule="auto"/>
                    <w:ind w:left="210" w:leftChars="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重点任务</w:t>
                  </w:r>
                </w:p>
                <w:p w14:paraId="5D2B0CF5">
                  <w:pPr>
                    <w:pStyle w:val="20"/>
                    <w:keepNext w:val="0"/>
                    <w:keepLines w:val="0"/>
                    <w:pageBreakBefore w:val="0"/>
                    <w:numPr>
                      <w:ilvl w:val="0"/>
                      <w:numId w:val="0"/>
                    </w:numPr>
                    <w:kinsoku/>
                    <w:wordWrap/>
                    <w:overflowPunct/>
                    <w:topLinePunct w:val="0"/>
                    <w:autoSpaceDE/>
                    <w:autoSpaceDN/>
                    <w:bidi w:val="0"/>
                    <w:adjustRightInd/>
                    <w:spacing w:beforeAutospacing="0" w:afterAutospacing="0" w:line="240" w:lineRule="auto"/>
                    <w:ind w:left="420" w:leftChars="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深入打好蓝天保卫战</w:t>
                  </w:r>
                </w:p>
                <w:p w14:paraId="4722E6D2">
                  <w:pPr>
                    <w:pStyle w:val="23"/>
                    <w:keepNext w:val="0"/>
                    <w:keepLines w:val="0"/>
                    <w:pageBreakBefore w:val="0"/>
                    <w:widowControl/>
                    <w:suppressLineNumbers w:val="0"/>
                    <w:shd w:val="clear" w:color="auto" w:fill="FFFFFF"/>
                    <w:kinsoku/>
                    <w:wordWrap/>
                    <w:overflowPunct/>
                    <w:topLinePunct w:val="0"/>
                    <w:autoSpaceDE/>
                    <w:autoSpaceDN/>
                    <w:bidi w:val="0"/>
                    <w:adjustRightInd/>
                    <w:spacing w:before="0" w:beforeAutospacing="0" w:after="0" w:afterAutospacing="0" w:line="240" w:lineRule="auto"/>
                    <w:ind w:left="0" w:firstLine="0" w:firstLineChars="0"/>
                    <w:jc w:val="both"/>
                    <w:textAlignment w:val="auto"/>
                    <w:rPr>
                      <w:rFonts w:hint="default" w:ascii="Times New Roman" w:hAnsi="Times New Roman" w:eastAsia="宋体" w:cs="Times New Roman"/>
                      <w:i w:val="0"/>
                      <w:iCs w:val="0"/>
                      <w:caps w:val="0"/>
                      <w:color w:val="auto"/>
                      <w:spacing w:val="0"/>
                      <w:sz w:val="21"/>
                      <w:szCs w:val="21"/>
                    </w:rPr>
                  </w:pPr>
                  <w:r>
                    <w:rPr>
                      <w:rFonts w:hint="default" w:ascii="Times New Roman" w:hAnsi="Times New Roman" w:eastAsia="宋体" w:cs="Times New Roman"/>
                      <w:i w:val="0"/>
                      <w:iCs w:val="0"/>
                      <w:caps w:val="0"/>
                      <w:color w:val="auto"/>
                      <w:spacing w:val="0"/>
                      <w:sz w:val="21"/>
                      <w:szCs w:val="21"/>
                      <w:shd w:val="clear" w:color="auto" w:fill="FFFFFF"/>
                    </w:rPr>
                    <w:t>2.着力打好臭氧污染治理攻坚战。聚焦挥发性有机物和氮氧化物协同减排，以每年5月至9月为重点时段，以辽宁中部城市群为重点区域，实施挥发性有机物原辅材料源头替代等“五大行动”。到2025年，全省涉挥发性有机物、氮氧化物重点工程减排量达到3.27万吨和7.96万吨以上，遏制臭氧浓度上升趋势。</w:t>
                  </w:r>
                </w:p>
                <w:p w14:paraId="2D75B188">
                  <w:pPr>
                    <w:pStyle w:val="23"/>
                    <w:keepNext w:val="0"/>
                    <w:keepLines w:val="0"/>
                    <w:pageBreakBefore w:val="0"/>
                    <w:widowControl/>
                    <w:suppressLineNumbers w:val="0"/>
                    <w:shd w:val="clear" w:color="auto" w:fill="FFFFFF"/>
                    <w:kinsoku/>
                    <w:wordWrap/>
                    <w:overflowPunct/>
                    <w:topLinePunct w:val="0"/>
                    <w:autoSpaceDE/>
                    <w:autoSpaceDN/>
                    <w:bidi w:val="0"/>
                    <w:adjustRightInd/>
                    <w:spacing w:before="0" w:beforeAutospacing="0" w:after="0" w:afterAutospacing="0" w:line="240" w:lineRule="auto"/>
                    <w:ind w:left="0" w:firstLine="0" w:firstLineChars="0"/>
                    <w:jc w:val="both"/>
                    <w:textAlignment w:val="auto"/>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i w:val="0"/>
                      <w:iCs w:val="0"/>
                      <w:caps w:val="0"/>
                      <w:color w:val="auto"/>
                      <w:spacing w:val="0"/>
                      <w:sz w:val="21"/>
                      <w:szCs w:val="21"/>
                      <w:shd w:val="clear" w:color="auto" w:fill="FFFFFF"/>
                    </w:rPr>
                    <w:t>　　实施挥发性有机物原辅材料源头替代行动。完善挥发性有机物产品标准体系，建立低挥发性有机物含量产品标识制度。以汽车整车、木质家具、汽车零部件、工程机械、钢结构、船舶制造行业为重点，提升低挥发性有机物含量涂料使用比例。开展含挥发性有机物原辅材料达标联合检查，曝光不合格产品并依法追究相关企业责任。</w:t>
                  </w:r>
                </w:p>
              </w:tc>
              <w:tc>
                <w:tcPr>
                  <w:tcW w:w="1459" w:type="pct"/>
                  <w:tcBorders>
                    <w:tl2br w:val="nil"/>
                    <w:tr2bl w:val="nil"/>
                  </w:tcBorders>
                  <w:noWrap w:val="0"/>
                  <w:vAlign w:val="center"/>
                </w:tcPr>
                <w:p w14:paraId="3330F767">
                  <w:pPr>
                    <w:keepNext w:val="0"/>
                    <w:keepLines w:val="0"/>
                    <w:pageBreakBefore w:val="0"/>
                    <w:widowControl w:val="0"/>
                    <w:kinsoku/>
                    <w:wordWrap/>
                    <w:overflowPunct/>
                    <w:topLinePunct w:val="0"/>
                    <w:autoSpaceDE/>
                    <w:autoSpaceDN/>
                    <w:bidi w:val="0"/>
                    <w:adjustRightInd/>
                    <w:snapToGrid w:val="0"/>
                    <w:spacing w:beforeAutospacing="0" w:afterAutospacing="0" w:line="240" w:lineRule="auto"/>
                    <w:ind w:firstLine="0" w:firstLineChars="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bCs/>
                      <w:color w:val="auto"/>
                      <w:sz w:val="21"/>
                      <w:szCs w:val="21"/>
                      <w:highlight w:val="none"/>
                    </w:rPr>
                    <w:t>本项目</w:t>
                  </w:r>
                  <w:r>
                    <w:rPr>
                      <w:rFonts w:hint="eastAsia" w:cs="Times New Roman"/>
                      <w:bCs/>
                      <w:color w:val="auto"/>
                      <w:sz w:val="21"/>
                      <w:szCs w:val="21"/>
                      <w:highlight w:val="none"/>
                      <w:lang w:val="en-US" w:eastAsia="zh-CN"/>
                    </w:rPr>
                    <w:t>为</w:t>
                  </w:r>
                  <w:r>
                    <w:rPr>
                      <w:rFonts w:hint="eastAsia" w:ascii="Times New Roman" w:hAnsi="Times New Roman" w:cs="Times New Roman"/>
                      <w:color w:val="auto"/>
                      <w:kern w:val="2"/>
                      <w:sz w:val="21"/>
                      <w:szCs w:val="21"/>
                      <w:highlight w:val="none"/>
                      <w:lang w:val="en-US" w:eastAsia="zh-CN" w:bidi="ar-SA"/>
                    </w:rPr>
                    <w:t>危险废物治理行业</w:t>
                  </w:r>
                  <w:r>
                    <w:rPr>
                      <w:rFonts w:hint="eastAsia" w:ascii="Times New Roman" w:hAnsi="Times New Roman" w:eastAsia="宋体" w:cs="Times New Roman"/>
                      <w:color w:val="auto"/>
                      <w:kern w:val="2"/>
                      <w:sz w:val="21"/>
                      <w:szCs w:val="21"/>
                      <w:highlight w:val="none"/>
                      <w:lang w:val="en-US" w:eastAsia="zh-CN" w:bidi="ar-SA"/>
                    </w:rPr>
                    <w:t>，不属于</w:t>
                  </w:r>
                  <w:r>
                    <w:rPr>
                      <w:rFonts w:hint="default" w:ascii="Times New Roman" w:hAnsi="Times New Roman" w:eastAsia="宋体" w:cs="Times New Roman"/>
                      <w:i w:val="0"/>
                      <w:iCs w:val="0"/>
                      <w:caps w:val="0"/>
                      <w:color w:val="auto"/>
                      <w:spacing w:val="0"/>
                      <w:sz w:val="21"/>
                      <w:szCs w:val="21"/>
                      <w:shd w:val="clear" w:color="auto" w:fill="FFFFFF"/>
                    </w:rPr>
                    <w:t>汽车整车、木质家具、汽车零部件、工程机械、钢结构、船舶制造行业</w:t>
                  </w:r>
                  <w:r>
                    <w:rPr>
                      <w:rFonts w:hint="eastAsia" w:ascii="Times New Roman" w:hAnsi="Times New Roman" w:eastAsia="宋体" w:cs="Times New Roman"/>
                      <w:i w:val="0"/>
                      <w:iCs w:val="0"/>
                      <w:caps w:val="0"/>
                      <w:color w:val="auto"/>
                      <w:spacing w:val="0"/>
                      <w:sz w:val="21"/>
                      <w:szCs w:val="21"/>
                      <w:shd w:val="clear" w:color="auto" w:fill="FFFFFF"/>
                      <w:lang w:val="en-US" w:eastAsia="zh-CN"/>
                    </w:rPr>
                    <w:t>等</w:t>
                  </w:r>
                  <w:r>
                    <w:rPr>
                      <w:rFonts w:hint="default" w:ascii="Times New Roman" w:hAnsi="Times New Roman" w:eastAsia="宋体" w:cs="Times New Roman"/>
                      <w:i w:val="0"/>
                      <w:iCs w:val="0"/>
                      <w:caps w:val="0"/>
                      <w:color w:val="auto"/>
                      <w:spacing w:val="0"/>
                      <w:sz w:val="21"/>
                      <w:szCs w:val="21"/>
                      <w:shd w:val="clear" w:color="auto" w:fill="FFFFFF"/>
                    </w:rPr>
                    <w:t>重点</w:t>
                  </w:r>
                  <w:r>
                    <w:rPr>
                      <w:rFonts w:hint="eastAsia" w:ascii="Times New Roman" w:hAnsi="Times New Roman" w:eastAsia="宋体" w:cs="Times New Roman"/>
                      <w:i w:val="0"/>
                      <w:iCs w:val="0"/>
                      <w:caps w:val="0"/>
                      <w:color w:val="auto"/>
                      <w:spacing w:val="0"/>
                      <w:sz w:val="21"/>
                      <w:szCs w:val="21"/>
                      <w:shd w:val="clear" w:color="auto" w:fill="FFFFFF"/>
                      <w:lang w:eastAsia="zh-CN"/>
                    </w:rPr>
                    <w:t>，</w:t>
                  </w:r>
                  <w:r>
                    <w:rPr>
                      <w:rFonts w:hint="default" w:ascii="Times New Roman" w:hAnsi="Times New Roman" w:eastAsia="宋体" w:cs="Times New Roman"/>
                      <w:b w:val="0"/>
                      <w:bCs/>
                      <w:color w:val="auto"/>
                      <w:sz w:val="21"/>
                      <w:szCs w:val="21"/>
                      <w:highlight w:val="none"/>
                      <w:lang w:val="en-US" w:eastAsia="zh-CN"/>
                    </w:rPr>
                    <w:t>该项目产生非甲烷总烃，收集后</w:t>
                  </w:r>
                  <w:r>
                    <w:rPr>
                      <w:rFonts w:hint="eastAsia" w:ascii="Times New Roman" w:hAnsi="Times New Roman" w:cs="Times New Roman"/>
                      <w:b w:val="0"/>
                      <w:bCs/>
                      <w:color w:val="auto"/>
                      <w:sz w:val="21"/>
                      <w:szCs w:val="21"/>
                      <w:highlight w:val="none"/>
                      <w:lang w:val="en-US" w:eastAsia="zh-CN"/>
                    </w:rPr>
                    <w:t>经</w:t>
                  </w:r>
                  <w:r>
                    <w:rPr>
                      <w:rFonts w:hint="default" w:ascii="Times New Roman" w:hAnsi="Times New Roman" w:eastAsia="宋体" w:cs="Times New Roman"/>
                      <w:b w:val="0"/>
                      <w:bCs/>
                      <w:color w:val="auto"/>
                      <w:sz w:val="21"/>
                      <w:szCs w:val="21"/>
                      <w:highlight w:val="none"/>
                      <w:lang w:val="en-US" w:eastAsia="zh-CN"/>
                    </w:rPr>
                    <w:t>活性炭吸附装置处理后通过</w:t>
                  </w:r>
                  <w:r>
                    <w:rPr>
                      <w:rFonts w:hint="eastAsia" w:ascii="Times New Roman" w:hAnsi="Times New Roman" w:cs="Times New Roman"/>
                      <w:b w:val="0"/>
                      <w:bCs/>
                      <w:color w:val="auto"/>
                      <w:sz w:val="21"/>
                      <w:szCs w:val="21"/>
                      <w:highlight w:val="none"/>
                      <w:lang w:val="en-US" w:eastAsia="zh-CN"/>
                    </w:rPr>
                    <w:t>15</w:t>
                  </w:r>
                  <w:r>
                    <w:rPr>
                      <w:rFonts w:hint="default" w:ascii="Times New Roman" w:hAnsi="Times New Roman" w:eastAsia="宋体" w:cs="Times New Roman"/>
                      <w:b w:val="0"/>
                      <w:bCs/>
                      <w:color w:val="auto"/>
                      <w:sz w:val="21"/>
                      <w:szCs w:val="21"/>
                      <w:highlight w:val="none"/>
                      <w:lang w:val="en-US" w:eastAsia="zh-CN"/>
                    </w:rPr>
                    <w:t>m高排气筒排放</w:t>
                  </w:r>
                  <w:r>
                    <w:rPr>
                      <w:rFonts w:hint="eastAsia" w:ascii="Times New Roman" w:hAnsi="Times New Roman" w:eastAsia="宋体" w:cs="Times New Roman"/>
                      <w:b w:val="0"/>
                      <w:bCs/>
                      <w:color w:val="auto"/>
                      <w:sz w:val="21"/>
                      <w:szCs w:val="21"/>
                      <w:highlight w:val="none"/>
                      <w:lang w:val="en-US" w:eastAsia="zh-CN"/>
                    </w:rPr>
                    <w:t>.</w:t>
                  </w:r>
                  <w:r>
                    <w:rPr>
                      <w:rFonts w:hint="default" w:ascii="Times New Roman" w:hAnsi="Times New Roman" w:eastAsia="宋体" w:cs="Times New Roman"/>
                      <w:b w:val="0"/>
                      <w:bCs/>
                      <w:color w:val="auto"/>
                      <w:sz w:val="21"/>
                      <w:szCs w:val="21"/>
                      <w:highlight w:val="none"/>
                      <w:lang w:val="en-US" w:eastAsia="zh-CN"/>
                    </w:rPr>
                    <w:t>经处理后废气可满足达标排放</w:t>
                  </w:r>
                  <w:r>
                    <w:rPr>
                      <w:rFonts w:hint="default" w:ascii="Times New Roman" w:hAnsi="Times New Roman" w:eastAsia="宋体" w:cs="Times New Roman"/>
                      <w:b w:val="0"/>
                      <w:bCs/>
                      <w:color w:val="auto"/>
                      <w:sz w:val="21"/>
                      <w:szCs w:val="21"/>
                      <w:highlight w:val="none"/>
                    </w:rPr>
                    <w:t>。</w:t>
                  </w:r>
                </w:p>
              </w:tc>
              <w:tc>
                <w:tcPr>
                  <w:tcW w:w="506" w:type="pct"/>
                  <w:tcBorders>
                    <w:tl2br w:val="nil"/>
                    <w:tr2bl w:val="nil"/>
                  </w:tcBorders>
                  <w:noWrap w:val="0"/>
                  <w:vAlign w:val="center"/>
                </w:tcPr>
                <w:p w14:paraId="628EBDEC">
                  <w:pPr>
                    <w:keepNext w:val="0"/>
                    <w:keepLines w:val="0"/>
                    <w:pageBreakBefore w:val="0"/>
                    <w:widowControl w:val="0"/>
                    <w:kinsoku/>
                    <w:wordWrap/>
                    <w:overflowPunct/>
                    <w:topLinePunct w:val="0"/>
                    <w:autoSpaceDE/>
                    <w:autoSpaceDN/>
                    <w:bidi w:val="0"/>
                    <w:adjustRightInd/>
                    <w:snapToGrid w:val="0"/>
                    <w:spacing w:beforeAutospacing="0" w:afterAutospacing="0"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符合</w:t>
                  </w:r>
                </w:p>
              </w:tc>
            </w:tr>
          </w:tbl>
          <w:p w14:paraId="6B64FD63">
            <w:pPr>
              <w:keepNext w:val="0"/>
              <w:keepLines w:val="0"/>
              <w:pageBreakBefore w:val="0"/>
              <w:widowControl w:val="0"/>
              <w:numPr>
                <w:ilvl w:val="0"/>
                <w:numId w:val="1"/>
              </w:numPr>
              <w:kinsoku/>
              <w:wordWrap/>
              <w:overflowPunct/>
              <w:topLinePunct w:val="0"/>
              <w:autoSpaceDE/>
              <w:autoSpaceDN/>
              <w:bidi w:val="0"/>
              <w:adjustRightInd/>
              <w:spacing w:line="360" w:lineRule="auto"/>
              <w:ind w:left="420" w:leftChars="0" w:hanging="420" w:firstLineChars="0"/>
              <w:textAlignment w:val="auto"/>
              <w:rPr>
                <w:rFonts w:hint="default" w:ascii="Times New Roman" w:hAnsi="Times New Roman" w:eastAsia="宋体" w:cs="Times New Roman"/>
                <w:b/>
                <w:bCs/>
                <w:color w:val="auto"/>
                <w:spacing w:val="-6"/>
                <w:sz w:val="24"/>
                <w:szCs w:val="24"/>
                <w:highlight w:val="none"/>
              </w:rPr>
            </w:pPr>
            <w:r>
              <w:rPr>
                <w:rFonts w:hint="eastAsia" w:ascii="Times New Roman" w:hAnsi="Times New Roman" w:eastAsia="宋体" w:cs="Times New Roman"/>
                <w:b/>
                <w:bCs/>
                <w:color w:val="auto"/>
                <w:spacing w:val="-6"/>
                <w:sz w:val="24"/>
                <w:szCs w:val="24"/>
                <w:highlight w:val="none"/>
                <w:lang w:val="en-US" w:eastAsia="zh-CN"/>
              </w:rPr>
              <w:t>与</w:t>
            </w:r>
            <w:r>
              <w:rPr>
                <w:rFonts w:hint="default" w:ascii="Times New Roman" w:hAnsi="Times New Roman" w:eastAsia="宋体" w:cs="Times New Roman"/>
                <w:b/>
                <w:bCs/>
                <w:color w:val="auto"/>
                <w:spacing w:val="-6"/>
                <w:sz w:val="24"/>
                <w:szCs w:val="24"/>
                <w:highlight w:val="none"/>
              </w:rPr>
              <w:t>《</w:t>
            </w:r>
            <w:r>
              <w:rPr>
                <w:rFonts w:hint="eastAsia" w:ascii="Times New Roman" w:hAnsi="Times New Roman" w:eastAsia="宋体" w:cs="Times New Roman"/>
                <w:b/>
                <w:bCs/>
                <w:color w:val="auto"/>
                <w:spacing w:val="-6"/>
                <w:sz w:val="24"/>
                <w:szCs w:val="24"/>
                <w:highlight w:val="none"/>
                <w:lang w:eastAsia="zh-CN"/>
              </w:rPr>
              <w:t>本溪市“十三五”挥发性有机物污染防治与削减工作实施方案</w:t>
            </w:r>
            <w:r>
              <w:rPr>
                <w:rFonts w:hint="default" w:ascii="Times New Roman" w:hAnsi="Times New Roman" w:eastAsia="宋体" w:cs="Times New Roman"/>
                <w:b/>
                <w:bCs/>
                <w:color w:val="auto"/>
                <w:spacing w:val="-6"/>
                <w:sz w:val="24"/>
                <w:szCs w:val="24"/>
                <w:highlight w:val="none"/>
              </w:rPr>
              <w:t>》的相符性分析</w:t>
            </w:r>
          </w:p>
          <w:p w14:paraId="18347BD1">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left"/>
              <w:textAlignment w:val="auto"/>
              <w:rPr>
                <w:rFonts w:hint="default" w:ascii="Times New Roman" w:hAnsi="Times New Roman" w:eastAsia="宋体" w:cs="Times New Roman"/>
                <w:b/>
                <w:color w:val="auto"/>
                <w:sz w:val="21"/>
                <w:szCs w:val="21"/>
                <w:highlight w:val="none"/>
              </w:rPr>
            </w:pPr>
            <w:r>
              <w:rPr>
                <w:rFonts w:hint="default" w:ascii="Times New Roman" w:hAnsi="Times New Roman" w:eastAsia="宋体" w:cs="Times New Roman"/>
                <w:color w:val="auto"/>
                <w:sz w:val="24"/>
                <w:szCs w:val="24"/>
                <w:highlight w:val="none"/>
              </w:rPr>
              <w:t>根据《本溪市“十三五”挥发性有机物污染防治与削减工作实施方案》有关规定，本项目建设内容与该标准的相符性分析结果见表</w:t>
            </w:r>
            <w:r>
              <w:rPr>
                <w:rFonts w:hint="eastAsia" w:ascii="Times New Roman" w:hAnsi="Times New Roman" w:eastAsia="宋体" w:cs="Times New Roman"/>
                <w:color w:val="auto"/>
                <w:sz w:val="24"/>
                <w:szCs w:val="24"/>
                <w:highlight w:val="none"/>
                <w:lang w:val="en-US" w:eastAsia="zh-CN"/>
              </w:rPr>
              <w:t>1-</w:t>
            </w:r>
            <w:r>
              <w:rPr>
                <w:rFonts w:hint="eastAsia" w:cs="Times New Roman"/>
                <w:color w:val="auto"/>
                <w:sz w:val="24"/>
                <w:szCs w:val="24"/>
                <w:highlight w:val="none"/>
                <w:lang w:val="en-US" w:eastAsia="zh-CN"/>
              </w:rPr>
              <w:t>14</w:t>
            </w:r>
            <w:r>
              <w:rPr>
                <w:rFonts w:hint="default" w:ascii="Times New Roman" w:hAnsi="Times New Roman" w:eastAsia="宋体" w:cs="Times New Roman"/>
                <w:color w:val="auto"/>
                <w:sz w:val="24"/>
                <w:szCs w:val="24"/>
                <w:highlight w:val="none"/>
              </w:rPr>
              <w:t>。</w:t>
            </w:r>
          </w:p>
          <w:p w14:paraId="0E8270DB">
            <w:pPr>
              <w:keepNext w:val="0"/>
              <w:keepLines w:val="0"/>
              <w:pageBreakBefore w:val="0"/>
              <w:widowControl w:val="0"/>
              <w:kinsoku/>
              <w:wordWrap/>
              <w:overflowPunct/>
              <w:topLinePunct w:val="0"/>
              <w:autoSpaceDE/>
              <w:autoSpaceDN/>
              <w:bidi w:val="0"/>
              <w:adjustRightInd/>
              <w:snapToGrid w:val="0"/>
              <w:spacing w:line="240" w:lineRule="auto"/>
              <w:ind w:firstLine="422" w:firstLineChars="200"/>
              <w:jc w:val="center"/>
              <w:textAlignment w:val="auto"/>
              <w:rPr>
                <w:rFonts w:hint="default" w:ascii="Times New Roman" w:hAnsi="Times New Roman" w:eastAsia="宋体" w:cs="Times New Roman"/>
                <w:b/>
                <w:color w:val="auto"/>
                <w:sz w:val="21"/>
                <w:szCs w:val="21"/>
                <w:highlight w:val="none"/>
                <w:lang w:eastAsia="zh-CN"/>
              </w:rPr>
            </w:pPr>
            <w:r>
              <w:rPr>
                <w:rFonts w:hint="default" w:ascii="Times New Roman" w:hAnsi="Times New Roman" w:eastAsia="宋体" w:cs="Times New Roman"/>
                <w:b/>
                <w:color w:val="auto"/>
                <w:sz w:val="21"/>
                <w:szCs w:val="21"/>
                <w:highlight w:val="none"/>
              </w:rPr>
              <w:t>表</w:t>
            </w:r>
            <w:r>
              <w:rPr>
                <w:rFonts w:hint="eastAsia" w:ascii="Times New Roman" w:hAnsi="Times New Roman" w:eastAsia="宋体" w:cs="Times New Roman"/>
                <w:b/>
                <w:color w:val="auto"/>
                <w:sz w:val="21"/>
                <w:szCs w:val="21"/>
                <w:highlight w:val="none"/>
                <w:lang w:val="en-US" w:eastAsia="zh-CN"/>
              </w:rPr>
              <w:t>1-</w:t>
            </w:r>
            <w:r>
              <w:rPr>
                <w:rFonts w:hint="eastAsia" w:ascii="Times New Roman" w:hAnsi="Times New Roman" w:cs="Times New Roman"/>
                <w:b/>
                <w:color w:val="auto"/>
                <w:sz w:val="21"/>
                <w:szCs w:val="21"/>
                <w:highlight w:val="none"/>
                <w:lang w:val="en-US" w:eastAsia="zh-CN"/>
              </w:rPr>
              <w:t>1</w:t>
            </w:r>
            <w:r>
              <w:rPr>
                <w:rFonts w:hint="eastAsia" w:cs="Times New Roman"/>
                <w:b/>
                <w:color w:val="auto"/>
                <w:sz w:val="21"/>
                <w:szCs w:val="21"/>
                <w:highlight w:val="none"/>
                <w:lang w:val="en-US" w:eastAsia="zh-CN"/>
              </w:rPr>
              <w:t>4</w:t>
            </w:r>
            <w:r>
              <w:rPr>
                <w:rFonts w:hint="default" w:ascii="Times New Roman" w:hAnsi="Times New Roman" w:eastAsia="宋体" w:cs="Times New Roman"/>
                <w:b/>
                <w:color w:val="auto"/>
                <w:sz w:val="21"/>
                <w:szCs w:val="21"/>
                <w:highlight w:val="none"/>
                <w:lang w:val="en-US" w:eastAsia="zh-CN"/>
              </w:rPr>
              <w:t xml:space="preserve"> </w:t>
            </w:r>
            <w:r>
              <w:rPr>
                <w:rFonts w:hint="eastAsia" w:ascii="Times New Roman" w:hAnsi="Times New Roman" w:eastAsia="宋体" w:cs="Times New Roman"/>
                <w:b/>
                <w:color w:val="auto"/>
                <w:sz w:val="21"/>
                <w:szCs w:val="21"/>
                <w:highlight w:val="none"/>
                <w:lang w:val="en-US" w:eastAsia="zh-CN"/>
              </w:rPr>
              <w:t xml:space="preserve"> </w:t>
            </w:r>
            <w:r>
              <w:rPr>
                <w:rFonts w:hint="default" w:ascii="Times New Roman" w:hAnsi="Times New Roman" w:eastAsia="宋体" w:cs="Times New Roman"/>
                <w:b/>
                <w:color w:val="auto"/>
                <w:sz w:val="21"/>
                <w:szCs w:val="21"/>
                <w:highlight w:val="none"/>
              </w:rPr>
              <w:t>与《本溪市“十三五”挥发性有机物污染防治与削减工作实施方案》</w:t>
            </w:r>
            <w:r>
              <w:rPr>
                <w:rFonts w:hint="default" w:ascii="Times New Roman" w:hAnsi="Times New Roman" w:eastAsia="宋体" w:cs="Times New Roman"/>
                <w:b/>
                <w:color w:val="auto"/>
                <w:sz w:val="21"/>
                <w:szCs w:val="21"/>
                <w:highlight w:val="none"/>
                <w:lang w:eastAsia="zh-CN"/>
              </w:rPr>
              <w:t>符合性</w:t>
            </w:r>
          </w:p>
          <w:tbl>
            <w:tblPr>
              <w:tblStyle w:val="27"/>
              <w:tblW w:w="4999" w:type="pct"/>
              <w:tblInd w:w="0" w:type="dxa"/>
              <w:tblBorders>
                <w:top w:val="double" w:color="auto" w:sz="4" w:space="0"/>
                <w:left w:val="none" w:color="auto" w:sz="0" w:space="0"/>
                <w:bottom w:val="double" w:color="auto" w:sz="4" w:space="0"/>
                <w:right w:val="none" w:color="auto" w:sz="0" w:space="0"/>
                <w:insideH w:val="single" w:color="auto" w:sz="4" w:space="0"/>
                <w:insideV w:val="single" w:color="auto" w:sz="4" w:space="0"/>
              </w:tblBorders>
              <w:tblLayout w:type="autofit"/>
              <w:tblCellMar>
                <w:top w:w="0" w:type="dxa"/>
                <w:left w:w="23" w:type="dxa"/>
                <w:bottom w:w="0" w:type="dxa"/>
                <w:right w:w="23" w:type="dxa"/>
              </w:tblCellMar>
            </w:tblPr>
            <w:tblGrid>
              <w:gridCol w:w="3663"/>
              <w:gridCol w:w="2562"/>
              <w:gridCol w:w="701"/>
            </w:tblGrid>
            <w:tr w14:paraId="2C3282AB">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23" w:type="dxa"/>
                  <w:bottom w:w="0" w:type="dxa"/>
                  <w:right w:w="23" w:type="dxa"/>
                </w:tblCellMar>
              </w:tblPrEx>
              <w:trPr>
                <w:trHeight w:val="363" w:hRule="atLeast"/>
              </w:trPr>
              <w:tc>
                <w:tcPr>
                  <w:tcW w:w="2644" w:type="pct"/>
                  <w:tcBorders>
                    <w:tl2br w:val="nil"/>
                    <w:tr2bl w:val="nil"/>
                  </w:tcBorders>
                  <w:noWrap w:val="0"/>
                  <w:vAlign w:val="center"/>
                </w:tcPr>
                <w:p w14:paraId="27EBAC2F">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标准具体要求（摘录）</w:t>
                  </w:r>
                </w:p>
              </w:tc>
              <w:tc>
                <w:tcPr>
                  <w:tcW w:w="1849" w:type="pct"/>
                  <w:tcBorders>
                    <w:tl2br w:val="nil"/>
                    <w:tr2bl w:val="nil"/>
                  </w:tcBorders>
                  <w:noWrap w:val="0"/>
                  <w:vAlign w:val="center"/>
                </w:tcPr>
                <w:p w14:paraId="687D7049">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本项目拟建设情况</w:t>
                  </w:r>
                </w:p>
              </w:tc>
              <w:tc>
                <w:tcPr>
                  <w:tcW w:w="506" w:type="pct"/>
                  <w:tcBorders>
                    <w:tl2br w:val="nil"/>
                    <w:tr2bl w:val="nil"/>
                  </w:tcBorders>
                  <w:noWrap w:val="0"/>
                  <w:vAlign w:val="center"/>
                </w:tcPr>
                <w:p w14:paraId="1EBA9AB5">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符合性</w:t>
                  </w:r>
                </w:p>
              </w:tc>
            </w:tr>
            <w:tr w14:paraId="5EF00F37">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23" w:type="dxa"/>
                  <w:bottom w:w="0" w:type="dxa"/>
                  <w:right w:w="23" w:type="dxa"/>
                </w:tblCellMar>
              </w:tblPrEx>
              <w:trPr>
                <w:trHeight w:val="363" w:hRule="atLeast"/>
              </w:trPr>
              <w:tc>
                <w:tcPr>
                  <w:tcW w:w="2644" w:type="pct"/>
                  <w:tcBorders>
                    <w:tl2br w:val="nil"/>
                    <w:tr2bl w:val="nil"/>
                  </w:tcBorders>
                  <w:noWrap w:val="0"/>
                  <w:vAlign w:val="center"/>
                </w:tcPr>
                <w:p w14:paraId="20FC4923">
                  <w:pPr>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eastAsia="zh-CN"/>
                    </w:rPr>
                    <w:t>加快“散乱污”企业综合整治。结合“散乱污”企业综合</w:t>
                  </w:r>
                  <w:r>
                    <w:rPr>
                      <w:rFonts w:hint="eastAsia" w:ascii="Times New Roman" w:hAnsi="Times New Roman" w:eastAsia="宋体" w:cs="Times New Roman"/>
                      <w:color w:val="auto"/>
                      <w:sz w:val="21"/>
                      <w:szCs w:val="21"/>
                      <w:highlight w:val="none"/>
                      <w:lang w:eastAsia="zh-CN"/>
                    </w:rPr>
                    <w:t>整</w:t>
                  </w:r>
                  <w:r>
                    <w:rPr>
                      <w:rFonts w:hint="default" w:ascii="Times New Roman" w:hAnsi="Times New Roman" w:eastAsia="宋体" w:cs="Times New Roman"/>
                      <w:color w:val="auto"/>
                      <w:sz w:val="21"/>
                      <w:szCs w:val="21"/>
                      <w:highlight w:val="none"/>
                      <w:lang w:eastAsia="zh-CN"/>
                    </w:rPr>
                    <w:t>治专项行动，对涉挥发性有机污染物排放的涂料、油墨、合成革、橡胶和塑料制品、化纤生产等化工企业，使用溶剂型涂料、油墨、胶粘剂和其他有机溶剂的印刷、家具、木业、制鞋、钢结构、人造板、注望等制造加工企业，以及露天喷涂汽车维修作业等“散乱污”行业开展综合整治。实行拉网式排查和清单制、台账式、网格化管理。按照产业政策、产业布局规划、以及土地、环保、质量、安全、能耗等要求，制定“散乱污”企业及集群整治标准，实施分类处置。不符合产业政策、无污染防治设施污染物直接排放，或防治设施不具备达标排放能力、没有治理价值、不能达标排放的落后产能，依法依规予以退出；坚决关闭能耗超标、污染物排放超标且治理无望的企业和生产线，逐年淘汰一批污染物排放强度大、产品附加值低的落产能；列入整合搬迁类的，要按照发展规模化、现代化产业的原则，搬迁至合规工业园区并实施升级改造；列入升级改造类的，梳理行业标杆，实施清洁生产技术，全面提升污染治理水平，制定改造提升方案，落实时间表和责任人。</w:t>
                  </w:r>
                </w:p>
              </w:tc>
              <w:tc>
                <w:tcPr>
                  <w:tcW w:w="1849" w:type="pct"/>
                  <w:tcBorders>
                    <w:tl2br w:val="nil"/>
                    <w:tr2bl w:val="nil"/>
                  </w:tcBorders>
                  <w:noWrap w:val="0"/>
                  <w:vAlign w:val="center"/>
                </w:tcPr>
                <w:p w14:paraId="192A92EB">
                  <w:pPr>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eastAsia" w:ascii="Times New Roman" w:hAnsi="Times New Roman" w:eastAsia="宋体" w:cs="Times New Roman"/>
                      <w:color w:val="auto"/>
                      <w:sz w:val="21"/>
                      <w:szCs w:val="21"/>
                      <w:highlight w:val="none"/>
                      <w:lang w:eastAsia="zh-CN"/>
                    </w:rPr>
                  </w:pPr>
                  <w:r>
                    <w:rPr>
                      <w:rFonts w:hint="default" w:ascii="Times New Roman" w:hAnsi="Times New Roman" w:eastAsia="宋体" w:cs="Times New Roman"/>
                      <w:bCs/>
                      <w:color w:val="auto"/>
                      <w:sz w:val="21"/>
                      <w:szCs w:val="21"/>
                      <w:highlight w:val="none"/>
                    </w:rPr>
                    <w:t>本项目</w:t>
                  </w:r>
                  <w:r>
                    <w:rPr>
                      <w:rFonts w:hint="eastAsia" w:ascii="Times New Roman" w:hAnsi="Times New Roman" w:eastAsia="宋体" w:cs="Times New Roman"/>
                      <w:bCs/>
                      <w:color w:val="auto"/>
                      <w:sz w:val="21"/>
                      <w:szCs w:val="21"/>
                      <w:highlight w:val="none"/>
                      <w:lang w:eastAsia="zh-CN"/>
                    </w:rPr>
                    <w:t>位于</w:t>
                  </w:r>
                  <w:r>
                    <w:rPr>
                      <w:rFonts w:hint="eastAsia"/>
                      <w:color w:val="auto"/>
                      <w:sz w:val="21"/>
                      <w:szCs w:val="21"/>
                      <w:lang w:val="en-US" w:eastAsia="zh-CN"/>
                    </w:rPr>
                    <w:t>本溪湖经济开发区园区</w:t>
                  </w:r>
                  <w:r>
                    <w:rPr>
                      <w:rFonts w:hint="eastAsia" w:ascii="Times New Roman" w:hAnsi="Times New Roman" w:eastAsia="宋体" w:cs="Times New Roman"/>
                      <w:bCs/>
                      <w:color w:val="auto"/>
                      <w:sz w:val="21"/>
                      <w:szCs w:val="21"/>
                      <w:highlight w:val="none"/>
                      <w:lang w:eastAsia="zh-CN"/>
                    </w:rPr>
                    <w:t>内，不属于挥发性有机物重点管控行业，且符合产业政策要求。</w:t>
                  </w:r>
                </w:p>
              </w:tc>
              <w:tc>
                <w:tcPr>
                  <w:tcW w:w="506" w:type="pct"/>
                  <w:tcBorders>
                    <w:tl2br w:val="nil"/>
                    <w:tr2bl w:val="nil"/>
                  </w:tcBorders>
                  <w:noWrap w:val="0"/>
                  <w:vAlign w:val="center"/>
                </w:tcPr>
                <w:p w14:paraId="2BC6A227">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符合</w:t>
                  </w:r>
                </w:p>
              </w:tc>
            </w:tr>
            <w:tr w14:paraId="758FA094">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23" w:type="dxa"/>
                  <w:bottom w:w="0" w:type="dxa"/>
                  <w:right w:w="23" w:type="dxa"/>
                </w:tblCellMar>
              </w:tblPrEx>
              <w:trPr>
                <w:trHeight w:val="363" w:hRule="atLeast"/>
              </w:trPr>
              <w:tc>
                <w:tcPr>
                  <w:tcW w:w="2644" w:type="pct"/>
                  <w:tcBorders>
                    <w:tl2br w:val="nil"/>
                    <w:tr2bl w:val="nil"/>
                  </w:tcBorders>
                  <w:noWrap w:val="0"/>
                  <w:vAlign w:val="center"/>
                </w:tcPr>
                <w:p w14:paraId="39DE29CC">
                  <w:pPr>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合理选择污染防治技术方案。企业应采用密闭化的生产系统，封闭一切不必要的开口，尽可能采用环保型原辅料、生产工艺和装备，从源头控制挥发性有机物废气的产生和无组织排放。加大挥发性有机物废气的回收利用，优先在生产系统内回用。对浓度和性状差异大的废气要进行分类收集，并采用适宜的方式进行有效处理，确保挥发性有机物总去除率满足管理要求。应根据废气的产生量、污染物的组分和性质、温度、压力等因素进行综合分析，合理选择废气回收或末端治理工艺路线。对于5000ppm以上的高浓度挥发性有机物废气，优先采用冷凝、吸附回收等技术对废气中的挥发性有机物回收利用，并辅以其他治理技术实现达标排放；对于1000ppm～5000ppm的中等浓度挥发性有机物废气，宜采用吸附技术回收有机溶剂，或采用催化燃烧和热力焚烧技术净化后达标排放；对于1000ppm以下的低浓度挥发性有机物废气，有回收价值时宜采用吸附技术回收处理，无回收价值时优先采用吸附浓缩一燃烧技术处理，也可采用低温等离子体技术或生物处理技术等净化处理后达标排放；含非水溶性组分的废气不得仅采用水或水溶液洗涤吸收方式处理，原则上禁止将高浓度废气直接与大风量、低浓度废气混合后，采用水或水溶液洗涤、低温等离子体技术或生物处理技术等中低效技术处理；凡配套吸附处理单元的含尘、含气溶胶、高湿废气，应事先采用高效除尘、除雾装置进行预处理。</w:t>
                  </w:r>
                </w:p>
              </w:tc>
              <w:tc>
                <w:tcPr>
                  <w:tcW w:w="1849" w:type="pct"/>
                  <w:tcBorders>
                    <w:tl2br w:val="nil"/>
                    <w:tr2bl w:val="nil"/>
                  </w:tcBorders>
                  <w:noWrap w:val="0"/>
                  <w:vAlign w:val="center"/>
                </w:tcPr>
                <w:p w14:paraId="77A44D82">
                  <w:pPr>
                    <w:keepNext w:val="0"/>
                    <w:keepLines w:val="0"/>
                    <w:pageBreakBefore w:val="0"/>
                    <w:widowControl w:val="0"/>
                    <w:kinsoku/>
                    <w:wordWrap/>
                    <w:overflowPunct/>
                    <w:topLinePunct w:val="0"/>
                    <w:autoSpaceDE/>
                    <w:autoSpaceDN/>
                    <w:bidi w:val="0"/>
                    <w:adjustRightInd/>
                    <w:snapToGrid w:val="0"/>
                    <w:spacing w:line="240" w:lineRule="auto"/>
                    <w:ind w:firstLine="0" w:firstLineChars="0"/>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b w:val="0"/>
                      <w:bCs/>
                      <w:color w:val="auto"/>
                      <w:sz w:val="21"/>
                      <w:szCs w:val="21"/>
                      <w:highlight w:val="none"/>
                      <w:lang w:val="en-US" w:eastAsia="zh-CN"/>
                    </w:rPr>
                    <w:t>该项目产生非甲烷总烃，</w:t>
                  </w:r>
                  <w:r>
                    <w:rPr>
                      <w:rFonts w:hint="eastAsia" w:ascii="Times New Roman" w:hAnsi="Times New Roman" w:cs="Times New Roman"/>
                      <w:b w:val="0"/>
                      <w:bCs/>
                      <w:color w:val="auto"/>
                      <w:sz w:val="21"/>
                      <w:szCs w:val="21"/>
                      <w:highlight w:val="none"/>
                      <w:lang w:val="en-US" w:eastAsia="zh-CN"/>
                    </w:rPr>
                    <w:t>经</w:t>
                  </w:r>
                  <w:r>
                    <w:rPr>
                      <w:rFonts w:hint="eastAsia" w:ascii="Times New Roman" w:hAnsi="Times New Roman" w:eastAsia="宋体" w:cs="Times New Roman"/>
                      <w:b w:val="0"/>
                      <w:bCs/>
                      <w:color w:val="auto"/>
                      <w:sz w:val="21"/>
                      <w:szCs w:val="21"/>
                      <w:highlight w:val="none"/>
                      <w:lang w:val="en-US" w:eastAsia="zh-CN"/>
                    </w:rPr>
                    <w:t>活性炭吸附装置处理后通过</w:t>
                  </w:r>
                  <w:r>
                    <w:rPr>
                      <w:rFonts w:hint="eastAsia" w:ascii="Times New Roman" w:hAnsi="Times New Roman" w:cs="Times New Roman"/>
                      <w:b w:val="0"/>
                      <w:bCs/>
                      <w:color w:val="auto"/>
                      <w:sz w:val="21"/>
                      <w:szCs w:val="21"/>
                      <w:highlight w:val="none"/>
                      <w:lang w:val="en-US" w:eastAsia="zh-CN"/>
                    </w:rPr>
                    <w:t>15</w:t>
                  </w:r>
                  <w:r>
                    <w:rPr>
                      <w:rFonts w:hint="eastAsia" w:ascii="Times New Roman" w:hAnsi="Times New Roman" w:eastAsia="宋体" w:cs="Times New Roman"/>
                      <w:b w:val="0"/>
                      <w:bCs/>
                      <w:color w:val="auto"/>
                      <w:sz w:val="21"/>
                      <w:szCs w:val="21"/>
                      <w:highlight w:val="none"/>
                      <w:lang w:val="en-US" w:eastAsia="zh-CN"/>
                    </w:rPr>
                    <w:t>m高排气筒排放。</w:t>
                  </w:r>
                  <w:r>
                    <w:rPr>
                      <w:rFonts w:hint="default" w:ascii="Times New Roman" w:hAnsi="Times New Roman" w:eastAsia="宋体" w:cs="Times New Roman"/>
                      <w:b w:val="0"/>
                      <w:bCs/>
                      <w:color w:val="auto"/>
                      <w:sz w:val="21"/>
                      <w:szCs w:val="21"/>
                      <w:highlight w:val="none"/>
                      <w:lang w:val="en-US" w:eastAsia="zh-CN"/>
                    </w:rPr>
                    <w:t>经处理后废气可满足达标排放</w:t>
                  </w:r>
                  <w:r>
                    <w:rPr>
                      <w:rFonts w:hint="default" w:ascii="Times New Roman" w:hAnsi="Times New Roman" w:eastAsia="宋体" w:cs="Times New Roman"/>
                      <w:b w:val="0"/>
                      <w:bCs/>
                      <w:color w:val="auto"/>
                      <w:sz w:val="21"/>
                      <w:szCs w:val="21"/>
                      <w:highlight w:val="none"/>
                    </w:rPr>
                    <w:t>。</w:t>
                  </w:r>
                </w:p>
              </w:tc>
              <w:tc>
                <w:tcPr>
                  <w:tcW w:w="506" w:type="pct"/>
                  <w:tcBorders>
                    <w:tl2br w:val="nil"/>
                    <w:tr2bl w:val="nil"/>
                  </w:tcBorders>
                  <w:noWrap w:val="0"/>
                  <w:vAlign w:val="center"/>
                </w:tcPr>
                <w:p w14:paraId="30DDB889">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符合</w:t>
                  </w:r>
                </w:p>
              </w:tc>
            </w:tr>
          </w:tbl>
          <w:p w14:paraId="77FA4FCD">
            <w:pPr>
              <w:pStyle w:val="68"/>
              <w:rPr>
                <w:rFonts w:hint="default" w:ascii="Times New Roman" w:hAnsi="Times New Roman" w:cs="Times New Roman"/>
                <w:color w:val="000000" w:themeColor="text1"/>
                <w:highlight w:val="none"/>
                <w14:textFill>
                  <w14:solidFill>
                    <w14:schemeClr w14:val="tx1"/>
                  </w14:solidFill>
                </w14:textFill>
              </w:rPr>
            </w:pPr>
          </w:p>
          <w:p w14:paraId="2E28937E">
            <w:pPr>
              <w:numPr>
                <w:ilvl w:val="0"/>
                <w:numId w:val="1"/>
              </w:numPr>
              <w:autoSpaceDE w:val="0"/>
              <w:autoSpaceDN w:val="0"/>
              <w:adjustRightInd w:val="0"/>
              <w:snapToGrid w:val="0"/>
              <w:spacing w:line="360" w:lineRule="auto"/>
              <w:ind w:left="420" w:leftChars="0" w:hanging="420" w:firstLineChars="0"/>
              <w:rPr>
                <w:rFonts w:hint="default" w:ascii="Times New Roman" w:hAnsi="Times New Roman" w:cs="Times New Roman"/>
                <w:b/>
                <w:color w:val="000000" w:themeColor="text1"/>
                <w:sz w:val="24"/>
                <w:szCs w:val="32"/>
                <w:highlight w:val="none"/>
                <w14:textFill>
                  <w14:solidFill>
                    <w14:schemeClr w14:val="tx1"/>
                  </w14:solidFill>
                </w14:textFill>
              </w:rPr>
            </w:pPr>
            <w:r>
              <w:rPr>
                <w:rFonts w:hint="default" w:ascii="Times New Roman" w:hAnsi="Times New Roman" w:cs="Times New Roman"/>
                <w:b/>
                <w:color w:val="000000" w:themeColor="text1"/>
                <w:sz w:val="24"/>
                <w:szCs w:val="32"/>
                <w:highlight w:val="none"/>
                <w14:textFill>
                  <w14:solidFill>
                    <w14:schemeClr w14:val="tx1"/>
                  </w14:solidFill>
                </w14:textFill>
              </w:rPr>
              <w:t>与《危险废物贮存污染控制标准》（GB18597-2001）及2013年修改单相符性分析</w:t>
            </w:r>
          </w:p>
          <w:p w14:paraId="1562AD6A">
            <w:pPr>
              <w:pStyle w:val="18"/>
              <w:spacing w:line="360" w:lineRule="auto"/>
              <w:ind w:firstLine="480" w:firstLineChars="200"/>
              <w:rPr>
                <w:rFonts w:hint="default" w:ascii="Times New Roman" w:hAnsi="Times New Roman" w:cs="Times New Roman"/>
                <w:bCs/>
                <w:color w:val="000000" w:themeColor="text1"/>
                <w:sz w:val="24"/>
                <w:szCs w:val="32"/>
                <w:highlight w:val="none"/>
                <w14:textFill>
                  <w14:solidFill>
                    <w14:schemeClr w14:val="tx1"/>
                  </w14:solidFill>
                </w14:textFill>
              </w:rPr>
            </w:pPr>
            <w:r>
              <w:rPr>
                <w:rFonts w:hint="default" w:ascii="Times New Roman" w:hAnsi="Times New Roman" w:cs="Times New Roman"/>
                <w:bCs/>
                <w:color w:val="000000" w:themeColor="text1"/>
                <w:sz w:val="24"/>
                <w:szCs w:val="32"/>
                <w:highlight w:val="none"/>
                <w14:textFill>
                  <w14:solidFill>
                    <w14:schemeClr w14:val="tx1"/>
                  </w14:solidFill>
                </w14:textFill>
              </w:rPr>
              <w:t>本项目与《危险废物贮存污染控制标准》（GB18597-2001）及2013年修改单相符性分析如下：</w:t>
            </w:r>
          </w:p>
          <w:p w14:paraId="6122D335">
            <w:pPr>
              <w:jc w:val="center"/>
              <w:rPr>
                <w:rFonts w:hint="default" w:ascii="Times New Roman" w:hAnsi="Times New Roman" w:cs="Times New Roman"/>
                <w:b/>
                <w:color w:val="000000" w:themeColor="text1"/>
                <w:highlight w:val="none"/>
                <w14:textFill>
                  <w14:solidFill>
                    <w14:schemeClr w14:val="tx1"/>
                  </w14:solidFill>
                </w14:textFill>
              </w:rPr>
            </w:pPr>
            <w:r>
              <w:rPr>
                <w:rFonts w:hint="default" w:ascii="Times New Roman" w:hAnsi="Times New Roman" w:cs="Times New Roman"/>
                <w:b/>
                <w:color w:val="000000" w:themeColor="text1"/>
                <w:highlight w:val="none"/>
                <w14:textFill>
                  <w14:solidFill>
                    <w14:schemeClr w14:val="tx1"/>
                  </w14:solidFill>
                </w14:textFill>
              </w:rPr>
              <w:t>表1-1</w:t>
            </w:r>
            <w:r>
              <w:rPr>
                <w:rFonts w:hint="eastAsia" w:cs="Times New Roman"/>
                <w:b/>
                <w:color w:val="000000" w:themeColor="text1"/>
                <w:highlight w:val="none"/>
                <w:lang w:val="en-US" w:eastAsia="zh-CN"/>
                <w14:textFill>
                  <w14:solidFill>
                    <w14:schemeClr w14:val="tx1"/>
                  </w14:solidFill>
                </w14:textFill>
              </w:rPr>
              <w:t>5</w:t>
            </w:r>
            <w:r>
              <w:rPr>
                <w:rFonts w:hint="default" w:ascii="Times New Roman" w:hAnsi="Times New Roman" w:cs="Times New Roman"/>
                <w:b/>
                <w:color w:val="000000" w:themeColor="text1"/>
                <w:highlight w:val="none"/>
                <w14:textFill>
                  <w14:solidFill>
                    <w14:schemeClr w14:val="tx1"/>
                  </w14:solidFill>
                </w14:textFill>
              </w:rPr>
              <w:t xml:space="preserve"> 本项目与</w:t>
            </w:r>
            <w:bookmarkStart w:id="21" w:name="_GoBack"/>
            <w:bookmarkEnd w:id="21"/>
            <w:r>
              <w:rPr>
                <w:rFonts w:hint="default" w:ascii="Times New Roman" w:hAnsi="Times New Roman" w:cs="Times New Roman"/>
                <w:b/>
                <w:color w:val="000000" w:themeColor="text1"/>
                <w:highlight w:val="none"/>
                <w14:textFill>
                  <w14:solidFill>
                    <w14:schemeClr w14:val="tx1"/>
                  </w14:solidFill>
                </w14:textFill>
              </w:rPr>
              <w:t>《危险废物贮存污染控制标准》（GB18597-2001）</w:t>
            </w:r>
          </w:p>
          <w:p w14:paraId="5C110E9A">
            <w:pPr>
              <w:jc w:val="center"/>
              <w:rPr>
                <w:rFonts w:hint="default" w:ascii="Times New Roman" w:hAnsi="Times New Roman" w:cs="Times New Roman"/>
                <w:b/>
                <w:color w:val="000000" w:themeColor="text1"/>
                <w:sz w:val="18"/>
                <w:szCs w:val="21"/>
                <w:highlight w:val="none"/>
                <w14:textFill>
                  <w14:solidFill>
                    <w14:schemeClr w14:val="tx1"/>
                  </w14:solidFill>
                </w14:textFill>
              </w:rPr>
            </w:pPr>
            <w:r>
              <w:rPr>
                <w:rFonts w:hint="default" w:ascii="Times New Roman" w:hAnsi="Times New Roman" w:cs="Times New Roman"/>
                <w:b/>
                <w:color w:val="000000" w:themeColor="text1"/>
                <w:highlight w:val="none"/>
                <w14:textFill>
                  <w14:solidFill>
                    <w14:schemeClr w14:val="tx1"/>
                  </w14:solidFill>
                </w14:textFill>
              </w:rPr>
              <w:t>及2013年修改单相符性分析一览表</w:t>
            </w:r>
          </w:p>
          <w:tbl>
            <w:tblPr>
              <w:tblStyle w:val="28"/>
              <w:tblW w:w="4998" w:type="pct"/>
              <w:tblInd w:w="0" w:type="dxa"/>
              <w:tblBorders>
                <w:top w:val="double" w:color="auto" w:sz="4" w:space="0"/>
                <w:left w:val="none" w:color="auto" w:sz="0" w:space="0"/>
                <w:bottom w:val="doub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680"/>
              <w:gridCol w:w="2776"/>
              <w:gridCol w:w="2616"/>
              <w:gridCol w:w="852"/>
            </w:tblGrid>
            <w:tr w14:paraId="6F8ADE1D">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2495" w:type="pct"/>
                  <w:gridSpan w:val="2"/>
                  <w:tcBorders>
                    <w:tl2br w:val="nil"/>
                    <w:tr2bl w:val="nil"/>
                  </w:tcBorders>
                  <w:vAlign w:val="center"/>
                </w:tcPr>
                <w:p w14:paraId="1B20C01C">
                  <w:pPr>
                    <w:pStyle w:val="18"/>
                    <w:jc w:val="center"/>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szCs w:val="21"/>
                      <w:highlight w:val="none"/>
                      <w14:textFill>
                        <w14:solidFill>
                          <w14:schemeClr w14:val="tx1"/>
                        </w14:solidFill>
                      </w14:textFill>
                    </w:rPr>
                    <w:t>标准要求</w:t>
                  </w:r>
                </w:p>
              </w:tc>
              <w:tc>
                <w:tcPr>
                  <w:tcW w:w="1889" w:type="pct"/>
                  <w:tcBorders>
                    <w:tl2br w:val="nil"/>
                    <w:tr2bl w:val="nil"/>
                  </w:tcBorders>
                  <w:vAlign w:val="center"/>
                </w:tcPr>
                <w:p w14:paraId="6B3E3051">
                  <w:pPr>
                    <w:pStyle w:val="18"/>
                    <w:jc w:val="center"/>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szCs w:val="21"/>
                      <w:highlight w:val="none"/>
                      <w14:textFill>
                        <w14:solidFill>
                          <w14:schemeClr w14:val="tx1"/>
                        </w14:solidFill>
                      </w14:textFill>
                    </w:rPr>
                    <w:t>本项目情况</w:t>
                  </w:r>
                </w:p>
              </w:tc>
              <w:tc>
                <w:tcPr>
                  <w:tcW w:w="615" w:type="pct"/>
                  <w:tcBorders>
                    <w:tl2br w:val="nil"/>
                    <w:tr2bl w:val="nil"/>
                  </w:tcBorders>
                  <w:vAlign w:val="center"/>
                </w:tcPr>
                <w:p w14:paraId="7561C353">
                  <w:pPr>
                    <w:pStyle w:val="18"/>
                    <w:jc w:val="center"/>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szCs w:val="21"/>
                      <w:highlight w:val="none"/>
                      <w14:textFill>
                        <w14:solidFill>
                          <w14:schemeClr w14:val="tx1"/>
                        </w14:solidFill>
                      </w14:textFill>
                    </w:rPr>
                    <w:t>相符性</w:t>
                  </w:r>
                </w:p>
              </w:tc>
            </w:tr>
            <w:tr w14:paraId="74F6DBF1">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491" w:type="pct"/>
                  <w:vMerge w:val="restart"/>
                  <w:tcBorders>
                    <w:tl2br w:val="nil"/>
                    <w:tr2bl w:val="nil"/>
                  </w:tcBorders>
                  <w:vAlign w:val="center"/>
                </w:tcPr>
                <w:p w14:paraId="2A6452B9">
                  <w:pPr>
                    <w:pStyle w:val="18"/>
                    <w:jc w:val="center"/>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szCs w:val="21"/>
                      <w:highlight w:val="none"/>
                      <w14:textFill>
                        <w14:solidFill>
                          <w14:schemeClr w14:val="tx1"/>
                        </w14:solidFill>
                      </w14:textFill>
                    </w:rPr>
                    <w:t>4、一般要求</w:t>
                  </w:r>
                </w:p>
              </w:tc>
              <w:tc>
                <w:tcPr>
                  <w:tcW w:w="2003" w:type="pct"/>
                  <w:tcBorders>
                    <w:tl2br w:val="nil"/>
                    <w:tr2bl w:val="nil"/>
                  </w:tcBorders>
                  <w:vAlign w:val="center"/>
                </w:tcPr>
                <w:p w14:paraId="37DC8B56">
                  <w:pPr>
                    <w:pStyle w:val="18"/>
                    <w:jc w:val="center"/>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szCs w:val="21"/>
                      <w:highlight w:val="none"/>
                      <w14:textFill>
                        <w14:solidFill>
                          <w14:schemeClr w14:val="tx1"/>
                        </w14:solidFill>
                      </w14:textFill>
                    </w:rPr>
                    <w:t>4.1所有危险废物产生者和危险废物经营者应建造专用的危险废物贮存设施， 也可利用原有构筑物改建成危险废物贮存设施。</w:t>
                  </w:r>
                </w:p>
              </w:tc>
              <w:tc>
                <w:tcPr>
                  <w:tcW w:w="1889" w:type="pct"/>
                  <w:vMerge w:val="restart"/>
                  <w:tcBorders>
                    <w:tl2br w:val="nil"/>
                    <w:tr2bl w:val="nil"/>
                  </w:tcBorders>
                  <w:vAlign w:val="center"/>
                </w:tcPr>
                <w:p w14:paraId="4F5DCC5F">
                  <w:pPr>
                    <w:pStyle w:val="18"/>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本项目在</w:t>
                  </w:r>
                  <w:r>
                    <w:rPr>
                      <w:rFonts w:hint="eastAsia" w:ascii="Times New Roman" w:hAnsi="Times New Roman" w:eastAsia="宋体" w:cs="Times New Roman"/>
                      <w:b w:val="0"/>
                      <w:bCs w:val="0"/>
                      <w:color w:val="auto"/>
                      <w:sz w:val="21"/>
                      <w:szCs w:val="21"/>
                      <w:highlight w:val="none"/>
                      <w:lang w:val="en-US" w:eastAsia="zh-CN"/>
                    </w:rPr>
                    <w:t>辽宁省本溪市溪湖区郑家建材龙山街</w:t>
                  </w:r>
                  <w:r>
                    <w:rPr>
                      <w:rFonts w:hint="eastAsia" w:ascii="Times New Roman" w:hAnsi="Times New Roman" w:cs="Times New Roman"/>
                      <w:b w:val="0"/>
                      <w:bCs w:val="0"/>
                      <w:color w:val="auto"/>
                      <w:sz w:val="21"/>
                      <w:szCs w:val="21"/>
                      <w:highlight w:val="none"/>
                      <w:lang w:val="en-US" w:eastAsia="zh-CN"/>
                    </w:rPr>
                    <w:t>，利用现有建筑物</w:t>
                  </w:r>
                  <w:r>
                    <w:rPr>
                      <w:rFonts w:hint="default" w:ascii="Times New Roman" w:hAnsi="Times New Roman" w:cs="Times New Roman"/>
                      <w:color w:val="auto"/>
                      <w:szCs w:val="21"/>
                      <w:highlight w:val="none"/>
                    </w:rPr>
                    <w:t>建</w:t>
                  </w:r>
                  <w:r>
                    <w:rPr>
                      <w:rFonts w:hint="eastAsia" w:ascii="Times New Roman" w:hAnsi="Times New Roman" w:cs="Times New Roman"/>
                      <w:color w:val="auto"/>
                      <w:szCs w:val="21"/>
                      <w:highlight w:val="none"/>
                      <w:lang w:val="en-US" w:eastAsia="zh-CN"/>
                    </w:rPr>
                    <w:t>设</w:t>
                  </w:r>
                  <w:r>
                    <w:rPr>
                      <w:rFonts w:hint="default" w:ascii="Times New Roman" w:hAnsi="Times New Roman" w:cs="Times New Roman"/>
                      <w:color w:val="auto"/>
                      <w:szCs w:val="21"/>
                      <w:highlight w:val="none"/>
                    </w:rPr>
                    <w:t>一座</w:t>
                  </w:r>
                  <w:r>
                    <w:rPr>
                      <w:rFonts w:hint="eastAsia" w:ascii="Times New Roman" w:hAnsi="Times New Roman" w:cs="Times New Roman"/>
                      <w:color w:val="auto"/>
                      <w:szCs w:val="21"/>
                      <w:highlight w:val="none"/>
                      <w:lang w:val="en-US" w:eastAsia="zh-CN"/>
                    </w:rPr>
                    <w:t>为矿物油暂存车</w:t>
                  </w:r>
                  <w:r>
                    <w:rPr>
                      <w:rFonts w:hint="default" w:ascii="Times New Roman" w:hAnsi="Times New Roman" w:cs="Times New Roman"/>
                      <w:color w:val="auto"/>
                      <w:szCs w:val="21"/>
                      <w:highlight w:val="none"/>
                    </w:rPr>
                    <w:t>间；</w:t>
                  </w:r>
                </w:p>
                <w:p w14:paraId="0DCFDBF8">
                  <w:pPr>
                    <w:pStyle w:val="18"/>
                    <w:jc w:val="center"/>
                    <w:rPr>
                      <w:rFonts w:hint="default" w:ascii="Times New Roman" w:hAnsi="Times New Roman" w:cs="Times New Roman"/>
                      <w:color w:val="0000FF"/>
                      <w:szCs w:val="21"/>
                      <w:highlight w:val="none"/>
                    </w:rPr>
                  </w:pPr>
                  <w:r>
                    <w:rPr>
                      <w:rFonts w:hint="eastAsia" w:ascii="Times New Roman" w:hAnsi="Times New Roman" w:cs="Times New Roman"/>
                      <w:color w:val="auto"/>
                      <w:szCs w:val="21"/>
                      <w:highlight w:val="none"/>
                      <w:lang w:val="en-US" w:eastAsia="zh-CN"/>
                    </w:rPr>
                    <w:t>废矿物油</w:t>
                  </w:r>
                  <w:r>
                    <w:rPr>
                      <w:rFonts w:hint="default" w:ascii="Times New Roman" w:hAnsi="Times New Roman" w:cs="Times New Roman"/>
                      <w:color w:val="auto"/>
                      <w:szCs w:val="21"/>
                      <w:highlight w:val="none"/>
                    </w:rPr>
                    <w:t>在</w:t>
                  </w:r>
                  <w:r>
                    <w:rPr>
                      <w:rFonts w:hint="eastAsia" w:ascii="Times New Roman" w:hAnsi="Times New Roman" w:cs="Times New Roman"/>
                      <w:color w:val="auto"/>
                      <w:szCs w:val="21"/>
                      <w:highlight w:val="none"/>
                      <w:lang w:val="en-US" w:eastAsia="zh-CN"/>
                    </w:rPr>
                    <w:t>油罐中</w:t>
                  </w:r>
                  <w:r>
                    <w:rPr>
                      <w:rFonts w:hint="default" w:ascii="Times New Roman" w:hAnsi="Times New Roman" w:cs="Times New Roman"/>
                      <w:color w:val="auto"/>
                      <w:szCs w:val="21"/>
                      <w:highlight w:val="none"/>
                    </w:rPr>
                    <w:t>贮存，各盛装危险废物容器上必须粘贴符合本标准附录 A 所示的标签</w:t>
                  </w:r>
                </w:p>
              </w:tc>
              <w:tc>
                <w:tcPr>
                  <w:tcW w:w="615" w:type="pct"/>
                  <w:vMerge w:val="restart"/>
                  <w:tcBorders>
                    <w:tl2br w:val="nil"/>
                    <w:tr2bl w:val="nil"/>
                  </w:tcBorders>
                  <w:vAlign w:val="center"/>
                </w:tcPr>
                <w:p w14:paraId="431EE74E">
                  <w:pPr>
                    <w:pStyle w:val="18"/>
                    <w:jc w:val="center"/>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szCs w:val="21"/>
                      <w:highlight w:val="none"/>
                      <w14:textFill>
                        <w14:solidFill>
                          <w14:schemeClr w14:val="tx1"/>
                        </w14:solidFill>
                      </w14:textFill>
                    </w:rPr>
                    <w:t>符合</w:t>
                  </w:r>
                </w:p>
              </w:tc>
            </w:tr>
            <w:tr w14:paraId="2BF0A15E">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491" w:type="pct"/>
                  <w:vMerge w:val="continue"/>
                  <w:tcBorders>
                    <w:tl2br w:val="nil"/>
                    <w:tr2bl w:val="nil"/>
                  </w:tcBorders>
                  <w:vAlign w:val="center"/>
                </w:tcPr>
                <w:p w14:paraId="056514CB">
                  <w:pPr>
                    <w:pStyle w:val="18"/>
                    <w:jc w:val="center"/>
                    <w:rPr>
                      <w:rFonts w:hint="default" w:ascii="Times New Roman" w:hAnsi="Times New Roman" w:cs="Times New Roman"/>
                      <w:color w:val="000000" w:themeColor="text1"/>
                      <w:szCs w:val="21"/>
                      <w:highlight w:val="none"/>
                      <w14:textFill>
                        <w14:solidFill>
                          <w14:schemeClr w14:val="tx1"/>
                        </w14:solidFill>
                      </w14:textFill>
                    </w:rPr>
                  </w:pPr>
                </w:p>
              </w:tc>
              <w:tc>
                <w:tcPr>
                  <w:tcW w:w="2003" w:type="pct"/>
                  <w:tcBorders>
                    <w:tl2br w:val="nil"/>
                    <w:tr2bl w:val="nil"/>
                  </w:tcBorders>
                  <w:vAlign w:val="center"/>
                </w:tcPr>
                <w:p w14:paraId="681D0E6C">
                  <w:pPr>
                    <w:pStyle w:val="18"/>
                    <w:jc w:val="center"/>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szCs w:val="21"/>
                      <w:highlight w:val="none"/>
                      <w14:textFill>
                        <w14:solidFill>
                          <w14:schemeClr w14:val="tx1"/>
                        </w14:solidFill>
                      </w14:textFill>
                    </w:rPr>
                    <w:t>4.2在常温常压下易爆、易燃及排出有毒气体的危险废物必须进行预处理，使 之稳定后贮存，否则，按易爆、易燃危险品贮存。</w:t>
                  </w:r>
                </w:p>
              </w:tc>
              <w:tc>
                <w:tcPr>
                  <w:tcW w:w="1889" w:type="pct"/>
                  <w:vMerge w:val="continue"/>
                  <w:tcBorders>
                    <w:tl2br w:val="nil"/>
                    <w:tr2bl w:val="nil"/>
                  </w:tcBorders>
                  <w:vAlign w:val="center"/>
                </w:tcPr>
                <w:p w14:paraId="38507EDD">
                  <w:pPr>
                    <w:pStyle w:val="18"/>
                    <w:jc w:val="center"/>
                    <w:rPr>
                      <w:rFonts w:hint="default" w:ascii="Times New Roman" w:hAnsi="Times New Roman" w:cs="Times New Roman"/>
                      <w:color w:val="000000" w:themeColor="text1"/>
                      <w:szCs w:val="21"/>
                      <w:highlight w:val="none"/>
                      <w14:textFill>
                        <w14:solidFill>
                          <w14:schemeClr w14:val="tx1"/>
                        </w14:solidFill>
                      </w14:textFill>
                    </w:rPr>
                  </w:pPr>
                </w:p>
              </w:tc>
              <w:tc>
                <w:tcPr>
                  <w:tcW w:w="615" w:type="pct"/>
                  <w:vMerge w:val="continue"/>
                  <w:tcBorders>
                    <w:tl2br w:val="nil"/>
                    <w:tr2bl w:val="nil"/>
                  </w:tcBorders>
                  <w:vAlign w:val="center"/>
                </w:tcPr>
                <w:p w14:paraId="7BBC2129">
                  <w:pPr>
                    <w:pStyle w:val="18"/>
                    <w:jc w:val="center"/>
                    <w:rPr>
                      <w:rFonts w:hint="default" w:ascii="Times New Roman" w:hAnsi="Times New Roman" w:cs="Times New Roman"/>
                      <w:color w:val="000000" w:themeColor="text1"/>
                      <w:szCs w:val="21"/>
                      <w:highlight w:val="none"/>
                      <w14:textFill>
                        <w14:solidFill>
                          <w14:schemeClr w14:val="tx1"/>
                        </w14:solidFill>
                      </w14:textFill>
                    </w:rPr>
                  </w:pPr>
                </w:p>
              </w:tc>
            </w:tr>
            <w:tr w14:paraId="1310916F">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491" w:type="pct"/>
                  <w:vMerge w:val="continue"/>
                  <w:tcBorders>
                    <w:tl2br w:val="nil"/>
                    <w:tr2bl w:val="nil"/>
                  </w:tcBorders>
                  <w:vAlign w:val="center"/>
                </w:tcPr>
                <w:p w14:paraId="44F5ADE3">
                  <w:pPr>
                    <w:pStyle w:val="18"/>
                    <w:jc w:val="center"/>
                    <w:rPr>
                      <w:rFonts w:hint="default" w:ascii="Times New Roman" w:hAnsi="Times New Roman" w:cs="Times New Roman"/>
                      <w:color w:val="000000" w:themeColor="text1"/>
                      <w:szCs w:val="21"/>
                      <w:highlight w:val="none"/>
                      <w14:textFill>
                        <w14:solidFill>
                          <w14:schemeClr w14:val="tx1"/>
                        </w14:solidFill>
                      </w14:textFill>
                    </w:rPr>
                  </w:pPr>
                </w:p>
              </w:tc>
              <w:tc>
                <w:tcPr>
                  <w:tcW w:w="2003" w:type="pct"/>
                  <w:tcBorders>
                    <w:tl2br w:val="nil"/>
                    <w:tr2bl w:val="nil"/>
                  </w:tcBorders>
                  <w:vAlign w:val="center"/>
                </w:tcPr>
                <w:p w14:paraId="023B64AC">
                  <w:pPr>
                    <w:pStyle w:val="18"/>
                    <w:jc w:val="center"/>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szCs w:val="21"/>
                      <w:highlight w:val="none"/>
                      <w14:textFill>
                        <w14:solidFill>
                          <w14:schemeClr w14:val="tx1"/>
                        </w14:solidFill>
                      </w14:textFill>
                    </w:rPr>
                    <w:t>4.3在常温常压下不水解、不挥发的固体危险废物可在贮存设施内分别堆放。</w:t>
                  </w:r>
                </w:p>
              </w:tc>
              <w:tc>
                <w:tcPr>
                  <w:tcW w:w="1889" w:type="pct"/>
                  <w:vMerge w:val="continue"/>
                  <w:tcBorders>
                    <w:tl2br w:val="nil"/>
                    <w:tr2bl w:val="nil"/>
                  </w:tcBorders>
                  <w:vAlign w:val="center"/>
                </w:tcPr>
                <w:p w14:paraId="20E4BACA">
                  <w:pPr>
                    <w:pStyle w:val="18"/>
                    <w:jc w:val="center"/>
                    <w:rPr>
                      <w:rFonts w:hint="default" w:ascii="Times New Roman" w:hAnsi="Times New Roman" w:cs="Times New Roman"/>
                      <w:color w:val="000000" w:themeColor="text1"/>
                      <w:szCs w:val="21"/>
                      <w:highlight w:val="none"/>
                      <w14:textFill>
                        <w14:solidFill>
                          <w14:schemeClr w14:val="tx1"/>
                        </w14:solidFill>
                      </w14:textFill>
                    </w:rPr>
                  </w:pPr>
                </w:p>
              </w:tc>
              <w:tc>
                <w:tcPr>
                  <w:tcW w:w="615" w:type="pct"/>
                  <w:vMerge w:val="continue"/>
                  <w:tcBorders>
                    <w:tl2br w:val="nil"/>
                    <w:tr2bl w:val="nil"/>
                  </w:tcBorders>
                  <w:vAlign w:val="center"/>
                </w:tcPr>
                <w:p w14:paraId="37E3D59D">
                  <w:pPr>
                    <w:pStyle w:val="18"/>
                    <w:jc w:val="center"/>
                    <w:rPr>
                      <w:rFonts w:hint="default" w:ascii="Times New Roman" w:hAnsi="Times New Roman" w:cs="Times New Roman"/>
                      <w:color w:val="000000" w:themeColor="text1"/>
                      <w:szCs w:val="21"/>
                      <w:highlight w:val="none"/>
                      <w14:textFill>
                        <w14:solidFill>
                          <w14:schemeClr w14:val="tx1"/>
                        </w14:solidFill>
                      </w14:textFill>
                    </w:rPr>
                  </w:pPr>
                </w:p>
              </w:tc>
            </w:tr>
            <w:tr w14:paraId="5A3D32E3">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491" w:type="pct"/>
                  <w:vMerge w:val="continue"/>
                  <w:tcBorders>
                    <w:tl2br w:val="nil"/>
                    <w:tr2bl w:val="nil"/>
                  </w:tcBorders>
                  <w:vAlign w:val="center"/>
                </w:tcPr>
                <w:p w14:paraId="3A300A03">
                  <w:pPr>
                    <w:pStyle w:val="18"/>
                    <w:jc w:val="center"/>
                    <w:rPr>
                      <w:rFonts w:hint="default" w:ascii="Times New Roman" w:hAnsi="Times New Roman" w:cs="Times New Roman"/>
                      <w:color w:val="000000" w:themeColor="text1"/>
                      <w:szCs w:val="21"/>
                      <w:highlight w:val="none"/>
                      <w14:textFill>
                        <w14:solidFill>
                          <w14:schemeClr w14:val="tx1"/>
                        </w14:solidFill>
                      </w14:textFill>
                    </w:rPr>
                  </w:pPr>
                </w:p>
              </w:tc>
              <w:tc>
                <w:tcPr>
                  <w:tcW w:w="2003" w:type="pct"/>
                  <w:tcBorders>
                    <w:tl2br w:val="nil"/>
                    <w:tr2bl w:val="nil"/>
                  </w:tcBorders>
                  <w:vAlign w:val="center"/>
                </w:tcPr>
                <w:p w14:paraId="0F2E7F6B">
                  <w:pPr>
                    <w:pStyle w:val="18"/>
                    <w:jc w:val="center"/>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szCs w:val="21"/>
                      <w:highlight w:val="none"/>
                      <w14:textFill>
                        <w14:solidFill>
                          <w14:schemeClr w14:val="tx1"/>
                        </w14:solidFill>
                      </w14:textFill>
                    </w:rPr>
                    <w:t>4.4除4.3 规定外，必须将危险废物装入容器内。</w:t>
                  </w:r>
                </w:p>
              </w:tc>
              <w:tc>
                <w:tcPr>
                  <w:tcW w:w="1889" w:type="pct"/>
                  <w:vMerge w:val="continue"/>
                  <w:tcBorders>
                    <w:tl2br w:val="nil"/>
                    <w:tr2bl w:val="nil"/>
                  </w:tcBorders>
                  <w:vAlign w:val="center"/>
                </w:tcPr>
                <w:p w14:paraId="009CE680">
                  <w:pPr>
                    <w:pStyle w:val="18"/>
                    <w:jc w:val="center"/>
                    <w:rPr>
                      <w:rFonts w:hint="default" w:ascii="Times New Roman" w:hAnsi="Times New Roman" w:cs="Times New Roman"/>
                      <w:color w:val="000000" w:themeColor="text1"/>
                      <w:szCs w:val="21"/>
                      <w:highlight w:val="none"/>
                      <w14:textFill>
                        <w14:solidFill>
                          <w14:schemeClr w14:val="tx1"/>
                        </w14:solidFill>
                      </w14:textFill>
                    </w:rPr>
                  </w:pPr>
                </w:p>
              </w:tc>
              <w:tc>
                <w:tcPr>
                  <w:tcW w:w="615" w:type="pct"/>
                  <w:vMerge w:val="continue"/>
                  <w:tcBorders>
                    <w:tl2br w:val="nil"/>
                    <w:tr2bl w:val="nil"/>
                  </w:tcBorders>
                  <w:vAlign w:val="center"/>
                </w:tcPr>
                <w:p w14:paraId="436951A1">
                  <w:pPr>
                    <w:pStyle w:val="18"/>
                    <w:jc w:val="center"/>
                    <w:rPr>
                      <w:rFonts w:hint="default" w:ascii="Times New Roman" w:hAnsi="Times New Roman" w:cs="Times New Roman"/>
                      <w:color w:val="000000" w:themeColor="text1"/>
                      <w:szCs w:val="21"/>
                      <w:highlight w:val="none"/>
                      <w14:textFill>
                        <w14:solidFill>
                          <w14:schemeClr w14:val="tx1"/>
                        </w14:solidFill>
                      </w14:textFill>
                    </w:rPr>
                  </w:pPr>
                </w:p>
              </w:tc>
            </w:tr>
            <w:tr w14:paraId="7F28424E">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491" w:type="pct"/>
                  <w:vMerge w:val="continue"/>
                  <w:tcBorders>
                    <w:tl2br w:val="nil"/>
                    <w:tr2bl w:val="nil"/>
                  </w:tcBorders>
                  <w:vAlign w:val="center"/>
                </w:tcPr>
                <w:p w14:paraId="7077CA2D">
                  <w:pPr>
                    <w:pStyle w:val="18"/>
                    <w:jc w:val="center"/>
                    <w:rPr>
                      <w:rFonts w:hint="default" w:ascii="Times New Roman" w:hAnsi="Times New Roman" w:cs="Times New Roman"/>
                      <w:color w:val="000000" w:themeColor="text1"/>
                      <w:szCs w:val="21"/>
                      <w:highlight w:val="none"/>
                      <w14:textFill>
                        <w14:solidFill>
                          <w14:schemeClr w14:val="tx1"/>
                        </w14:solidFill>
                      </w14:textFill>
                    </w:rPr>
                  </w:pPr>
                </w:p>
              </w:tc>
              <w:tc>
                <w:tcPr>
                  <w:tcW w:w="2003" w:type="pct"/>
                  <w:tcBorders>
                    <w:tl2br w:val="nil"/>
                    <w:tr2bl w:val="nil"/>
                  </w:tcBorders>
                  <w:vAlign w:val="center"/>
                </w:tcPr>
                <w:p w14:paraId="1A2C9059">
                  <w:pPr>
                    <w:pStyle w:val="18"/>
                    <w:jc w:val="center"/>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szCs w:val="21"/>
                      <w:highlight w:val="none"/>
                      <w14:textFill>
                        <w14:solidFill>
                          <w14:schemeClr w14:val="tx1"/>
                        </w14:solidFill>
                      </w14:textFill>
                    </w:rPr>
                    <w:t>4.5禁止将不相容（相互反应）的危险废物在同一容器内混装。</w:t>
                  </w:r>
                </w:p>
              </w:tc>
              <w:tc>
                <w:tcPr>
                  <w:tcW w:w="1889" w:type="pct"/>
                  <w:vMerge w:val="continue"/>
                  <w:tcBorders>
                    <w:tl2br w:val="nil"/>
                    <w:tr2bl w:val="nil"/>
                  </w:tcBorders>
                  <w:vAlign w:val="center"/>
                </w:tcPr>
                <w:p w14:paraId="71058061">
                  <w:pPr>
                    <w:pStyle w:val="18"/>
                    <w:jc w:val="center"/>
                    <w:rPr>
                      <w:rFonts w:hint="default" w:ascii="Times New Roman" w:hAnsi="Times New Roman" w:cs="Times New Roman"/>
                      <w:color w:val="000000" w:themeColor="text1"/>
                      <w:szCs w:val="21"/>
                      <w:highlight w:val="none"/>
                      <w14:textFill>
                        <w14:solidFill>
                          <w14:schemeClr w14:val="tx1"/>
                        </w14:solidFill>
                      </w14:textFill>
                    </w:rPr>
                  </w:pPr>
                </w:p>
              </w:tc>
              <w:tc>
                <w:tcPr>
                  <w:tcW w:w="615" w:type="pct"/>
                  <w:vMerge w:val="continue"/>
                  <w:tcBorders>
                    <w:tl2br w:val="nil"/>
                    <w:tr2bl w:val="nil"/>
                  </w:tcBorders>
                  <w:vAlign w:val="center"/>
                </w:tcPr>
                <w:p w14:paraId="54ECC94C">
                  <w:pPr>
                    <w:pStyle w:val="18"/>
                    <w:jc w:val="center"/>
                    <w:rPr>
                      <w:rFonts w:hint="default" w:ascii="Times New Roman" w:hAnsi="Times New Roman" w:cs="Times New Roman"/>
                      <w:color w:val="000000" w:themeColor="text1"/>
                      <w:szCs w:val="21"/>
                      <w:highlight w:val="none"/>
                      <w14:textFill>
                        <w14:solidFill>
                          <w14:schemeClr w14:val="tx1"/>
                        </w14:solidFill>
                      </w14:textFill>
                    </w:rPr>
                  </w:pPr>
                </w:p>
              </w:tc>
            </w:tr>
            <w:tr w14:paraId="64179242">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491" w:type="pct"/>
                  <w:vMerge w:val="continue"/>
                  <w:tcBorders>
                    <w:tl2br w:val="nil"/>
                    <w:tr2bl w:val="nil"/>
                  </w:tcBorders>
                  <w:vAlign w:val="center"/>
                </w:tcPr>
                <w:p w14:paraId="43D12F90">
                  <w:pPr>
                    <w:pStyle w:val="18"/>
                    <w:jc w:val="center"/>
                    <w:rPr>
                      <w:rFonts w:hint="default" w:ascii="Times New Roman" w:hAnsi="Times New Roman" w:cs="Times New Roman"/>
                      <w:color w:val="000000" w:themeColor="text1"/>
                      <w:szCs w:val="21"/>
                      <w:highlight w:val="none"/>
                      <w14:textFill>
                        <w14:solidFill>
                          <w14:schemeClr w14:val="tx1"/>
                        </w14:solidFill>
                      </w14:textFill>
                    </w:rPr>
                  </w:pPr>
                </w:p>
              </w:tc>
              <w:tc>
                <w:tcPr>
                  <w:tcW w:w="2003" w:type="pct"/>
                  <w:tcBorders>
                    <w:tl2br w:val="nil"/>
                    <w:tr2bl w:val="nil"/>
                  </w:tcBorders>
                  <w:vAlign w:val="center"/>
                </w:tcPr>
                <w:p w14:paraId="4D9F51EC">
                  <w:pPr>
                    <w:pStyle w:val="18"/>
                    <w:jc w:val="center"/>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szCs w:val="21"/>
                      <w:highlight w:val="none"/>
                      <w14:textFill>
                        <w14:solidFill>
                          <w14:schemeClr w14:val="tx1"/>
                        </w14:solidFill>
                      </w14:textFill>
                    </w:rPr>
                    <w:t>4.6无法装入常用容器的危险废物可用防漏胶袋等盛装。</w:t>
                  </w:r>
                </w:p>
              </w:tc>
              <w:tc>
                <w:tcPr>
                  <w:tcW w:w="1889" w:type="pct"/>
                  <w:vMerge w:val="continue"/>
                  <w:tcBorders>
                    <w:tl2br w:val="nil"/>
                    <w:tr2bl w:val="nil"/>
                  </w:tcBorders>
                  <w:vAlign w:val="center"/>
                </w:tcPr>
                <w:p w14:paraId="63BF8C0A">
                  <w:pPr>
                    <w:pStyle w:val="18"/>
                    <w:jc w:val="center"/>
                    <w:rPr>
                      <w:rFonts w:hint="default" w:ascii="Times New Roman" w:hAnsi="Times New Roman" w:cs="Times New Roman"/>
                      <w:color w:val="000000" w:themeColor="text1"/>
                      <w:szCs w:val="21"/>
                      <w:highlight w:val="none"/>
                      <w14:textFill>
                        <w14:solidFill>
                          <w14:schemeClr w14:val="tx1"/>
                        </w14:solidFill>
                      </w14:textFill>
                    </w:rPr>
                  </w:pPr>
                </w:p>
              </w:tc>
              <w:tc>
                <w:tcPr>
                  <w:tcW w:w="615" w:type="pct"/>
                  <w:vMerge w:val="continue"/>
                  <w:tcBorders>
                    <w:tl2br w:val="nil"/>
                    <w:tr2bl w:val="nil"/>
                  </w:tcBorders>
                  <w:vAlign w:val="center"/>
                </w:tcPr>
                <w:p w14:paraId="64F62A41">
                  <w:pPr>
                    <w:pStyle w:val="18"/>
                    <w:jc w:val="center"/>
                    <w:rPr>
                      <w:rFonts w:hint="default" w:ascii="Times New Roman" w:hAnsi="Times New Roman" w:cs="Times New Roman"/>
                      <w:color w:val="000000" w:themeColor="text1"/>
                      <w:szCs w:val="21"/>
                      <w:highlight w:val="none"/>
                      <w14:textFill>
                        <w14:solidFill>
                          <w14:schemeClr w14:val="tx1"/>
                        </w14:solidFill>
                      </w14:textFill>
                    </w:rPr>
                  </w:pPr>
                </w:p>
              </w:tc>
            </w:tr>
            <w:tr w14:paraId="07FDFF3B">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491" w:type="pct"/>
                  <w:vMerge w:val="continue"/>
                  <w:tcBorders>
                    <w:tl2br w:val="nil"/>
                    <w:tr2bl w:val="nil"/>
                  </w:tcBorders>
                  <w:vAlign w:val="center"/>
                </w:tcPr>
                <w:p w14:paraId="7CC95C2F">
                  <w:pPr>
                    <w:pStyle w:val="18"/>
                    <w:jc w:val="center"/>
                    <w:rPr>
                      <w:rFonts w:hint="default" w:ascii="Times New Roman" w:hAnsi="Times New Roman" w:cs="Times New Roman"/>
                      <w:color w:val="000000" w:themeColor="text1"/>
                      <w:szCs w:val="21"/>
                      <w:highlight w:val="none"/>
                      <w14:textFill>
                        <w14:solidFill>
                          <w14:schemeClr w14:val="tx1"/>
                        </w14:solidFill>
                      </w14:textFill>
                    </w:rPr>
                  </w:pPr>
                </w:p>
              </w:tc>
              <w:tc>
                <w:tcPr>
                  <w:tcW w:w="2003" w:type="pct"/>
                  <w:tcBorders>
                    <w:tl2br w:val="nil"/>
                    <w:tr2bl w:val="nil"/>
                  </w:tcBorders>
                  <w:vAlign w:val="center"/>
                </w:tcPr>
                <w:p w14:paraId="58094FF6">
                  <w:pPr>
                    <w:pStyle w:val="18"/>
                    <w:jc w:val="center"/>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szCs w:val="21"/>
                      <w:highlight w:val="none"/>
                      <w14:textFill>
                        <w14:solidFill>
                          <w14:schemeClr w14:val="tx1"/>
                        </w14:solidFill>
                      </w14:textFill>
                    </w:rPr>
                    <w:t>4.7装载液体、半固体危险废物的容器内须留足够空间，容器顶部与液体表面之间保留 100 毫米以上的空间</w:t>
                  </w:r>
                </w:p>
              </w:tc>
              <w:tc>
                <w:tcPr>
                  <w:tcW w:w="1889" w:type="pct"/>
                  <w:vMerge w:val="continue"/>
                  <w:tcBorders>
                    <w:tl2br w:val="nil"/>
                    <w:tr2bl w:val="nil"/>
                  </w:tcBorders>
                  <w:vAlign w:val="center"/>
                </w:tcPr>
                <w:p w14:paraId="33BDAE06">
                  <w:pPr>
                    <w:pStyle w:val="18"/>
                    <w:jc w:val="center"/>
                    <w:rPr>
                      <w:rFonts w:hint="default" w:ascii="Times New Roman" w:hAnsi="Times New Roman" w:cs="Times New Roman"/>
                      <w:color w:val="000000" w:themeColor="text1"/>
                      <w:szCs w:val="21"/>
                      <w:highlight w:val="none"/>
                      <w14:textFill>
                        <w14:solidFill>
                          <w14:schemeClr w14:val="tx1"/>
                        </w14:solidFill>
                      </w14:textFill>
                    </w:rPr>
                  </w:pPr>
                </w:p>
              </w:tc>
              <w:tc>
                <w:tcPr>
                  <w:tcW w:w="615" w:type="pct"/>
                  <w:vMerge w:val="continue"/>
                  <w:tcBorders>
                    <w:tl2br w:val="nil"/>
                    <w:tr2bl w:val="nil"/>
                  </w:tcBorders>
                  <w:vAlign w:val="center"/>
                </w:tcPr>
                <w:p w14:paraId="71631400">
                  <w:pPr>
                    <w:pStyle w:val="18"/>
                    <w:jc w:val="center"/>
                    <w:rPr>
                      <w:rFonts w:hint="default" w:ascii="Times New Roman" w:hAnsi="Times New Roman" w:cs="Times New Roman"/>
                      <w:color w:val="000000" w:themeColor="text1"/>
                      <w:szCs w:val="21"/>
                      <w:highlight w:val="none"/>
                      <w14:textFill>
                        <w14:solidFill>
                          <w14:schemeClr w14:val="tx1"/>
                        </w14:solidFill>
                      </w14:textFill>
                    </w:rPr>
                  </w:pPr>
                </w:p>
              </w:tc>
            </w:tr>
            <w:tr w14:paraId="2EEBC2EE">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491" w:type="pct"/>
                  <w:vMerge w:val="continue"/>
                  <w:tcBorders>
                    <w:tl2br w:val="nil"/>
                    <w:tr2bl w:val="nil"/>
                  </w:tcBorders>
                  <w:vAlign w:val="center"/>
                </w:tcPr>
                <w:p w14:paraId="0D5EDB2D">
                  <w:pPr>
                    <w:pStyle w:val="18"/>
                    <w:jc w:val="center"/>
                    <w:rPr>
                      <w:rFonts w:hint="default" w:ascii="Times New Roman" w:hAnsi="Times New Roman" w:cs="Times New Roman"/>
                      <w:color w:val="000000" w:themeColor="text1"/>
                      <w:szCs w:val="21"/>
                      <w:highlight w:val="none"/>
                      <w14:textFill>
                        <w14:solidFill>
                          <w14:schemeClr w14:val="tx1"/>
                        </w14:solidFill>
                      </w14:textFill>
                    </w:rPr>
                  </w:pPr>
                </w:p>
              </w:tc>
              <w:tc>
                <w:tcPr>
                  <w:tcW w:w="2003" w:type="pct"/>
                  <w:tcBorders>
                    <w:tl2br w:val="nil"/>
                    <w:tr2bl w:val="nil"/>
                  </w:tcBorders>
                  <w:vAlign w:val="center"/>
                </w:tcPr>
                <w:p w14:paraId="35D219B0">
                  <w:pPr>
                    <w:pStyle w:val="18"/>
                    <w:jc w:val="center"/>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szCs w:val="21"/>
                      <w:highlight w:val="none"/>
                      <w14:textFill>
                        <w14:solidFill>
                          <w14:schemeClr w14:val="tx1"/>
                        </w14:solidFill>
                      </w14:textFill>
                    </w:rPr>
                    <w:t>4.8医院产生的临床废物，必须当日消毒，消毒后装入容器。常温下贮存期不 得超过一天，于摄氏 5 度以下冷藏的，不得超过 7 天。</w:t>
                  </w:r>
                </w:p>
              </w:tc>
              <w:tc>
                <w:tcPr>
                  <w:tcW w:w="1889" w:type="pct"/>
                  <w:vMerge w:val="continue"/>
                  <w:tcBorders>
                    <w:tl2br w:val="nil"/>
                    <w:tr2bl w:val="nil"/>
                  </w:tcBorders>
                  <w:vAlign w:val="center"/>
                </w:tcPr>
                <w:p w14:paraId="5F49CA84">
                  <w:pPr>
                    <w:pStyle w:val="18"/>
                    <w:jc w:val="center"/>
                    <w:rPr>
                      <w:rFonts w:hint="default" w:ascii="Times New Roman" w:hAnsi="Times New Roman" w:cs="Times New Roman"/>
                      <w:color w:val="000000" w:themeColor="text1"/>
                      <w:szCs w:val="21"/>
                      <w:highlight w:val="none"/>
                      <w14:textFill>
                        <w14:solidFill>
                          <w14:schemeClr w14:val="tx1"/>
                        </w14:solidFill>
                      </w14:textFill>
                    </w:rPr>
                  </w:pPr>
                </w:p>
              </w:tc>
              <w:tc>
                <w:tcPr>
                  <w:tcW w:w="615" w:type="pct"/>
                  <w:vMerge w:val="continue"/>
                  <w:tcBorders>
                    <w:tl2br w:val="nil"/>
                    <w:tr2bl w:val="nil"/>
                  </w:tcBorders>
                  <w:vAlign w:val="center"/>
                </w:tcPr>
                <w:p w14:paraId="3AF37B00">
                  <w:pPr>
                    <w:pStyle w:val="18"/>
                    <w:jc w:val="center"/>
                    <w:rPr>
                      <w:rFonts w:hint="default" w:ascii="Times New Roman" w:hAnsi="Times New Roman" w:cs="Times New Roman"/>
                      <w:color w:val="000000" w:themeColor="text1"/>
                      <w:szCs w:val="21"/>
                      <w:highlight w:val="none"/>
                      <w14:textFill>
                        <w14:solidFill>
                          <w14:schemeClr w14:val="tx1"/>
                        </w14:solidFill>
                      </w14:textFill>
                    </w:rPr>
                  </w:pPr>
                </w:p>
              </w:tc>
            </w:tr>
            <w:tr w14:paraId="06D23C43">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491" w:type="pct"/>
                  <w:vMerge w:val="continue"/>
                  <w:tcBorders>
                    <w:tl2br w:val="nil"/>
                    <w:tr2bl w:val="nil"/>
                  </w:tcBorders>
                  <w:vAlign w:val="center"/>
                </w:tcPr>
                <w:p w14:paraId="06E7229F">
                  <w:pPr>
                    <w:pStyle w:val="18"/>
                    <w:jc w:val="center"/>
                    <w:rPr>
                      <w:rFonts w:hint="default" w:ascii="Times New Roman" w:hAnsi="Times New Roman" w:cs="Times New Roman"/>
                      <w:color w:val="000000" w:themeColor="text1"/>
                      <w:szCs w:val="21"/>
                      <w:highlight w:val="none"/>
                      <w14:textFill>
                        <w14:solidFill>
                          <w14:schemeClr w14:val="tx1"/>
                        </w14:solidFill>
                      </w14:textFill>
                    </w:rPr>
                  </w:pPr>
                </w:p>
              </w:tc>
              <w:tc>
                <w:tcPr>
                  <w:tcW w:w="2003" w:type="pct"/>
                  <w:tcBorders>
                    <w:tl2br w:val="nil"/>
                    <w:tr2bl w:val="nil"/>
                  </w:tcBorders>
                  <w:vAlign w:val="center"/>
                </w:tcPr>
                <w:p w14:paraId="662D827B">
                  <w:pPr>
                    <w:pStyle w:val="18"/>
                    <w:jc w:val="center"/>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szCs w:val="21"/>
                      <w:highlight w:val="none"/>
                      <w14:textFill>
                        <w14:solidFill>
                          <w14:schemeClr w14:val="tx1"/>
                        </w14:solidFill>
                      </w14:textFill>
                    </w:rPr>
                    <w:t>4.9盛装危险废物的容器上必须粘贴符合本标准附录 A 所示的标签。</w:t>
                  </w:r>
                </w:p>
              </w:tc>
              <w:tc>
                <w:tcPr>
                  <w:tcW w:w="1889" w:type="pct"/>
                  <w:vMerge w:val="continue"/>
                  <w:tcBorders>
                    <w:tl2br w:val="nil"/>
                    <w:tr2bl w:val="nil"/>
                  </w:tcBorders>
                  <w:vAlign w:val="center"/>
                </w:tcPr>
                <w:p w14:paraId="7240159D">
                  <w:pPr>
                    <w:pStyle w:val="18"/>
                    <w:jc w:val="center"/>
                    <w:rPr>
                      <w:rFonts w:hint="default" w:ascii="Times New Roman" w:hAnsi="Times New Roman" w:cs="Times New Roman"/>
                      <w:color w:val="000000" w:themeColor="text1"/>
                      <w:szCs w:val="21"/>
                      <w:highlight w:val="none"/>
                      <w14:textFill>
                        <w14:solidFill>
                          <w14:schemeClr w14:val="tx1"/>
                        </w14:solidFill>
                      </w14:textFill>
                    </w:rPr>
                  </w:pPr>
                </w:p>
              </w:tc>
              <w:tc>
                <w:tcPr>
                  <w:tcW w:w="615" w:type="pct"/>
                  <w:vMerge w:val="continue"/>
                  <w:tcBorders>
                    <w:tl2br w:val="nil"/>
                    <w:tr2bl w:val="nil"/>
                  </w:tcBorders>
                  <w:vAlign w:val="center"/>
                </w:tcPr>
                <w:p w14:paraId="2357B70B">
                  <w:pPr>
                    <w:pStyle w:val="18"/>
                    <w:jc w:val="center"/>
                    <w:rPr>
                      <w:rFonts w:hint="default" w:ascii="Times New Roman" w:hAnsi="Times New Roman" w:cs="Times New Roman"/>
                      <w:color w:val="000000" w:themeColor="text1"/>
                      <w:szCs w:val="21"/>
                      <w:highlight w:val="none"/>
                      <w14:textFill>
                        <w14:solidFill>
                          <w14:schemeClr w14:val="tx1"/>
                        </w14:solidFill>
                      </w14:textFill>
                    </w:rPr>
                  </w:pPr>
                </w:p>
              </w:tc>
            </w:tr>
            <w:tr w14:paraId="1597857A">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491" w:type="pct"/>
                  <w:vMerge w:val="continue"/>
                  <w:tcBorders>
                    <w:tl2br w:val="nil"/>
                    <w:tr2bl w:val="nil"/>
                  </w:tcBorders>
                  <w:vAlign w:val="center"/>
                </w:tcPr>
                <w:p w14:paraId="39EEF16E">
                  <w:pPr>
                    <w:pStyle w:val="18"/>
                    <w:jc w:val="center"/>
                    <w:rPr>
                      <w:rFonts w:hint="default" w:ascii="Times New Roman" w:hAnsi="Times New Roman" w:cs="Times New Roman"/>
                      <w:color w:val="000000" w:themeColor="text1"/>
                      <w:szCs w:val="21"/>
                      <w:highlight w:val="none"/>
                      <w14:textFill>
                        <w14:solidFill>
                          <w14:schemeClr w14:val="tx1"/>
                        </w14:solidFill>
                      </w14:textFill>
                    </w:rPr>
                  </w:pPr>
                </w:p>
              </w:tc>
              <w:tc>
                <w:tcPr>
                  <w:tcW w:w="2003" w:type="pct"/>
                  <w:tcBorders>
                    <w:tl2br w:val="nil"/>
                    <w:tr2bl w:val="nil"/>
                  </w:tcBorders>
                  <w:vAlign w:val="center"/>
                </w:tcPr>
                <w:p w14:paraId="25E7DE4B">
                  <w:pPr>
                    <w:pStyle w:val="18"/>
                    <w:jc w:val="center"/>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szCs w:val="21"/>
                      <w:highlight w:val="none"/>
                      <w14:textFill>
                        <w14:solidFill>
                          <w14:schemeClr w14:val="tx1"/>
                        </w14:solidFill>
                      </w14:textFill>
                    </w:rPr>
                    <w:t>4.10危险废物贮存设施在施工前应做环境影响评价。</w:t>
                  </w:r>
                </w:p>
              </w:tc>
              <w:tc>
                <w:tcPr>
                  <w:tcW w:w="1889" w:type="pct"/>
                  <w:vMerge w:val="continue"/>
                  <w:tcBorders>
                    <w:tl2br w:val="nil"/>
                    <w:tr2bl w:val="nil"/>
                  </w:tcBorders>
                  <w:vAlign w:val="center"/>
                </w:tcPr>
                <w:p w14:paraId="03085B5C">
                  <w:pPr>
                    <w:pStyle w:val="18"/>
                    <w:jc w:val="center"/>
                    <w:rPr>
                      <w:rFonts w:hint="default" w:ascii="Times New Roman" w:hAnsi="Times New Roman" w:cs="Times New Roman"/>
                      <w:color w:val="000000" w:themeColor="text1"/>
                      <w:szCs w:val="21"/>
                      <w:highlight w:val="none"/>
                      <w14:textFill>
                        <w14:solidFill>
                          <w14:schemeClr w14:val="tx1"/>
                        </w14:solidFill>
                      </w14:textFill>
                    </w:rPr>
                  </w:pPr>
                </w:p>
              </w:tc>
              <w:tc>
                <w:tcPr>
                  <w:tcW w:w="615" w:type="pct"/>
                  <w:vMerge w:val="continue"/>
                  <w:tcBorders>
                    <w:tl2br w:val="nil"/>
                    <w:tr2bl w:val="nil"/>
                  </w:tcBorders>
                  <w:vAlign w:val="center"/>
                </w:tcPr>
                <w:p w14:paraId="15D45CC8">
                  <w:pPr>
                    <w:pStyle w:val="18"/>
                    <w:jc w:val="center"/>
                    <w:rPr>
                      <w:rFonts w:hint="default" w:ascii="Times New Roman" w:hAnsi="Times New Roman" w:cs="Times New Roman"/>
                      <w:color w:val="000000" w:themeColor="text1"/>
                      <w:szCs w:val="21"/>
                      <w:highlight w:val="none"/>
                      <w14:textFill>
                        <w14:solidFill>
                          <w14:schemeClr w14:val="tx1"/>
                        </w14:solidFill>
                      </w14:textFill>
                    </w:rPr>
                  </w:pPr>
                </w:p>
              </w:tc>
            </w:tr>
            <w:tr w14:paraId="1B514291">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491" w:type="pct"/>
                  <w:vMerge w:val="restart"/>
                  <w:tcBorders>
                    <w:tl2br w:val="nil"/>
                    <w:tr2bl w:val="nil"/>
                  </w:tcBorders>
                  <w:vAlign w:val="center"/>
                </w:tcPr>
                <w:p w14:paraId="3A15443E">
                  <w:pPr>
                    <w:pStyle w:val="18"/>
                    <w:jc w:val="center"/>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szCs w:val="21"/>
                      <w:highlight w:val="none"/>
                      <w14:textFill>
                        <w14:solidFill>
                          <w14:schemeClr w14:val="tx1"/>
                        </w14:solidFill>
                      </w14:textFill>
                    </w:rPr>
                    <w:t>5、危险废物贮存容器</w:t>
                  </w:r>
                </w:p>
              </w:tc>
              <w:tc>
                <w:tcPr>
                  <w:tcW w:w="2003" w:type="pct"/>
                  <w:tcBorders>
                    <w:tl2br w:val="nil"/>
                    <w:tr2bl w:val="nil"/>
                  </w:tcBorders>
                  <w:vAlign w:val="center"/>
                </w:tcPr>
                <w:p w14:paraId="52DAF151">
                  <w:pPr>
                    <w:pStyle w:val="18"/>
                    <w:jc w:val="center"/>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szCs w:val="21"/>
                      <w:highlight w:val="none"/>
                      <w14:textFill>
                        <w14:solidFill>
                          <w14:schemeClr w14:val="tx1"/>
                        </w14:solidFill>
                      </w14:textFill>
                    </w:rPr>
                    <w:t>5.1应当使用符合标准的容器盛装危险废物。</w:t>
                  </w:r>
                </w:p>
              </w:tc>
              <w:tc>
                <w:tcPr>
                  <w:tcW w:w="1889" w:type="pct"/>
                  <w:vMerge w:val="restart"/>
                  <w:tcBorders>
                    <w:tl2br w:val="nil"/>
                    <w:tr2bl w:val="nil"/>
                  </w:tcBorders>
                  <w:vAlign w:val="center"/>
                </w:tcPr>
                <w:p w14:paraId="37F24125">
                  <w:pPr>
                    <w:pStyle w:val="18"/>
                    <w:jc w:val="center"/>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szCs w:val="21"/>
                      <w:highlight w:val="none"/>
                      <w14:textFill>
                        <w14:solidFill>
                          <w14:schemeClr w14:val="tx1"/>
                        </w14:solidFill>
                      </w14:textFill>
                    </w:rPr>
                    <w:t>本项目</w:t>
                  </w:r>
                  <w:r>
                    <w:rPr>
                      <w:rFonts w:hint="eastAsia" w:ascii="Times New Roman" w:hAnsi="Times New Roman" w:cs="Times New Roman"/>
                      <w:color w:val="000000" w:themeColor="text1"/>
                      <w:szCs w:val="21"/>
                      <w:highlight w:val="none"/>
                      <w:lang w:val="en-US" w:eastAsia="zh-CN"/>
                      <w14:textFill>
                        <w14:solidFill>
                          <w14:schemeClr w14:val="tx1"/>
                        </w14:solidFill>
                      </w14:textFill>
                    </w:rPr>
                    <w:t>废矿物油用储罐贮存</w:t>
                  </w:r>
                  <w:r>
                    <w:rPr>
                      <w:rFonts w:hint="default" w:ascii="Times New Roman" w:hAnsi="Times New Roman" w:cs="Times New Roman"/>
                      <w:color w:val="000000" w:themeColor="text1"/>
                      <w:szCs w:val="21"/>
                      <w:highlight w:val="none"/>
                      <w14:textFill>
                        <w14:solidFill>
                          <w14:schemeClr w14:val="tx1"/>
                        </w14:solidFill>
                      </w14:textFill>
                    </w:rPr>
                    <w:t>，装载容器及材质满足相应的强度要求，且和危险废物不相互反应</w:t>
                  </w:r>
                </w:p>
              </w:tc>
              <w:tc>
                <w:tcPr>
                  <w:tcW w:w="615" w:type="pct"/>
                  <w:vMerge w:val="restart"/>
                  <w:tcBorders>
                    <w:tl2br w:val="nil"/>
                    <w:tr2bl w:val="nil"/>
                  </w:tcBorders>
                  <w:vAlign w:val="center"/>
                </w:tcPr>
                <w:p w14:paraId="42B261C8">
                  <w:pPr>
                    <w:pStyle w:val="18"/>
                    <w:jc w:val="center"/>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szCs w:val="21"/>
                      <w:highlight w:val="none"/>
                      <w14:textFill>
                        <w14:solidFill>
                          <w14:schemeClr w14:val="tx1"/>
                        </w14:solidFill>
                      </w14:textFill>
                    </w:rPr>
                    <w:t>符合</w:t>
                  </w:r>
                </w:p>
              </w:tc>
            </w:tr>
            <w:tr w14:paraId="441A3573">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491" w:type="pct"/>
                  <w:vMerge w:val="continue"/>
                  <w:tcBorders>
                    <w:tl2br w:val="nil"/>
                    <w:tr2bl w:val="nil"/>
                  </w:tcBorders>
                  <w:vAlign w:val="center"/>
                </w:tcPr>
                <w:p w14:paraId="4216845B">
                  <w:pPr>
                    <w:pStyle w:val="18"/>
                    <w:jc w:val="center"/>
                    <w:rPr>
                      <w:rFonts w:hint="default" w:ascii="Times New Roman" w:hAnsi="Times New Roman" w:cs="Times New Roman"/>
                      <w:color w:val="000000" w:themeColor="text1"/>
                      <w:szCs w:val="21"/>
                      <w:highlight w:val="none"/>
                      <w14:textFill>
                        <w14:solidFill>
                          <w14:schemeClr w14:val="tx1"/>
                        </w14:solidFill>
                      </w14:textFill>
                    </w:rPr>
                  </w:pPr>
                </w:p>
              </w:tc>
              <w:tc>
                <w:tcPr>
                  <w:tcW w:w="2003" w:type="pct"/>
                  <w:tcBorders>
                    <w:tl2br w:val="nil"/>
                    <w:tr2bl w:val="nil"/>
                  </w:tcBorders>
                  <w:vAlign w:val="center"/>
                </w:tcPr>
                <w:p w14:paraId="007F17E6">
                  <w:pPr>
                    <w:pStyle w:val="18"/>
                    <w:jc w:val="center"/>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szCs w:val="21"/>
                      <w:highlight w:val="none"/>
                      <w14:textFill>
                        <w14:solidFill>
                          <w14:schemeClr w14:val="tx1"/>
                        </w14:solidFill>
                      </w14:textFill>
                    </w:rPr>
                    <w:t>5.2装载危险废物的容器及材质要满足相应的强度要求</w:t>
                  </w:r>
                </w:p>
              </w:tc>
              <w:tc>
                <w:tcPr>
                  <w:tcW w:w="1889" w:type="pct"/>
                  <w:vMerge w:val="continue"/>
                  <w:tcBorders>
                    <w:tl2br w:val="nil"/>
                    <w:tr2bl w:val="nil"/>
                  </w:tcBorders>
                  <w:vAlign w:val="center"/>
                </w:tcPr>
                <w:p w14:paraId="5346C62D">
                  <w:pPr>
                    <w:pStyle w:val="18"/>
                    <w:jc w:val="center"/>
                    <w:rPr>
                      <w:rFonts w:hint="default" w:ascii="Times New Roman" w:hAnsi="Times New Roman" w:cs="Times New Roman"/>
                      <w:color w:val="000000" w:themeColor="text1"/>
                      <w:szCs w:val="21"/>
                      <w:highlight w:val="none"/>
                      <w14:textFill>
                        <w14:solidFill>
                          <w14:schemeClr w14:val="tx1"/>
                        </w14:solidFill>
                      </w14:textFill>
                    </w:rPr>
                  </w:pPr>
                </w:p>
              </w:tc>
              <w:tc>
                <w:tcPr>
                  <w:tcW w:w="615" w:type="pct"/>
                  <w:vMerge w:val="continue"/>
                  <w:tcBorders>
                    <w:tl2br w:val="nil"/>
                    <w:tr2bl w:val="nil"/>
                  </w:tcBorders>
                  <w:vAlign w:val="center"/>
                </w:tcPr>
                <w:p w14:paraId="3CF295F2">
                  <w:pPr>
                    <w:pStyle w:val="18"/>
                    <w:jc w:val="center"/>
                    <w:rPr>
                      <w:rFonts w:hint="default" w:ascii="Times New Roman" w:hAnsi="Times New Roman" w:cs="Times New Roman"/>
                      <w:color w:val="000000" w:themeColor="text1"/>
                      <w:szCs w:val="21"/>
                      <w:highlight w:val="none"/>
                      <w14:textFill>
                        <w14:solidFill>
                          <w14:schemeClr w14:val="tx1"/>
                        </w14:solidFill>
                      </w14:textFill>
                    </w:rPr>
                  </w:pPr>
                </w:p>
              </w:tc>
            </w:tr>
            <w:tr w14:paraId="179544A9">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491" w:type="pct"/>
                  <w:vMerge w:val="continue"/>
                  <w:tcBorders>
                    <w:tl2br w:val="nil"/>
                    <w:tr2bl w:val="nil"/>
                  </w:tcBorders>
                  <w:vAlign w:val="center"/>
                </w:tcPr>
                <w:p w14:paraId="65709219">
                  <w:pPr>
                    <w:pStyle w:val="18"/>
                    <w:jc w:val="center"/>
                    <w:rPr>
                      <w:rFonts w:hint="default" w:ascii="Times New Roman" w:hAnsi="Times New Roman" w:cs="Times New Roman"/>
                      <w:color w:val="000000" w:themeColor="text1"/>
                      <w:szCs w:val="21"/>
                      <w:highlight w:val="none"/>
                      <w14:textFill>
                        <w14:solidFill>
                          <w14:schemeClr w14:val="tx1"/>
                        </w14:solidFill>
                      </w14:textFill>
                    </w:rPr>
                  </w:pPr>
                </w:p>
              </w:tc>
              <w:tc>
                <w:tcPr>
                  <w:tcW w:w="2003" w:type="pct"/>
                  <w:tcBorders>
                    <w:tl2br w:val="nil"/>
                    <w:tr2bl w:val="nil"/>
                  </w:tcBorders>
                  <w:vAlign w:val="center"/>
                </w:tcPr>
                <w:p w14:paraId="68363932">
                  <w:pPr>
                    <w:pStyle w:val="18"/>
                    <w:jc w:val="center"/>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szCs w:val="21"/>
                      <w:highlight w:val="none"/>
                      <w14:textFill>
                        <w14:solidFill>
                          <w14:schemeClr w14:val="tx1"/>
                        </w14:solidFill>
                      </w14:textFill>
                    </w:rPr>
                    <w:t>5.3装载危险废物的容器必须完好无损</w:t>
                  </w:r>
                </w:p>
              </w:tc>
              <w:tc>
                <w:tcPr>
                  <w:tcW w:w="1889" w:type="pct"/>
                  <w:vMerge w:val="continue"/>
                  <w:tcBorders>
                    <w:tl2br w:val="nil"/>
                    <w:tr2bl w:val="nil"/>
                  </w:tcBorders>
                  <w:vAlign w:val="center"/>
                </w:tcPr>
                <w:p w14:paraId="29E04DFC">
                  <w:pPr>
                    <w:pStyle w:val="18"/>
                    <w:jc w:val="center"/>
                    <w:rPr>
                      <w:rFonts w:hint="default" w:ascii="Times New Roman" w:hAnsi="Times New Roman" w:cs="Times New Roman"/>
                      <w:color w:val="000000" w:themeColor="text1"/>
                      <w:szCs w:val="21"/>
                      <w:highlight w:val="none"/>
                      <w14:textFill>
                        <w14:solidFill>
                          <w14:schemeClr w14:val="tx1"/>
                        </w14:solidFill>
                      </w14:textFill>
                    </w:rPr>
                  </w:pPr>
                </w:p>
              </w:tc>
              <w:tc>
                <w:tcPr>
                  <w:tcW w:w="615" w:type="pct"/>
                  <w:vMerge w:val="continue"/>
                  <w:tcBorders>
                    <w:tl2br w:val="nil"/>
                    <w:tr2bl w:val="nil"/>
                  </w:tcBorders>
                  <w:vAlign w:val="center"/>
                </w:tcPr>
                <w:p w14:paraId="3AC458F8">
                  <w:pPr>
                    <w:pStyle w:val="18"/>
                    <w:jc w:val="center"/>
                    <w:rPr>
                      <w:rFonts w:hint="default" w:ascii="Times New Roman" w:hAnsi="Times New Roman" w:cs="Times New Roman"/>
                      <w:color w:val="000000" w:themeColor="text1"/>
                      <w:szCs w:val="21"/>
                      <w:highlight w:val="none"/>
                      <w14:textFill>
                        <w14:solidFill>
                          <w14:schemeClr w14:val="tx1"/>
                        </w14:solidFill>
                      </w14:textFill>
                    </w:rPr>
                  </w:pPr>
                </w:p>
              </w:tc>
            </w:tr>
            <w:tr w14:paraId="00507D85">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491" w:type="pct"/>
                  <w:vMerge w:val="continue"/>
                  <w:tcBorders>
                    <w:tl2br w:val="nil"/>
                    <w:tr2bl w:val="nil"/>
                  </w:tcBorders>
                  <w:vAlign w:val="center"/>
                </w:tcPr>
                <w:p w14:paraId="4724310C">
                  <w:pPr>
                    <w:pStyle w:val="18"/>
                    <w:jc w:val="center"/>
                    <w:rPr>
                      <w:rFonts w:hint="default" w:ascii="Times New Roman" w:hAnsi="Times New Roman" w:cs="Times New Roman"/>
                      <w:color w:val="000000" w:themeColor="text1"/>
                      <w:szCs w:val="21"/>
                      <w:highlight w:val="none"/>
                      <w14:textFill>
                        <w14:solidFill>
                          <w14:schemeClr w14:val="tx1"/>
                        </w14:solidFill>
                      </w14:textFill>
                    </w:rPr>
                  </w:pPr>
                </w:p>
              </w:tc>
              <w:tc>
                <w:tcPr>
                  <w:tcW w:w="2003" w:type="pct"/>
                  <w:tcBorders>
                    <w:tl2br w:val="nil"/>
                    <w:tr2bl w:val="nil"/>
                  </w:tcBorders>
                  <w:vAlign w:val="center"/>
                </w:tcPr>
                <w:p w14:paraId="3D969574">
                  <w:pPr>
                    <w:pStyle w:val="18"/>
                    <w:jc w:val="center"/>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szCs w:val="21"/>
                      <w:highlight w:val="none"/>
                      <w14:textFill>
                        <w14:solidFill>
                          <w14:schemeClr w14:val="tx1"/>
                        </w14:solidFill>
                      </w14:textFill>
                    </w:rPr>
                    <w:t>5.4盛装危险废物的容器材质和衬里要与危险废物相容（不相互反应）</w:t>
                  </w:r>
                </w:p>
              </w:tc>
              <w:tc>
                <w:tcPr>
                  <w:tcW w:w="1889" w:type="pct"/>
                  <w:vMerge w:val="continue"/>
                  <w:tcBorders>
                    <w:tl2br w:val="nil"/>
                    <w:tr2bl w:val="nil"/>
                  </w:tcBorders>
                  <w:vAlign w:val="center"/>
                </w:tcPr>
                <w:p w14:paraId="14FAFA88">
                  <w:pPr>
                    <w:pStyle w:val="18"/>
                    <w:jc w:val="center"/>
                    <w:rPr>
                      <w:rFonts w:hint="default" w:ascii="Times New Roman" w:hAnsi="Times New Roman" w:cs="Times New Roman"/>
                      <w:color w:val="000000" w:themeColor="text1"/>
                      <w:szCs w:val="21"/>
                      <w:highlight w:val="none"/>
                      <w14:textFill>
                        <w14:solidFill>
                          <w14:schemeClr w14:val="tx1"/>
                        </w14:solidFill>
                      </w14:textFill>
                    </w:rPr>
                  </w:pPr>
                </w:p>
              </w:tc>
              <w:tc>
                <w:tcPr>
                  <w:tcW w:w="615" w:type="pct"/>
                  <w:vMerge w:val="continue"/>
                  <w:tcBorders>
                    <w:tl2br w:val="nil"/>
                    <w:tr2bl w:val="nil"/>
                  </w:tcBorders>
                  <w:vAlign w:val="center"/>
                </w:tcPr>
                <w:p w14:paraId="108E019E">
                  <w:pPr>
                    <w:pStyle w:val="18"/>
                    <w:jc w:val="center"/>
                    <w:rPr>
                      <w:rFonts w:hint="default" w:ascii="Times New Roman" w:hAnsi="Times New Roman" w:cs="Times New Roman"/>
                      <w:color w:val="000000" w:themeColor="text1"/>
                      <w:szCs w:val="21"/>
                      <w:highlight w:val="none"/>
                      <w14:textFill>
                        <w14:solidFill>
                          <w14:schemeClr w14:val="tx1"/>
                        </w14:solidFill>
                      </w14:textFill>
                    </w:rPr>
                  </w:pPr>
                </w:p>
              </w:tc>
            </w:tr>
            <w:tr w14:paraId="4D399909">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491" w:type="pct"/>
                  <w:vMerge w:val="continue"/>
                  <w:tcBorders>
                    <w:tl2br w:val="nil"/>
                    <w:tr2bl w:val="nil"/>
                  </w:tcBorders>
                  <w:vAlign w:val="center"/>
                </w:tcPr>
                <w:p w14:paraId="430B6C10">
                  <w:pPr>
                    <w:pStyle w:val="18"/>
                    <w:jc w:val="center"/>
                    <w:rPr>
                      <w:rFonts w:hint="default" w:ascii="Times New Roman" w:hAnsi="Times New Roman" w:cs="Times New Roman"/>
                      <w:color w:val="000000" w:themeColor="text1"/>
                      <w:szCs w:val="21"/>
                      <w:highlight w:val="none"/>
                      <w14:textFill>
                        <w14:solidFill>
                          <w14:schemeClr w14:val="tx1"/>
                        </w14:solidFill>
                      </w14:textFill>
                    </w:rPr>
                  </w:pPr>
                </w:p>
              </w:tc>
              <w:tc>
                <w:tcPr>
                  <w:tcW w:w="2003" w:type="pct"/>
                  <w:tcBorders>
                    <w:tl2br w:val="nil"/>
                    <w:tr2bl w:val="nil"/>
                  </w:tcBorders>
                  <w:vAlign w:val="center"/>
                </w:tcPr>
                <w:p w14:paraId="66487B82">
                  <w:pPr>
                    <w:pStyle w:val="18"/>
                    <w:jc w:val="center"/>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szCs w:val="21"/>
                      <w:highlight w:val="none"/>
                      <w14:textFill>
                        <w14:solidFill>
                          <w14:schemeClr w14:val="tx1"/>
                        </w14:solidFill>
                      </w14:textFill>
                    </w:rPr>
                    <w:t>5.5液体危险废物可注入开孔直径不超过 70 毫米并有放气孔的桶中。</w:t>
                  </w:r>
                </w:p>
              </w:tc>
              <w:tc>
                <w:tcPr>
                  <w:tcW w:w="1889" w:type="pct"/>
                  <w:vMerge w:val="continue"/>
                  <w:tcBorders>
                    <w:tl2br w:val="nil"/>
                    <w:tr2bl w:val="nil"/>
                  </w:tcBorders>
                  <w:vAlign w:val="center"/>
                </w:tcPr>
                <w:p w14:paraId="56DAA8F9">
                  <w:pPr>
                    <w:pStyle w:val="18"/>
                    <w:jc w:val="center"/>
                    <w:rPr>
                      <w:rFonts w:hint="default" w:ascii="Times New Roman" w:hAnsi="Times New Roman" w:cs="Times New Roman"/>
                      <w:color w:val="000000" w:themeColor="text1"/>
                      <w:szCs w:val="21"/>
                      <w:highlight w:val="none"/>
                      <w14:textFill>
                        <w14:solidFill>
                          <w14:schemeClr w14:val="tx1"/>
                        </w14:solidFill>
                      </w14:textFill>
                    </w:rPr>
                  </w:pPr>
                </w:p>
              </w:tc>
              <w:tc>
                <w:tcPr>
                  <w:tcW w:w="615" w:type="pct"/>
                  <w:vMerge w:val="continue"/>
                  <w:tcBorders>
                    <w:tl2br w:val="nil"/>
                    <w:tr2bl w:val="nil"/>
                  </w:tcBorders>
                  <w:vAlign w:val="center"/>
                </w:tcPr>
                <w:p w14:paraId="2081A19B">
                  <w:pPr>
                    <w:pStyle w:val="18"/>
                    <w:jc w:val="center"/>
                    <w:rPr>
                      <w:rFonts w:hint="default" w:ascii="Times New Roman" w:hAnsi="Times New Roman" w:cs="Times New Roman"/>
                      <w:color w:val="000000" w:themeColor="text1"/>
                      <w:szCs w:val="21"/>
                      <w:highlight w:val="none"/>
                      <w14:textFill>
                        <w14:solidFill>
                          <w14:schemeClr w14:val="tx1"/>
                        </w14:solidFill>
                      </w14:textFill>
                    </w:rPr>
                  </w:pPr>
                </w:p>
              </w:tc>
            </w:tr>
            <w:tr w14:paraId="60195CD0">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11" w:hRule="atLeast"/>
              </w:trPr>
              <w:tc>
                <w:tcPr>
                  <w:tcW w:w="491" w:type="pct"/>
                  <w:vMerge w:val="restart"/>
                  <w:tcBorders>
                    <w:tl2br w:val="nil"/>
                    <w:tr2bl w:val="nil"/>
                  </w:tcBorders>
                  <w:vAlign w:val="center"/>
                </w:tcPr>
                <w:p w14:paraId="4453E54C">
                  <w:pPr>
                    <w:pStyle w:val="18"/>
                    <w:jc w:val="center"/>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szCs w:val="21"/>
                      <w:highlight w:val="none"/>
                      <w14:textFill>
                        <w14:solidFill>
                          <w14:schemeClr w14:val="tx1"/>
                        </w14:solidFill>
                      </w14:textFill>
                    </w:rPr>
                    <w:t>6危险废物贮存设施的选址与设计原则</w:t>
                  </w:r>
                </w:p>
              </w:tc>
              <w:tc>
                <w:tcPr>
                  <w:tcW w:w="2003" w:type="pct"/>
                  <w:tcBorders>
                    <w:tl2br w:val="nil"/>
                    <w:tr2bl w:val="nil"/>
                  </w:tcBorders>
                  <w:vAlign w:val="center"/>
                </w:tcPr>
                <w:p w14:paraId="503CCD73">
                  <w:pPr>
                    <w:pStyle w:val="18"/>
                    <w:jc w:val="left"/>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szCs w:val="21"/>
                      <w:highlight w:val="none"/>
                      <w14:textFill>
                        <w14:solidFill>
                          <w14:schemeClr w14:val="tx1"/>
                        </w14:solidFill>
                      </w14:textFill>
                    </w:rPr>
                    <w:t>6.1危险废物集中贮存设施的选址</w:t>
                  </w:r>
                </w:p>
                <w:p w14:paraId="48578FF3">
                  <w:pPr>
                    <w:pStyle w:val="18"/>
                    <w:jc w:val="left"/>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szCs w:val="21"/>
                      <w:highlight w:val="none"/>
                      <w14:textFill>
                        <w14:solidFill>
                          <w14:schemeClr w14:val="tx1"/>
                        </w14:solidFill>
                      </w14:textFill>
                    </w:rPr>
                    <w:t>6.1.1地质结构稳定，地震烈度不超过7度的区域内；</w:t>
                  </w:r>
                </w:p>
                <w:p w14:paraId="3A8FB434">
                  <w:pPr>
                    <w:jc w:val="left"/>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szCs w:val="21"/>
                      <w:highlight w:val="none"/>
                      <w14:textFill>
                        <w14:solidFill>
                          <w14:schemeClr w14:val="tx1"/>
                        </w14:solidFill>
                      </w14:textFill>
                    </w:rPr>
                    <w:t>6.1.2设施底部必须高于地下水最高水位；</w:t>
                  </w:r>
                </w:p>
                <w:p w14:paraId="3E089CF9">
                  <w:pPr>
                    <w:widowControl/>
                    <w:jc w:val="left"/>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szCs w:val="21"/>
                      <w:highlight w:val="none"/>
                      <w14:textFill>
                        <w14:solidFill>
                          <w14:schemeClr w14:val="tx1"/>
                        </w14:solidFill>
                      </w14:textFill>
                    </w:rPr>
                    <w:t>6.1.3</w:t>
                  </w:r>
                  <w:r>
                    <w:rPr>
                      <w:rFonts w:hint="default" w:ascii="Times New Roman" w:hAnsi="Times New Roman" w:cs="Times New Roman"/>
                      <w:color w:val="000000" w:themeColor="text1"/>
                      <w:kern w:val="0"/>
                      <w:szCs w:val="21"/>
                      <w:highlight w:val="none"/>
                      <w14:textFill>
                        <w14:solidFill>
                          <w14:schemeClr w14:val="tx1"/>
                        </w14:solidFill>
                      </w14:textFill>
                    </w:rPr>
                    <w:t>应依据环境影响评价结论确定危险废物集中贮存设施的位置及其与周围人群的距离，并经具有审批权的环境保护行政主管部门批准，并可作为规划控制的依据</w:t>
                  </w:r>
                </w:p>
                <w:p w14:paraId="7C2B03C7">
                  <w:pPr>
                    <w:pStyle w:val="18"/>
                    <w:jc w:val="left"/>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szCs w:val="21"/>
                      <w:highlight w:val="none"/>
                      <w14:textFill>
                        <w14:solidFill>
                          <w14:schemeClr w14:val="tx1"/>
                        </w14:solidFill>
                      </w14:textFill>
                    </w:rPr>
                    <w:t>6.1.4应避免建在溶洞区或易遭受严重自然灾害如洪水、滑坡、泥石流、潮汐等影响的地区；</w:t>
                  </w:r>
                </w:p>
                <w:p w14:paraId="4190CE3C">
                  <w:pPr>
                    <w:jc w:val="left"/>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szCs w:val="21"/>
                      <w:highlight w:val="none"/>
                      <w14:textFill>
                        <w14:solidFill>
                          <w14:schemeClr w14:val="tx1"/>
                        </w14:solidFill>
                      </w14:textFill>
                    </w:rPr>
                    <w:t>6.1.5应建在易燃易爆等危险品仓库、高压输电线路防护区域以外；</w:t>
                  </w:r>
                </w:p>
                <w:p w14:paraId="524C3CC7">
                  <w:pPr>
                    <w:pStyle w:val="18"/>
                    <w:jc w:val="left"/>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szCs w:val="21"/>
                      <w:highlight w:val="none"/>
                      <w14:textFill>
                        <w14:solidFill>
                          <w14:schemeClr w14:val="tx1"/>
                        </w14:solidFill>
                      </w14:textFill>
                    </w:rPr>
                    <w:t>6.1.6应位于居民中心区常年最大风频的下风向；</w:t>
                  </w:r>
                </w:p>
                <w:p w14:paraId="0AAF5B85">
                  <w:pPr>
                    <w:jc w:val="left"/>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szCs w:val="21"/>
                      <w:highlight w:val="none"/>
                      <w14:textFill>
                        <w14:solidFill>
                          <w14:schemeClr w14:val="tx1"/>
                        </w14:solidFill>
                      </w14:textFill>
                    </w:rPr>
                    <w:t>6.1.7集中贮存的废物堆选址除满足以上要求外，还应满足6.3.1款要求；</w:t>
                  </w:r>
                </w:p>
              </w:tc>
              <w:tc>
                <w:tcPr>
                  <w:tcW w:w="1889" w:type="pct"/>
                  <w:vMerge w:val="restart"/>
                  <w:tcBorders>
                    <w:tl2br w:val="nil"/>
                    <w:tr2bl w:val="nil"/>
                  </w:tcBorders>
                  <w:vAlign w:val="center"/>
                </w:tcPr>
                <w:p w14:paraId="7E6E813E">
                  <w:pPr>
                    <w:widowControl/>
                    <w:numPr>
                      <w:ilvl w:val="0"/>
                      <w:numId w:val="2"/>
                    </w:numPr>
                    <w:jc w:val="left"/>
                    <w:rPr>
                      <w:rFonts w:hint="default" w:ascii="Times New Roman" w:hAnsi="Times New Roman" w:cs="Times New Roman"/>
                      <w:color w:val="000000" w:themeColor="text1"/>
                      <w:kern w:val="0"/>
                      <w:szCs w:val="21"/>
                      <w:highlight w:val="none"/>
                      <w14:textFill>
                        <w14:solidFill>
                          <w14:schemeClr w14:val="tx1"/>
                        </w14:solidFill>
                      </w14:textFill>
                    </w:rPr>
                  </w:pPr>
                  <w:r>
                    <w:rPr>
                      <w:rFonts w:hint="default" w:ascii="Times New Roman" w:hAnsi="Times New Roman" w:cs="Times New Roman"/>
                      <w:color w:val="000000" w:themeColor="text1"/>
                      <w:kern w:val="0"/>
                      <w:szCs w:val="21"/>
                      <w:highlight w:val="none"/>
                      <w14:textFill>
                        <w14:solidFill>
                          <w14:schemeClr w14:val="tx1"/>
                        </w14:solidFill>
                      </w14:textFill>
                    </w:rPr>
                    <w:t>本项目贮存的危险废物主要为</w:t>
                  </w:r>
                  <w:r>
                    <w:rPr>
                      <w:rFonts w:hint="eastAsia" w:cs="Times New Roman"/>
                      <w:color w:val="000000" w:themeColor="text1"/>
                      <w:kern w:val="0"/>
                      <w:szCs w:val="21"/>
                      <w:highlight w:val="none"/>
                      <w:lang w:val="en-US" w:eastAsia="zh-CN"/>
                      <w14:textFill>
                        <w14:solidFill>
                          <w14:schemeClr w14:val="tx1"/>
                        </w14:solidFill>
                      </w14:textFill>
                    </w:rPr>
                    <w:t>本溪市内各汽车修配厂及工况企业产生的废矿物油</w:t>
                  </w:r>
                  <w:r>
                    <w:rPr>
                      <w:rFonts w:hint="default" w:ascii="Times New Roman" w:hAnsi="Times New Roman" w:cs="Times New Roman"/>
                      <w:color w:val="000000" w:themeColor="text1"/>
                      <w:kern w:val="0"/>
                      <w:szCs w:val="21"/>
                      <w:highlight w:val="none"/>
                      <w14:textFill>
                        <w14:solidFill>
                          <w14:schemeClr w14:val="tx1"/>
                        </w14:solidFill>
                      </w14:textFill>
                    </w:rPr>
                    <w:t>，无剧毒类废弃化学品，</w:t>
                  </w:r>
                  <w:r>
                    <w:rPr>
                      <w:rFonts w:hint="eastAsia" w:cs="Times New Roman"/>
                      <w:color w:val="000000" w:themeColor="text1"/>
                      <w:kern w:val="0"/>
                      <w:szCs w:val="21"/>
                      <w:highlight w:val="none"/>
                      <w:lang w:val="en-US" w:eastAsia="zh-CN"/>
                      <w14:textFill>
                        <w14:solidFill>
                          <w14:schemeClr w14:val="tx1"/>
                        </w14:solidFill>
                      </w14:textFill>
                    </w:rPr>
                    <w:t>贮存过程</w:t>
                  </w:r>
                  <w:r>
                    <w:rPr>
                      <w:rFonts w:hint="default" w:ascii="Times New Roman" w:hAnsi="Times New Roman" w:cs="Times New Roman"/>
                      <w:color w:val="000000" w:themeColor="text1"/>
                      <w:kern w:val="0"/>
                      <w:szCs w:val="21"/>
                      <w:highlight w:val="none"/>
                      <w14:textFill>
                        <w14:solidFill>
                          <w14:schemeClr w14:val="tx1"/>
                        </w14:solidFill>
                      </w14:textFill>
                    </w:rPr>
                    <w:t>产生的废气经</w:t>
                  </w:r>
                  <w:r>
                    <w:rPr>
                      <w:rFonts w:hint="eastAsia" w:cs="Times New Roman"/>
                      <w:color w:val="000000" w:themeColor="text1"/>
                      <w:kern w:val="0"/>
                      <w:szCs w:val="21"/>
                      <w:highlight w:val="none"/>
                      <w:lang w:val="en-US" w:eastAsia="zh-CN"/>
                      <w14:textFill>
                        <w14:solidFill>
                          <w14:schemeClr w14:val="tx1"/>
                        </w14:solidFill>
                      </w14:textFill>
                    </w:rPr>
                    <w:t>管道</w:t>
                  </w:r>
                  <w:r>
                    <w:rPr>
                      <w:rFonts w:hint="default" w:ascii="Times New Roman" w:hAnsi="Times New Roman" w:cs="Times New Roman"/>
                      <w:color w:val="000000" w:themeColor="text1"/>
                      <w:kern w:val="0"/>
                      <w:szCs w:val="21"/>
                      <w:highlight w:val="none"/>
                      <w14:textFill>
                        <w14:solidFill>
                          <w14:schemeClr w14:val="tx1"/>
                        </w14:solidFill>
                      </w14:textFill>
                    </w:rPr>
                    <w:t>收集+活性炭吸附装置处理后排放，泄露的液体经排液沟（管道）收集至</w:t>
                  </w:r>
                  <w:r>
                    <w:rPr>
                      <w:rFonts w:hint="eastAsia" w:cs="Times New Roman"/>
                      <w:color w:val="000000" w:themeColor="text1"/>
                      <w:kern w:val="0"/>
                      <w:szCs w:val="21"/>
                      <w:highlight w:val="none"/>
                      <w:lang w:eastAsia="zh-CN"/>
                      <w14:textFill>
                        <w14:solidFill>
                          <w14:schemeClr w14:val="tx1"/>
                        </w14:solidFill>
                      </w14:textFill>
                    </w:rPr>
                    <w:t>集液池</w:t>
                  </w:r>
                  <w:r>
                    <w:rPr>
                      <w:rFonts w:hint="eastAsia" w:cs="Times New Roman"/>
                      <w:color w:val="000000" w:themeColor="text1"/>
                      <w:kern w:val="0"/>
                      <w:szCs w:val="21"/>
                      <w:highlight w:val="none"/>
                      <w:lang w:val="en-US" w:eastAsia="zh-CN"/>
                      <w14:textFill>
                        <w14:solidFill>
                          <w14:schemeClr w14:val="tx1"/>
                        </w14:solidFill>
                      </w14:textFill>
                    </w:rPr>
                    <w:t>内</w:t>
                  </w:r>
                  <w:r>
                    <w:rPr>
                      <w:rFonts w:hint="default" w:ascii="Times New Roman" w:hAnsi="Times New Roman" w:cs="Times New Roman"/>
                      <w:color w:val="000000" w:themeColor="text1"/>
                      <w:kern w:val="0"/>
                      <w:szCs w:val="21"/>
                      <w:highlight w:val="none"/>
                      <w14:textFill>
                        <w14:solidFill>
                          <w14:schemeClr w14:val="tx1"/>
                        </w14:solidFill>
                      </w14:textFill>
                    </w:rPr>
                    <w:t>，按危险废物交由有资质单位集中处置，对环境及周边敏感目标影响较小</w:t>
                  </w:r>
                  <w:r>
                    <w:rPr>
                      <w:rFonts w:hint="default" w:ascii="Times New Roman" w:hAnsi="Times New Roman" w:cs="Times New Roman"/>
                      <w:color w:val="auto"/>
                      <w:kern w:val="0"/>
                      <w:szCs w:val="21"/>
                      <w:highlight w:val="none"/>
                    </w:rPr>
                    <w:t>。</w:t>
                  </w:r>
                </w:p>
                <w:p w14:paraId="0C952135">
                  <w:pPr>
                    <w:widowControl/>
                    <w:numPr>
                      <w:ilvl w:val="0"/>
                      <w:numId w:val="2"/>
                    </w:numPr>
                    <w:jc w:val="left"/>
                    <w:rPr>
                      <w:rFonts w:hint="default" w:ascii="Times New Roman" w:hAnsi="Times New Roman" w:cs="Times New Roman"/>
                      <w:color w:val="000000" w:themeColor="text1"/>
                      <w:kern w:val="0"/>
                      <w:szCs w:val="21"/>
                      <w:highlight w:val="none"/>
                      <w14:textFill>
                        <w14:solidFill>
                          <w14:schemeClr w14:val="tx1"/>
                        </w14:solidFill>
                      </w14:textFill>
                    </w:rPr>
                  </w:pPr>
                  <w:r>
                    <w:rPr>
                      <w:rFonts w:hint="eastAsia" w:cs="Times New Roman"/>
                      <w:color w:val="000000" w:themeColor="text1"/>
                      <w:kern w:val="0"/>
                      <w:szCs w:val="21"/>
                      <w:highlight w:val="none"/>
                      <w:lang w:val="en-US" w:eastAsia="zh-CN"/>
                      <w14:textFill>
                        <w14:solidFill>
                          <w14:schemeClr w14:val="tx1"/>
                        </w14:solidFill>
                      </w14:textFill>
                    </w:rPr>
                    <w:t>废矿物油贮存车间</w:t>
                  </w:r>
                  <w:r>
                    <w:rPr>
                      <w:rFonts w:hint="default" w:ascii="Times New Roman" w:hAnsi="Times New Roman" w:cs="Times New Roman"/>
                      <w:color w:val="000000" w:themeColor="text1"/>
                      <w:kern w:val="0"/>
                      <w:szCs w:val="21"/>
                      <w:highlight w:val="none"/>
                      <w14:textFill>
                        <w14:solidFill>
                          <w14:schemeClr w14:val="tx1"/>
                        </w14:solidFill>
                      </w14:textFill>
                    </w:rPr>
                    <w:t>内</w:t>
                  </w:r>
                  <w:r>
                    <w:rPr>
                      <w:rFonts w:hint="eastAsia" w:cs="Times New Roman"/>
                      <w:color w:val="000000" w:themeColor="text1"/>
                      <w:kern w:val="0"/>
                      <w:szCs w:val="21"/>
                      <w:highlight w:val="none"/>
                      <w:lang w:val="en-US" w:eastAsia="zh-CN"/>
                      <w14:textFill>
                        <w14:solidFill>
                          <w14:schemeClr w14:val="tx1"/>
                        </w14:solidFill>
                      </w14:textFill>
                    </w:rPr>
                    <w:t>罐区</w:t>
                  </w:r>
                  <w:r>
                    <w:rPr>
                      <w:rFonts w:hint="default" w:ascii="Times New Roman" w:hAnsi="Times New Roman" w:cs="Times New Roman"/>
                      <w:color w:val="000000" w:themeColor="text1"/>
                      <w:kern w:val="0"/>
                      <w:szCs w:val="21"/>
                      <w:highlight w:val="none"/>
                      <w14:textFill>
                        <w14:solidFill>
                          <w14:schemeClr w14:val="tx1"/>
                        </w14:solidFill>
                      </w14:textFill>
                    </w:rPr>
                    <w:t>地面、裙角、泄漏液体收集装置均进行防渗，防渗等级满足要求，危废库地面防渗垫层采用130mm厚C30防渗麦麸纤维混凝土，裙脚设计为堵截泄漏的裙脚，即采用防渗裙脚，防渗做法与地面一致。</w:t>
                  </w:r>
                </w:p>
                <w:p w14:paraId="202AFAC0">
                  <w:pPr>
                    <w:widowControl/>
                    <w:numPr>
                      <w:ilvl w:val="0"/>
                      <w:numId w:val="2"/>
                    </w:numPr>
                    <w:jc w:val="left"/>
                    <w:rPr>
                      <w:rFonts w:hint="default" w:ascii="Times New Roman" w:hAnsi="Times New Roman" w:cs="Times New Roman"/>
                      <w:color w:val="000000" w:themeColor="text1"/>
                      <w:kern w:val="0"/>
                      <w:szCs w:val="21"/>
                      <w:highlight w:val="none"/>
                      <w14:textFill>
                        <w14:solidFill>
                          <w14:schemeClr w14:val="tx1"/>
                        </w14:solidFill>
                      </w14:textFill>
                    </w:rPr>
                  </w:pPr>
                  <w:r>
                    <w:rPr>
                      <w:rFonts w:hint="eastAsia" w:cs="Times New Roman"/>
                      <w:color w:val="000000" w:themeColor="text1"/>
                      <w:kern w:val="0"/>
                      <w:szCs w:val="21"/>
                      <w:highlight w:val="none"/>
                      <w:lang w:val="en-US" w:eastAsia="zh-CN"/>
                      <w14:textFill>
                        <w14:solidFill>
                          <w14:schemeClr w14:val="tx1"/>
                        </w14:solidFill>
                      </w14:textFill>
                    </w:rPr>
                    <w:t>废矿物油贮存车间内</w:t>
                  </w:r>
                  <w:r>
                    <w:rPr>
                      <w:rFonts w:hint="default" w:ascii="Times New Roman" w:hAnsi="Times New Roman" w:cs="Times New Roman"/>
                      <w:color w:val="000000" w:themeColor="text1"/>
                      <w:kern w:val="0"/>
                      <w:szCs w:val="21"/>
                      <w:highlight w:val="none"/>
                      <w14:textFill>
                        <w14:solidFill>
                          <w14:schemeClr w14:val="tx1"/>
                        </w14:solidFill>
                      </w14:textFill>
                    </w:rPr>
                    <w:t>设有轴流风机、安全照明设施、观察窗口以及监控设施。</w:t>
                  </w:r>
                </w:p>
                <w:p w14:paraId="29EEED2A">
                  <w:pPr>
                    <w:widowControl/>
                    <w:numPr>
                      <w:ilvl w:val="0"/>
                      <w:numId w:val="2"/>
                    </w:numPr>
                    <w:jc w:val="left"/>
                    <w:rPr>
                      <w:rFonts w:hint="default" w:ascii="Times New Roman" w:hAnsi="Times New Roman" w:cs="Times New Roman"/>
                      <w:color w:val="000000" w:themeColor="text1"/>
                      <w:kern w:val="0"/>
                      <w:szCs w:val="21"/>
                      <w:highlight w:val="none"/>
                      <w14:textFill>
                        <w14:solidFill>
                          <w14:schemeClr w14:val="tx1"/>
                        </w14:solidFill>
                      </w14:textFill>
                    </w:rPr>
                  </w:pPr>
                  <w:r>
                    <w:rPr>
                      <w:rFonts w:hint="default" w:ascii="Times New Roman" w:hAnsi="Times New Roman" w:cs="Times New Roman"/>
                      <w:color w:val="000000" w:themeColor="text1"/>
                      <w:kern w:val="0"/>
                      <w:szCs w:val="21"/>
                      <w:highlight w:val="none"/>
                      <w14:textFill>
                        <w14:solidFill>
                          <w14:schemeClr w14:val="tx1"/>
                        </w14:solidFill>
                      </w14:textFill>
                    </w:rPr>
                    <w:t>根据危废产生单位以及危险废物特性，用墙隔断分区存放危险废物。</w:t>
                  </w:r>
                  <w:r>
                    <w:rPr>
                      <w:rFonts w:hint="eastAsia" w:cs="Times New Roman"/>
                      <w:color w:val="000000" w:themeColor="text1"/>
                      <w:kern w:val="0"/>
                      <w:szCs w:val="21"/>
                      <w:highlight w:val="none"/>
                      <w:lang w:val="en-US" w:eastAsia="zh-CN"/>
                      <w14:textFill>
                        <w14:solidFill>
                          <w14:schemeClr w14:val="tx1"/>
                        </w14:solidFill>
                      </w14:textFill>
                    </w:rPr>
                    <w:t>废矿物油储存车间</w:t>
                  </w:r>
                  <w:r>
                    <w:rPr>
                      <w:rFonts w:hint="default" w:ascii="Times New Roman" w:hAnsi="Times New Roman" w:cs="Times New Roman"/>
                      <w:color w:val="000000" w:themeColor="text1"/>
                      <w:kern w:val="0"/>
                      <w:szCs w:val="21"/>
                      <w:highlight w:val="none"/>
                      <w14:textFill>
                        <w14:solidFill>
                          <w14:schemeClr w14:val="tx1"/>
                        </w14:solidFill>
                      </w14:textFill>
                    </w:rPr>
                    <w:t>地面采用耐腐蚀的硬化防渗地面，且在运行期定期检查，保证地面无裂缝。</w:t>
                  </w:r>
                </w:p>
                <w:p w14:paraId="62FB0E3C">
                  <w:pPr>
                    <w:pStyle w:val="18"/>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szCs w:val="21"/>
                      <w:highlight w:val="none"/>
                      <w14:textFill>
                        <w14:solidFill>
                          <w14:schemeClr w14:val="tx1"/>
                        </w14:solidFill>
                      </w14:textFill>
                    </w:rPr>
                    <w:t>（5）泄露的液体可通过排液沟（管道）进入</w:t>
                  </w:r>
                  <w:r>
                    <w:rPr>
                      <w:rFonts w:hint="eastAsia" w:ascii="Times New Roman" w:hAnsi="Times New Roman" w:cs="Times New Roman"/>
                      <w:color w:val="000000" w:themeColor="text1"/>
                      <w:szCs w:val="21"/>
                      <w:highlight w:val="none"/>
                      <w:lang w:eastAsia="zh-CN"/>
                      <w14:textFill>
                        <w14:solidFill>
                          <w14:schemeClr w14:val="tx1"/>
                        </w14:solidFill>
                      </w14:textFill>
                    </w:rPr>
                    <w:t>集液池</w:t>
                  </w:r>
                  <w:r>
                    <w:rPr>
                      <w:rFonts w:hint="default" w:ascii="Times New Roman" w:hAnsi="Times New Roman" w:cs="Times New Roman"/>
                      <w:color w:val="000000" w:themeColor="text1"/>
                      <w:szCs w:val="21"/>
                      <w:highlight w:val="none"/>
                      <w14:textFill>
                        <w14:solidFill>
                          <w14:schemeClr w14:val="tx1"/>
                        </w14:solidFill>
                      </w14:textFill>
                    </w:rPr>
                    <w:t>中，收集后委托有资质单位进行处置；</w:t>
                  </w:r>
                </w:p>
                <w:p w14:paraId="48B801C6">
                  <w:pPr>
                    <w:pStyle w:val="18"/>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szCs w:val="21"/>
                      <w:highlight w:val="none"/>
                      <w14:textFill>
                        <w14:solidFill>
                          <w14:schemeClr w14:val="tx1"/>
                        </w14:solidFill>
                      </w14:textFill>
                    </w:rPr>
                    <w:t>（6）</w:t>
                  </w:r>
                  <w:r>
                    <w:rPr>
                      <w:rFonts w:hint="eastAsia" w:ascii="Times New Roman" w:hAnsi="Times New Roman" w:cs="Times New Roman"/>
                      <w:color w:val="000000" w:themeColor="text1"/>
                      <w:szCs w:val="21"/>
                      <w:highlight w:val="none"/>
                      <w:lang w:val="en-US" w:eastAsia="zh-CN"/>
                      <w14:textFill>
                        <w14:solidFill>
                          <w14:schemeClr w14:val="tx1"/>
                        </w14:solidFill>
                      </w14:textFill>
                    </w:rPr>
                    <w:t>废矿物油储罐</w:t>
                  </w:r>
                  <w:r>
                    <w:rPr>
                      <w:rFonts w:hint="default" w:ascii="Times New Roman" w:hAnsi="Times New Roman" w:cs="Times New Roman"/>
                      <w:color w:val="000000" w:themeColor="text1"/>
                      <w:szCs w:val="21"/>
                      <w:highlight w:val="none"/>
                      <w14:textFill>
                        <w14:solidFill>
                          <w14:schemeClr w14:val="tx1"/>
                        </w14:solidFill>
                      </w14:textFill>
                    </w:rPr>
                    <w:t>贮存过程产生的挥发性有机物经</w:t>
                  </w:r>
                  <w:r>
                    <w:rPr>
                      <w:rFonts w:hint="eastAsia" w:ascii="Times New Roman" w:hAnsi="Times New Roman" w:cs="Times New Roman"/>
                      <w:color w:val="000000" w:themeColor="text1"/>
                      <w:szCs w:val="21"/>
                      <w:highlight w:val="none"/>
                      <w:lang w:val="en-US" w:eastAsia="zh-CN"/>
                      <w14:textFill>
                        <w14:solidFill>
                          <w14:schemeClr w14:val="tx1"/>
                        </w14:solidFill>
                      </w14:textFill>
                    </w:rPr>
                    <w:t>管道</w:t>
                  </w:r>
                  <w:r>
                    <w:rPr>
                      <w:rFonts w:hint="default" w:ascii="Times New Roman" w:hAnsi="Times New Roman" w:cs="Times New Roman"/>
                      <w:color w:val="000000" w:themeColor="text1"/>
                      <w:szCs w:val="21"/>
                      <w:highlight w:val="none"/>
                      <w14:textFill>
                        <w14:solidFill>
                          <w14:schemeClr w14:val="tx1"/>
                        </w14:solidFill>
                      </w14:textFill>
                    </w:rPr>
                    <w:t>收集+活性炭吸附装置处理后由一根15m高排气筒集中排放。</w:t>
                  </w:r>
                </w:p>
                <w:p w14:paraId="777FF742">
                  <w:pPr>
                    <w:pStyle w:val="18"/>
                    <w:jc w:val="center"/>
                    <w:rPr>
                      <w:rFonts w:hint="default" w:ascii="Times New Roman" w:hAnsi="Times New Roman" w:cs="Times New Roman"/>
                      <w:color w:val="000000" w:themeColor="text1"/>
                      <w:szCs w:val="21"/>
                      <w:highlight w:val="none"/>
                      <w14:textFill>
                        <w14:solidFill>
                          <w14:schemeClr w14:val="tx1"/>
                        </w14:solidFill>
                      </w14:textFill>
                    </w:rPr>
                  </w:pPr>
                </w:p>
              </w:tc>
              <w:tc>
                <w:tcPr>
                  <w:tcW w:w="615" w:type="pct"/>
                  <w:vMerge w:val="restart"/>
                  <w:tcBorders>
                    <w:tl2br w:val="nil"/>
                    <w:tr2bl w:val="nil"/>
                  </w:tcBorders>
                  <w:vAlign w:val="center"/>
                </w:tcPr>
                <w:p w14:paraId="7436CA6B">
                  <w:pPr>
                    <w:pStyle w:val="18"/>
                    <w:jc w:val="center"/>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szCs w:val="21"/>
                      <w:highlight w:val="none"/>
                      <w14:textFill>
                        <w14:solidFill>
                          <w14:schemeClr w14:val="tx1"/>
                        </w14:solidFill>
                      </w14:textFill>
                    </w:rPr>
                    <w:t>符合</w:t>
                  </w:r>
                </w:p>
              </w:tc>
            </w:tr>
            <w:tr w14:paraId="11BE6A31">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91" w:type="pct"/>
                  <w:vMerge w:val="continue"/>
                  <w:tcBorders>
                    <w:tl2br w:val="nil"/>
                    <w:tr2bl w:val="nil"/>
                  </w:tcBorders>
                  <w:vAlign w:val="center"/>
                </w:tcPr>
                <w:p w14:paraId="7F221924">
                  <w:pPr>
                    <w:pStyle w:val="18"/>
                    <w:jc w:val="center"/>
                    <w:rPr>
                      <w:rFonts w:hint="default" w:ascii="Times New Roman" w:hAnsi="Times New Roman" w:cs="Times New Roman"/>
                      <w:color w:val="000000" w:themeColor="text1"/>
                      <w:szCs w:val="21"/>
                      <w:highlight w:val="none"/>
                      <w14:textFill>
                        <w14:solidFill>
                          <w14:schemeClr w14:val="tx1"/>
                        </w14:solidFill>
                      </w14:textFill>
                    </w:rPr>
                  </w:pPr>
                </w:p>
              </w:tc>
              <w:tc>
                <w:tcPr>
                  <w:tcW w:w="2003" w:type="pct"/>
                  <w:tcBorders>
                    <w:tl2br w:val="nil"/>
                    <w:tr2bl w:val="nil"/>
                  </w:tcBorders>
                  <w:vAlign w:val="center"/>
                </w:tcPr>
                <w:p w14:paraId="7D8E7913">
                  <w:pPr>
                    <w:pStyle w:val="18"/>
                    <w:jc w:val="left"/>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szCs w:val="21"/>
                      <w:highlight w:val="none"/>
                      <w14:textFill>
                        <w14:solidFill>
                          <w14:schemeClr w14:val="tx1"/>
                        </w14:solidFill>
                      </w14:textFill>
                    </w:rPr>
                    <w:t>6.2 危险废物贮存设施（仓库式）的设计原则</w:t>
                  </w:r>
                </w:p>
                <w:p w14:paraId="636C5812">
                  <w:pPr>
                    <w:pStyle w:val="18"/>
                    <w:jc w:val="left"/>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szCs w:val="21"/>
                      <w:highlight w:val="none"/>
                      <w14:textFill>
                        <w14:solidFill>
                          <w14:schemeClr w14:val="tx1"/>
                        </w14:solidFill>
                      </w14:textFill>
                    </w:rPr>
                    <w:t>6.2.1地面与裙角要用坚固防渗的材料建造，建筑材料必须与危险废物相容</w:t>
                  </w:r>
                </w:p>
                <w:p w14:paraId="11F6EC0C">
                  <w:pPr>
                    <w:pStyle w:val="18"/>
                    <w:jc w:val="left"/>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szCs w:val="21"/>
                      <w:highlight w:val="none"/>
                      <w14:textFill>
                        <w14:solidFill>
                          <w14:schemeClr w14:val="tx1"/>
                        </w14:solidFill>
                      </w14:textFill>
                    </w:rPr>
                    <w:t>6.2.2必须有泄漏液体收集装置、气体导出口及气体净化装置。</w:t>
                  </w:r>
                </w:p>
                <w:p w14:paraId="7773AFF8">
                  <w:pPr>
                    <w:pStyle w:val="18"/>
                    <w:jc w:val="left"/>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szCs w:val="21"/>
                      <w:highlight w:val="none"/>
                      <w14:textFill>
                        <w14:solidFill>
                          <w14:schemeClr w14:val="tx1"/>
                        </w14:solidFill>
                      </w14:textFill>
                    </w:rPr>
                    <w:t>6.2.3设施内要有安全照明设施和观察窗口</w:t>
                  </w:r>
                </w:p>
                <w:p w14:paraId="35FBEC24">
                  <w:pPr>
                    <w:pStyle w:val="18"/>
                    <w:jc w:val="left"/>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szCs w:val="21"/>
                      <w:highlight w:val="none"/>
                      <w14:textFill>
                        <w14:solidFill>
                          <w14:schemeClr w14:val="tx1"/>
                        </w14:solidFill>
                      </w14:textFill>
                    </w:rPr>
                    <w:t>6.2.4用以存放装载液体、半固体危险废物容器的地方，必须有耐腐蚀，且表面无裂隙</w:t>
                  </w:r>
                </w:p>
                <w:p w14:paraId="36B1EC64">
                  <w:pPr>
                    <w:pStyle w:val="18"/>
                    <w:jc w:val="left"/>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szCs w:val="21"/>
                      <w:highlight w:val="none"/>
                      <w14:textFill>
                        <w14:solidFill>
                          <w14:schemeClr w14:val="tx1"/>
                        </w14:solidFill>
                      </w14:textFill>
                    </w:rPr>
                    <w:t>6.2.5应设计堵截泄漏的裙角，地面与裙角所围建的溶剂不低于堵截最大容器的最大储量或总储量的1/5.</w:t>
                  </w:r>
                </w:p>
                <w:p w14:paraId="17A6BB37">
                  <w:pPr>
                    <w:pStyle w:val="18"/>
                    <w:jc w:val="left"/>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szCs w:val="21"/>
                      <w:highlight w:val="none"/>
                      <w14:textFill>
                        <w14:solidFill>
                          <w14:schemeClr w14:val="tx1"/>
                        </w14:solidFill>
                      </w14:textFill>
                    </w:rPr>
                    <w:t>6.2.6不形容的危险废物必须分开存放，并设有隔离间隔断</w:t>
                  </w:r>
                </w:p>
              </w:tc>
              <w:tc>
                <w:tcPr>
                  <w:tcW w:w="1889" w:type="pct"/>
                  <w:vMerge w:val="continue"/>
                  <w:tcBorders>
                    <w:tl2br w:val="nil"/>
                    <w:tr2bl w:val="nil"/>
                  </w:tcBorders>
                  <w:vAlign w:val="center"/>
                </w:tcPr>
                <w:p w14:paraId="0EAB7B97">
                  <w:pPr>
                    <w:pStyle w:val="18"/>
                    <w:jc w:val="center"/>
                    <w:rPr>
                      <w:rFonts w:hint="default" w:ascii="Times New Roman" w:hAnsi="Times New Roman" w:cs="Times New Roman"/>
                      <w:color w:val="000000" w:themeColor="text1"/>
                      <w:szCs w:val="21"/>
                      <w:highlight w:val="none"/>
                      <w14:textFill>
                        <w14:solidFill>
                          <w14:schemeClr w14:val="tx1"/>
                        </w14:solidFill>
                      </w14:textFill>
                    </w:rPr>
                  </w:pPr>
                </w:p>
              </w:tc>
              <w:tc>
                <w:tcPr>
                  <w:tcW w:w="615" w:type="pct"/>
                  <w:vMerge w:val="continue"/>
                  <w:tcBorders>
                    <w:tl2br w:val="nil"/>
                    <w:tr2bl w:val="nil"/>
                  </w:tcBorders>
                  <w:vAlign w:val="center"/>
                </w:tcPr>
                <w:p w14:paraId="37AA3C85">
                  <w:pPr>
                    <w:pStyle w:val="18"/>
                    <w:jc w:val="center"/>
                    <w:rPr>
                      <w:rFonts w:hint="default" w:ascii="Times New Roman" w:hAnsi="Times New Roman" w:cs="Times New Roman"/>
                      <w:color w:val="000000" w:themeColor="text1"/>
                      <w:szCs w:val="21"/>
                      <w:highlight w:val="none"/>
                      <w14:textFill>
                        <w14:solidFill>
                          <w14:schemeClr w14:val="tx1"/>
                        </w14:solidFill>
                      </w14:textFill>
                    </w:rPr>
                  </w:pPr>
                </w:p>
              </w:tc>
            </w:tr>
            <w:tr w14:paraId="284D1680">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491" w:type="pct"/>
                  <w:vMerge w:val="continue"/>
                  <w:tcBorders>
                    <w:tl2br w:val="nil"/>
                    <w:tr2bl w:val="nil"/>
                  </w:tcBorders>
                  <w:vAlign w:val="center"/>
                </w:tcPr>
                <w:p w14:paraId="3F69B50A">
                  <w:pPr>
                    <w:pStyle w:val="18"/>
                    <w:jc w:val="center"/>
                    <w:rPr>
                      <w:rFonts w:hint="default" w:ascii="Times New Roman" w:hAnsi="Times New Roman" w:cs="Times New Roman"/>
                      <w:color w:val="000000" w:themeColor="text1"/>
                      <w:szCs w:val="21"/>
                      <w:highlight w:val="none"/>
                      <w14:textFill>
                        <w14:solidFill>
                          <w14:schemeClr w14:val="tx1"/>
                        </w14:solidFill>
                      </w14:textFill>
                    </w:rPr>
                  </w:pPr>
                </w:p>
              </w:tc>
              <w:tc>
                <w:tcPr>
                  <w:tcW w:w="2003" w:type="pct"/>
                  <w:tcBorders>
                    <w:tl2br w:val="nil"/>
                    <w:tr2bl w:val="nil"/>
                  </w:tcBorders>
                  <w:vAlign w:val="center"/>
                </w:tcPr>
                <w:p w14:paraId="1738A0D5">
                  <w:pPr>
                    <w:pStyle w:val="18"/>
                    <w:jc w:val="left"/>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szCs w:val="21"/>
                      <w:highlight w:val="none"/>
                      <w14:textFill>
                        <w14:solidFill>
                          <w14:schemeClr w14:val="tx1"/>
                        </w14:solidFill>
                      </w14:textFill>
                    </w:rPr>
                    <w:t>6.3 危险废物的堆放</w:t>
                  </w:r>
                </w:p>
                <w:p w14:paraId="083AEA9A">
                  <w:pPr>
                    <w:pStyle w:val="18"/>
                    <w:jc w:val="left"/>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szCs w:val="21"/>
                      <w:highlight w:val="none"/>
                      <w14:textFill>
                        <w14:solidFill>
                          <w14:schemeClr w14:val="tx1"/>
                        </w14:solidFill>
                      </w14:textFill>
                    </w:rPr>
                    <w:t>6.3.1基础必须防渗，防渗层为至少1m厚粘土层（渗透系数≤10</w:t>
                  </w:r>
                  <w:r>
                    <w:rPr>
                      <w:rFonts w:hint="default" w:ascii="Times New Roman" w:hAnsi="Times New Roman" w:cs="Times New Roman"/>
                      <w:color w:val="000000" w:themeColor="text1"/>
                      <w:szCs w:val="21"/>
                      <w:highlight w:val="none"/>
                      <w:vertAlign w:val="superscript"/>
                      <w14:textFill>
                        <w14:solidFill>
                          <w14:schemeClr w14:val="tx1"/>
                        </w14:solidFill>
                      </w14:textFill>
                    </w:rPr>
                    <w:t>-7</w:t>
                  </w:r>
                  <w:r>
                    <w:rPr>
                      <w:rFonts w:hint="default" w:ascii="Times New Roman" w:hAnsi="Times New Roman" w:cs="Times New Roman"/>
                      <w:color w:val="000000" w:themeColor="text1"/>
                      <w:szCs w:val="21"/>
                      <w:highlight w:val="none"/>
                      <w14:textFill>
                        <w14:solidFill>
                          <w14:schemeClr w14:val="tx1"/>
                        </w14:solidFill>
                      </w14:textFill>
                    </w:rPr>
                    <w:t>cm/s），或2mm厚高密度聚乙烯，或至少2mm厚的其他人工材料，渗透系数≤10</w:t>
                  </w:r>
                  <w:r>
                    <w:rPr>
                      <w:rFonts w:hint="default" w:ascii="Times New Roman" w:hAnsi="Times New Roman" w:cs="Times New Roman"/>
                      <w:color w:val="000000" w:themeColor="text1"/>
                      <w:szCs w:val="21"/>
                      <w:highlight w:val="none"/>
                      <w:vertAlign w:val="superscript"/>
                      <w14:textFill>
                        <w14:solidFill>
                          <w14:schemeClr w14:val="tx1"/>
                        </w14:solidFill>
                      </w14:textFill>
                    </w:rPr>
                    <w:t>-10</w:t>
                  </w:r>
                  <w:r>
                    <w:rPr>
                      <w:rFonts w:hint="default" w:ascii="Times New Roman" w:hAnsi="Times New Roman" w:cs="Times New Roman"/>
                      <w:color w:val="000000" w:themeColor="text1"/>
                      <w:szCs w:val="21"/>
                      <w:highlight w:val="none"/>
                      <w14:textFill>
                        <w14:solidFill>
                          <w14:schemeClr w14:val="tx1"/>
                        </w14:solidFill>
                      </w14:textFill>
                    </w:rPr>
                    <w:t>cm/s</w:t>
                  </w:r>
                </w:p>
              </w:tc>
              <w:tc>
                <w:tcPr>
                  <w:tcW w:w="1889" w:type="pct"/>
                  <w:vMerge w:val="continue"/>
                  <w:tcBorders>
                    <w:tl2br w:val="nil"/>
                    <w:tr2bl w:val="nil"/>
                  </w:tcBorders>
                  <w:vAlign w:val="center"/>
                </w:tcPr>
                <w:p w14:paraId="362E673A">
                  <w:pPr>
                    <w:pStyle w:val="18"/>
                    <w:jc w:val="center"/>
                    <w:rPr>
                      <w:rFonts w:hint="default" w:ascii="Times New Roman" w:hAnsi="Times New Roman" w:cs="Times New Roman"/>
                      <w:color w:val="000000" w:themeColor="text1"/>
                      <w:szCs w:val="21"/>
                      <w:highlight w:val="none"/>
                      <w14:textFill>
                        <w14:solidFill>
                          <w14:schemeClr w14:val="tx1"/>
                        </w14:solidFill>
                      </w14:textFill>
                    </w:rPr>
                  </w:pPr>
                </w:p>
              </w:tc>
              <w:tc>
                <w:tcPr>
                  <w:tcW w:w="615" w:type="pct"/>
                  <w:vMerge w:val="continue"/>
                  <w:tcBorders>
                    <w:tl2br w:val="nil"/>
                    <w:tr2bl w:val="nil"/>
                  </w:tcBorders>
                  <w:vAlign w:val="center"/>
                </w:tcPr>
                <w:p w14:paraId="4C99B978">
                  <w:pPr>
                    <w:pStyle w:val="18"/>
                    <w:jc w:val="center"/>
                    <w:rPr>
                      <w:rFonts w:hint="default" w:ascii="Times New Roman" w:hAnsi="Times New Roman" w:cs="Times New Roman"/>
                      <w:color w:val="000000" w:themeColor="text1"/>
                      <w:szCs w:val="21"/>
                      <w:highlight w:val="none"/>
                      <w14:textFill>
                        <w14:solidFill>
                          <w14:schemeClr w14:val="tx1"/>
                        </w14:solidFill>
                      </w14:textFill>
                    </w:rPr>
                  </w:pPr>
                </w:p>
              </w:tc>
            </w:tr>
          </w:tbl>
          <w:p w14:paraId="5390FFFB">
            <w:pPr>
              <w:numPr>
                <w:ilvl w:val="0"/>
                <w:numId w:val="0"/>
              </w:numPr>
              <w:autoSpaceDE w:val="0"/>
              <w:autoSpaceDN w:val="0"/>
              <w:adjustRightInd w:val="0"/>
              <w:snapToGrid w:val="0"/>
              <w:ind w:leftChars="0"/>
              <w:rPr>
                <w:rFonts w:hint="default" w:ascii="Times New Roman" w:hAnsi="Times New Roman" w:cs="Times New Roman"/>
                <w:b/>
                <w:bCs/>
                <w:color w:val="000000" w:themeColor="text1"/>
                <w:kern w:val="0"/>
                <w:sz w:val="24"/>
                <w:highlight w:val="none"/>
                <w14:textFill>
                  <w14:solidFill>
                    <w14:schemeClr w14:val="tx1"/>
                  </w14:solidFill>
                </w14:textFill>
              </w:rPr>
            </w:pPr>
            <w:r>
              <w:rPr>
                <w:rFonts w:hint="eastAsia" w:cs="Times New Roman"/>
                <w:b/>
                <w:bCs/>
                <w:color w:val="000000" w:themeColor="text1"/>
                <w:kern w:val="0"/>
                <w:sz w:val="24"/>
                <w:highlight w:val="none"/>
                <w:lang w:val="en-US" w:eastAsia="zh-CN"/>
                <w14:textFill>
                  <w14:solidFill>
                    <w14:schemeClr w14:val="tx1"/>
                  </w14:solidFill>
                </w14:textFill>
              </w:rPr>
              <w:t>16、</w:t>
            </w:r>
            <w:r>
              <w:rPr>
                <w:rFonts w:hint="default" w:ascii="Times New Roman" w:hAnsi="Times New Roman" w:cs="Times New Roman"/>
                <w:b/>
                <w:bCs/>
                <w:color w:val="000000" w:themeColor="text1"/>
                <w:kern w:val="0"/>
                <w:sz w:val="24"/>
                <w:highlight w:val="none"/>
                <w14:textFill>
                  <w14:solidFill>
                    <w14:schemeClr w14:val="tx1"/>
                  </w14:solidFill>
                </w14:textFill>
              </w:rPr>
              <w:t>与《危险废物收集、贮存、运输技术规范》（HJ2025-2012）相符性分析</w:t>
            </w:r>
          </w:p>
          <w:p w14:paraId="5386FDA7">
            <w:pPr>
              <w:pStyle w:val="22"/>
              <w:ind w:left="0" w:leftChars="0" w:firstLine="0" w:firstLineChars="0"/>
              <w:jc w:val="center"/>
              <w:rPr>
                <w:rFonts w:hint="default" w:ascii="Times New Roman" w:hAnsi="Times New Roman" w:cs="Times New Roman"/>
                <w:b/>
                <w:bCs/>
                <w:color w:val="000000" w:themeColor="text1"/>
                <w:sz w:val="18"/>
                <w:szCs w:val="21"/>
                <w:highlight w:val="none"/>
                <w14:textFill>
                  <w14:solidFill>
                    <w14:schemeClr w14:val="tx1"/>
                  </w14:solidFill>
                </w14:textFill>
              </w:rPr>
            </w:pPr>
            <w:r>
              <w:rPr>
                <w:rFonts w:hint="default" w:ascii="Times New Roman" w:hAnsi="Times New Roman" w:cs="Times New Roman"/>
                <w:b/>
                <w:bCs/>
                <w:color w:val="000000" w:themeColor="text1"/>
                <w:kern w:val="0"/>
                <w:szCs w:val="21"/>
                <w:highlight w:val="none"/>
                <w14:textFill>
                  <w14:solidFill>
                    <w14:schemeClr w14:val="tx1"/>
                  </w14:solidFill>
                </w14:textFill>
              </w:rPr>
              <w:t>表1-1</w:t>
            </w:r>
            <w:r>
              <w:rPr>
                <w:rFonts w:hint="eastAsia" w:cs="Times New Roman"/>
                <w:b/>
                <w:bCs/>
                <w:color w:val="000000" w:themeColor="text1"/>
                <w:kern w:val="0"/>
                <w:szCs w:val="21"/>
                <w:highlight w:val="none"/>
                <w:lang w:val="en-US" w:eastAsia="zh-CN"/>
                <w14:textFill>
                  <w14:solidFill>
                    <w14:schemeClr w14:val="tx1"/>
                  </w14:solidFill>
                </w14:textFill>
              </w:rPr>
              <w:t>6</w:t>
            </w:r>
            <w:r>
              <w:rPr>
                <w:rFonts w:hint="default" w:ascii="Times New Roman" w:hAnsi="Times New Roman" w:cs="Times New Roman"/>
                <w:b/>
                <w:bCs/>
                <w:color w:val="000000" w:themeColor="text1"/>
                <w:kern w:val="0"/>
                <w:szCs w:val="21"/>
                <w:highlight w:val="none"/>
                <w14:textFill>
                  <w14:solidFill>
                    <w14:schemeClr w14:val="tx1"/>
                  </w14:solidFill>
                </w14:textFill>
              </w:rPr>
              <w:t xml:space="preserve"> 与《危险废物收集、贮存、运输技术规范》相符性分析</w:t>
            </w:r>
          </w:p>
          <w:tbl>
            <w:tblPr>
              <w:tblStyle w:val="28"/>
              <w:tblW w:w="6927" w:type="dxa"/>
              <w:tblInd w:w="5" w:type="dxa"/>
              <w:tblBorders>
                <w:top w:val="double" w:color="auto" w:sz="4" w:space="0"/>
                <w:left w:val="none" w:color="auto" w:sz="0" w:space="0"/>
                <w:bottom w:val="doub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852"/>
              <w:gridCol w:w="3324"/>
              <w:gridCol w:w="1896"/>
              <w:gridCol w:w="855"/>
            </w:tblGrid>
            <w:tr w14:paraId="264108C4">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4176" w:type="dxa"/>
                  <w:gridSpan w:val="2"/>
                  <w:tcBorders>
                    <w:tl2br w:val="nil"/>
                    <w:tr2bl w:val="nil"/>
                  </w:tcBorders>
                  <w:vAlign w:val="center"/>
                </w:tcPr>
                <w:p w14:paraId="4DB5F3DB">
                  <w:pPr>
                    <w:pStyle w:val="22"/>
                    <w:ind w:left="0" w:leftChars="0" w:firstLine="0" w:firstLineChars="0"/>
                    <w:jc w:val="center"/>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szCs w:val="21"/>
                      <w:highlight w:val="none"/>
                      <w14:textFill>
                        <w14:solidFill>
                          <w14:schemeClr w14:val="tx1"/>
                        </w14:solidFill>
                      </w14:textFill>
                    </w:rPr>
                    <w:t>规范内容</w:t>
                  </w:r>
                </w:p>
              </w:tc>
              <w:tc>
                <w:tcPr>
                  <w:tcW w:w="1896" w:type="dxa"/>
                  <w:tcBorders>
                    <w:tl2br w:val="nil"/>
                    <w:tr2bl w:val="nil"/>
                  </w:tcBorders>
                  <w:vAlign w:val="center"/>
                </w:tcPr>
                <w:p w14:paraId="60C77E24">
                  <w:pPr>
                    <w:pStyle w:val="22"/>
                    <w:ind w:left="0" w:leftChars="0" w:firstLine="0" w:firstLineChars="0"/>
                    <w:jc w:val="center"/>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szCs w:val="21"/>
                      <w:highlight w:val="none"/>
                      <w14:textFill>
                        <w14:solidFill>
                          <w14:schemeClr w14:val="tx1"/>
                        </w14:solidFill>
                      </w14:textFill>
                    </w:rPr>
                    <w:t>本项目情况</w:t>
                  </w:r>
                </w:p>
              </w:tc>
              <w:tc>
                <w:tcPr>
                  <w:tcW w:w="855" w:type="dxa"/>
                  <w:tcBorders>
                    <w:tl2br w:val="nil"/>
                    <w:tr2bl w:val="nil"/>
                  </w:tcBorders>
                  <w:vAlign w:val="center"/>
                </w:tcPr>
                <w:p w14:paraId="7A3BE244">
                  <w:pPr>
                    <w:pStyle w:val="22"/>
                    <w:ind w:left="0" w:leftChars="0" w:firstLine="0" w:firstLineChars="0"/>
                    <w:jc w:val="center"/>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szCs w:val="21"/>
                      <w:highlight w:val="none"/>
                      <w14:textFill>
                        <w14:solidFill>
                          <w14:schemeClr w14:val="tx1"/>
                        </w14:solidFill>
                      </w14:textFill>
                    </w:rPr>
                    <w:t>相符性</w:t>
                  </w:r>
                </w:p>
              </w:tc>
            </w:tr>
            <w:tr w14:paraId="0A315FAC">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852" w:type="dxa"/>
                  <w:vMerge w:val="restart"/>
                  <w:tcBorders>
                    <w:tl2br w:val="nil"/>
                    <w:tr2bl w:val="nil"/>
                  </w:tcBorders>
                  <w:vAlign w:val="center"/>
                </w:tcPr>
                <w:p w14:paraId="581D9A3D">
                  <w:pPr>
                    <w:pStyle w:val="22"/>
                    <w:ind w:left="0" w:leftChars="0" w:firstLine="0" w:firstLineChars="0"/>
                    <w:jc w:val="center"/>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szCs w:val="21"/>
                      <w:highlight w:val="none"/>
                      <w14:textFill>
                        <w14:solidFill>
                          <w14:schemeClr w14:val="tx1"/>
                        </w14:solidFill>
                      </w14:textFill>
                    </w:rPr>
                    <w:t>6、危险废物的贮存</w:t>
                  </w:r>
                </w:p>
              </w:tc>
              <w:tc>
                <w:tcPr>
                  <w:tcW w:w="3324" w:type="dxa"/>
                  <w:tcBorders>
                    <w:tl2br w:val="nil"/>
                    <w:tr2bl w:val="nil"/>
                  </w:tcBorders>
                  <w:vAlign w:val="center"/>
                </w:tcPr>
                <w:p w14:paraId="488A63EE">
                  <w:pPr>
                    <w:widowControl/>
                    <w:jc w:val="center"/>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kern w:val="0"/>
                      <w:szCs w:val="21"/>
                      <w:highlight w:val="none"/>
                      <w14:textFill>
                        <w14:solidFill>
                          <w14:schemeClr w14:val="tx1"/>
                        </w14:solidFill>
                      </w14:textFill>
                    </w:rPr>
                    <w:t>6.1危险废物贮存可分为产生单位内部贮存、中转贮存及集中性贮存。所对应的贮存设施分别为：产生危险废物的单位用于暂时贮存的施；拥有危险废物收集经营许可证的单位用于临时贮存废矿物油、废镍镉电池的设施；以及危险废物经营单位所配置的贮存设施。</w:t>
                  </w:r>
                </w:p>
              </w:tc>
              <w:tc>
                <w:tcPr>
                  <w:tcW w:w="1896" w:type="dxa"/>
                  <w:tcBorders>
                    <w:tl2br w:val="nil"/>
                    <w:tr2bl w:val="nil"/>
                  </w:tcBorders>
                  <w:vAlign w:val="center"/>
                </w:tcPr>
                <w:p w14:paraId="6B5BBAD5">
                  <w:pPr>
                    <w:widowControl/>
                    <w:jc w:val="center"/>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kern w:val="0"/>
                      <w:szCs w:val="21"/>
                      <w:highlight w:val="none"/>
                      <w14:textFill>
                        <w14:solidFill>
                          <w14:schemeClr w14:val="tx1"/>
                        </w14:solidFill>
                      </w14:textFill>
                    </w:rPr>
                    <w:t>本项目所建设的危废暂存场属产生危险废物的单位用于暂时贮存的设施。</w:t>
                  </w:r>
                </w:p>
              </w:tc>
              <w:tc>
                <w:tcPr>
                  <w:tcW w:w="855" w:type="dxa"/>
                  <w:tcBorders>
                    <w:tl2br w:val="nil"/>
                    <w:tr2bl w:val="nil"/>
                  </w:tcBorders>
                  <w:vAlign w:val="center"/>
                </w:tcPr>
                <w:p w14:paraId="4D3043F0">
                  <w:pPr>
                    <w:pStyle w:val="22"/>
                    <w:ind w:left="0" w:leftChars="0" w:firstLine="0" w:firstLineChars="0"/>
                    <w:jc w:val="center"/>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szCs w:val="21"/>
                      <w:highlight w:val="none"/>
                      <w14:textFill>
                        <w14:solidFill>
                          <w14:schemeClr w14:val="tx1"/>
                        </w14:solidFill>
                      </w14:textFill>
                    </w:rPr>
                    <w:t>符合</w:t>
                  </w:r>
                </w:p>
              </w:tc>
            </w:tr>
            <w:tr w14:paraId="263426C7">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852" w:type="dxa"/>
                  <w:vMerge w:val="continue"/>
                  <w:tcBorders>
                    <w:tl2br w:val="nil"/>
                    <w:tr2bl w:val="nil"/>
                  </w:tcBorders>
                  <w:vAlign w:val="center"/>
                </w:tcPr>
                <w:p w14:paraId="41D61045">
                  <w:pPr>
                    <w:pStyle w:val="22"/>
                    <w:ind w:left="0" w:leftChars="0" w:firstLine="0" w:firstLineChars="0"/>
                    <w:jc w:val="center"/>
                    <w:rPr>
                      <w:rFonts w:hint="default" w:ascii="Times New Roman" w:hAnsi="Times New Roman" w:cs="Times New Roman"/>
                      <w:color w:val="000000" w:themeColor="text1"/>
                      <w:szCs w:val="21"/>
                      <w:highlight w:val="none"/>
                      <w14:textFill>
                        <w14:solidFill>
                          <w14:schemeClr w14:val="tx1"/>
                        </w14:solidFill>
                      </w14:textFill>
                    </w:rPr>
                  </w:pPr>
                </w:p>
              </w:tc>
              <w:tc>
                <w:tcPr>
                  <w:tcW w:w="3324" w:type="dxa"/>
                  <w:tcBorders>
                    <w:tl2br w:val="nil"/>
                    <w:tr2bl w:val="nil"/>
                  </w:tcBorders>
                  <w:vAlign w:val="center"/>
                </w:tcPr>
                <w:p w14:paraId="41915A1A">
                  <w:pPr>
                    <w:widowControl/>
                    <w:jc w:val="center"/>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kern w:val="0"/>
                      <w:szCs w:val="21"/>
                      <w:highlight w:val="none"/>
                      <w14:textFill>
                        <w14:solidFill>
                          <w14:schemeClr w14:val="tx1"/>
                        </w14:solidFill>
                      </w14:textFill>
                    </w:rPr>
                    <w:t>6.2危险废物贮存设施的选址、设计、建设、运行管理应满足GB18597、GBZ1和GBZ2的有关要求。</w:t>
                  </w:r>
                </w:p>
              </w:tc>
              <w:tc>
                <w:tcPr>
                  <w:tcW w:w="1896" w:type="dxa"/>
                  <w:tcBorders>
                    <w:tl2br w:val="nil"/>
                    <w:tr2bl w:val="nil"/>
                  </w:tcBorders>
                  <w:vAlign w:val="center"/>
                </w:tcPr>
                <w:p w14:paraId="510715FD">
                  <w:pPr>
                    <w:widowControl/>
                    <w:jc w:val="center"/>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kern w:val="0"/>
                      <w:szCs w:val="21"/>
                      <w:highlight w:val="none"/>
                      <w14:textFill>
                        <w14:solidFill>
                          <w14:schemeClr w14:val="tx1"/>
                        </w14:solidFill>
                      </w14:textFill>
                    </w:rPr>
                    <w:t>本项目</w:t>
                  </w:r>
                  <w:r>
                    <w:rPr>
                      <w:rFonts w:hint="eastAsia" w:cs="Times New Roman"/>
                      <w:color w:val="000000" w:themeColor="text1"/>
                      <w:kern w:val="0"/>
                      <w:szCs w:val="21"/>
                      <w:highlight w:val="none"/>
                      <w:lang w:val="en-US" w:eastAsia="zh-CN"/>
                      <w14:textFill>
                        <w14:solidFill>
                          <w14:schemeClr w14:val="tx1"/>
                        </w14:solidFill>
                      </w14:textFill>
                    </w:rPr>
                    <w:t>废矿物油</w:t>
                  </w:r>
                  <w:r>
                    <w:rPr>
                      <w:rFonts w:hint="default" w:ascii="Times New Roman" w:hAnsi="Times New Roman" w:cs="Times New Roman"/>
                      <w:color w:val="000000" w:themeColor="text1"/>
                      <w:kern w:val="0"/>
                      <w:szCs w:val="21"/>
                      <w:highlight w:val="none"/>
                      <w14:textFill>
                        <w14:solidFill>
                          <w14:schemeClr w14:val="tx1"/>
                        </w14:solidFill>
                      </w14:textFill>
                    </w:rPr>
                    <w:t>贮存设施的选址、设计、建设、运行管理满足GB18597、GBZ1和GBZ2的有关要求。</w:t>
                  </w:r>
                </w:p>
              </w:tc>
              <w:tc>
                <w:tcPr>
                  <w:tcW w:w="855" w:type="dxa"/>
                  <w:tcBorders>
                    <w:tl2br w:val="nil"/>
                    <w:tr2bl w:val="nil"/>
                  </w:tcBorders>
                  <w:vAlign w:val="center"/>
                </w:tcPr>
                <w:p w14:paraId="1519143E">
                  <w:pPr>
                    <w:pStyle w:val="22"/>
                    <w:ind w:left="0" w:leftChars="0" w:firstLine="0" w:firstLineChars="0"/>
                    <w:jc w:val="center"/>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szCs w:val="21"/>
                      <w:highlight w:val="none"/>
                      <w14:textFill>
                        <w14:solidFill>
                          <w14:schemeClr w14:val="tx1"/>
                        </w14:solidFill>
                      </w14:textFill>
                    </w:rPr>
                    <w:t>符合</w:t>
                  </w:r>
                </w:p>
              </w:tc>
            </w:tr>
            <w:tr w14:paraId="7C93F957">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852" w:type="dxa"/>
                  <w:vMerge w:val="continue"/>
                  <w:tcBorders>
                    <w:tl2br w:val="nil"/>
                    <w:tr2bl w:val="nil"/>
                  </w:tcBorders>
                  <w:vAlign w:val="center"/>
                </w:tcPr>
                <w:p w14:paraId="361B31AD">
                  <w:pPr>
                    <w:pStyle w:val="22"/>
                    <w:ind w:left="0" w:leftChars="0" w:firstLine="0" w:firstLineChars="0"/>
                    <w:jc w:val="center"/>
                    <w:rPr>
                      <w:rFonts w:hint="default" w:ascii="Times New Roman" w:hAnsi="Times New Roman" w:cs="Times New Roman"/>
                      <w:color w:val="000000" w:themeColor="text1"/>
                      <w:szCs w:val="21"/>
                      <w:highlight w:val="none"/>
                      <w14:textFill>
                        <w14:solidFill>
                          <w14:schemeClr w14:val="tx1"/>
                        </w14:solidFill>
                      </w14:textFill>
                    </w:rPr>
                  </w:pPr>
                </w:p>
              </w:tc>
              <w:tc>
                <w:tcPr>
                  <w:tcW w:w="3324" w:type="dxa"/>
                  <w:tcBorders>
                    <w:tl2br w:val="nil"/>
                    <w:tr2bl w:val="nil"/>
                  </w:tcBorders>
                  <w:vAlign w:val="center"/>
                </w:tcPr>
                <w:p w14:paraId="03BC8E78">
                  <w:pPr>
                    <w:widowControl/>
                    <w:jc w:val="center"/>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kern w:val="0"/>
                      <w:szCs w:val="21"/>
                      <w:highlight w:val="none"/>
                      <w14:textFill>
                        <w14:solidFill>
                          <w14:schemeClr w14:val="tx1"/>
                        </w14:solidFill>
                      </w14:textFill>
                    </w:rPr>
                    <w:t>6.3危险废物贮存设施应配备通讯设备、照明设施和消防设施。</w:t>
                  </w:r>
                </w:p>
              </w:tc>
              <w:tc>
                <w:tcPr>
                  <w:tcW w:w="1896" w:type="dxa"/>
                  <w:tcBorders>
                    <w:tl2br w:val="nil"/>
                    <w:tr2bl w:val="nil"/>
                  </w:tcBorders>
                  <w:vAlign w:val="center"/>
                </w:tcPr>
                <w:p w14:paraId="2292BF68">
                  <w:pPr>
                    <w:widowControl/>
                    <w:jc w:val="center"/>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kern w:val="0"/>
                      <w:szCs w:val="21"/>
                      <w:highlight w:val="none"/>
                      <w14:textFill>
                        <w14:solidFill>
                          <w14:schemeClr w14:val="tx1"/>
                        </w14:solidFill>
                      </w14:textFill>
                    </w:rPr>
                    <w:t>本项目</w:t>
                  </w:r>
                  <w:r>
                    <w:rPr>
                      <w:rFonts w:hint="eastAsia" w:cs="Times New Roman"/>
                      <w:color w:val="000000" w:themeColor="text1"/>
                      <w:kern w:val="0"/>
                      <w:szCs w:val="21"/>
                      <w:highlight w:val="none"/>
                      <w:lang w:val="en-US" w:eastAsia="zh-CN"/>
                      <w14:textFill>
                        <w14:solidFill>
                          <w14:schemeClr w14:val="tx1"/>
                        </w14:solidFill>
                      </w14:textFill>
                    </w:rPr>
                    <w:t>废矿物油储存间内</w:t>
                  </w:r>
                  <w:r>
                    <w:rPr>
                      <w:rFonts w:hint="default" w:ascii="Times New Roman" w:hAnsi="Times New Roman" w:cs="Times New Roman"/>
                      <w:color w:val="000000" w:themeColor="text1"/>
                      <w:kern w:val="0"/>
                      <w:szCs w:val="21"/>
                      <w:highlight w:val="none"/>
                      <w14:textFill>
                        <w14:solidFill>
                          <w14:schemeClr w14:val="tx1"/>
                        </w14:solidFill>
                      </w14:textFill>
                    </w:rPr>
                    <w:t>配备有通讯设备及照明、消防设施。</w:t>
                  </w:r>
                </w:p>
              </w:tc>
              <w:tc>
                <w:tcPr>
                  <w:tcW w:w="855" w:type="dxa"/>
                  <w:tcBorders>
                    <w:tl2br w:val="nil"/>
                    <w:tr2bl w:val="nil"/>
                  </w:tcBorders>
                  <w:vAlign w:val="center"/>
                </w:tcPr>
                <w:p w14:paraId="0B2C19AC">
                  <w:pPr>
                    <w:pStyle w:val="22"/>
                    <w:ind w:left="0" w:leftChars="0" w:firstLine="0" w:firstLineChars="0"/>
                    <w:jc w:val="center"/>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szCs w:val="21"/>
                      <w:highlight w:val="none"/>
                      <w14:textFill>
                        <w14:solidFill>
                          <w14:schemeClr w14:val="tx1"/>
                        </w14:solidFill>
                      </w14:textFill>
                    </w:rPr>
                    <w:t>符合</w:t>
                  </w:r>
                </w:p>
              </w:tc>
            </w:tr>
            <w:tr w14:paraId="26E7AB0F">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852" w:type="dxa"/>
                  <w:vMerge w:val="continue"/>
                  <w:tcBorders>
                    <w:tl2br w:val="nil"/>
                    <w:tr2bl w:val="nil"/>
                  </w:tcBorders>
                  <w:vAlign w:val="center"/>
                </w:tcPr>
                <w:p w14:paraId="1A368D00">
                  <w:pPr>
                    <w:pStyle w:val="22"/>
                    <w:ind w:left="0" w:leftChars="0" w:firstLine="0" w:firstLineChars="0"/>
                    <w:jc w:val="center"/>
                    <w:rPr>
                      <w:rFonts w:hint="default" w:ascii="Times New Roman" w:hAnsi="Times New Roman" w:cs="Times New Roman"/>
                      <w:color w:val="000000" w:themeColor="text1"/>
                      <w:szCs w:val="21"/>
                      <w:highlight w:val="none"/>
                      <w14:textFill>
                        <w14:solidFill>
                          <w14:schemeClr w14:val="tx1"/>
                        </w14:solidFill>
                      </w14:textFill>
                    </w:rPr>
                  </w:pPr>
                </w:p>
              </w:tc>
              <w:tc>
                <w:tcPr>
                  <w:tcW w:w="3324" w:type="dxa"/>
                  <w:tcBorders>
                    <w:tl2br w:val="nil"/>
                    <w:tr2bl w:val="nil"/>
                  </w:tcBorders>
                  <w:vAlign w:val="center"/>
                </w:tcPr>
                <w:p w14:paraId="48F6A96B">
                  <w:pPr>
                    <w:widowControl/>
                    <w:jc w:val="center"/>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kern w:val="0"/>
                      <w:szCs w:val="21"/>
                      <w:highlight w:val="none"/>
                      <w14:textFill>
                        <w14:solidFill>
                          <w14:schemeClr w14:val="tx1"/>
                        </w14:solidFill>
                      </w14:textFill>
                    </w:rPr>
                    <w:t>6.4贮存危险废物时应按危险废物的种类和特性进行分区贮存，每个贮存区域之间宜设置挡墙间隔，并应设置防雨、防火、防雷、防扬尘装置。</w:t>
                  </w:r>
                </w:p>
              </w:tc>
              <w:tc>
                <w:tcPr>
                  <w:tcW w:w="1896" w:type="dxa"/>
                  <w:tcBorders>
                    <w:tl2br w:val="nil"/>
                    <w:tr2bl w:val="nil"/>
                  </w:tcBorders>
                  <w:vAlign w:val="center"/>
                </w:tcPr>
                <w:p w14:paraId="06294C5F">
                  <w:pPr>
                    <w:widowControl/>
                    <w:jc w:val="center"/>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kern w:val="0"/>
                      <w:szCs w:val="21"/>
                      <w:highlight w:val="none"/>
                      <w14:textFill>
                        <w14:solidFill>
                          <w14:schemeClr w14:val="tx1"/>
                        </w14:solidFill>
                      </w14:textFill>
                    </w:rPr>
                    <w:t>根据本项目贮存的危险废物种类和特性，将危险废物进行分区放置。</w:t>
                  </w:r>
                </w:p>
                <w:p w14:paraId="0CF54257">
                  <w:pPr>
                    <w:pStyle w:val="22"/>
                    <w:ind w:left="0" w:leftChars="0" w:firstLine="0" w:firstLineChars="0"/>
                    <w:jc w:val="center"/>
                    <w:rPr>
                      <w:rFonts w:hint="default" w:ascii="Times New Roman" w:hAnsi="Times New Roman" w:cs="Times New Roman"/>
                      <w:color w:val="000000" w:themeColor="text1"/>
                      <w:szCs w:val="21"/>
                      <w:highlight w:val="none"/>
                      <w14:textFill>
                        <w14:solidFill>
                          <w14:schemeClr w14:val="tx1"/>
                        </w14:solidFill>
                      </w14:textFill>
                    </w:rPr>
                  </w:pPr>
                </w:p>
              </w:tc>
              <w:tc>
                <w:tcPr>
                  <w:tcW w:w="855" w:type="dxa"/>
                  <w:tcBorders>
                    <w:tl2br w:val="nil"/>
                    <w:tr2bl w:val="nil"/>
                  </w:tcBorders>
                  <w:vAlign w:val="center"/>
                </w:tcPr>
                <w:p w14:paraId="24DA27CA">
                  <w:pPr>
                    <w:pStyle w:val="22"/>
                    <w:ind w:left="0" w:leftChars="0" w:firstLine="0" w:firstLineChars="0"/>
                    <w:jc w:val="center"/>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szCs w:val="21"/>
                      <w:highlight w:val="none"/>
                      <w14:textFill>
                        <w14:solidFill>
                          <w14:schemeClr w14:val="tx1"/>
                        </w14:solidFill>
                      </w14:textFill>
                    </w:rPr>
                    <w:t>符合</w:t>
                  </w:r>
                </w:p>
              </w:tc>
            </w:tr>
            <w:tr w14:paraId="2DD811DC">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852" w:type="dxa"/>
                  <w:vMerge w:val="continue"/>
                  <w:tcBorders>
                    <w:tl2br w:val="nil"/>
                    <w:tr2bl w:val="nil"/>
                  </w:tcBorders>
                  <w:vAlign w:val="center"/>
                </w:tcPr>
                <w:p w14:paraId="63343598">
                  <w:pPr>
                    <w:pStyle w:val="22"/>
                    <w:ind w:left="0" w:leftChars="0" w:firstLine="0" w:firstLineChars="0"/>
                    <w:jc w:val="center"/>
                    <w:rPr>
                      <w:rFonts w:hint="default" w:ascii="Times New Roman" w:hAnsi="Times New Roman" w:cs="Times New Roman"/>
                      <w:color w:val="000000" w:themeColor="text1"/>
                      <w:szCs w:val="21"/>
                      <w:highlight w:val="none"/>
                      <w14:textFill>
                        <w14:solidFill>
                          <w14:schemeClr w14:val="tx1"/>
                        </w14:solidFill>
                      </w14:textFill>
                    </w:rPr>
                  </w:pPr>
                </w:p>
              </w:tc>
              <w:tc>
                <w:tcPr>
                  <w:tcW w:w="3324" w:type="dxa"/>
                  <w:tcBorders>
                    <w:tl2br w:val="nil"/>
                    <w:tr2bl w:val="nil"/>
                  </w:tcBorders>
                  <w:vAlign w:val="center"/>
                </w:tcPr>
                <w:p w14:paraId="798676FF">
                  <w:pPr>
                    <w:widowControl/>
                    <w:jc w:val="center"/>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kern w:val="0"/>
                      <w:szCs w:val="21"/>
                      <w:highlight w:val="none"/>
                      <w14:textFill>
                        <w14:solidFill>
                          <w14:schemeClr w14:val="tx1"/>
                        </w14:solidFill>
                      </w14:textFill>
                    </w:rPr>
                    <w:t>贮存易燃易爆危险废物应配置有机气体报警、火灾报警装置和导出静电的接地装置。</w:t>
                  </w:r>
                </w:p>
              </w:tc>
              <w:tc>
                <w:tcPr>
                  <w:tcW w:w="1896" w:type="dxa"/>
                  <w:tcBorders>
                    <w:tl2br w:val="nil"/>
                    <w:tr2bl w:val="nil"/>
                  </w:tcBorders>
                  <w:vAlign w:val="center"/>
                </w:tcPr>
                <w:p w14:paraId="70BAF98F">
                  <w:pPr>
                    <w:widowControl/>
                    <w:jc w:val="cente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eastAsia" w:cs="Times New Roman"/>
                      <w:color w:val="000000" w:themeColor="text1"/>
                      <w:kern w:val="0"/>
                      <w:szCs w:val="21"/>
                      <w:highlight w:val="none"/>
                      <w:lang w:val="en-US" w:eastAsia="zh-CN"/>
                      <w14:textFill>
                        <w14:solidFill>
                          <w14:schemeClr w14:val="tx1"/>
                        </w14:solidFill>
                      </w14:textFill>
                    </w:rPr>
                    <w:t>本项目无易燃易爆危险废物。</w:t>
                  </w:r>
                </w:p>
              </w:tc>
              <w:tc>
                <w:tcPr>
                  <w:tcW w:w="855" w:type="dxa"/>
                  <w:tcBorders>
                    <w:tl2br w:val="nil"/>
                    <w:tr2bl w:val="nil"/>
                  </w:tcBorders>
                  <w:vAlign w:val="center"/>
                </w:tcPr>
                <w:p w14:paraId="38575084">
                  <w:pPr>
                    <w:pStyle w:val="22"/>
                    <w:ind w:left="0" w:leftChars="0" w:firstLine="0" w:firstLineChars="0"/>
                    <w:jc w:val="center"/>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szCs w:val="21"/>
                      <w:highlight w:val="none"/>
                      <w14:textFill>
                        <w14:solidFill>
                          <w14:schemeClr w14:val="tx1"/>
                        </w14:solidFill>
                      </w14:textFill>
                    </w:rPr>
                    <w:t>符合</w:t>
                  </w:r>
                </w:p>
              </w:tc>
            </w:tr>
            <w:tr w14:paraId="536652AC">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852" w:type="dxa"/>
                  <w:vMerge w:val="continue"/>
                  <w:tcBorders>
                    <w:tl2br w:val="nil"/>
                    <w:tr2bl w:val="nil"/>
                  </w:tcBorders>
                  <w:vAlign w:val="center"/>
                </w:tcPr>
                <w:p w14:paraId="075D041A">
                  <w:pPr>
                    <w:pStyle w:val="22"/>
                    <w:ind w:left="0" w:leftChars="0" w:firstLine="0" w:firstLineChars="0"/>
                    <w:jc w:val="center"/>
                    <w:rPr>
                      <w:rFonts w:hint="default" w:ascii="Times New Roman" w:hAnsi="Times New Roman" w:cs="Times New Roman"/>
                      <w:color w:val="000000" w:themeColor="text1"/>
                      <w:szCs w:val="21"/>
                      <w:highlight w:val="none"/>
                      <w14:textFill>
                        <w14:solidFill>
                          <w14:schemeClr w14:val="tx1"/>
                        </w14:solidFill>
                      </w14:textFill>
                    </w:rPr>
                  </w:pPr>
                </w:p>
              </w:tc>
              <w:tc>
                <w:tcPr>
                  <w:tcW w:w="3324" w:type="dxa"/>
                  <w:tcBorders>
                    <w:tl2br w:val="nil"/>
                    <w:tr2bl w:val="nil"/>
                  </w:tcBorders>
                  <w:vAlign w:val="center"/>
                </w:tcPr>
                <w:p w14:paraId="7F06B035">
                  <w:pPr>
                    <w:widowControl/>
                    <w:jc w:val="center"/>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kern w:val="0"/>
                      <w:szCs w:val="21"/>
                      <w:highlight w:val="none"/>
                      <w14:textFill>
                        <w14:solidFill>
                          <w14:schemeClr w14:val="tx1"/>
                        </w14:solidFill>
                      </w14:textFill>
                    </w:rPr>
                    <w:t>6.5废弃危险化学品贮存应满足GB15603、《危险化学品安全管理条例》、《废弃危险化学品污染环境防治办法》的要求。贮存废弃剧毒化学品还应考虑防盗要求，采用双钥匙封闭式管理，且有专人24小时看管。</w:t>
                  </w:r>
                </w:p>
              </w:tc>
              <w:tc>
                <w:tcPr>
                  <w:tcW w:w="1896" w:type="dxa"/>
                  <w:tcBorders>
                    <w:tl2br w:val="nil"/>
                    <w:tr2bl w:val="nil"/>
                  </w:tcBorders>
                  <w:vAlign w:val="center"/>
                </w:tcPr>
                <w:p w14:paraId="6783EAD2">
                  <w:pPr>
                    <w:widowControl/>
                    <w:jc w:val="center"/>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kern w:val="0"/>
                      <w:szCs w:val="21"/>
                      <w:highlight w:val="none"/>
                      <w14:textFill>
                        <w14:solidFill>
                          <w14:schemeClr w14:val="tx1"/>
                        </w14:solidFill>
                      </w14:textFill>
                    </w:rPr>
                    <w:t>本项目无废弃剧毒类化学品。</w:t>
                  </w:r>
                </w:p>
                <w:p w14:paraId="5A868E66">
                  <w:pPr>
                    <w:pStyle w:val="22"/>
                    <w:ind w:left="0" w:leftChars="0" w:firstLine="0" w:firstLineChars="0"/>
                    <w:jc w:val="center"/>
                    <w:rPr>
                      <w:rFonts w:hint="default" w:ascii="Times New Roman" w:hAnsi="Times New Roman" w:cs="Times New Roman"/>
                      <w:color w:val="000000" w:themeColor="text1"/>
                      <w:szCs w:val="21"/>
                      <w:highlight w:val="none"/>
                      <w14:textFill>
                        <w14:solidFill>
                          <w14:schemeClr w14:val="tx1"/>
                        </w14:solidFill>
                      </w14:textFill>
                    </w:rPr>
                  </w:pPr>
                </w:p>
              </w:tc>
              <w:tc>
                <w:tcPr>
                  <w:tcW w:w="855" w:type="dxa"/>
                  <w:tcBorders>
                    <w:tl2br w:val="nil"/>
                    <w:tr2bl w:val="nil"/>
                  </w:tcBorders>
                  <w:vAlign w:val="center"/>
                </w:tcPr>
                <w:p w14:paraId="3891BD8F">
                  <w:pPr>
                    <w:pStyle w:val="22"/>
                    <w:ind w:left="0" w:leftChars="0" w:firstLine="0" w:firstLineChars="0"/>
                    <w:jc w:val="center"/>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szCs w:val="21"/>
                      <w:highlight w:val="none"/>
                      <w14:textFill>
                        <w14:solidFill>
                          <w14:schemeClr w14:val="tx1"/>
                        </w14:solidFill>
                      </w14:textFill>
                    </w:rPr>
                    <w:t>符合</w:t>
                  </w:r>
                </w:p>
              </w:tc>
            </w:tr>
            <w:tr w14:paraId="7DD5C826">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852" w:type="dxa"/>
                  <w:vMerge w:val="continue"/>
                  <w:tcBorders>
                    <w:tl2br w:val="nil"/>
                    <w:tr2bl w:val="nil"/>
                  </w:tcBorders>
                  <w:vAlign w:val="center"/>
                </w:tcPr>
                <w:p w14:paraId="5FB8A12D">
                  <w:pPr>
                    <w:pStyle w:val="22"/>
                    <w:ind w:left="0" w:leftChars="0" w:firstLine="0" w:firstLineChars="0"/>
                    <w:jc w:val="center"/>
                    <w:rPr>
                      <w:rFonts w:hint="default" w:ascii="Times New Roman" w:hAnsi="Times New Roman" w:cs="Times New Roman"/>
                      <w:color w:val="000000" w:themeColor="text1"/>
                      <w:szCs w:val="21"/>
                      <w:highlight w:val="none"/>
                      <w14:textFill>
                        <w14:solidFill>
                          <w14:schemeClr w14:val="tx1"/>
                        </w14:solidFill>
                      </w14:textFill>
                    </w:rPr>
                  </w:pPr>
                </w:p>
              </w:tc>
              <w:tc>
                <w:tcPr>
                  <w:tcW w:w="3324" w:type="dxa"/>
                  <w:tcBorders>
                    <w:tl2br w:val="nil"/>
                    <w:tr2bl w:val="nil"/>
                  </w:tcBorders>
                  <w:vAlign w:val="center"/>
                </w:tcPr>
                <w:p w14:paraId="2D4DF6DD">
                  <w:pPr>
                    <w:widowControl/>
                    <w:jc w:val="center"/>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kern w:val="0"/>
                      <w:szCs w:val="21"/>
                      <w:highlight w:val="none"/>
                      <w14:textFill>
                        <w14:solidFill>
                          <w14:schemeClr w14:val="tx1"/>
                        </w14:solidFill>
                      </w14:textFill>
                    </w:rPr>
                    <w:t>6.6危险废物贮存期限应符合《中华人民共和国固体废物污染环境防治法》的有关规定。</w:t>
                  </w:r>
                </w:p>
              </w:tc>
              <w:tc>
                <w:tcPr>
                  <w:tcW w:w="1896" w:type="dxa"/>
                  <w:tcBorders>
                    <w:tl2br w:val="nil"/>
                    <w:tr2bl w:val="nil"/>
                  </w:tcBorders>
                  <w:vAlign w:val="center"/>
                </w:tcPr>
                <w:p w14:paraId="3832571B">
                  <w:pPr>
                    <w:pStyle w:val="22"/>
                    <w:ind w:left="0" w:leftChars="0" w:firstLine="0" w:firstLineChars="0"/>
                    <w:jc w:val="center"/>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szCs w:val="21"/>
                      <w:highlight w:val="none"/>
                      <w14:textFill>
                        <w14:solidFill>
                          <w14:schemeClr w14:val="tx1"/>
                        </w14:solidFill>
                      </w14:textFill>
                    </w:rPr>
                    <w:t>本项目</w:t>
                  </w:r>
                  <w:r>
                    <w:rPr>
                      <w:rFonts w:hint="eastAsia" w:cs="Times New Roman"/>
                      <w:color w:val="000000" w:themeColor="text1"/>
                      <w:szCs w:val="21"/>
                      <w:highlight w:val="none"/>
                      <w:lang w:val="en-US" w:eastAsia="zh-CN"/>
                      <w14:textFill>
                        <w14:solidFill>
                          <w14:schemeClr w14:val="tx1"/>
                        </w14:solidFill>
                      </w14:textFill>
                    </w:rPr>
                    <w:t>废矿物油</w:t>
                  </w:r>
                  <w:r>
                    <w:rPr>
                      <w:rFonts w:hint="default" w:ascii="Times New Roman" w:hAnsi="Times New Roman" w:cs="Times New Roman"/>
                      <w:color w:val="000000" w:themeColor="text1"/>
                      <w:szCs w:val="21"/>
                      <w:highlight w:val="none"/>
                      <w14:textFill>
                        <w14:solidFill>
                          <w14:schemeClr w14:val="tx1"/>
                        </w14:solidFill>
                      </w14:textFill>
                    </w:rPr>
                    <w:t>最长贮存期限为一年</w:t>
                  </w:r>
                </w:p>
              </w:tc>
              <w:tc>
                <w:tcPr>
                  <w:tcW w:w="855" w:type="dxa"/>
                  <w:tcBorders>
                    <w:tl2br w:val="nil"/>
                    <w:tr2bl w:val="nil"/>
                  </w:tcBorders>
                  <w:vAlign w:val="center"/>
                </w:tcPr>
                <w:p w14:paraId="678F4B73">
                  <w:pPr>
                    <w:pStyle w:val="22"/>
                    <w:ind w:left="0" w:leftChars="0" w:firstLine="0" w:firstLineChars="0"/>
                    <w:jc w:val="center"/>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szCs w:val="21"/>
                      <w:highlight w:val="none"/>
                      <w14:textFill>
                        <w14:solidFill>
                          <w14:schemeClr w14:val="tx1"/>
                        </w14:solidFill>
                      </w14:textFill>
                    </w:rPr>
                    <w:t>符合</w:t>
                  </w:r>
                </w:p>
              </w:tc>
            </w:tr>
            <w:tr w14:paraId="6BC5DF49">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852" w:type="dxa"/>
                  <w:vMerge w:val="continue"/>
                  <w:tcBorders>
                    <w:tl2br w:val="nil"/>
                    <w:tr2bl w:val="nil"/>
                  </w:tcBorders>
                  <w:vAlign w:val="center"/>
                </w:tcPr>
                <w:p w14:paraId="661C0178">
                  <w:pPr>
                    <w:pStyle w:val="22"/>
                    <w:ind w:left="0" w:leftChars="0" w:firstLine="0" w:firstLineChars="0"/>
                    <w:jc w:val="center"/>
                    <w:rPr>
                      <w:rFonts w:hint="default" w:ascii="Times New Roman" w:hAnsi="Times New Roman" w:cs="Times New Roman"/>
                      <w:color w:val="000000" w:themeColor="text1"/>
                      <w:szCs w:val="21"/>
                      <w:highlight w:val="none"/>
                      <w14:textFill>
                        <w14:solidFill>
                          <w14:schemeClr w14:val="tx1"/>
                        </w14:solidFill>
                      </w14:textFill>
                    </w:rPr>
                  </w:pPr>
                </w:p>
              </w:tc>
              <w:tc>
                <w:tcPr>
                  <w:tcW w:w="3324" w:type="dxa"/>
                  <w:tcBorders>
                    <w:tl2br w:val="nil"/>
                    <w:tr2bl w:val="nil"/>
                  </w:tcBorders>
                  <w:vAlign w:val="center"/>
                </w:tcPr>
                <w:p w14:paraId="427248B8">
                  <w:pPr>
                    <w:widowControl/>
                    <w:jc w:val="center"/>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kern w:val="0"/>
                      <w:szCs w:val="21"/>
                      <w:highlight w:val="none"/>
                      <w14:textFill>
                        <w14:solidFill>
                          <w14:schemeClr w14:val="tx1"/>
                        </w14:solidFill>
                      </w14:textFill>
                    </w:rPr>
                    <w:t>6.7危险废物贮存单位应建立危险废物贮存的台账制度，危险废物出入库交接记录内容应参照本标准附录C执行</w:t>
                  </w:r>
                </w:p>
              </w:tc>
              <w:tc>
                <w:tcPr>
                  <w:tcW w:w="1896" w:type="dxa"/>
                  <w:tcBorders>
                    <w:tl2br w:val="nil"/>
                    <w:tr2bl w:val="nil"/>
                  </w:tcBorders>
                  <w:vAlign w:val="center"/>
                </w:tcPr>
                <w:p w14:paraId="72D1E662">
                  <w:pPr>
                    <w:widowControl/>
                    <w:jc w:val="center"/>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kern w:val="0"/>
                      <w:szCs w:val="21"/>
                      <w:highlight w:val="none"/>
                      <w14:textFill>
                        <w14:solidFill>
                          <w14:schemeClr w14:val="tx1"/>
                        </w14:solidFill>
                      </w14:textFill>
                    </w:rPr>
                    <w:t>环评要求建设单位应建立有危险废物贮存的台账制度。</w:t>
                  </w:r>
                </w:p>
                <w:p w14:paraId="23C222CE">
                  <w:pPr>
                    <w:pStyle w:val="22"/>
                    <w:ind w:left="0" w:leftChars="0" w:firstLine="0" w:firstLineChars="0"/>
                    <w:jc w:val="center"/>
                    <w:rPr>
                      <w:rFonts w:hint="default" w:ascii="Times New Roman" w:hAnsi="Times New Roman" w:cs="Times New Roman"/>
                      <w:color w:val="000000" w:themeColor="text1"/>
                      <w:szCs w:val="21"/>
                      <w:highlight w:val="none"/>
                      <w14:textFill>
                        <w14:solidFill>
                          <w14:schemeClr w14:val="tx1"/>
                        </w14:solidFill>
                      </w14:textFill>
                    </w:rPr>
                  </w:pPr>
                </w:p>
              </w:tc>
              <w:tc>
                <w:tcPr>
                  <w:tcW w:w="855" w:type="dxa"/>
                  <w:tcBorders>
                    <w:tl2br w:val="nil"/>
                    <w:tr2bl w:val="nil"/>
                  </w:tcBorders>
                  <w:vAlign w:val="center"/>
                </w:tcPr>
                <w:p w14:paraId="4E6CD7D0">
                  <w:pPr>
                    <w:pStyle w:val="22"/>
                    <w:ind w:left="0" w:leftChars="0" w:firstLine="0" w:firstLineChars="0"/>
                    <w:jc w:val="center"/>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szCs w:val="21"/>
                      <w:highlight w:val="none"/>
                      <w14:textFill>
                        <w14:solidFill>
                          <w14:schemeClr w14:val="tx1"/>
                        </w14:solidFill>
                      </w14:textFill>
                    </w:rPr>
                    <w:t>符合</w:t>
                  </w:r>
                </w:p>
              </w:tc>
            </w:tr>
          </w:tbl>
          <w:p w14:paraId="4D522800">
            <w:pPr>
              <w:pStyle w:val="22"/>
              <w:ind w:left="0" w:leftChars="0" w:firstLine="0" w:firstLineChars="0"/>
              <w:rPr>
                <w:rFonts w:hint="default" w:ascii="Times New Roman" w:hAnsi="Times New Roman" w:cs="Times New Roman"/>
                <w:color w:val="000000" w:themeColor="text1"/>
                <w:highlight w:val="none"/>
                <w14:textFill>
                  <w14:solidFill>
                    <w14:schemeClr w14:val="tx1"/>
                  </w14:solidFill>
                </w14:textFill>
              </w:rPr>
            </w:pPr>
          </w:p>
          <w:p w14:paraId="264E5C68">
            <w:pPr>
              <w:pStyle w:val="22"/>
              <w:numPr>
                <w:ilvl w:val="0"/>
                <w:numId w:val="0"/>
              </w:numPr>
              <w:ind w:leftChars="0"/>
              <w:rPr>
                <w:rFonts w:hint="default" w:ascii="Times New Roman" w:hAnsi="Times New Roman" w:cs="Times New Roman"/>
                <w:b/>
                <w:bCs/>
                <w:color w:val="000000" w:themeColor="text1"/>
                <w:sz w:val="24"/>
                <w:szCs w:val="32"/>
                <w:highlight w:val="none"/>
                <w14:textFill>
                  <w14:solidFill>
                    <w14:schemeClr w14:val="tx1"/>
                  </w14:solidFill>
                </w14:textFill>
              </w:rPr>
            </w:pPr>
            <w:r>
              <w:rPr>
                <w:rFonts w:hint="eastAsia" w:cs="Times New Roman"/>
                <w:b/>
                <w:bCs/>
                <w:color w:val="000000" w:themeColor="text1"/>
                <w:sz w:val="24"/>
                <w:szCs w:val="32"/>
                <w:highlight w:val="none"/>
                <w:lang w:val="en-US" w:eastAsia="zh-CN"/>
                <w14:textFill>
                  <w14:solidFill>
                    <w14:schemeClr w14:val="tx1"/>
                  </w14:solidFill>
                </w14:textFill>
              </w:rPr>
              <w:t>17、</w:t>
            </w:r>
            <w:r>
              <w:rPr>
                <w:rFonts w:hint="default" w:ascii="Times New Roman" w:hAnsi="Times New Roman" w:cs="Times New Roman"/>
                <w:b/>
                <w:bCs/>
                <w:color w:val="000000" w:themeColor="text1"/>
                <w:sz w:val="24"/>
                <w:szCs w:val="32"/>
                <w:highlight w:val="none"/>
                <w14:textFill>
                  <w14:solidFill>
                    <w14:schemeClr w14:val="tx1"/>
                  </w14:solidFill>
                </w14:textFill>
              </w:rPr>
              <w:t>与《危险废物污染防治技术政策》（环发[2001]199号）相符性分析</w:t>
            </w:r>
          </w:p>
          <w:p w14:paraId="00B8D6D9">
            <w:pPr>
              <w:jc w:val="center"/>
              <w:rPr>
                <w:rFonts w:hint="default" w:ascii="Times New Roman" w:hAnsi="Times New Roman" w:cs="Times New Roman"/>
                <w:b/>
                <w:bCs/>
                <w:color w:val="000000" w:themeColor="text1"/>
                <w:highlight w:val="none"/>
                <w14:textFill>
                  <w14:solidFill>
                    <w14:schemeClr w14:val="tx1"/>
                  </w14:solidFill>
                </w14:textFill>
              </w:rPr>
            </w:pPr>
            <w:r>
              <w:rPr>
                <w:rFonts w:hint="default" w:ascii="Times New Roman" w:hAnsi="Times New Roman" w:cs="Times New Roman"/>
                <w:b/>
                <w:bCs/>
                <w:color w:val="000000" w:themeColor="text1"/>
                <w:highlight w:val="none"/>
                <w14:textFill>
                  <w14:solidFill>
                    <w14:schemeClr w14:val="tx1"/>
                  </w14:solidFill>
                </w14:textFill>
              </w:rPr>
              <w:t>表1-1</w:t>
            </w:r>
            <w:r>
              <w:rPr>
                <w:rFonts w:hint="eastAsia" w:cs="Times New Roman"/>
                <w:b/>
                <w:bCs/>
                <w:color w:val="000000" w:themeColor="text1"/>
                <w:highlight w:val="none"/>
                <w:lang w:val="en-US" w:eastAsia="zh-CN"/>
                <w14:textFill>
                  <w14:solidFill>
                    <w14:schemeClr w14:val="tx1"/>
                  </w14:solidFill>
                </w14:textFill>
              </w:rPr>
              <w:t>7</w:t>
            </w:r>
            <w:r>
              <w:rPr>
                <w:rFonts w:hint="default" w:ascii="Times New Roman" w:hAnsi="Times New Roman" w:cs="Times New Roman"/>
                <w:b/>
                <w:bCs/>
                <w:color w:val="000000" w:themeColor="text1"/>
                <w:highlight w:val="none"/>
                <w14:textFill>
                  <w14:solidFill>
                    <w14:schemeClr w14:val="tx1"/>
                  </w14:solidFill>
                </w14:textFill>
              </w:rPr>
              <w:t xml:space="preserve"> 与《危险废物污染防治技术政策》相符性分析</w:t>
            </w:r>
          </w:p>
          <w:tbl>
            <w:tblPr>
              <w:tblStyle w:val="28"/>
              <w:tblW w:w="6927" w:type="dxa"/>
              <w:tblInd w:w="5" w:type="dxa"/>
              <w:tblBorders>
                <w:top w:val="double" w:color="auto" w:sz="4" w:space="0"/>
                <w:left w:val="none" w:color="auto" w:sz="0" w:space="0"/>
                <w:bottom w:val="doub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852"/>
              <w:gridCol w:w="3324"/>
              <w:gridCol w:w="1823"/>
              <w:gridCol w:w="928"/>
            </w:tblGrid>
            <w:tr w14:paraId="5BB511C2">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4176" w:type="dxa"/>
                  <w:gridSpan w:val="2"/>
                  <w:tcBorders>
                    <w:tl2br w:val="nil"/>
                    <w:tr2bl w:val="nil"/>
                  </w:tcBorders>
                  <w:vAlign w:val="center"/>
                </w:tcPr>
                <w:p w14:paraId="360E6BE4">
                  <w:pPr>
                    <w:pStyle w:val="22"/>
                    <w:ind w:left="0" w:leftChars="0" w:firstLine="0" w:firstLineChars="0"/>
                    <w:jc w:val="center"/>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szCs w:val="21"/>
                      <w:highlight w:val="none"/>
                      <w14:textFill>
                        <w14:solidFill>
                          <w14:schemeClr w14:val="tx1"/>
                        </w14:solidFill>
                      </w14:textFill>
                    </w:rPr>
                    <w:t>规范内容</w:t>
                  </w:r>
                </w:p>
              </w:tc>
              <w:tc>
                <w:tcPr>
                  <w:tcW w:w="1823" w:type="dxa"/>
                  <w:tcBorders>
                    <w:tl2br w:val="nil"/>
                    <w:tr2bl w:val="nil"/>
                  </w:tcBorders>
                  <w:vAlign w:val="center"/>
                </w:tcPr>
                <w:p w14:paraId="452A1ABB">
                  <w:pPr>
                    <w:pStyle w:val="22"/>
                    <w:ind w:left="0" w:leftChars="0" w:firstLine="0" w:firstLineChars="0"/>
                    <w:jc w:val="center"/>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szCs w:val="21"/>
                      <w:highlight w:val="none"/>
                      <w14:textFill>
                        <w14:solidFill>
                          <w14:schemeClr w14:val="tx1"/>
                        </w14:solidFill>
                      </w14:textFill>
                    </w:rPr>
                    <w:t>本项目情况</w:t>
                  </w:r>
                </w:p>
              </w:tc>
              <w:tc>
                <w:tcPr>
                  <w:tcW w:w="928" w:type="dxa"/>
                  <w:tcBorders>
                    <w:tl2br w:val="nil"/>
                    <w:tr2bl w:val="nil"/>
                  </w:tcBorders>
                  <w:vAlign w:val="center"/>
                </w:tcPr>
                <w:p w14:paraId="4609468E">
                  <w:pPr>
                    <w:pStyle w:val="22"/>
                    <w:ind w:left="0" w:leftChars="0" w:firstLine="0" w:firstLineChars="0"/>
                    <w:jc w:val="center"/>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szCs w:val="21"/>
                      <w:highlight w:val="none"/>
                      <w14:textFill>
                        <w14:solidFill>
                          <w14:schemeClr w14:val="tx1"/>
                        </w14:solidFill>
                      </w14:textFill>
                    </w:rPr>
                    <w:t>相符性</w:t>
                  </w:r>
                </w:p>
              </w:tc>
            </w:tr>
            <w:tr w14:paraId="73A051BA">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852" w:type="dxa"/>
                  <w:vMerge w:val="restart"/>
                  <w:tcBorders>
                    <w:tl2br w:val="nil"/>
                    <w:tr2bl w:val="nil"/>
                  </w:tcBorders>
                  <w:vAlign w:val="center"/>
                </w:tcPr>
                <w:p w14:paraId="6E2E8B96">
                  <w:pPr>
                    <w:pStyle w:val="22"/>
                    <w:ind w:left="0" w:leftChars="0" w:firstLine="0" w:firstLineChars="0"/>
                    <w:jc w:val="center"/>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szCs w:val="21"/>
                      <w:highlight w:val="none"/>
                      <w14:textFill>
                        <w14:solidFill>
                          <w14:schemeClr w14:val="tx1"/>
                        </w14:solidFill>
                      </w14:textFill>
                    </w:rPr>
                    <w:t>3、危险废物的收集和运输</w:t>
                  </w:r>
                </w:p>
              </w:tc>
              <w:tc>
                <w:tcPr>
                  <w:tcW w:w="3324" w:type="dxa"/>
                  <w:tcBorders>
                    <w:tl2br w:val="nil"/>
                    <w:tr2bl w:val="nil"/>
                  </w:tcBorders>
                  <w:vAlign w:val="center"/>
                </w:tcPr>
                <w:p w14:paraId="1EAE080B">
                  <w:pPr>
                    <w:widowControl/>
                    <w:jc w:val="center"/>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kern w:val="0"/>
                      <w:szCs w:val="21"/>
                      <w:highlight w:val="none"/>
                      <w14:textFill>
                        <w14:solidFill>
                          <w14:schemeClr w14:val="tx1"/>
                        </w14:solidFill>
                      </w14:textFill>
                    </w:rPr>
                    <w:t>3.1危险废物要根据其成分，用符合国家标准的专门容器分类收集。</w:t>
                  </w:r>
                </w:p>
              </w:tc>
              <w:tc>
                <w:tcPr>
                  <w:tcW w:w="1823" w:type="dxa"/>
                  <w:vMerge w:val="restart"/>
                  <w:tcBorders>
                    <w:tl2br w:val="nil"/>
                    <w:tr2bl w:val="nil"/>
                  </w:tcBorders>
                  <w:vAlign w:val="center"/>
                </w:tcPr>
                <w:p w14:paraId="2EBA38D7">
                  <w:pPr>
                    <w:widowControl/>
                    <w:jc w:val="center"/>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kern w:val="0"/>
                      <w:szCs w:val="21"/>
                      <w:highlight w:val="none"/>
                      <w14:textFill>
                        <w14:solidFill>
                          <w14:schemeClr w14:val="tx1"/>
                        </w14:solidFill>
                      </w14:textFill>
                    </w:rPr>
                    <w:t>（1）本项目危险废物使用专门容器进行分类存放，并在容器上贴有标签，标明危险废物的名称、重量、成分、特性以及发生泄漏、扩散污染事故时的应急措施和补救方法。</w:t>
                  </w:r>
                </w:p>
                <w:p w14:paraId="341572F7">
                  <w:pPr>
                    <w:widowControl/>
                    <w:jc w:val="center"/>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kern w:val="0"/>
                      <w:szCs w:val="21"/>
                      <w:highlight w:val="none"/>
                      <w14:textFill>
                        <w14:solidFill>
                          <w14:schemeClr w14:val="tx1"/>
                        </w14:solidFill>
                      </w14:textFill>
                    </w:rPr>
                    <w:t>（2）危险废物分类收集，定期由有资质单位进行转运、处理。</w:t>
                  </w:r>
                </w:p>
                <w:p w14:paraId="2690B0AC">
                  <w:pPr>
                    <w:widowControl/>
                    <w:jc w:val="center"/>
                    <w:rPr>
                      <w:rFonts w:hint="default" w:ascii="Times New Roman" w:hAnsi="Times New Roman" w:cs="Times New Roman"/>
                      <w:color w:val="000000" w:themeColor="text1"/>
                      <w:szCs w:val="21"/>
                      <w:highlight w:val="none"/>
                      <w14:textFill>
                        <w14:solidFill>
                          <w14:schemeClr w14:val="tx1"/>
                        </w14:solidFill>
                      </w14:textFill>
                    </w:rPr>
                  </w:pPr>
                </w:p>
              </w:tc>
              <w:tc>
                <w:tcPr>
                  <w:tcW w:w="928" w:type="dxa"/>
                  <w:vMerge w:val="restart"/>
                  <w:tcBorders>
                    <w:tl2br w:val="nil"/>
                    <w:tr2bl w:val="nil"/>
                  </w:tcBorders>
                  <w:vAlign w:val="center"/>
                </w:tcPr>
                <w:p w14:paraId="073415A6">
                  <w:pPr>
                    <w:pStyle w:val="22"/>
                    <w:ind w:left="0" w:leftChars="0" w:firstLine="0" w:firstLineChars="0"/>
                    <w:jc w:val="center"/>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szCs w:val="21"/>
                      <w:highlight w:val="none"/>
                      <w14:textFill>
                        <w14:solidFill>
                          <w14:schemeClr w14:val="tx1"/>
                        </w14:solidFill>
                      </w14:textFill>
                    </w:rPr>
                    <w:t>符合</w:t>
                  </w:r>
                </w:p>
                <w:p w14:paraId="12A71E38">
                  <w:pPr>
                    <w:pStyle w:val="22"/>
                    <w:ind w:left="0" w:leftChars="0" w:firstLine="0" w:firstLineChars="0"/>
                    <w:jc w:val="center"/>
                    <w:rPr>
                      <w:rFonts w:hint="default" w:ascii="Times New Roman" w:hAnsi="Times New Roman" w:cs="Times New Roman"/>
                      <w:color w:val="000000" w:themeColor="text1"/>
                      <w:szCs w:val="21"/>
                      <w:highlight w:val="none"/>
                      <w14:textFill>
                        <w14:solidFill>
                          <w14:schemeClr w14:val="tx1"/>
                        </w14:solidFill>
                      </w14:textFill>
                    </w:rPr>
                  </w:pPr>
                </w:p>
              </w:tc>
            </w:tr>
            <w:tr w14:paraId="4FC92C24">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852" w:type="dxa"/>
                  <w:vMerge w:val="continue"/>
                  <w:tcBorders>
                    <w:tl2br w:val="nil"/>
                    <w:tr2bl w:val="nil"/>
                  </w:tcBorders>
                  <w:vAlign w:val="center"/>
                </w:tcPr>
                <w:p w14:paraId="10E96694">
                  <w:pPr>
                    <w:pStyle w:val="22"/>
                    <w:ind w:left="0" w:leftChars="0" w:firstLine="0" w:firstLineChars="0"/>
                    <w:jc w:val="center"/>
                    <w:rPr>
                      <w:rFonts w:hint="default" w:ascii="Times New Roman" w:hAnsi="Times New Roman" w:cs="Times New Roman"/>
                      <w:color w:val="000000" w:themeColor="text1"/>
                      <w:szCs w:val="21"/>
                      <w:highlight w:val="none"/>
                      <w14:textFill>
                        <w14:solidFill>
                          <w14:schemeClr w14:val="tx1"/>
                        </w14:solidFill>
                      </w14:textFill>
                    </w:rPr>
                  </w:pPr>
                </w:p>
              </w:tc>
              <w:tc>
                <w:tcPr>
                  <w:tcW w:w="3324" w:type="dxa"/>
                  <w:tcBorders>
                    <w:tl2br w:val="nil"/>
                    <w:tr2bl w:val="nil"/>
                  </w:tcBorders>
                  <w:vAlign w:val="center"/>
                </w:tcPr>
                <w:p w14:paraId="315E8CBB">
                  <w:pPr>
                    <w:widowControl/>
                    <w:jc w:val="center"/>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kern w:val="0"/>
                      <w:szCs w:val="21"/>
                      <w:highlight w:val="none"/>
                      <w14:textFill>
                        <w14:solidFill>
                          <w14:schemeClr w14:val="tx1"/>
                        </w14:solidFill>
                      </w14:textFill>
                    </w:rPr>
                    <w:t>3.2装运危险废物的容器应根据危险废物的不同特性而设计，不易破损、变形、老化，能有效地防止渗漏、扩散。装有危险废物的容器必须贴有标签，在标签上详细标明危险废物的名称、重量、成分、特性以及发生泄漏、扩散污染事故时的应急措施和补救方法。</w:t>
                  </w:r>
                </w:p>
              </w:tc>
              <w:tc>
                <w:tcPr>
                  <w:tcW w:w="1823" w:type="dxa"/>
                  <w:vMerge w:val="continue"/>
                  <w:tcBorders>
                    <w:tl2br w:val="nil"/>
                    <w:tr2bl w:val="nil"/>
                  </w:tcBorders>
                  <w:vAlign w:val="center"/>
                </w:tcPr>
                <w:p w14:paraId="5CF63D3A">
                  <w:pPr>
                    <w:pStyle w:val="22"/>
                    <w:ind w:left="0" w:leftChars="0" w:firstLine="0" w:firstLineChars="0"/>
                    <w:jc w:val="center"/>
                    <w:rPr>
                      <w:rFonts w:hint="default" w:ascii="Times New Roman" w:hAnsi="Times New Roman" w:cs="Times New Roman"/>
                      <w:color w:val="000000" w:themeColor="text1"/>
                      <w:szCs w:val="21"/>
                      <w:highlight w:val="none"/>
                      <w14:textFill>
                        <w14:solidFill>
                          <w14:schemeClr w14:val="tx1"/>
                        </w14:solidFill>
                      </w14:textFill>
                    </w:rPr>
                  </w:pPr>
                </w:p>
              </w:tc>
              <w:tc>
                <w:tcPr>
                  <w:tcW w:w="928" w:type="dxa"/>
                  <w:vMerge w:val="continue"/>
                  <w:tcBorders>
                    <w:tl2br w:val="nil"/>
                    <w:tr2bl w:val="nil"/>
                  </w:tcBorders>
                  <w:vAlign w:val="center"/>
                </w:tcPr>
                <w:p w14:paraId="1224825C">
                  <w:pPr>
                    <w:pStyle w:val="22"/>
                    <w:ind w:left="0" w:leftChars="0" w:firstLine="0" w:firstLineChars="0"/>
                    <w:jc w:val="center"/>
                    <w:rPr>
                      <w:rFonts w:hint="default" w:ascii="Times New Roman" w:hAnsi="Times New Roman" w:cs="Times New Roman"/>
                      <w:color w:val="000000" w:themeColor="text1"/>
                      <w:szCs w:val="21"/>
                      <w:highlight w:val="none"/>
                      <w14:textFill>
                        <w14:solidFill>
                          <w14:schemeClr w14:val="tx1"/>
                        </w14:solidFill>
                      </w14:textFill>
                    </w:rPr>
                  </w:pPr>
                </w:p>
              </w:tc>
            </w:tr>
            <w:tr w14:paraId="6966A493">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852" w:type="dxa"/>
                  <w:vMerge w:val="continue"/>
                  <w:tcBorders>
                    <w:tl2br w:val="nil"/>
                    <w:tr2bl w:val="nil"/>
                  </w:tcBorders>
                  <w:vAlign w:val="center"/>
                </w:tcPr>
                <w:p w14:paraId="2DC23A8E">
                  <w:pPr>
                    <w:pStyle w:val="22"/>
                    <w:ind w:left="0" w:leftChars="0" w:firstLine="0" w:firstLineChars="0"/>
                    <w:jc w:val="center"/>
                    <w:rPr>
                      <w:rFonts w:hint="default" w:ascii="Times New Roman" w:hAnsi="Times New Roman" w:cs="Times New Roman"/>
                      <w:color w:val="000000" w:themeColor="text1"/>
                      <w:szCs w:val="21"/>
                      <w:highlight w:val="none"/>
                      <w14:textFill>
                        <w14:solidFill>
                          <w14:schemeClr w14:val="tx1"/>
                        </w14:solidFill>
                      </w14:textFill>
                    </w:rPr>
                  </w:pPr>
                </w:p>
              </w:tc>
              <w:tc>
                <w:tcPr>
                  <w:tcW w:w="3324" w:type="dxa"/>
                  <w:tcBorders>
                    <w:tl2br w:val="nil"/>
                    <w:tr2bl w:val="nil"/>
                  </w:tcBorders>
                  <w:vAlign w:val="center"/>
                </w:tcPr>
                <w:p w14:paraId="07FD917D">
                  <w:pPr>
                    <w:widowControl/>
                    <w:jc w:val="center"/>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kern w:val="0"/>
                      <w:szCs w:val="21"/>
                      <w:highlight w:val="none"/>
                      <w14:textFill>
                        <w14:solidFill>
                          <w14:schemeClr w14:val="tx1"/>
                        </w14:solidFill>
                      </w14:textFill>
                    </w:rPr>
                    <w:t>3.3居民生活、办公和第三产业产生的危险废物（如废电池、废日光灯管等）应与生活垃圾分类收集，通过分类收集提高其回收利用和无害化处理处置，逐步建立和完善社会源危险废物的回收网络。</w:t>
                  </w:r>
                </w:p>
              </w:tc>
              <w:tc>
                <w:tcPr>
                  <w:tcW w:w="1823" w:type="dxa"/>
                  <w:vMerge w:val="continue"/>
                  <w:tcBorders>
                    <w:tl2br w:val="nil"/>
                    <w:tr2bl w:val="nil"/>
                  </w:tcBorders>
                  <w:vAlign w:val="center"/>
                </w:tcPr>
                <w:p w14:paraId="50781F99">
                  <w:pPr>
                    <w:pStyle w:val="22"/>
                    <w:ind w:left="0" w:leftChars="0" w:firstLine="0" w:firstLineChars="0"/>
                    <w:jc w:val="center"/>
                    <w:rPr>
                      <w:rFonts w:hint="default" w:ascii="Times New Roman" w:hAnsi="Times New Roman" w:cs="Times New Roman"/>
                      <w:color w:val="000000" w:themeColor="text1"/>
                      <w:szCs w:val="21"/>
                      <w:highlight w:val="none"/>
                      <w14:textFill>
                        <w14:solidFill>
                          <w14:schemeClr w14:val="tx1"/>
                        </w14:solidFill>
                      </w14:textFill>
                    </w:rPr>
                  </w:pPr>
                </w:p>
              </w:tc>
              <w:tc>
                <w:tcPr>
                  <w:tcW w:w="928" w:type="dxa"/>
                  <w:vMerge w:val="continue"/>
                  <w:tcBorders>
                    <w:tl2br w:val="nil"/>
                    <w:tr2bl w:val="nil"/>
                  </w:tcBorders>
                  <w:vAlign w:val="center"/>
                </w:tcPr>
                <w:p w14:paraId="367FFC56">
                  <w:pPr>
                    <w:pStyle w:val="22"/>
                    <w:ind w:left="0" w:leftChars="0" w:firstLine="0" w:firstLineChars="0"/>
                    <w:jc w:val="center"/>
                    <w:rPr>
                      <w:rFonts w:hint="default" w:ascii="Times New Roman" w:hAnsi="Times New Roman" w:cs="Times New Roman"/>
                      <w:color w:val="000000" w:themeColor="text1"/>
                      <w:szCs w:val="21"/>
                      <w:highlight w:val="none"/>
                      <w14:textFill>
                        <w14:solidFill>
                          <w14:schemeClr w14:val="tx1"/>
                        </w14:solidFill>
                      </w14:textFill>
                    </w:rPr>
                  </w:pPr>
                </w:p>
              </w:tc>
            </w:tr>
            <w:tr w14:paraId="309E11E3">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852" w:type="dxa"/>
                  <w:vMerge w:val="continue"/>
                  <w:tcBorders>
                    <w:tl2br w:val="nil"/>
                    <w:tr2bl w:val="nil"/>
                  </w:tcBorders>
                  <w:vAlign w:val="center"/>
                </w:tcPr>
                <w:p w14:paraId="6D897FAD">
                  <w:pPr>
                    <w:pStyle w:val="22"/>
                    <w:ind w:left="0" w:leftChars="0" w:firstLine="0" w:firstLineChars="0"/>
                    <w:jc w:val="center"/>
                    <w:rPr>
                      <w:rFonts w:hint="default" w:ascii="Times New Roman" w:hAnsi="Times New Roman" w:cs="Times New Roman"/>
                      <w:color w:val="000000" w:themeColor="text1"/>
                      <w:szCs w:val="21"/>
                      <w:highlight w:val="none"/>
                      <w14:textFill>
                        <w14:solidFill>
                          <w14:schemeClr w14:val="tx1"/>
                        </w14:solidFill>
                      </w14:textFill>
                    </w:rPr>
                  </w:pPr>
                </w:p>
              </w:tc>
              <w:tc>
                <w:tcPr>
                  <w:tcW w:w="3324" w:type="dxa"/>
                  <w:tcBorders>
                    <w:tl2br w:val="nil"/>
                    <w:tr2bl w:val="nil"/>
                  </w:tcBorders>
                  <w:vAlign w:val="center"/>
                </w:tcPr>
                <w:p w14:paraId="370E19B3">
                  <w:pPr>
                    <w:widowControl/>
                    <w:jc w:val="center"/>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kern w:val="0"/>
                      <w:szCs w:val="21"/>
                      <w:highlight w:val="none"/>
                      <w14:textFill>
                        <w14:solidFill>
                          <w14:schemeClr w14:val="tx1"/>
                        </w14:solidFill>
                      </w14:textFill>
                    </w:rPr>
                    <w:t>3.4鼓励发展安全高效的危险废物运输系统，鼓励发展各种形式的专用车辆，对危险废物的运输要求安全可靠，要严格按照危险废物运输的管理规定进行危险废物的运输，减少运输过程中的二次污染和可能造成的环境风险。</w:t>
                  </w:r>
                </w:p>
              </w:tc>
              <w:tc>
                <w:tcPr>
                  <w:tcW w:w="1823" w:type="dxa"/>
                  <w:vMerge w:val="continue"/>
                  <w:tcBorders>
                    <w:tl2br w:val="nil"/>
                    <w:tr2bl w:val="nil"/>
                  </w:tcBorders>
                  <w:vAlign w:val="center"/>
                </w:tcPr>
                <w:p w14:paraId="70951082">
                  <w:pPr>
                    <w:pStyle w:val="22"/>
                    <w:ind w:left="0" w:leftChars="0" w:firstLine="0" w:firstLineChars="0"/>
                    <w:jc w:val="center"/>
                    <w:rPr>
                      <w:rFonts w:hint="default" w:ascii="Times New Roman" w:hAnsi="Times New Roman" w:cs="Times New Roman"/>
                      <w:color w:val="000000" w:themeColor="text1"/>
                      <w:szCs w:val="21"/>
                      <w:highlight w:val="none"/>
                      <w14:textFill>
                        <w14:solidFill>
                          <w14:schemeClr w14:val="tx1"/>
                        </w14:solidFill>
                      </w14:textFill>
                    </w:rPr>
                  </w:pPr>
                </w:p>
              </w:tc>
              <w:tc>
                <w:tcPr>
                  <w:tcW w:w="928" w:type="dxa"/>
                  <w:vMerge w:val="continue"/>
                  <w:tcBorders>
                    <w:tl2br w:val="nil"/>
                    <w:tr2bl w:val="nil"/>
                  </w:tcBorders>
                  <w:vAlign w:val="center"/>
                </w:tcPr>
                <w:p w14:paraId="42933860">
                  <w:pPr>
                    <w:pStyle w:val="22"/>
                    <w:ind w:left="0" w:leftChars="0" w:firstLine="0" w:firstLineChars="0"/>
                    <w:jc w:val="center"/>
                    <w:rPr>
                      <w:rFonts w:hint="default" w:ascii="Times New Roman" w:hAnsi="Times New Roman" w:cs="Times New Roman"/>
                      <w:color w:val="000000" w:themeColor="text1"/>
                      <w:szCs w:val="21"/>
                      <w:highlight w:val="none"/>
                      <w14:textFill>
                        <w14:solidFill>
                          <w14:schemeClr w14:val="tx1"/>
                        </w14:solidFill>
                      </w14:textFill>
                    </w:rPr>
                  </w:pPr>
                </w:p>
              </w:tc>
            </w:tr>
            <w:tr w14:paraId="2D0E0493">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852" w:type="dxa"/>
                  <w:vMerge w:val="continue"/>
                  <w:tcBorders>
                    <w:tl2br w:val="nil"/>
                    <w:tr2bl w:val="nil"/>
                  </w:tcBorders>
                  <w:vAlign w:val="center"/>
                </w:tcPr>
                <w:p w14:paraId="1846796D">
                  <w:pPr>
                    <w:pStyle w:val="22"/>
                    <w:ind w:left="0" w:leftChars="0" w:firstLine="0" w:firstLineChars="0"/>
                    <w:jc w:val="center"/>
                    <w:rPr>
                      <w:rFonts w:hint="default" w:ascii="Times New Roman" w:hAnsi="Times New Roman" w:cs="Times New Roman"/>
                      <w:color w:val="000000" w:themeColor="text1"/>
                      <w:szCs w:val="21"/>
                      <w:highlight w:val="none"/>
                      <w14:textFill>
                        <w14:solidFill>
                          <w14:schemeClr w14:val="tx1"/>
                        </w14:solidFill>
                      </w14:textFill>
                    </w:rPr>
                  </w:pPr>
                </w:p>
              </w:tc>
              <w:tc>
                <w:tcPr>
                  <w:tcW w:w="3324" w:type="dxa"/>
                  <w:tcBorders>
                    <w:tl2br w:val="nil"/>
                    <w:tr2bl w:val="nil"/>
                  </w:tcBorders>
                  <w:vAlign w:val="center"/>
                </w:tcPr>
                <w:p w14:paraId="659CD099">
                  <w:pPr>
                    <w:widowControl/>
                    <w:jc w:val="center"/>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kern w:val="0"/>
                      <w:szCs w:val="21"/>
                      <w:highlight w:val="none"/>
                      <w14:textFill>
                        <w14:solidFill>
                          <w14:schemeClr w14:val="tx1"/>
                        </w14:solidFill>
                      </w14:textFill>
                    </w:rPr>
                    <w:t>3.5鼓励成立专业化的危险废物运输公司对危险废物实行专业化运输，运输车辆需有特殊标志。</w:t>
                  </w:r>
                </w:p>
              </w:tc>
              <w:tc>
                <w:tcPr>
                  <w:tcW w:w="1823" w:type="dxa"/>
                  <w:vMerge w:val="continue"/>
                  <w:tcBorders>
                    <w:tl2br w:val="nil"/>
                    <w:tr2bl w:val="nil"/>
                  </w:tcBorders>
                  <w:vAlign w:val="center"/>
                </w:tcPr>
                <w:p w14:paraId="12F9DC31">
                  <w:pPr>
                    <w:widowControl/>
                    <w:jc w:val="center"/>
                    <w:rPr>
                      <w:rFonts w:hint="default" w:ascii="Times New Roman" w:hAnsi="Times New Roman" w:cs="Times New Roman"/>
                      <w:color w:val="000000" w:themeColor="text1"/>
                      <w:szCs w:val="21"/>
                      <w:highlight w:val="none"/>
                      <w14:textFill>
                        <w14:solidFill>
                          <w14:schemeClr w14:val="tx1"/>
                        </w14:solidFill>
                      </w14:textFill>
                    </w:rPr>
                  </w:pPr>
                </w:p>
              </w:tc>
              <w:tc>
                <w:tcPr>
                  <w:tcW w:w="928" w:type="dxa"/>
                  <w:vMerge w:val="continue"/>
                  <w:tcBorders>
                    <w:tl2br w:val="nil"/>
                    <w:tr2bl w:val="nil"/>
                  </w:tcBorders>
                  <w:vAlign w:val="center"/>
                </w:tcPr>
                <w:p w14:paraId="08AF3967">
                  <w:pPr>
                    <w:pStyle w:val="22"/>
                    <w:ind w:left="0" w:leftChars="0" w:firstLine="0" w:firstLineChars="0"/>
                    <w:jc w:val="center"/>
                    <w:rPr>
                      <w:rFonts w:hint="default" w:ascii="Times New Roman" w:hAnsi="Times New Roman" w:cs="Times New Roman"/>
                      <w:color w:val="000000" w:themeColor="text1"/>
                      <w:szCs w:val="21"/>
                      <w:highlight w:val="none"/>
                      <w14:textFill>
                        <w14:solidFill>
                          <w14:schemeClr w14:val="tx1"/>
                        </w14:solidFill>
                      </w14:textFill>
                    </w:rPr>
                  </w:pPr>
                </w:p>
              </w:tc>
            </w:tr>
            <w:tr w14:paraId="1E18319C">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852" w:type="dxa"/>
                  <w:vMerge w:val="restart"/>
                  <w:tcBorders>
                    <w:tl2br w:val="nil"/>
                    <w:tr2bl w:val="nil"/>
                  </w:tcBorders>
                  <w:vAlign w:val="center"/>
                </w:tcPr>
                <w:p w14:paraId="1B09D285">
                  <w:pPr>
                    <w:pStyle w:val="22"/>
                    <w:ind w:left="0" w:leftChars="0" w:firstLine="0" w:firstLineChars="0"/>
                    <w:jc w:val="center"/>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szCs w:val="21"/>
                      <w:highlight w:val="none"/>
                      <w14:textFill>
                        <w14:solidFill>
                          <w14:schemeClr w14:val="tx1"/>
                        </w14:solidFill>
                      </w14:textFill>
                    </w:rPr>
                    <w:t>6、危险废物的贮存</w:t>
                  </w:r>
                </w:p>
              </w:tc>
              <w:tc>
                <w:tcPr>
                  <w:tcW w:w="3324" w:type="dxa"/>
                  <w:tcBorders>
                    <w:tl2br w:val="nil"/>
                    <w:tr2bl w:val="nil"/>
                  </w:tcBorders>
                  <w:vAlign w:val="center"/>
                </w:tcPr>
                <w:p w14:paraId="2FA415FB">
                  <w:pPr>
                    <w:widowControl/>
                    <w:jc w:val="center"/>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kern w:val="0"/>
                      <w:szCs w:val="21"/>
                      <w:highlight w:val="none"/>
                      <w14:textFill>
                        <w14:solidFill>
                          <w14:schemeClr w14:val="tx1"/>
                        </w14:solidFill>
                      </w14:textFill>
                    </w:rPr>
                    <w:t>6.1对已产生的危险废物，若暂时不能回收利用或进行处理处置的，其产生单位须建设专门的危险废物贮存设施进行贮存，并设立危险废物标志，或委托具有专门危险废物贮存设施的单位进行贮存，贮存期限不得超过国家规定。贮存危险废物的单位需拥有相应的许可证。禁止将危险废物以任何形式转移给无许可证的单位，或转移到非危险废物贮存设施中。危险废物贮存设施应有相应的配套设施并按有关规定进行管理。</w:t>
                  </w:r>
                </w:p>
              </w:tc>
              <w:tc>
                <w:tcPr>
                  <w:tcW w:w="1823" w:type="dxa"/>
                  <w:tcBorders>
                    <w:tl2br w:val="nil"/>
                    <w:tr2bl w:val="nil"/>
                  </w:tcBorders>
                  <w:vAlign w:val="center"/>
                </w:tcPr>
                <w:p w14:paraId="35DA02E5">
                  <w:pPr>
                    <w:widowControl/>
                    <w:jc w:val="center"/>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kern w:val="0"/>
                      <w:szCs w:val="21"/>
                      <w:highlight w:val="none"/>
                      <w14:textFill>
                        <w14:solidFill>
                          <w14:schemeClr w14:val="tx1"/>
                        </w14:solidFill>
                      </w14:textFill>
                    </w:rPr>
                    <w:t>本项目无废弃剧毒类化学品，其他废弃化学品贮存的条件满足相关要求。</w:t>
                  </w:r>
                </w:p>
                <w:p w14:paraId="7703D123">
                  <w:pPr>
                    <w:pStyle w:val="22"/>
                    <w:ind w:left="0" w:leftChars="0" w:firstLine="0" w:firstLineChars="0"/>
                    <w:jc w:val="center"/>
                    <w:rPr>
                      <w:rFonts w:hint="default" w:ascii="Times New Roman" w:hAnsi="Times New Roman" w:cs="Times New Roman"/>
                      <w:color w:val="000000" w:themeColor="text1"/>
                      <w:szCs w:val="21"/>
                      <w:highlight w:val="none"/>
                      <w14:textFill>
                        <w14:solidFill>
                          <w14:schemeClr w14:val="tx1"/>
                        </w14:solidFill>
                      </w14:textFill>
                    </w:rPr>
                  </w:pPr>
                </w:p>
              </w:tc>
              <w:tc>
                <w:tcPr>
                  <w:tcW w:w="928" w:type="dxa"/>
                  <w:tcBorders>
                    <w:tl2br w:val="nil"/>
                    <w:tr2bl w:val="nil"/>
                  </w:tcBorders>
                  <w:vAlign w:val="center"/>
                </w:tcPr>
                <w:p w14:paraId="1BDB53CD">
                  <w:pPr>
                    <w:pStyle w:val="22"/>
                    <w:ind w:left="0" w:leftChars="0" w:firstLine="0" w:firstLineChars="0"/>
                    <w:jc w:val="center"/>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szCs w:val="21"/>
                      <w:highlight w:val="none"/>
                      <w14:textFill>
                        <w14:solidFill>
                          <w14:schemeClr w14:val="tx1"/>
                        </w14:solidFill>
                      </w14:textFill>
                    </w:rPr>
                    <w:t>符合</w:t>
                  </w:r>
                </w:p>
              </w:tc>
            </w:tr>
            <w:tr w14:paraId="1BF562C4">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852" w:type="dxa"/>
                  <w:vMerge w:val="continue"/>
                  <w:tcBorders>
                    <w:tl2br w:val="nil"/>
                    <w:tr2bl w:val="nil"/>
                  </w:tcBorders>
                  <w:vAlign w:val="center"/>
                </w:tcPr>
                <w:p w14:paraId="7A9D2C66">
                  <w:pPr>
                    <w:pStyle w:val="22"/>
                    <w:ind w:left="0" w:leftChars="0" w:firstLine="0" w:firstLineChars="0"/>
                    <w:jc w:val="center"/>
                    <w:rPr>
                      <w:rFonts w:hint="default" w:ascii="Times New Roman" w:hAnsi="Times New Roman" w:cs="Times New Roman"/>
                      <w:color w:val="000000" w:themeColor="text1"/>
                      <w:szCs w:val="21"/>
                      <w:highlight w:val="none"/>
                      <w14:textFill>
                        <w14:solidFill>
                          <w14:schemeClr w14:val="tx1"/>
                        </w14:solidFill>
                      </w14:textFill>
                    </w:rPr>
                  </w:pPr>
                </w:p>
              </w:tc>
              <w:tc>
                <w:tcPr>
                  <w:tcW w:w="3324" w:type="dxa"/>
                  <w:tcBorders>
                    <w:tl2br w:val="nil"/>
                    <w:tr2bl w:val="nil"/>
                  </w:tcBorders>
                  <w:vAlign w:val="center"/>
                </w:tcPr>
                <w:p w14:paraId="099E3ECB">
                  <w:pPr>
                    <w:widowControl/>
                    <w:jc w:val="center"/>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kern w:val="0"/>
                      <w:szCs w:val="21"/>
                      <w:highlight w:val="none"/>
                      <w14:textFill>
                        <w14:solidFill>
                          <w14:schemeClr w14:val="tx1"/>
                        </w14:solidFill>
                      </w14:textFill>
                    </w:rPr>
                    <w:t>6.2危险废物的贮存设施应满足以下要求：</w:t>
                  </w:r>
                </w:p>
                <w:p w14:paraId="4C1641BB">
                  <w:pPr>
                    <w:widowControl/>
                    <w:jc w:val="center"/>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kern w:val="0"/>
                      <w:szCs w:val="21"/>
                      <w:highlight w:val="none"/>
                      <w14:textFill>
                        <w14:solidFill>
                          <w14:schemeClr w14:val="tx1"/>
                        </w14:solidFill>
                      </w14:textFill>
                    </w:rPr>
                    <w:t>6.2.1应建有堵截泄漏的裙脚,地面与裙脚要用坚固防渗的材料建造。应有隔离设施、报警装置和防风、防晒、防雨设施；</w:t>
                  </w:r>
                </w:p>
                <w:p w14:paraId="73C0EA7A">
                  <w:pPr>
                    <w:widowControl/>
                    <w:jc w:val="center"/>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kern w:val="0"/>
                      <w:szCs w:val="21"/>
                      <w:highlight w:val="none"/>
                      <w14:textFill>
                        <w14:solidFill>
                          <w14:schemeClr w14:val="tx1"/>
                        </w14:solidFill>
                      </w14:textFill>
                    </w:rPr>
                    <w:t>6.2.2基础防渗层为粘土层的,其厚度应在1米以上，渗透系数应小于10－7厘米/秒；基础防渗层也可用厚度在2毫米以上的高密度聚乙烯或其他人工防渗材料组成，渗透系数应小于10－10厘米/秒；</w:t>
                  </w:r>
                </w:p>
                <w:p w14:paraId="6F175104">
                  <w:pPr>
                    <w:widowControl/>
                    <w:jc w:val="center"/>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kern w:val="0"/>
                      <w:szCs w:val="21"/>
                      <w:highlight w:val="none"/>
                      <w14:textFill>
                        <w14:solidFill>
                          <w14:schemeClr w14:val="tx1"/>
                        </w14:solidFill>
                      </w14:textFill>
                    </w:rPr>
                    <w:t>6.2.3须有泄漏液体收集装置及气体导出口和气体净化装置；</w:t>
                  </w:r>
                </w:p>
                <w:p w14:paraId="7ECC2020">
                  <w:pPr>
                    <w:widowControl/>
                    <w:jc w:val="center"/>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kern w:val="0"/>
                      <w:szCs w:val="21"/>
                      <w:highlight w:val="none"/>
                      <w14:textFill>
                        <w14:solidFill>
                          <w14:schemeClr w14:val="tx1"/>
                        </w14:solidFill>
                      </w14:textFill>
                    </w:rPr>
                    <w:t>6.2.4用于存放液体、半固体危险废物的地方，还须有耐腐蚀的硬化地面，地面无裂隙；</w:t>
                  </w:r>
                </w:p>
                <w:p w14:paraId="6FF19928">
                  <w:pPr>
                    <w:widowControl/>
                    <w:jc w:val="center"/>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kern w:val="0"/>
                      <w:szCs w:val="21"/>
                      <w:highlight w:val="none"/>
                      <w14:textFill>
                        <w14:solidFill>
                          <w14:schemeClr w14:val="tx1"/>
                        </w14:solidFill>
                      </w14:textFill>
                    </w:rPr>
                    <w:t>6.2.5不相容的危险废物堆放区必须有隔离间隔断；</w:t>
                  </w:r>
                </w:p>
                <w:p w14:paraId="3C50BDA5">
                  <w:pPr>
                    <w:widowControl/>
                    <w:jc w:val="center"/>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kern w:val="0"/>
                      <w:szCs w:val="21"/>
                      <w:highlight w:val="none"/>
                      <w14:textFill>
                        <w14:solidFill>
                          <w14:schemeClr w14:val="tx1"/>
                        </w14:solidFill>
                      </w14:textFill>
                    </w:rPr>
                    <w:t>6.2.6衬层上需建有渗滤液收集清除系统、径流疏导系统、雨水收集池。</w:t>
                  </w:r>
                </w:p>
                <w:p w14:paraId="21EF84C6">
                  <w:pPr>
                    <w:widowControl/>
                    <w:jc w:val="center"/>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kern w:val="0"/>
                      <w:szCs w:val="21"/>
                      <w:highlight w:val="none"/>
                      <w14:textFill>
                        <w14:solidFill>
                          <w14:schemeClr w14:val="tx1"/>
                        </w14:solidFill>
                      </w14:textFill>
                    </w:rPr>
                    <w:t>6.2.7贮存易燃易爆的危险废物的场所应配备消防设备，贮存剧毒危险废物的场所必须有专人24小时看管。</w:t>
                  </w:r>
                </w:p>
              </w:tc>
              <w:tc>
                <w:tcPr>
                  <w:tcW w:w="1823" w:type="dxa"/>
                  <w:tcBorders>
                    <w:tl2br w:val="nil"/>
                    <w:tr2bl w:val="nil"/>
                  </w:tcBorders>
                  <w:vAlign w:val="center"/>
                </w:tcPr>
                <w:p w14:paraId="10A67D65">
                  <w:pPr>
                    <w:widowControl/>
                    <w:jc w:val="center"/>
                    <w:rPr>
                      <w:rFonts w:hint="default" w:ascii="Times New Roman" w:hAnsi="Times New Roman" w:cs="Times New Roman"/>
                      <w:color w:val="000000" w:themeColor="text1"/>
                      <w:szCs w:val="21"/>
                      <w:highlight w:val="none"/>
                      <w14:textFill>
                        <w14:solidFill>
                          <w14:schemeClr w14:val="tx1"/>
                        </w14:solidFill>
                      </w14:textFill>
                    </w:rPr>
                  </w:pPr>
                  <w:r>
                    <w:rPr>
                      <w:rFonts w:hint="eastAsia" w:cs="Times New Roman"/>
                      <w:color w:val="000000" w:themeColor="text1"/>
                      <w:kern w:val="0"/>
                      <w:szCs w:val="21"/>
                      <w:highlight w:val="none"/>
                      <w:lang w:val="en-US" w:eastAsia="zh-CN"/>
                      <w14:textFill>
                        <w14:solidFill>
                          <w14:schemeClr w14:val="tx1"/>
                        </w14:solidFill>
                      </w14:textFill>
                    </w:rPr>
                    <w:t>废矿物油贮存车间</w:t>
                  </w:r>
                  <w:r>
                    <w:rPr>
                      <w:rFonts w:hint="default" w:ascii="Times New Roman" w:hAnsi="Times New Roman" w:cs="Times New Roman"/>
                      <w:color w:val="000000" w:themeColor="text1"/>
                      <w:kern w:val="0"/>
                      <w:szCs w:val="21"/>
                      <w:highlight w:val="none"/>
                      <w14:textFill>
                        <w14:solidFill>
                          <w14:schemeClr w14:val="tx1"/>
                        </w14:solidFill>
                      </w14:textFill>
                    </w:rPr>
                    <w:t>内</w:t>
                  </w:r>
                  <w:r>
                    <w:rPr>
                      <w:rFonts w:hint="eastAsia" w:cs="Times New Roman"/>
                      <w:color w:val="000000" w:themeColor="text1"/>
                      <w:kern w:val="0"/>
                      <w:szCs w:val="21"/>
                      <w:highlight w:val="none"/>
                      <w:lang w:val="en-US" w:eastAsia="zh-CN"/>
                      <w14:textFill>
                        <w14:solidFill>
                          <w14:schemeClr w14:val="tx1"/>
                        </w14:solidFill>
                      </w14:textFill>
                    </w:rPr>
                    <w:t>罐区</w:t>
                  </w:r>
                  <w:r>
                    <w:rPr>
                      <w:rFonts w:hint="default" w:ascii="Times New Roman" w:hAnsi="Times New Roman" w:cs="Times New Roman"/>
                      <w:color w:val="000000" w:themeColor="text1"/>
                      <w:kern w:val="0"/>
                      <w:szCs w:val="21"/>
                      <w:highlight w:val="none"/>
                      <w14:textFill>
                        <w14:solidFill>
                          <w14:schemeClr w14:val="tx1"/>
                        </w14:solidFill>
                      </w14:textFill>
                    </w:rPr>
                    <w:t>地面、裙角、</w:t>
                  </w:r>
                  <w:r>
                    <w:rPr>
                      <w:rFonts w:hint="eastAsia" w:cs="Times New Roman"/>
                      <w:color w:val="000000" w:themeColor="text1"/>
                      <w:kern w:val="0"/>
                      <w:szCs w:val="21"/>
                      <w:highlight w:val="none"/>
                      <w:lang w:eastAsia="zh-CN"/>
                      <w14:textFill>
                        <w14:solidFill>
                          <w14:schemeClr w14:val="tx1"/>
                        </w14:solidFill>
                      </w14:textFill>
                    </w:rPr>
                    <w:t>泄漏液体</w:t>
                  </w:r>
                  <w:r>
                    <w:rPr>
                      <w:rFonts w:hint="default" w:ascii="Times New Roman" w:hAnsi="Times New Roman" w:cs="Times New Roman"/>
                      <w:color w:val="000000" w:themeColor="text1"/>
                      <w:kern w:val="0"/>
                      <w:szCs w:val="21"/>
                      <w:highlight w:val="none"/>
                      <w14:textFill>
                        <w14:solidFill>
                          <w14:schemeClr w14:val="tx1"/>
                        </w14:solidFill>
                      </w14:textFill>
                    </w:rPr>
                    <w:t>收集</w:t>
                  </w:r>
                </w:p>
                <w:p w14:paraId="45719264">
                  <w:pPr>
                    <w:widowControl/>
                    <w:jc w:val="center"/>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kern w:val="0"/>
                      <w:szCs w:val="21"/>
                      <w:highlight w:val="none"/>
                      <w14:textFill>
                        <w14:solidFill>
                          <w14:schemeClr w14:val="tx1"/>
                        </w14:solidFill>
                      </w14:textFill>
                    </w:rPr>
                    <w:t>装置均进行防渗，防渗等级满足要</w:t>
                  </w:r>
                </w:p>
                <w:p w14:paraId="7196E736">
                  <w:pPr>
                    <w:widowControl/>
                    <w:jc w:val="center"/>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kern w:val="0"/>
                      <w:szCs w:val="21"/>
                      <w:highlight w:val="none"/>
                      <w14:textFill>
                        <w14:solidFill>
                          <w14:schemeClr w14:val="tx1"/>
                        </w14:solidFill>
                      </w14:textFill>
                    </w:rPr>
                    <w:t>求。</w:t>
                  </w:r>
                  <w:r>
                    <w:rPr>
                      <w:rFonts w:hint="eastAsia" w:cs="Times New Roman"/>
                      <w:color w:val="000000" w:themeColor="text1"/>
                      <w:kern w:val="0"/>
                      <w:szCs w:val="21"/>
                      <w:highlight w:val="none"/>
                      <w:lang w:val="en-US" w:eastAsia="zh-CN"/>
                      <w14:textFill>
                        <w14:solidFill>
                          <w14:schemeClr w14:val="tx1"/>
                        </w14:solidFill>
                      </w14:textFill>
                    </w:rPr>
                    <w:t>车间内</w:t>
                  </w:r>
                  <w:r>
                    <w:rPr>
                      <w:rFonts w:hint="default" w:ascii="Times New Roman" w:hAnsi="Times New Roman" w:cs="Times New Roman"/>
                      <w:color w:val="000000" w:themeColor="text1"/>
                      <w:kern w:val="0"/>
                      <w:szCs w:val="21"/>
                      <w:highlight w:val="none"/>
                      <w14:textFill>
                        <w14:solidFill>
                          <w14:schemeClr w14:val="tx1"/>
                        </w14:solidFill>
                      </w14:textFill>
                    </w:rPr>
                    <w:t>设有轴</w:t>
                  </w:r>
                </w:p>
                <w:p w14:paraId="6D0BA921">
                  <w:pPr>
                    <w:widowControl/>
                    <w:jc w:val="center"/>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kern w:val="0"/>
                      <w:szCs w:val="21"/>
                      <w:highlight w:val="none"/>
                      <w14:textFill>
                        <w14:solidFill>
                          <w14:schemeClr w14:val="tx1"/>
                        </w14:solidFill>
                      </w14:textFill>
                    </w:rPr>
                    <w:t>流风机、安全照明设施、观察窗口以及隔断。根据危废产生单位以及危险废物特性，用墙隔断分区存放危险废物。</w:t>
                  </w:r>
                  <w:r>
                    <w:rPr>
                      <w:rFonts w:hint="eastAsia" w:cs="Times New Roman"/>
                      <w:color w:val="000000" w:themeColor="text1"/>
                      <w:kern w:val="0"/>
                      <w:szCs w:val="21"/>
                      <w:highlight w:val="none"/>
                      <w:lang w:val="en-US" w:eastAsia="zh-CN"/>
                      <w14:textFill>
                        <w14:solidFill>
                          <w14:schemeClr w14:val="tx1"/>
                        </w14:solidFill>
                      </w14:textFill>
                    </w:rPr>
                    <w:t>废矿物油车间内</w:t>
                  </w:r>
                  <w:r>
                    <w:rPr>
                      <w:rFonts w:hint="default" w:ascii="Times New Roman" w:hAnsi="Times New Roman" w:cs="Times New Roman"/>
                      <w:color w:val="000000" w:themeColor="text1"/>
                      <w:kern w:val="0"/>
                      <w:szCs w:val="21"/>
                      <w:highlight w:val="none"/>
                      <w14:textFill>
                        <w14:solidFill>
                          <w14:schemeClr w14:val="tx1"/>
                        </w14:solidFill>
                      </w14:textFill>
                    </w:rPr>
                    <w:t>地面采用耐腐蚀的硬化防渗地面，且在运行期定期检查，保证地面无裂缝。</w:t>
                  </w:r>
                </w:p>
                <w:p w14:paraId="080449E5">
                  <w:pPr>
                    <w:pStyle w:val="22"/>
                    <w:ind w:left="0" w:leftChars="0" w:firstLine="0" w:firstLineChars="0"/>
                    <w:jc w:val="center"/>
                    <w:rPr>
                      <w:rFonts w:hint="default" w:ascii="Times New Roman" w:hAnsi="Times New Roman" w:cs="Times New Roman"/>
                      <w:color w:val="000000" w:themeColor="text1"/>
                      <w:szCs w:val="21"/>
                      <w:highlight w:val="none"/>
                      <w14:textFill>
                        <w14:solidFill>
                          <w14:schemeClr w14:val="tx1"/>
                        </w14:solidFill>
                      </w14:textFill>
                    </w:rPr>
                  </w:pPr>
                </w:p>
              </w:tc>
              <w:tc>
                <w:tcPr>
                  <w:tcW w:w="928" w:type="dxa"/>
                  <w:tcBorders>
                    <w:tl2br w:val="nil"/>
                    <w:tr2bl w:val="nil"/>
                  </w:tcBorders>
                  <w:vAlign w:val="center"/>
                </w:tcPr>
                <w:p w14:paraId="033F61CF">
                  <w:pPr>
                    <w:pStyle w:val="22"/>
                    <w:ind w:left="0" w:leftChars="0" w:firstLine="0" w:firstLineChars="0"/>
                    <w:jc w:val="center"/>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szCs w:val="21"/>
                      <w:highlight w:val="none"/>
                      <w14:textFill>
                        <w14:solidFill>
                          <w14:schemeClr w14:val="tx1"/>
                        </w14:solidFill>
                      </w14:textFill>
                    </w:rPr>
                    <w:t>符合</w:t>
                  </w:r>
                </w:p>
              </w:tc>
            </w:tr>
          </w:tbl>
          <w:p w14:paraId="422B57BC">
            <w:pPr>
              <w:autoSpaceDE w:val="0"/>
              <w:autoSpaceDN w:val="0"/>
              <w:adjustRightInd w:val="0"/>
              <w:snapToGrid w:val="0"/>
              <w:rPr>
                <w:rFonts w:hint="default" w:ascii="Times New Roman" w:hAnsi="Times New Roman" w:cs="Times New Roman"/>
                <w:color w:val="000000" w:themeColor="text1"/>
                <w:kern w:val="0"/>
                <w:sz w:val="24"/>
                <w:highlight w:val="none"/>
                <w14:textFill>
                  <w14:solidFill>
                    <w14:schemeClr w14:val="tx1"/>
                  </w14:solidFill>
                </w14:textFill>
              </w:rPr>
            </w:pPr>
          </w:p>
        </w:tc>
      </w:tr>
    </w:tbl>
    <w:p w14:paraId="5ECAE36D">
      <w:pPr>
        <w:spacing w:line="360" w:lineRule="auto"/>
        <w:ind w:firstLine="600"/>
        <w:outlineLvl w:val="0"/>
        <w:rPr>
          <w:rFonts w:hint="default" w:ascii="Times New Roman" w:hAnsi="Times New Roman" w:eastAsia="黑体" w:cs="Times New Roman"/>
          <w:color w:val="000000" w:themeColor="text1"/>
          <w:sz w:val="30"/>
          <w:highlight w:val="none"/>
          <w14:textFill>
            <w14:solidFill>
              <w14:schemeClr w14:val="tx1"/>
            </w14:solidFill>
          </w14:textFill>
        </w:rPr>
        <w:sectPr>
          <w:footerReference r:id="rId6" w:type="default"/>
          <w:pgSz w:w="11906" w:h="16838"/>
          <w:pgMar w:top="1701" w:right="1531" w:bottom="1701" w:left="1531" w:header="851" w:footer="1077" w:gutter="0"/>
          <w:pgBorders>
            <w:top w:val="none" w:sz="0" w:space="0"/>
            <w:left w:val="none" w:sz="0" w:space="0"/>
            <w:bottom w:val="none" w:sz="0" w:space="0"/>
            <w:right w:val="none" w:sz="0" w:space="0"/>
          </w:pgBorders>
          <w:pgNumType w:start="1"/>
          <w:cols w:space="720" w:num="1"/>
          <w:docGrid w:linePitch="312" w:charSpace="0"/>
        </w:sectPr>
      </w:pPr>
    </w:p>
    <w:p w14:paraId="26ABC535">
      <w:pPr>
        <w:pStyle w:val="23"/>
        <w:ind w:firstLine="600"/>
        <w:jc w:val="center"/>
        <w:outlineLvl w:val="0"/>
        <w:rPr>
          <w:rFonts w:hint="default" w:ascii="Times New Roman" w:hAnsi="Times New Roman" w:eastAsia="黑体" w:cs="Times New Roman"/>
          <w:snapToGrid w:val="0"/>
          <w:color w:val="000000" w:themeColor="text1"/>
          <w:sz w:val="30"/>
          <w:szCs w:val="30"/>
          <w:highlight w:val="none"/>
          <w14:textFill>
            <w14:solidFill>
              <w14:schemeClr w14:val="tx1"/>
            </w14:solidFill>
          </w14:textFill>
        </w:rPr>
      </w:pPr>
      <w:r>
        <w:rPr>
          <w:rFonts w:hint="default" w:ascii="Times New Roman" w:hAnsi="Times New Roman" w:eastAsia="黑体" w:cs="Times New Roman"/>
          <w:snapToGrid w:val="0"/>
          <w:color w:val="000000" w:themeColor="text1"/>
          <w:sz w:val="30"/>
          <w:szCs w:val="30"/>
          <w:highlight w:val="none"/>
          <w14:textFill>
            <w14:solidFill>
              <w14:schemeClr w14:val="tx1"/>
            </w14:solidFill>
          </w14:textFill>
        </w:rPr>
        <w:t>二、建设项目工程分析</w:t>
      </w:r>
    </w:p>
    <w:tbl>
      <w:tblPr>
        <w:tblStyle w:val="27"/>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582"/>
        <w:gridCol w:w="8402"/>
      </w:tblGrid>
      <w:tr w14:paraId="4930FAD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582" w:type="dxa"/>
            <w:vAlign w:val="center"/>
          </w:tcPr>
          <w:p w14:paraId="2C3F7D97">
            <w:pPr>
              <w:pStyle w:val="23"/>
              <w:adjustRightInd w:val="0"/>
              <w:snapToGrid w:val="0"/>
              <w:spacing w:beforeAutospacing="0" w:afterAutospacing="0"/>
              <w:jc w:val="center"/>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建设内容</w:t>
            </w:r>
          </w:p>
        </w:tc>
        <w:tc>
          <w:tcPr>
            <w:tcW w:w="8402" w:type="dxa"/>
          </w:tcPr>
          <w:p w14:paraId="4F12AA70">
            <w:pPr>
              <w:pStyle w:val="68"/>
              <w:numPr>
                <w:ilvl w:val="0"/>
                <w:numId w:val="3"/>
              </w:numPr>
              <w:ind w:firstLineChars="0"/>
              <w:rPr>
                <w:rFonts w:hint="default" w:ascii="Times New Roman" w:hAnsi="Times New Roman" w:cs="Times New Roman"/>
                <w:b/>
                <w:color w:val="000000" w:themeColor="text1"/>
                <w:szCs w:val="24"/>
                <w:highlight w:val="none"/>
                <w14:textFill>
                  <w14:solidFill>
                    <w14:schemeClr w14:val="tx1"/>
                  </w14:solidFill>
                </w14:textFill>
              </w:rPr>
            </w:pPr>
            <w:r>
              <w:rPr>
                <w:rFonts w:hint="default" w:ascii="Times New Roman" w:hAnsi="Times New Roman" w:cs="Times New Roman"/>
                <w:b/>
                <w:color w:val="000000" w:themeColor="text1"/>
                <w:szCs w:val="24"/>
                <w:highlight w:val="none"/>
                <w14:textFill>
                  <w14:solidFill>
                    <w14:schemeClr w14:val="tx1"/>
                  </w14:solidFill>
                </w14:textFill>
              </w:rPr>
              <w:t>项目背景</w:t>
            </w:r>
          </w:p>
          <w:p w14:paraId="16B608F6">
            <w:pPr>
              <w:pStyle w:val="68"/>
              <w:ind w:firstLine="480"/>
              <w:rPr>
                <w:rFonts w:hint="default" w:ascii="Times New Roman" w:hAnsi="Times New Roman" w:cs="Times New Roman"/>
                <w:color w:val="000000" w:themeColor="text1"/>
                <w:szCs w:val="24"/>
                <w:highlight w:val="none"/>
                <w14:textFill>
                  <w14:solidFill>
                    <w14:schemeClr w14:val="tx1"/>
                  </w14:solidFill>
                </w14:textFill>
              </w:rPr>
            </w:pPr>
            <w:r>
              <w:rPr>
                <w:rFonts w:hint="eastAsia" w:ascii="宋体" w:hAnsi="宋体" w:eastAsia="宋体" w:cs="宋体"/>
                <w:sz w:val="24"/>
                <w:szCs w:val="24"/>
                <w:lang w:val="en-US" w:eastAsia="zh-CN"/>
              </w:rPr>
              <w:t>本溪申源生态环保工程有限公司</w:t>
            </w:r>
            <w:r>
              <w:rPr>
                <w:rFonts w:ascii="宋体" w:hAnsi="宋体" w:eastAsia="宋体" w:cs="宋体"/>
                <w:sz w:val="24"/>
                <w:szCs w:val="24"/>
              </w:rPr>
              <w:t>于</w:t>
            </w:r>
            <w:r>
              <w:rPr>
                <w:rFonts w:hint="eastAsia" w:ascii="宋体" w:hAnsi="宋体" w:eastAsia="宋体" w:cs="宋体"/>
                <w:sz w:val="24"/>
                <w:szCs w:val="24"/>
                <w:lang w:val="en-US" w:eastAsia="zh-CN"/>
              </w:rPr>
              <w:t>本溪市溪湖区郑家建材龙山街</w:t>
            </w:r>
            <w:r>
              <w:rPr>
                <w:rFonts w:ascii="宋体" w:hAnsi="宋体" w:eastAsia="宋体" w:cs="宋体"/>
                <w:sz w:val="24"/>
                <w:szCs w:val="24"/>
              </w:rPr>
              <w:t>建设年</w:t>
            </w:r>
            <w:r>
              <w:rPr>
                <w:rFonts w:hint="eastAsia" w:ascii="宋体" w:hAnsi="宋体" w:eastAsia="宋体" w:cs="宋体"/>
                <w:sz w:val="24"/>
                <w:szCs w:val="24"/>
                <w:lang w:val="en-US" w:eastAsia="zh-CN"/>
              </w:rPr>
              <w:t>经营1000吨废矿物油新建项目</w:t>
            </w:r>
            <w:r>
              <w:rPr>
                <w:rFonts w:ascii="宋体" w:hAnsi="宋体" w:eastAsia="宋体" w:cs="宋体"/>
                <w:sz w:val="24"/>
                <w:szCs w:val="24"/>
              </w:rPr>
              <w:t>项目，其地理位置中心经纬度为：</w:t>
            </w:r>
            <w:r>
              <w:rPr>
                <w:rFonts w:hint="default" w:ascii="Times New Roman" w:hAnsi="Times New Roman" w:eastAsia="宋体" w:cs="Times New Roman"/>
                <w:sz w:val="24"/>
                <w:szCs w:val="24"/>
              </w:rPr>
              <w:t>E</w:t>
            </w:r>
            <w:r>
              <w:rPr>
                <w:rFonts w:hint="default" w:ascii="Times New Roman" w:hAnsi="Times New Roman" w:eastAsia="宋体" w:cs="Times New Roman"/>
                <w:sz w:val="24"/>
                <w:szCs w:val="24"/>
                <w:lang w:val="en-US" w:eastAsia="zh-CN"/>
              </w:rPr>
              <w:t>123</w:t>
            </w:r>
            <w:r>
              <w:rPr>
                <w:rFonts w:hint="default" w:ascii="Times New Roman" w:hAnsi="Times New Roman" w:eastAsia="宋体" w:cs="Times New Roman"/>
                <w:sz w:val="24"/>
                <w:szCs w:val="24"/>
              </w:rPr>
              <w:t>°</w:t>
            </w:r>
            <w:r>
              <w:rPr>
                <w:rFonts w:hint="default" w:ascii="Times New Roman" w:hAnsi="Times New Roman" w:eastAsia="宋体" w:cs="Times New Roman"/>
                <w:sz w:val="24"/>
                <w:szCs w:val="24"/>
                <w:lang w:val="en-US" w:eastAsia="zh-CN"/>
              </w:rPr>
              <w:t>43</w:t>
            </w:r>
            <w:r>
              <w:rPr>
                <w:rFonts w:hint="default" w:ascii="Times New Roman" w:hAnsi="Times New Roman" w:eastAsia="宋体" w:cs="Times New Roman"/>
                <w:sz w:val="24"/>
                <w:szCs w:val="24"/>
              </w:rPr>
              <w:t>′</w:t>
            </w:r>
            <w:r>
              <w:rPr>
                <w:rFonts w:hint="default" w:ascii="Times New Roman" w:hAnsi="Times New Roman" w:eastAsia="宋体" w:cs="Times New Roman"/>
                <w:sz w:val="24"/>
                <w:szCs w:val="24"/>
                <w:lang w:val="en-US" w:eastAsia="zh-CN"/>
              </w:rPr>
              <w:t>6.966</w:t>
            </w:r>
            <w:r>
              <w:rPr>
                <w:rFonts w:hint="default" w:ascii="Times New Roman" w:hAnsi="Times New Roman" w:eastAsia="宋体" w:cs="Times New Roman"/>
                <w:sz w:val="24"/>
                <w:szCs w:val="24"/>
              </w:rPr>
              <w:t>″， N</w:t>
            </w:r>
            <w:r>
              <w:rPr>
                <w:rFonts w:hint="default" w:ascii="Times New Roman" w:hAnsi="Times New Roman" w:eastAsia="宋体" w:cs="Times New Roman"/>
                <w:sz w:val="24"/>
                <w:szCs w:val="24"/>
                <w:lang w:val="en-US" w:eastAsia="zh-CN"/>
              </w:rPr>
              <w:t>41</w:t>
            </w:r>
            <w:r>
              <w:rPr>
                <w:rFonts w:hint="default" w:ascii="Times New Roman" w:hAnsi="Times New Roman" w:eastAsia="宋体" w:cs="Times New Roman"/>
                <w:sz w:val="24"/>
                <w:szCs w:val="24"/>
              </w:rPr>
              <w:t>°</w:t>
            </w:r>
            <w:r>
              <w:rPr>
                <w:rFonts w:hint="default" w:ascii="Times New Roman" w:hAnsi="Times New Roman" w:eastAsia="宋体" w:cs="Times New Roman"/>
                <w:sz w:val="24"/>
                <w:szCs w:val="24"/>
                <w:lang w:val="en-US" w:eastAsia="zh-CN"/>
              </w:rPr>
              <w:t>17</w:t>
            </w:r>
            <w:r>
              <w:rPr>
                <w:rFonts w:hint="default" w:ascii="Times New Roman" w:hAnsi="Times New Roman" w:eastAsia="宋体" w:cs="Times New Roman"/>
                <w:sz w:val="24"/>
                <w:szCs w:val="24"/>
              </w:rPr>
              <w:t>′</w:t>
            </w:r>
            <w:r>
              <w:rPr>
                <w:rFonts w:hint="default" w:ascii="Times New Roman" w:hAnsi="Times New Roman" w:eastAsia="宋体" w:cs="Times New Roman"/>
                <w:sz w:val="24"/>
                <w:szCs w:val="24"/>
                <w:lang w:val="en-US" w:eastAsia="zh-CN"/>
              </w:rPr>
              <w:t>51.046</w:t>
            </w:r>
            <w:r>
              <w:rPr>
                <w:rFonts w:hint="default" w:ascii="Times New Roman" w:hAnsi="Times New Roman" w:eastAsia="宋体" w:cs="Times New Roman"/>
                <w:sz w:val="24"/>
                <w:szCs w:val="24"/>
              </w:rPr>
              <w:t>″</w:t>
            </w:r>
            <w:r>
              <w:rPr>
                <w:rFonts w:ascii="宋体" w:hAnsi="宋体" w:eastAsia="宋体" w:cs="宋体"/>
                <w:sz w:val="24"/>
                <w:szCs w:val="24"/>
              </w:rPr>
              <w:t>，项目总投资</w:t>
            </w:r>
            <w:r>
              <w:rPr>
                <w:rFonts w:hint="eastAsia" w:ascii="宋体" w:hAnsi="宋体" w:eastAsia="宋体" w:cs="宋体"/>
                <w:sz w:val="24"/>
                <w:szCs w:val="24"/>
                <w:lang w:val="en-US" w:eastAsia="zh-CN"/>
              </w:rPr>
              <w:t>1500</w:t>
            </w:r>
            <w:r>
              <w:rPr>
                <w:rFonts w:ascii="宋体" w:hAnsi="宋体" w:eastAsia="宋体" w:cs="宋体"/>
                <w:sz w:val="24"/>
                <w:szCs w:val="24"/>
              </w:rPr>
              <w:t>万元，其中环保投资</w:t>
            </w:r>
            <w:r>
              <w:rPr>
                <w:rFonts w:hint="eastAsia" w:cs="Times New Roman"/>
                <w:color w:val="auto"/>
                <w:sz w:val="24"/>
                <w:szCs w:val="24"/>
                <w:lang w:val="en-US" w:eastAsia="zh-CN"/>
              </w:rPr>
              <w:t>20</w:t>
            </w:r>
            <w:r>
              <w:rPr>
                <w:rFonts w:hint="default" w:ascii="Times New Roman" w:hAnsi="Times New Roman" w:eastAsia="宋体" w:cs="Times New Roman"/>
                <w:color w:val="auto"/>
                <w:sz w:val="24"/>
                <w:szCs w:val="24"/>
              </w:rPr>
              <w:t>万元，总占地</w:t>
            </w:r>
            <w:r>
              <w:rPr>
                <w:rFonts w:hint="eastAsia" w:cs="Times New Roman"/>
                <w:color w:val="auto"/>
                <w:sz w:val="24"/>
                <w:szCs w:val="24"/>
                <w:lang w:val="en-US" w:eastAsia="zh-CN"/>
              </w:rPr>
              <w:t>400</w:t>
            </w:r>
            <w:r>
              <w:rPr>
                <w:rFonts w:hint="default" w:ascii="Times New Roman" w:hAnsi="Times New Roman" w:eastAsia="宋体" w:cs="Times New Roman"/>
                <w:color w:val="auto"/>
                <w:sz w:val="24"/>
                <w:szCs w:val="24"/>
              </w:rPr>
              <w:t>m²</w:t>
            </w:r>
            <w:r>
              <w:rPr>
                <w:rFonts w:ascii="宋体" w:hAnsi="宋体" w:eastAsia="宋体" w:cs="宋体"/>
                <w:color w:val="auto"/>
                <w:sz w:val="24"/>
                <w:szCs w:val="24"/>
              </w:rPr>
              <w:t>，建筑面积</w:t>
            </w:r>
            <w:r>
              <w:rPr>
                <w:rFonts w:hint="eastAsia" w:cs="Times New Roman"/>
                <w:color w:val="auto"/>
                <w:sz w:val="24"/>
                <w:szCs w:val="24"/>
                <w:lang w:val="en-US" w:eastAsia="zh-CN"/>
              </w:rPr>
              <w:t>300</w:t>
            </w:r>
            <w:r>
              <w:rPr>
                <w:rFonts w:hint="default" w:ascii="Times New Roman" w:hAnsi="Times New Roman" w:eastAsia="宋体" w:cs="Times New Roman"/>
                <w:color w:val="auto"/>
                <w:sz w:val="24"/>
                <w:szCs w:val="24"/>
              </w:rPr>
              <w:t>m²</w:t>
            </w:r>
            <w:r>
              <w:rPr>
                <w:rFonts w:ascii="宋体" w:hAnsi="宋体" w:eastAsia="宋体" w:cs="宋体"/>
                <w:sz w:val="24"/>
                <w:szCs w:val="24"/>
              </w:rPr>
              <w:t>，主要从事废矿物油的收集仓储，项目建成后预计年收集仓储废矿物油</w:t>
            </w:r>
            <w:r>
              <w:rPr>
                <w:rFonts w:hint="default" w:ascii="Times New Roman" w:hAnsi="Times New Roman" w:eastAsia="宋体" w:cs="Times New Roman"/>
                <w:sz w:val="24"/>
                <w:szCs w:val="24"/>
              </w:rPr>
              <w:t>1</w:t>
            </w:r>
            <w:r>
              <w:rPr>
                <w:rFonts w:hint="default" w:ascii="Times New Roman" w:hAnsi="Times New Roman" w:eastAsia="宋体" w:cs="Times New Roman"/>
                <w:sz w:val="24"/>
                <w:szCs w:val="24"/>
                <w:lang w:val="en-US" w:eastAsia="zh-CN"/>
              </w:rPr>
              <w:t>0</w:t>
            </w:r>
            <w:r>
              <w:rPr>
                <w:rFonts w:hint="default" w:ascii="Times New Roman" w:hAnsi="Times New Roman" w:eastAsia="宋体" w:cs="Times New Roman"/>
                <w:sz w:val="24"/>
                <w:szCs w:val="24"/>
              </w:rPr>
              <w:t>00</w:t>
            </w:r>
            <w:r>
              <w:rPr>
                <w:rFonts w:ascii="宋体" w:hAnsi="宋体" w:eastAsia="宋体" w:cs="宋体"/>
                <w:sz w:val="24"/>
                <w:szCs w:val="24"/>
              </w:rPr>
              <w:t>吨。项目设有废矿物油储罐区、装卸区</w:t>
            </w:r>
            <w:r>
              <w:rPr>
                <w:rFonts w:hint="eastAsia" w:ascii="宋体" w:hAnsi="宋体" w:cs="宋体"/>
                <w:sz w:val="24"/>
                <w:szCs w:val="24"/>
                <w:lang w:eastAsia="zh-CN"/>
              </w:rPr>
              <w:t>、</w:t>
            </w:r>
            <w:r>
              <w:rPr>
                <w:rFonts w:hint="eastAsia" w:ascii="宋体" w:hAnsi="宋体" w:cs="宋体"/>
                <w:sz w:val="24"/>
                <w:szCs w:val="24"/>
                <w:lang w:val="en-US" w:eastAsia="zh-CN"/>
              </w:rPr>
              <w:t>事故池</w:t>
            </w:r>
            <w:r>
              <w:rPr>
                <w:rFonts w:ascii="宋体" w:hAnsi="宋体" w:eastAsia="宋体" w:cs="宋体"/>
                <w:sz w:val="24"/>
                <w:szCs w:val="24"/>
              </w:rPr>
              <w:t>等。</w:t>
            </w:r>
          </w:p>
          <w:p w14:paraId="524FC668">
            <w:pPr>
              <w:pStyle w:val="68"/>
              <w:ind w:firstLine="480"/>
              <w:rPr>
                <w:rFonts w:hint="default" w:ascii="Times New Roman" w:hAnsi="Times New Roman" w:cs="Times New Roman"/>
                <w:color w:val="000000" w:themeColor="text1"/>
                <w:szCs w:val="24"/>
                <w:highlight w:val="none"/>
                <w14:textFill>
                  <w14:solidFill>
                    <w14:schemeClr w14:val="tx1"/>
                  </w14:solidFill>
                </w14:textFill>
              </w:rPr>
            </w:pPr>
            <w:r>
              <w:rPr>
                <w:rFonts w:hint="default" w:ascii="Times New Roman" w:hAnsi="Times New Roman" w:cs="Times New Roman"/>
                <w:color w:val="000000" w:themeColor="text1"/>
                <w:szCs w:val="24"/>
                <w:highlight w:val="none"/>
                <w14:textFill>
                  <w14:solidFill>
                    <w14:schemeClr w14:val="tx1"/>
                  </w14:solidFill>
                </w14:textFill>
              </w:rPr>
              <w:t>根据《中华人民共和国环境影响评价法》（2018年修订版）、《建设项目环境保护管理条例》（国务院令第682号）等有关建设项目环保管理的规定，本项目需办理环评手续。根据《建设项目环境影响评价分类管理名录》（2021年版），本项目属于“</w:t>
            </w:r>
            <w:r>
              <w:rPr>
                <w:rFonts w:hint="default" w:ascii="Times New Roman" w:hAnsi="Times New Roman" w:cs="Times New Roman"/>
                <w:color w:val="000000" w:themeColor="text1"/>
                <w:highlight w:val="none"/>
                <w14:textFill>
                  <w14:solidFill>
                    <w14:schemeClr w14:val="tx1"/>
                  </w14:solidFill>
                </w14:textFill>
              </w:rPr>
              <w:t>四十七、</w:t>
            </w:r>
            <w:r>
              <w:rPr>
                <w:rFonts w:hint="default" w:ascii="Times New Roman" w:hAnsi="Times New Roman" w:cs="Times New Roman"/>
                <w:color w:val="000000" w:themeColor="text1"/>
                <w:szCs w:val="24"/>
                <w:highlight w:val="none"/>
                <w14:textFill>
                  <w14:solidFill>
                    <w14:schemeClr w14:val="tx1"/>
                  </w14:solidFill>
                </w14:textFill>
              </w:rPr>
              <w:t>生态保护和环境治理业</w:t>
            </w:r>
            <w:r>
              <w:rPr>
                <w:rFonts w:hint="default" w:ascii="Times New Roman" w:hAnsi="Times New Roman" w:cs="Times New Roman"/>
                <w:color w:val="000000" w:themeColor="text1"/>
                <w:highlight w:val="none"/>
                <w14:textFill>
                  <w14:solidFill>
                    <w14:schemeClr w14:val="tx1"/>
                  </w14:solidFill>
                </w14:textFill>
              </w:rPr>
              <w:t>，101</w:t>
            </w:r>
            <w:r>
              <w:rPr>
                <w:rFonts w:hint="default" w:ascii="Times New Roman" w:hAnsi="Times New Roman" w:cs="Times New Roman"/>
                <w:color w:val="000000" w:themeColor="text1"/>
                <w:szCs w:val="24"/>
                <w:highlight w:val="none"/>
                <w14:textFill>
                  <w14:solidFill>
                    <w14:schemeClr w14:val="tx1"/>
                  </w14:solidFill>
                </w14:textFill>
              </w:rPr>
              <w:t>危险废物（不含医疗废物）利用及处置中其他类”，需编制建设项目环境影响报告表。</w:t>
            </w:r>
          </w:p>
          <w:p w14:paraId="4DE36E27">
            <w:pPr>
              <w:pStyle w:val="68"/>
              <w:numPr>
                <w:ilvl w:val="0"/>
                <w:numId w:val="3"/>
              </w:numPr>
              <w:ind w:firstLineChars="0"/>
              <w:rPr>
                <w:rFonts w:hint="default" w:ascii="Times New Roman" w:hAnsi="Times New Roman" w:cs="Times New Roman"/>
                <w:color w:val="000000" w:themeColor="text1"/>
                <w:szCs w:val="24"/>
                <w:highlight w:val="none"/>
                <w14:textFill>
                  <w14:solidFill>
                    <w14:schemeClr w14:val="tx1"/>
                  </w14:solidFill>
                </w14:textFill>
              </w:rPr>
            </w:pPr>
            <w:r>
              <w:rPr>
                <w:rFonts w:hint="default" w:ascii="Times New Roman" w:hAnsi="Times New Roman" w:cs="Times New Roman"/>
                <w:b/>
                <w:bCs w:val="0"/>
                <w:color w:val="000000" w:themeColor="text1"/>
                <w:kern w:val="0"/>
                <w:szCs w:val="24"/>
                <w:highlight w:val="none"/>
                <w:lang w:val="zh-CN" w:bidi="zh-CN"/>
                <w14:textFill>
                  <w14:solidFill>
                    <w14:schemeClr w14:val="tx1"/>
                  </w14:solidFill>
                </w14:textFill>
              </w:rPr>
              <w:t>项目组成</w:t>
            </w:r>
          </w:p>
          <w:p w14:paraId="6800FE50">
            <w:pPr>
              <w:pStyle w:val="68"/>
              <w:ind w:firstLine="480"/>
              <w:rPr>
                <w:rFonts w:hint="default" w:ascii="Times New Roman" w:hAnsi="Times New Roman" w:cs="Times New Roman"/>
                <w:color w:val="000000" w:themeColor="text1"/>
                <w:szCs w:val="24"/>
                <w:highlight w:val="none"/>
                <w14:textFill>
                  <w14:solidFill>
                    <w14:schemeClr w14:val="tx1"/>
                  </w14:solidFill>
                </w14:textFill>
              </w:rPr>
            </w:pPr>
            <w:r>
              <w:rPr>
                <w:rFonts w:hint="default" w:ascii="Times New Roman" w:hAnsi="Times New Roman" w:cs="Times New Roman"/>
                <w:color w:val="000000" w:themeColor="text1"/>
                <w:szCs w:val="24"/>
                <w:highlight w:val="none"/>
                <w:lang w:bidi="zh-CN"/>
                <w14:textFill>
                  <w14:solidFill>
                    <w14:schemeClr w14:val="tx1"/>
                  </w14:solidFill>
                </w14:textFill>
              </w:rPr>
              <w:t>工程占地面积</w:t>
            </w:r>
            <w:r>
              <w:rPr>
                <w:rFonts w:hint="default" w:ascii="Times New Roman" w:hAnsi="Times New Roman" w:cs="Times New Roman"/>
                <w:color w:val="000000" w:themeColor="text1"/>
                <w:highlight w:val="none"/>
                <w14:textFill>
                  <w14:solidFill>
                    <w14:schemeClr w14:val="tx1"/>
                  </w14:solidFill>
                </w14:textFill>
              </w:rPr>
              <w:t>363.55</w:t>
            </w:r>
            <w:r>
              <w:rPr>
                <w:rFonts w:hint="default" w:ascii="Times New Roman" w:hAnsi="Times New Roman" w:cs="Times New Roman"/>
                <w:color w:val="000000" w:themeColor="text1"/>
                <w:szCs w:val="24"/>
                <w:highlight w:val="none"/>
                <w14:textFill>
                  <w14:solidFill>
                    <w14:schemeClr w14:val="tx1"/>
                  </w14:solidFill>
                </w14:textFill>
              </w:rPr>
              <w:t>m</w:t>
            </w:r>
            <w:r>
              <w:rPr>
                <w:rFonts w:hint="default" w:ascii="Times New Roman" w:hAnsi="Times New Roman" w:cs="Times New Roman"/>
                <w:color w:val="000000" w:themeColor="text1"/>
                <w:szCs w:val="24"/>
                <w:highlight w:val="none"/>
                <w:vertAlign w:val="superscript"/>
                <w14:textFill>
                  <w14:solidFill>
                    <w14:schemeClr w14:val="tx1"/>
                  </w14:solidFill>
                </w14:textFill>
              </w:rPr>
              <w:t>2</w:t>
            </w:r>
            <w:r>
              <w:rPr>
                <w:rFonts w:hint="default" w:ascii="Times New Roman" w:hAnsi="Times New Roman" w:cs="Times New Roman"/>
                <w:color w:val="000000" w:themeColor="text1"/>
                <w:szCs w:val="24"/>
                <w:highlight w:val="none"/>
                <w:lang w:bidi="zh-CN"/>
                <w14:textFill>
                  <w14:solidFill>
                    <w14:schemeClr w14:val="tx1"/>
                  </w14:solidFill>
                </w14:textFill>
              </w:rPr>
              <w:t>，本项目在英华化工厂现有厂区内，无新增占地。本项目主要工程组成内容见表2-1。</w:t>
            </w:r>
          </w:p>
          <w:p w14:paraId="3D0D79CA">
            <w:pPr>
              <w:pStyle w:val="62"/>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表2-1    项目组成一览表</w:t>
            </w:r>
          </w:p>
          <w:tbl>
            <w:tblPr>
              <w:tblStyle w:val="27"/>
              <w:tblW w:w="4998"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142"/>
              <w:gridCol w:w="1380"/>
              <w:gridCol w:w="3662"/>
              <w:gridCol w:w="1999"/>
            </w:tblGrid>
            <w:tr w14:paraId="37B5761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698" w:type="pct"/>
                  <w:vAlign w:val="center"/>
                </w:tcPr>
                <w:p w14:paraId="1EC83BCE">
                  <w:pPr>
                    <w:jc w:val="center"/>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szCs w:val="21"/>
                      <w:highlight w:val="none"/>
                      <w14:textFill>
                        <w14:solidFill>
                          <w14:schemeClr w14:val="tx1"/>
                        </w14:solidFill>
                      </w14:textFill>
                    </w:rPr>
                    <w:t>工程内容</w:t>
                  </w:r>
                </w:p>
              </w:tc>
              <w:tc>
                <w:tcPr>
                  <w:tcW w:w="843" w:type="pct"/>
                  <w:vAlign w:val="center"/>
                </w:tcPr>
                <w:p w14:paraId="24BD1839">
                  <w:pPr>
                    <w:jc w:val="center"/>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szCs w:val="21"/>
                      <w:highlight w:val="none"/>
                      <w14:textFill>
                        <w14:solidFill>
                          <w14:schemeClr w14:val="tx1"/>
                        </w14:solidFill>
                      </w14:textFill>
                    </w:rPr>
                    <w:t>建设内容</w:t>
                  </w:r>
                </w:p>
              </w:tc>
              <w:tc>
                <w:tcPr>
                  <w:tcW w:w="2237" w:type="pct"/>
                  <w:vAlign w:val="center"/>
                </w:tcPr>
                <w:p w14:paraId="4ABB2A4C">
                  <w:pPr>
                    <w:jc w:val="center"/>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szCs w:val="21"/>
                      <w:highlight w:val="none"/>
                      <w14:textFill>
                        <w14:solidFill>
                          <w14:schemeClr w14:val="tx1"/>
                        </w14:solidFill>
                      </w14:textFill>
                    </w:rPr>
                    <w:t>建设规模</w:t>
                  </w:r>
                </w:p>
              </w:tc>
              <w:tc>
                <w:tcPr>
                  <w:tcW w:w="1221" w:type="pct"/>
                  <w:vAlign w:val="center"/>
                </w:tcPr>
                <w:p w14:paraId="2D986924">
                  <w:pPr>
                    <w:jc w:val="center"/>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szCs w:val="21"/>
                      <w:highlight w:val="none"/>
                      <w14:textFill>
                        <w14:solidFill>
                          <w14:schemeClr w14:val="tx1"/>
                        </w14:solidFill>
                      </w14:textFill>
                    </w:rPr>
                    <w:t>备注</w:t>
                  </w:r>
                </w:p>
              </w:tc>
            </w:tr>
            <w:tr w14:paraId="6E2F467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698" w:type="pct"/>
                  <w:vAlign w:val="center"/>
                </w:tcPr>
                <w:p w14:paraId="5985DC04">
                  <w:pPr>
                    <w:jc w:val="center"/>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szCs w:val="21"/>
                      <w:highlight w:val="none"/>
                      <w14:textFill>
                        <w14:solidFill>
                          <w14:schemeClr w14:val="tx1"/>
                        </w14:solidFill>
                      </w14:textFill>
                    </w:rPr>
                    <w:t>主体工程</w:t>
                  </w:r>
                </w:p>
              </w:tc>
              <w:tc>
                <w:tcPr>
                  <w:tcW w:w="843" w:type="pct"/>
                  <w:vAlign w:val="center"/>
                </w:tcPr>
                <w:p w14:paraId="4C8A835E">
                  <w:pPr>
                    <w:jc w:val="cente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eastAsia" w:cs="Times New Roman"/>
                      <w:color w:val="000000" w:themeColor="text1"/>
                      <w:szCs w:val="21"/>
                      <w:highlight w:val="none"/>
                      <w:lang w:val="en-US" w:eastAsia="zh-CN"/>
                      <w14:textFill>
                        <w14:solidFill>
                          <w14:schemeClr w14:val="tx1"/>
                        </w14:solidFill>
                      </w14:textFill>
                    </w:rPr>
                    <w:t>贮存车间</w:t>
                  </w:r>
                </w:p>
              </w:tc>
              <w:tc>
                <w:tcPr>
                  <w:tcW w:w="2237" w:type="pct"/>
                  <w:vAlign w:val="center"/>
                </w:tcPr>
                <w:p w14:paraId="10D9AAFE">
                  <w:pPr>
                    <w:widowControl/>
                    <w:jc w:val="left"/>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szCs w:val="21"/>
                      <w:highlight w:val="none"/>
                      <w14:textFill>
                        <w14:solidFill>
                          <w14:schemeClr w14:val="tx1"/>
                        </w14:solidFill>
                      </w14:textFill>
                    </w:rPr>
                    <w:t>建筑面积</w:t>
                  </w:r>
                  <w:r>
                    <w:rPr>
                      <w:rFonts w:hint="eastAsia" w:cs="Times New Roman"/>
                      <w:color w:val="000000" w:themeColor="text1"/>
                      <w:szCs w:val="21"/>
                      <w:highlight w:val="none"/>
                      <w:lang w:val="en-US" w:eastAsia="zh-CN"/>
                      <w14:textFill>
                        <w14:solidFill>
                          <w14:schemeClr w14:val="tx1"/>
                        </w14:solidFill>
                      </w14:textFill>
                    </w:rPr>
                    <w:t>300</w:t>
                  </w:r>
                  <w:r>
                    <w:rPr>
                      <w:rFonts w:hint="default" w:ascii="Times New Roman" w:hAnsi="Times New Roman" w:cs="Times New Roman"/>
                      <w:color w:val="000000" w:themeColor="text1"/>
                      <w:szCs w:val="21"/>
                      <w:highlight w:val="none"/>
                      <w14:textFill>
                        <w14:solidFill>
                          <w14:schemeClr w14:val="tx1"/>
                        </w14:solidFill>
                      </w14:textFill>
                    </w:rPr>
                    <w:t>m</w:t>
                  </w:r>
                  <w:r>
                    <w:rPr>
                      <w:rFonts w:hint="default" w:ascii="Times New Roman" w:hAnsi="Times New Roman" w:cs="Times New Roman"/>
                      <w:color w:val="000000" w:themeColor="text1"/>
                      <w:szCs w:val="21"/>
                      <w:highlight w:val="none"/>
                      <w:vertAlign w:val="superscript"/>
                      <w14:textFill>
                        <w14:solidFill>
                          <w14:schemeClr w14:val="tx1"/>
                        </w14:solidFill>
                      </w14:textFill>
                    </w:rPr>
                    <w:t>2</w:t>
                  </w:r>
                  <w:r>
                    <w:rPr>
                      <w:rFonts w:hint="default" w:ascii="Times New Roman" w:hAnsi="Times New Roman" w:cs="Times New Roman"/>
                      <w:color w:val="000000" w:themeColor="text1"/>
                      <w:szCs w:val="21"/>
                      <w:highlight w:val="none"/>
                      <w14:textFill>
                        <w14:solidFill>
                          <w14:schemeClr w14:val="tx1"/>
                        </w14:solidFill>
                      </w14:textFill>
                    </w:rPr>
                    <w:t>，</w:t>
                  </w:r>
                  <w:r>
                    <w:rPr>
                      <w:rFonts w:hint="eastAsia" w:cs="Times New Roman"/>
                      <w:color w:val="000000" w:themeColor="text1"/>
                      <w:szCs w:val="21"/>
                      <w:highlight w:val="none"/>
                      <w:lang w:val="en-US" w:eastAsia="zh-CN"/>
                      <w14:textFill>
                        <w14:solidFill>
                          <w14:schemeClr w14:val="tx1"/>
                        </w14:solidFill>
                      </w14:textFill>
                    </w:rPr>
                    <w:t>贮存车间内设置2座废矿物油卧式储罐，单罐有效容积60m</w:t>
                  </w:r>
                  <w:r>
                    <w:rPr>
                      <w:rFonts w:hint="eastAsia" w:cs="Times New Roman"/>
                      <w:color w:val="000000" w:themeColor="text1"/>
                      <w:szCs w:val="21"/>
                      <w:highlight w:val="none"/>
                      <w:vertAlign w:val="superscript"/>
                      <w:lang w:val="en-US" w:eastAsia="zh-CN"/>
                      <w14:textFill>
                        <w14:solidFill>
                          <w14:schemeClr w14:val="tx1"/>
                        </w14:solidFill>
                      </w14:textFill>
                    </w:rPr>
                    <w:t>3</w:t>
                  </w:r>
                  <w:r>
                    <w:rPr>
                      <w:rFonts w:hint="eastAsia" w:cs="Times New Roman"/>
                      <w:color w:val="000000" w:themeColor="text1"/>
                      <w:szCs w:val="21"/>
                      <w:highlight w:val="none"/>
                      <w:lang w:val="en-US" w:eastAsia="zh-CN"/>
                      <w14:textFill>
                        <w14:solidFill>
                          <w14:schemeClr w14:val="tx1"/>
                        </w14:solidFill>
                      </w14:textFill>
                    </w:rPr>
                    <w:t>，</w:t>
                  </w:r>
                  <w:r>
                    <w:rPr>
                      <w:rFonts w:hint="default" w:ascii="Times New Roman" w:hAnsi="Times New Roman" w:cs="Times New Roman"/>
                      <w:color w:val="000000" w:themeColor="text1"/>
                      <w:szCs w:val="21"/>
                      <w:highlight w:val="none"/>
                      <w14:textFill>
                        <w14:solidFill>
                          <w14:schemeClr w14:val="tx1"/>
                        </w14:solidFill>
                      </w14:textFill>
                    </w:rPr>
                    <w:t>危险废物最大贮存量200t。</w:t>
                  </w:r>
                  <w:r>
                    <w:rPr>
                      <w:rFonts w:hint="eastAsia" w:cs="Times New Roman"/>
                      <w:color w:val="000000" w:themeColor="text1"/>
                      <w:szCs w:val="21"/>
                      <w:highlight w:val="none"/>
                      <w:lang w:val="en-US" w:eastAsia="zh-CN"/>
                      <w14:textFill>
                        <w14:solidFill>
                          <w14:schemeClr w14:val="tx1"/>
                        </w14:solidFill>
                      </w14:textFill>
                    </w:rPr>
                    <w:t>贮存车间按照危险废物暂存间标准进行建设，要求罐区</w:t>
                  </w:r>
                  <w:r>
                    <w:rPr>
                      <w:rFonts w:hint="default" w:ascii="Times New Roman" w:hAnsi="Times New Roman" w:cs="Times New Roman"/>
                      <w:color w:val="000000" w:themeColor="text1"/>
                      <w:szCs w:val="21"/>
                      <w:highlight w:val="none"/>
                      <w14:textFill>
                        <w14:solidFill>
                          <w14:schemeClr w14:val="tx1"/>
                        </w14:solidFill>
                      </w14:textFill>
                    </w:rPr>
                    <w:t>基础进行防渗，地面、裙脚均采取防渗措施，设置排液沟和集液池。集液池</w:t>
                  </w:r>
                  <w:r>
                    <w:rPr>
                      <w:rFonts w:hint="eastAsia" w:cs="Times New Roman"/>
                      <w:color w:val="000000" w:themeColor="text1"/>
                      <w:szCs w:val="21"/>
                      <w:highlight w:val="none"/>
                      <w:lang w:val="en-US" w:eastAsia="zh-CN"/>
                      <w14:textFill>
                        <w14:solidFill>
                          <w14:schemeClr w14:val="tx1"/>
                        </w14:solidFill>
                      </w14:textFill>
                    </w:rPr>
                    <w:t>长</w:t>
                  </w:r>
                  <w:r>
                    <w:rPr>
                      <w:rFonts w:hint="default" w:ascii="Times New Roman" w:hAnsi="Times New Roman" w:cs="Times New Roman"/>
                      <w:color w:val="auto"/>
                      <w:szCs w:val="21"/>
                      <w:highlight w:val="none"/>
                    </w:rPr>
                    <w:t>1m、</w:t>
                  </w:r>
                  <w:r>
                    <w:rPr>
                      <w:rFonts w:hint="eastAsia" w:cs="Times New Roman"/>
                      <w:color w:val="auto"/>
                      <w:szCs w:val="21"/>
                      <w:highlight w:val="none"/>
                      <w:lang w:val="en-US" w:eastAsia="zh-CN"/>
                    </w:rPr>
                    <w:t>宽1m、</w:t>
                  </w:r>
                  <w:r>
                    <w:rPr>
                      <w:rFonts w:hint="default" w:ascii="Times New Roman" w:hAnsi="Times New Roman" w:cs="Times New Roman"/>
                      <w:color w:val="auto"/>
                      <w:szCs w:val="21"/>
                      <w:highlight w:val="none"/>
                    </w:rPr>
                    <w:t>深1m，容积</w:t>
                  </w:r>
                  <w:r>
                    <w:rPr>
                      <w:rFonts w:hint="eastAsia" w:cs="Times New Roman"/>
                      <w:color w:val="auto"/>
                      <w:szCs w:val="21"/>
                      <w:highlight w:val="none"/>
                      <w:lang w:val="en-US" w:eastAsia="zh-CN"/>
                    </w:rPr>
                    <w:t>1</w:t>
                  </w:r>
                  <w:r>
                    <w:rPr>
                      <w:rFonts w:hint="default" w:ascii="Times New Roman" w:hAnsi="Times New Roman" w:cs="Times New Roman"/>
                      <w:color w:val="auto"/>
                      <w:szCs w:val="21"/>
                      <w:highlight w:val="none"/>
                    </w:rPr>
                    <w:t>m</w:t>
                  </w:r>
                  <w:r>
                    <w:rPr>
                      <w:rFonts w:hint="default" w:ascii="Times New Roman" w:hAnsi="Times New Roman" w:cs="Times New Roman"/>
                      <w:color w:val="auto"/>
                      <w:szCs w:val="21"/>
                      <w:highlight w:val="none"/>
                      <w:vertAlign w:val="superscript"/>
                    </w:rPr>
                    <w:t>3</w:t>
                  </w:r>
                  <w:r>
                    <w:rPr>
                      <w:rFonts w:hint="default" w:ascii="Times New Roman" w:hAnsi="Times New Roman" w:cs="Times New Roman"/>
                      <w:color w:val="auto"/>
                      <w:szCs w:val="21"/>
                      <w:highlight w:val="none"/>
                    </w:rPr>
                    <w:t>；排液沟为地漏及地下管道形式，地下管道采用</w:t>
                  </w:r>
                  <w:r>
                    <w:rPr>
                      <w:rFonts w:hint="default" w:ascii="Times New Roman" w:hAnsi="Times New Roman" w:cs="Times New Roman"/>
                      <w:color w:val="auto"/>
                      <w:kern w:val="0"/>
                      <w:szCs w:val="21"/>
                      <w:highlight w:val="none"/>
                    </w:rPr>
                    <w:t>UPVC双壁波纹塑料排水管</w:t>
                  </w:r>
                  <w:r>
                    <w:rPr>
                      <w:rFonts w:hint="default" w:ascii="Times New Roman" w:hAnsi="Times New Roman" w:cs="Times New Roman"/>
                      <w:color w:val="auto"/>
                      <w:szCs w:val="21"/>
                      <w:highlight w:val="none"/>
                    </w:rPr>
                    <w:t>，管道直径DN100~200。</w:t>
                  </w:r>
                </w:p>
              </w:tc>
              <w:tc>
                <w:tcPr>
                  <w:tcW w:w="1221" w:type="pct"/>
                  <w:vAlign w:val="center"/>
                </w:tcPr>
                <w:p w14:paraId="4C0A5B56">
                  <w:pPr>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szCs w:val="21"/>
                      <w:highlight w:val="none"/>
                      <w14:textFill>
                        <w14:solidFill>
                          <w14:schemeClr w14:val="tx1"/>
                        </w14:solidFill>
                      </w14:textFill>
                    </w:rPr>
                    <w:t>暂存的危险废物为废</w:t>
                  </w:r>
                  <w:r>
                    <w:rPr>
                      <w:rFonts w:hint="eastAsia" w:cs="Times New Roman"/>
                      <w:color w:val="000000" w:themeColor="text1"/>
                      <w:szCs w:val="21"/>
                      <w:highlight w:val="none"/>
                      <w:lang w:val="en-US" w:eastAsia="zh-CN"/>
                      <w14:textFill>
                        <w14:solidFill>
                          <w14:schemeClr w14:val="tx1"/>
                        </w14:solidFill>
                      </w14:textFill>
                    </w:rPr>
                    <w:t>矿物油</w:t>
                  </w:r>
                  <w:r>
                    <w:rPr>
                      <w:rFonts w:hint="default" w:ascii="Times New Roman" w:hAnsi="Times New Roman" w:cs="Times New Roman"/>
                      <w:color w:val="000000" w:themeColor="text1"/>
                      <w:szCs w:val="21"/>
                      <w:highlight w:val="none"/>
                      <w14:textFill>
                        <w14:solidFill>
                          <w14:schemeClr w14:val="tx1"/>
                        </w14:solidFill>
                      </w14:textFill>
                    </w:rPr>
                    <w:t>等。排液沟和集液池收集的泄漏物仍为危险废物，委托有资质单位集中处置</w:t>
                  </w:r>
                </w:p>
              </w:tc>
            </w:tr>
            <w:tr w14:paraId="69464CF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698" w:type="pct"/>
                  <w:vMerge w:val="restart"/>
                  <w:vAlign w:val="center"/>
                </w:tcPr>
                <w:p w14:paraId="6FED8D1E">
                  <w:pPr>
                    <w:jc w:val="center"/>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szCs w:val="21"/>
                      <w:highlight w:val="none"/>
                      <w14:textFill>
                        <w14:solidFill>
                          <w14:schemeClr w14:val="tx1"/>
                        </w14:solidFill>
                      </w14:textFill>
                    </w:rPr>
                    <w:t>公用工程</w:t>
                  </w:r>
                </w:p>
              </w:tc>
              <w:tc>
                <w:tcPr>
                  <w:tcW w:w="843" w:type="pct"/>
                  <w:vAlign w:val="center"/>
                </w:tcPr>
                <w:p w14:paraId="13914B0F">
                  <w:pPr>
                    <w:jc w:val="center"/>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szCs w:val="21"/>
                      <w:highlight w:val="none"/>
                      <w14:textFill>
                        <w14:solidFill>
                          <w14:schemeClr w14:val="tx1"/>
                        </w14:solidFill>
                      </w14:textFill>
                    </w:rPr>
                    <w:t>给水</w:t>
                  </w:r>
                </w:p>
              </w:tc>
              <w:tc>
                <w:tcPr>
                  <w:tcW w:w="2237" w:type="pct"/>
                  <w:vAlign w:val="center"/>
                </w:tcPr>
                <w:p w14:paraId="5CF3FE4C">
                  <w:pP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eastAsia" w:cs="Times New Roman"/>
                      <w:color w:val="000000" w:themeColor="text1"/>
                      <w:szCs w:val="21"/>
                      <w:highlight w:val="none"/>
                      <w:lang w:val="en-US" w:eastAsia="zh-CN"/>
                      <w14:textFill>
                        <w14:solidFill>
                          <w14:schemeClr w14:val="tx1"/>
                        </w14:solidFill>
                      </w14:textFill>
                    </w:rPr>
                    <w:t>正常工矿下无生产用水</w:t>
                  </w:r>
                </w:p>
              </w:tc>
              <w:tc>
                <w:tcPr>
                  <w:tcW w:w="1221" w:type="pct"/>
                  <w:vAlign w:val="center"/>
                </w:tcPr>
                <w:p w14:paraId="3C57AD60">
                  <w:pPr>
                    <w:jc w:val="center"/>
                    <w:rPr>
                      <w:rFonts w:hint="eastAsia" w:ascii="Times New Roman" w:hAnsi="Times New Roman" w:eastAsia="宋体" w:cs="Times New Roman"/>
                      <w:color w:val="000000" w:themeColor="text1"/>
                      <w:szCs w:val="21"/>
                      <w:highlight w:val="none"/>
                      <w:lang w:eastAsia="zh-CN"/>
                      <w14:textFill>
                        <w14:solidFill>
                          <w14:schemeClr w14:val="tx1"/>
                        </w14:solidFill>
                      </w14:textFill>
                    </w:rPr>
                  </w:pPr>
                  <w:r>
                    <w:rPr>
                      <w:rFonts w:hint="eastAsia" w:cs="Times New Roman"/>
                      <w:color w:val="000000" w:themeColor="text1"/>
                      <w:szCs w:val="21"/>
                      <w:highlight w:val="none"/>
                      <w:lang w:val="en-US" w:eastAsia="zh-CN"/>
                      <w14:textFill>
                        <w14:solidFill>
                          <w14:schemeClr w14:val="tx1"/>
                        </w14:solidFill>
                      </w14:textFill>
                    </w:rPr>
                    <w:t>-</w:t>
                  </w:r>
                </w:p>
              </w:tc>
            </w:tr>
            <w:tr w14:paraId="4BC479F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698" w:type="pct"/>
                  <w:vMerge w:val="continue"/>
                  <w:vAlign w:val="center"/>
                </w:tcPr>
                <w:p w14:paraId="54B04D56">
                  <w:pPr>
                    <w:jc w:val="center"/>
                    <w:rPr>
                      <w:rFonts w:hint="default" w:ascii="Times New Roman" w:hAnsi="Times New Roman" w:cs="Times New Roman"/>
                      <w:color w:val="000000" w:themeColor="text1"/>
                      <w:szCs w:val="21"/>
                      <w:highlight w:val="none"/>
                      <w14:textFill>
                        <w14:solidFill>
                          <w14:schemeClr w14:val="tx1"/>
                        </w14:solidFill>
                      </w14:textFill>
                    </w:rPr>
                  </w:pPr>
                </w:p>
              </w:tc>
              <w:tc>
                <w:tcPr>
                  <w:tcW w:w="843" w:type="pct"/>
                  <w:vAlign w:val="center"/>
                </w:tcPr>
                <w:p w14:paraId="7A4FD780">
                  <w:pPr>
                    <w:jc w:val="center"/>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szCs w:val="21"/>
                      <w:highlight w:val="none"/>
                      <w14:textFill>
                        <w14:solidFill>
                          <w14:schemeClr w14:val="tx1"/>
                        </w14:solidFill>
                      </w14:textFill>
                    </w:rPr>
                    <w:t>排水</w:t>
                  </w:r>
                </w:p>
              </w:tc>
              <w:tc>
                <w:tcPr>
                  <w:tcW w:w="2237" w:type="pct"/>
                  <w:vAlign w:val="center"/>
                </w:tcPr>
                <w:p w14:paraId="567F5380">
                  <w:pP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default" w:ascii="Times New Roman" w:hAnsi="Times New Roman" w:cs="Times New Roman"/>
                      <w:color w:val="000000" w:themeColor="text1"/>
                      <w:szCs w:val="21"/>
                      <w:highlight w:val="none"/>
                      <w14:textFill>
                        <w14:solidFill>
                          <w14:schemeClr w14:val="tx1"/>
                        </w14:solidFill>
                      </w14:textFill>
                    </w:rPr>
                    <w:t>本项目正常工况下无生产废水排放</w:t>
                  </w:r>
                  <w:r>
                    <w:rPr>
                      <w:rFonts w:hint="eastAsia" w:cs="Times New Roman"/>
                      <w:color w:val="000000" w:themeColor="text1"/>
                      <w:szCs w:val="21"/>
                      <w:highlight w:val="none"/>
                      <w:lang w:eastAsia="zh-CN"/>
                      <w14:textFill>
                        <w14:solidFill>
                          <w14:schemeClr w14:val="tx1"/>
                        </w14:solidFill>
                      </w14:textFill>
                    </w:rPr>
                    <w:t>，</w:t>
                  </w:r>
                  <w:r>
                    <w:rPr>
                      <w:rFonts w:hint="eastAsia" w:cs="Times New Roman"/>
                      <w:color w:val="000000" w:themeColor="text1"/>
                      <w:szCs w:val="21"/>
                      <w:highlight w:val="none"/>
                      <w:lang w:val="en-US" w:eastAsia="zh-CN"/>
                      <w14:textFill>
                        <w14:solidFill>
                          <w14:schemeClr w14:val="tx1"/>
                        </w14:solidFill>
                      </w14:textFill>
                    </w:rPr>
                    <w:t>生活用水拍恶不租赁厂区内现有旱厕</w:t>
                  </w:r>
                </w:p>
              </w:tc>
              <w:tc>
                <w:tcPr>
                  <w:tcW w:w="1221" w:type="pct"/>
                  <w:vAlign w:val="center"/>
                </w:tcPr>
                <w:p w14:paraId="5B662C75">
                  <w:pPr>
                    <w:jc w:val="center"/>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szCs w:val="21"/>
                      <w:highlight w:val="none"/>
                      <w14:textFill>
                        <w14:solidFill>
                          <w14:schemeClr w14:val="tx1"/>
                        </w14:solidFill>
                      </w14:textFill>
                    </w:rPr>
                    <w:t>依托</w:t>
                  </w:r>
                </w:p>
              </w:tc>
            </w:tr>
            <w:tr w14:paraId="6000604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698" w:type="pct"/>
                  <w:vMerge w:val="continue"/>
                  <w:vAlign w:val="center"/>
                </w:tcPr>
                <w:p w14:paraId="3E67630A">
                  <w:pPr>
                    <w:jc w:val="center"/>
                    <w:rPr>
                      <w:rFonts w:hint="default" w:ascii="Times New Roman" w:hAnsi="Times New Roman" w:cs="Times New Roman"/>
                      <w:color w:val="000000" w:themeColor="text1"/>
                      <w:szCs w:val="21"/>
                      <w:highlight w:val="none"/>
                      <w14:textFill>
                        <w14:solidFill>
                          <w14:schemeClr w14:val="tx1"/>
                        </w14:solidFill>
                      </w14:textFill>
                    </w:rPr>
                  </w:pPr>
                </w:p>
              </w:tc>
              <w:tc>
                <w:tcPr>
                  <w:tcW w:w="843" w:type="pct"/>
                  <w:vAlign w:val="center"/>
                </w:tcPr>
                <w:p w14:paraId="499F63EB">
                  <w:pPr>
                    <w:jc w:val="center"/>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szCs w:val="21"/>
                      <w:highlight w:val="none"/>
                      <w14:textFill>
                        <w14:solidFill>
                          <w14:schemeClr w14:val="tx1"/>
                        </w14:solidFill>
                      </w14:textFill>
                    </w:rPr>
                    <w:t>供电</w:t>
                  </w:r>
                </w:p>
              </w:tc>
              <w:tc>
                <w:tcPr>
                  <w:tcW w:w="2237" w:type="pct"/>
                  <w:vAlign w:val="center"/>
                </w:tcPr>
                <w:p w14:paraId="7FBAA822">
                  <w:pPr>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szCs w:val="21"/>
                      <w:highlight w:val="none"/>
                      <w14:textFill>
                        <w14:solidFill>
                          <w14:schemeClr w14:val="tx1"/>
                        </w14:solidFill>
                      </w14:textFill>
                    </w:rPr>
                    <w:t>依托</w:t>
                  </w:r>
                  <w:r>
                    <w:rPr>
                      <w:rFonts w:hint="eastAsia" w:cs="Times New Roman"/>
                      <w:color w:val="000000" w:themeColor="text1"/>
                      <w:szCs w:val="21"/>
                      <w:highlight w:val="none"/>
                      <w:lang w:val="en-US" w:eastAsia="zh-CN"/>
                      <w14:textFill>
                        <w14:solidFill>
                          <w14:schemeClr w14:val="tx1"/>
                        </w14:solidFill>
                      </w14:textFill>
                    </w:rPr>
                    <w:t>市政</w:t>
                  </w:r>
                  <w:r>
                    <w:rPr>
                      <w:rFonts w:hint="default" w:ascii="Times New Roman" w:hAnsi="Times New Roman" w:cs="Times New Roman"/>
                      <w:color w:val="000000" w:themeColor="text1"/>
                      <w:szCs w:val="21"/>
                      <w:highlight w:val="none"/>
                      <w14:textFill>
                        <w14:solidFill>
                          <w14:schemeClr w14:val="tx1"/>
                        </w14:solidFill>
                      </w14:textFill>
                    </w:rPr>
                    <w:t>供电设施</w:t>
                  </w:r>
                </w:p>
              </w:tc>
              <w:tc>
                <w:tcPr>
                  <w:tcW w:w="1221" w:type="pct"/>
                  <w:vAlign w:val="center"/>
                </w:tcPr>
                <w:p w14:paraId="348396BC">
                  <w:pPr>
                    <w:jc w:val="center"/>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szCs w:val="21"/>
                      <w:highlight w:val="none"/>
                      <w14:textFill>
                        <w14:solidFill>
                          <w14:schemeClr w14:val="tx1"/>
                        </w14:solidFill>
                      </w14:textFill>
                    </w:rPr>
                    <w:t>依托</w:t>
                  </w:r>
                </w:p>
              </w:tc>
            </w:tr>
            <w:tr w14:paraId="5B3254B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698" w:type="pct"/>
                  <w:vMerge w:val="continue"/>
                  <w:vAlign w:val="center"/>
                </w:tcPr>
                <w:p w14:paraId="7AAA43FB">
                  <w:pPr>
                    <w:jc w:val="center"/>
                    <w:rPr>
                      <w:rFonts w:hint="default" w:ascii="Times New Roman" w:hAnsi="Times New Roman" w:cs="Times New Roman"/>
                      <w:color w:val="000000" w:themeColor="text1"/>
                      <w:szCs w:val="21"/>
                      <w:highlight w:val="none"/>
                      <w14:textFill>
                        <w14:solidFill>
                          <w14:schemeClr w14:val="tx1"/>
                        </w14:solidFill>
                      </w14:textFill>
                    </w:rPr>
                  </w:pPr>
                </w:p>
              </w:tc>
              <w:tc>
                <w:tcPr>
                  <w:tcW w:w="843" w:type="pct"/>
                  <w:vAlign w:val="center"/>
                </w:tcPr>
                <w:p w14:paraId="705956F6">
                  <w:pPr>
                    <w:jc w:val="center"/>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szCs w:val="21"/>
                      <w:highlight w:val="none"/>
                      <w14:textFill>
                        <w14:solidFill>
                          <w14:schemeClr w14:val="tx1"/>
                        </w14:solidFill>
                      </w14:textFill>
                    </w:rPr>
                    <w:t>供暖</w:t>
                  </w:r>
                </w:p>
              </w:tc>
              <w:tc>
                <w:tcPr>
                  <w:tcW w:w="2237" w:type="pct"/>
                  <w:vAlign w:val="center"/>
                </w:tcPr>
                <w:p w14:paraId="4D6A247D">
                  <w:pPr>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szCs w:val="21"/>
                      <w:highlight w:val="none"/>
                      <w14:textFill>
                        <w14:solidFill>
                          <w14:schemeClr w14:val="tx1"/>
                        </w14:solidFill>
                      </w14:textFill>
                    </w:rPr>
                    <w:t>本项目冬季无需供暖</w:t>
                  </w:r>
                </w:p>
              </w:tc>
              <w:tc>
                <w:tcPr>
                  <w:tcW w:w="1221" w:type="pct"/>
                  <w:vAlign w:val="center"/>
                </w:tcPr>
                <w:p w14:paraId="343BA60C">
                  <w:pPr>
                    <w:jc w:val="center"/>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szCs w:val="21"/>
                      <w:highlight w:val="none"/>
                      <w14:textFill>
                        <w14:solidFill>
                          <w14:schemeClr w14:val="tx1"/>
                        </w14:solidFill>
                      </w14:textFill>
                    </w:rPr>
                    <w:t>-</w:t>
                  </w:r>
                </w:p>
              </w:tc>
            </w:tr>
            <w:tr w14:paraId="4C758A8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861" w:hRule="atLeast"/>
              </w:trPr>
              <w:tc>
                <w:tcPr>
                  <w:tcW w:w="698" w:type="pct"/>
                  <w:vMerge w:val="restart"/>
                  <w:vAlign w:val="center"/>
                </w:tcPr>
                <w:p w14:paraId="18EC3E8D">
                  <w:pPr>
                    <w:jc w:val="center"/>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szCs w:val="21"/>
                      <w:highlight w:val="none"/>
                      <w14:textFill>
                        <w14:solidFill>
                          <w14:schemeClr w14:val="tx1"/>
                        </w14:solidFill>
                      </w14:textFill>
                    </w:rPr>
                    <w:t>环保工程</w:t>
                  </w:r>
                </w:p>
              </w:tc>
              <w:tc>
                <w:tcPr>
                  <w:tcW w:w="843" w:type="pct"/>
                  <w:vAlign w:val="center"/>
                </w:tcPr>
                <w:p w14:paraId="5E4045FA">
                  <w:pPr>
                    <w:jc w:val="center"/>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szCs w:val="21"/>
                      <w:highlight w:val="none"/>
                      <w14:textFill>
                        <w14:solidFill>
                          <w14:schemeClr w14:val="tx1"/>
                        </w14:solidFill>
                      </w14:textFill>
                    </w:rPr>
                    <w:t>废气</w:t>
                  </w:r>
                </w:p>
              </w:tc>
              <w:tc>
                <w:tcPr>
                  <w:tcW w:w="2237" w:type="pct"/>
                  <w:vAlign w:val="center"/>
                </w:tcPr>
                <w:p w14:paraId="56503479">
                  <w:pPr>
                    <w:jc w:val="center"/>
                    <w:rPr>
                      <w:rFonts w:hint="default" w:ascii="Times New Roman" w:hAnsi="Times New Roman" w:cs="Times New Roman"/>
                      <w:color w:val="000000" w:themeColor="text1"/>
                      <w:szCs w:val="21"/>
                      <w:highlight w:val="none"/>
                      <w14:textFill>
                        <w14:solidFill>
                          <w14:schemeClr w14:val="tx1"/>
                        </w14:solidFill>
                      </w14:textFill>
                    </w:rPr>
                  </w:pPr>
                  <w:r>
                    <w:rPr>
                      <w:rFonts w:hint="eastAsia" w:cs="Times New Roman"/>
                      <w:color w:val="000000" w:themeColor="text1"/>
                      <w:szCs w:val="21"/>
                      <w:highlight w:val="none"/>
                      <w:lang w:val="en-US" w:eastAsia="zh-CN"/>
                      <w14:textFill>
                        <w14:solidFill>
                          <w14:schemeClr w14:val="tx1"/>
                        </w14:solidFill>
                      </w14:textFill>
                    </w:rPr>
                    <w:t>储罐大小呼吸</w:t>
                  </w:r>
                  <w:r>
                    <w:rPr>
                      <w:rFonts w:hint="default" w:ascii="Times New Roman" w:hAnsi="Times New Roman" w:cs="Times New Roman"/>
                      <w:color w:val="000000" w:themeColor="text1"/>
                      <w:szCs w:val="21"/>
                      <w:highlight w:val="none"/>
                      <w14:textFill>
                        <w14:solidFill>
                          <w14:schemeClr w14:val="tx1"/>
                        </w14:solidFill>
                      </w14:textFill>
                    </w:rPr>
                    <w:t>废气经管道收集后，进入活性炭吸附装置集中处理后，通过1根15m高排气筒排放。</w:t>
                  </w:r>
                </w:p>
              </w:tc>
              <w:tc>
                <w:tcPr>
                  <w:tcW w:w="1221" w:type="pct"/>
                  <w:vAlign w:val="center"/>
                </w:tcPr>
                <w:p w14:paraId="0F6E3A7B">
                  <w:pPr>
                    <w:jc w:val="center"/>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szCs w:val="21"/>
                      <w:highlight w:val="none"/>
                      <w14:textFill>
                        <w14:solidFill>
                          <w14:schemeClr w14:val="tx1"/>
                        </w14:solidFill>
                      </w14:textFill>
                    </w:rPr>
                    <w:t>新建</w:t>
                  </w:r>
                </w:p>
              </w:tc>
            </w:tr>
            <w:tr w14:paraId="78565AE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698" w:type="pct"/>
                  <w:vMerge w:val="continue"/>
                  <w:vAlign w:val="center"/>
                </w:tcPr>
                <w:p w14:paraId="5F3C80E0">
                  <w:pPr>
                    <w:jc w:val="center"/>
                    <w:rPr>
                      <w:rFonts w:hint="default" w:ascii="Times New Roman" w:hAnsi="Times New Roman" w:cs="Times New Roman"/>
                      <w:color w:val="000000" w:themeColor="text1"/>
                      <w:szCs w:val="21"/>
                      <w:highlight w:val="none"/>
                      <w14:textFill>
                        <w14:solidFill>
                          <w14:schemeClr w14:val="tx1"/>
                        </w14:solidFill>
                      </w14:textFill>
                    </w:rPr>
                  </w:pPr>
                </w:p>
              </w:tc>
              <w:tc>
                <w:tcPr>
                  <w:tcW w:w="843" w:type="pct"/>
                  <w:vAlign w:val="center"/>
                </w:tcPr>
                <w:p w14:paraId="149D8866">
                  <w:pPr>
                    <w:jc w:val="center"/>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szCs w:val="21"/>
                      <w:highlight w:val="none"/>
                      <w14:textFill>
                        <w14:solidFill>
                          <w14:schemeClr w14:val="tx1"/>
                        </w14:solidFill>
                      </w14:textFill>
                    </w:rPr>
                    <w:t>废水</w:t>
                  </w:r>
                </w:p>
              </w:tc>
              <w:tc>
                <w:tcPr>
                  <w:tcW w:w="2237" w:type="pct"/>
                  <w:vAlign w:val="center"/>
                </w:tcPr>
                <w:p w14:paraId="21BCAA14">
                  <w:pP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default" w:ascii="Times New Roman" w:hAnsi="Times New Roman" w:cs="Times New Roman"/>
                      <w:color w:val="000000" w:themeColor="text1"/>
                      <w:szCs w:val="21"/>
                      <w:highlight w:val="none"/>
                      <w14:textFill>
                        <w14:solidFill>
                          <w14:schemeClr w14:val="tx1"/>
                        </w14:solidFill>
                      </w14:textFill>
                    </w:rPr>
                    <w:t>正常工况下无生产废水产生</w:t>
                  </w:r>
                  <w:r>
                    <w:rPr>
                      <w:rFonts w:hint="eastAsia" w:cs="Times New Roman"/>
                      <w:color w:val="000000" w:themeColor="text1"/>
                      <w:szCs w:val="21"/>
                      <w:highlight w:val="none"/>
                      <w:lang w:eastAsia="zh-CN"/>
                      <w14:textFill>
                        <w14:solidFill>
                          <w14:schemeClr w14:val="tx1"/>
                        </w14:solidFill>
                      </w14:textFill>
                    </w:rPr>
                    <w:t>，</w:t>
                  </w:r>
                  <w:r>
                    <w:rPr>
                      <w:rFonts w:hint="eastAsia" w:cs="Times New Roman"/>
                      <w:color w:val="auto"/>
                      <w:szCs w:val="21"/>
                      <w:highlight w:val="none"/>
                      <w:lang w:val="en-US" w:eastAsia="zh-CN"/>
                    </w:rPr>
                    <w:t>生活污水排入租用厂区内现有旱厕</w:t>
                  </w:r>
                </w:p>
              </w:tc>
              <w:tc>
                <w:tcPr>
                  <w:tcW w:w="1221" w:type="pct"/>
                  <w:vAlign w:val="center"/>
                </w:tcPr>
                <w:p w14:paraId="2030A99C">
                  <w:pPr>
                    <w:jc w:val="center"/>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szCs w:val="21"/>
                      <w:highlight w:val="none"/>
                      <w14:textFill>
                        <w14:solidFill>
                          <w14:schemeClr w14:val="tx1"/>
                        </w14:solidFill>
                      </w14:textFill>
                    </w:rPr>
                    <w:t>新建</w:t>
                  </w:r>
                </w:p>
              </w:tc>
            </w:tr>
            <w:tr w14:paraId="5FE2436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698" w:type="pct"/>
                  <w:vMerge w:val="continue"/>
                  <w:vAlign w:val="center"/>
                </w:tcPr>
                <w:p w14:paraId="499D2BA7">
                  <w:pPr>
                    <w:jc w:val="center"/>
                    <w:rPr>
                      <w:rFonts w:hint="default" w:ascii="Times New Roman" w:hAnsi="Times New Roman" w:cs="Times New Roman"/>
                      <w:color w:val="000000" w:themeColor="text1"/>
                      <w:szCs w:val="21"/>
                      <w:highlight w:val="none"/>
                      <w14:textFill>
                        <w14:solidFill>
                          <w14:schemeClr w14:val="tx1"/>
                        </w14:solidFill>
                      </w14:textFill>
                    </w:rPr>
                  </w:pPr>
                </w:p>
              </w:tc>
              <w:tc>
                <w:tcPr>
                  <w:tcW w:w="843" w:type="pct"/>
                  <w:vAlign w:val="center"/>
                </w:tcPr>
                <w:p w14:paraId="6DE53460">
                  <w:pPr>
                    <w:jc w:val="center"/>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szCs w:val="21"/>
                      <w:highlight w:val="none"/>
                      <w14:textFill>
                        <w14:solidFill>
                          <w14:schemeClr w14:val="tx1"/>
                        </w14:solidFill>
                      </w14:textFill>
                    </w:rPr>
                    <w:t>噪声</w:t>
                  </w:r>
                </w:p>
              </w:tc>
              <w:tc>
                <w:tcPr>
                  <w:tcW w:w="2237" w:type="pct"/>
                  <w:vAlign w:val="center"/>
                </w:tcPr>
                <w:p w14:paraId="4742B87D">
                  <w:pPr>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szCs w:val="21"/>
                      <w:highlight w:val="none"/>
                      <w14:textFill>
                        <w14:solidFill>
                          <w14:schemeClr w14:val="tx1"/>
                        </w14:solidFill>
                      </w14:textFill>
                    </w:rPr>
                    <w:t>采用低噪声设备，并进行定期维护和保养</w:t>
                  </w:r>
                </w:p>
              </w:tc>
              <w:tc>
                <w:tcPr>
                  <w:tcW w:w="1221" w:type="pct"/>
                  <w:vAlign w:val="center"/>
                </w:tcPr>
                <w:p w14:paraId="6F410AA5">
                  <w:pPr>
                    <w:jc w:val="center"/>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szCs w:val="21"/>
                      <w:highlight w:val="none"/>
                      <w14:textFill>
                        <w14:solidFill>
                          <w14:schemeClr w14:val="tx1"/>
                        </w14:solidFill>
                      </w14:textFill>
                    </w:rPr>
                    <w:t>新建</w:t>
                  </w:r>
                </w:p>
              </w:tc>
            </w:tr>
            <w:tr w14:paraId="27C2640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98" w:type="pct"/>
                  <w:vMerge w:val="continue"/>
                  <w:vAlign w:val="center"/>
                </w:tcPr>
                <w:p w14:paraId="496158EA">
                  <w:pPr>
                    <w:jc w:val="center"/>
                    <w:rPr>
                      <w:rFonts w:hint="default" w:ascii="Times New Roman" w:hAnsi="Times New Roman" w:cs="Times New Roman"/>
                      <w:color w:val="000000" w:themeColor="text1"/>
                      <w:szCs w:val="21"/>
                      <w:highlight w:val="none"/>
                      <w14:textFill>
                        <w14:solidFill>
                          <w14:schemeClr w14:val="tx1"/>
                        </w14:solidFill>
                      </w14:textFill>
                    </w:rPr>
                  </w:pPr>
                </w:p>
              </w:tc>
              <w:tc>
                <w:tcPr>
                  <w:tcW w:w="843" w:type="pct"/>
                  <w:vAlign w:val="center"/>
                </w:tcPr>
                <w:p w14:paraId="6EBD53AE">
                  <w:pPr>
                    <w:jc w:val="center"/>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szCs w:val="21"/>
                      <w:highlight w:val="none"/>
                      <w14:textFill>
                        <w14:solidFill>
                          <w14:schemeClr w14:val="tx1"/>
                        </w14:solidFill>
                      </w14:textFill>
                    </w:rPr>
                    <w:t>固体废物</w:t>
                  </w:r>
                </w:p>
              </w:tc>
              <w:tc>
                <w:tcPr>
                  <w:tcW w:w="2237" w:type="pct"/>
                  <w:vAlign w:val="center"/>
                </w:tcPr>
                <w:p w14:paraId="0F4A45E4">
                  <w:pP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eastAsia" w:cs="Times New Roman"/>
                      <w:color w:val="000000" w:themeColor="text1"/>
                      <w:szCs w:val="21"/>
                      <w:highlight w:val="none"/>
                      <w:lang w:val="en-US" w:eastAsia="zh-CN"/>
                      <w14:textFill>
                        <w14:solidFill>
                          <w14:schemeClr w14:val="tx1"/>
                        </w14:solidFill>
                      </w14:textFill>
                    </w:rPr>
                    <w:t>清罐油泥、废活性炭在危险废物暂存区内临时储存，</w:t>
                  </w:r>
                  <w:r>
                    <w:rPr>
                      <w:rFonts w:hint="default" w:ascii="Times New Roman" w:hAnsi="Times New Roman" w:cs="Times New Roman"/>
                      <w:color w:val="000000" w:themeColor="text1"/>
                      <w:szCs w:val="21"/>
                      <w:highlight w:val="none"/>
                      <w14:textFill>
                        <w14:solidFill>
                          <w14:schemeClr w14:val="tx1"/>
                        </w14:solidFill>
                      </w14:textFill>
                    </w:rPr>
                    <w:t>定期由有资质单位进行集中处置</w:t>
                  </w:r>
                  <w:r>
                    <w:rPr>
                      <w:rFonts w:hint="eastAsia" w:cs="Times New Roman"/>
                      <w:color w:val="000000" w:themeColor="text1"/>
                      <w:szCs w:val="21"/>
                      <w:highlight w:val="none"/>
                      <w:lang w:eastAsia="zh-CN"/>
                      <w14:textFill>
                        <w14:solidFill>
                          <w14:schemeClr w14:val="tx1"/>
                        </w14:solidFill>
                      </w14:textFill>
                    </w:rPr>
                    <w:t>；</w:t>
                  </w:r>
                  <w:r>
                    <w:rPr>
                      <w:rFonts w:hint="eastAsia" w:cs="Times New Roman"/>
                      <w:color w:val="000000" w:themeColor="text1"/>
                      <w:szCs w:val="21"/>
                      <w:highlight w:val="none"/>
                      <w:lang w:val="en-US" w:eastAsia="zh-CN"/>
                      <w14:textFill>
                        <w14:solidFill>
                          <w14:schemeClr w14:val="tx1"/>
                        </w14:solidFill>
                      </w14:textFill>
                    </w:rPr>
                    <w:t>生活垃圾及含油废抹布由环卫部门定期清运。</w:t>
                  </w:r>
                </w:p>
              </w:tc>
              <w:tc>
                <w:tcPr>
                  <w:tcW w:w="1221" w:type="pct"/>
                  <w:vAlign w:val="center"/>
                </w:tcPr>
                <w:p w14:paraId="3B7363A7">
                  <w:pPr>
                    <w:jc w:val="center"/>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szCs w:val="21"/>
                      <w:highlight w:val="none"/>
                      <w14:textFill>
                        <w14:solidFill>
                          <w14:schemeClr w14:val="tx1"/>
                        </w14:solidFill>
                      </w14:textFill>
                    </w:rPr>
                    <w:t>新建</w:t>
                  </w:r>
                </w:p>
              </w:tc>
            </w:tr>
            <w:tr w14:paraId="4F0FE20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698" w:type="pct"/>
                  <w:vMerge w:val="continue"/>
                  <w:vAlign w:val="center"/>
                </w:tcPr>
                <w:p w14:paraId="5EE3D0E4">
                  <w:pPr>
                    <w:jc w:val="center"/>
                    <w:rPr>
                      <w:rFonts w:hint="default" w:ascii="Times New Roman" w:hAnsi="Times New Roman" w:cs="Times New Roman"/>
                      <w:color w:val="000000" w:themeColor="text1"/>
                      <w:szCs w:val="21"/>
                      <w:highlight w:val="none"/>
                      <w14:textFill>
                        <w14:solidFill>
                          <w14:schemeClr w14:val="tx1"/>
                        </w14:solidFill>
                      </w14:textFill>
                    </w:rPr>
                  </w:pPr>
                </w:p>
              </w:tc>
              <w:tc>
                <w:tcPr>
                  <w:tcW w:w="843" w:type="pct"/>
                  <w:vAlign w:val="center"/>
                </w:tcPr>
                <w:p w14:paraId="4BF8BFCE">
                  <w:pPr>
                    <w:jc w:val="center"/>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szCs w:val="21"/>
                      <w:highlight w:val="none"/>
                      <w14:textFill>
                        <w14:solidFill>
                          <w14:schemeClr w14:val="tx1"/>
                        </w14:solidFill>
                      </w14:textFill>
                    </w:rPr>
                    <w:t>风险防范措施</w:t>
                  </w:r>
                </w:p>
              </w:tc>
              <w:tc>
                <w:tcPr>
                  <w:tcW w:w="2237" w:type="pct"/>
                  <w:vAlign w:val="center"/>
                </w:tcPr>
                <w:p w14:paraId="0D550144">
                  <w:pPr>
                    <w:jc w:val="center"/>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szCs w:val="21"/>
                      <w:highlight w:val="none"/>
                      <w14:textFill>
                        <w14:solidFill>
                          <w14:schemeClr w14:val="tx1"/>
                        </w14:solidFill>
                      </w14:textFill>
                    </w:rPr>
                    <w:t>采用消防灭火系统及火灾报警系统进行灭火，危废暂存间按要求配套建设泄漏液体收集装置和应急防护措施，</w:t>
                  </w:r>
                  <w:r>
                    <w:rPr>
                      <w:rFonts w:hint="default" w:ascii="Times New Roman" w:hAnsi="Times New Roman" w:cs="Times New Roman"/>
                      <w:color w:val="auto"/>
                      <w:szCs w:val="21"/>
                      <w:highlight w:val="none"/>
                    </w:rPr>
                    <w:t>事故水排入新建事故池（</w:t>
                  </w:r>
                  <w:r>
                    <w:rPr>
                      <w:rFonts w:hint="eastAsia" w:cs="Times New Roman"/>
                      <w:color w:val="auto"/>
                      <w:szCs w:val="21"/>
                      <w:highlight w:val="none"/>
                      <w:lang w:val="en-US" w:eastAsia="zh-CN"/>
                    </w:rPr>
                    <w:t>38.5</w:t>
                  </w:r>
                  <w:r>
                    <w:rPr>
                      <w:rFonts w:hint="default" w:ascii="Times New Roman" w:hAnsi="Times New Roman" w:cs="Times New Roman"/>
                      <w:color w:val="auto"/>
                      <w:szCs w:val="21"/>
                      <w:highlight w:val="none"/>
                    </w:rPr>
                    <w:t>m</w:t>
                  </w:r>
                  <w:r>
                    <w:rPr>
                      <w:rFonts w:hint="default" w:ascii="Times New Roman" w:hAnsi="Times New Roman" w:cs="Times New Roman"/>
                      <w:color w:val="auto"/>
                      <w:szCs w:val="21"/>
                      <w:highlight w:val="none"/>
                      <w:vertAlign w:val="superscript"/>
                    </w:rPr>
                    <w:t>3</w:t>
                  </w:r>
                  <w:r>
                    <w:rPr>
                      <w:rFonts w:hint="default" w:ascii="Times New Roman" w:hAnsi="Times New Roman" w:cs="Times New Roman"/>
                      <w:color w:val="auto"/>
                      <w:szCs w:val="21"/>
                      <w:highlight w:val="none"/>
                    </w:rPr>
                    <w:t>）</w:t>
                  </w:r>
                </w:p>
              </w:tc>
              <w:tc>
                <w:tcPr>
                  <w:tcW w:w="1221" w:type="pct"/>
                  <w:vAlign w:val="center"/>
                </w:tcPr>
                <w:p w14:paraId="1F1DA7DE">
                  <w:pPr>
                    <w:jc w:val="center"/>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szCs w:val="21"/>
                      <w:highlight w:val="none"/>
                      <w14:textFill>
                        <w14:solidFill>
                          <w14:schemeClr w14:val="tx1"/>
                        </w14:solidFill>
                      </w14:textFill>
                    </w:rPr>
                    <w:t>新建</w:t>
                  </w:r>
                </w:p>
              </w:tc>
            </w:tr>
            <w:tr w14:paraId="633B452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698" w:type="pct"/>
                  <w:vMerge w:val="continue"/>
                  <w:vAlign w:val="center"/>
                </w:tcPr>
                <w:p w14:paraId="1A885676">
                  <w:pPr>
                    <w:jc w:val="center"/>
                    <w:rPr>
                      <w:rFonts w:hint="default" w:ascii="Times New Roman" w:hAnsi="Times New Roman" w:cs="Times New Roman"/>
                      <w:color w:val="000000" w:themeColor="text1"/>
                      <w:szCs w:val="21"/>
                      <w:highlight w:val="none"/>
                      <w14:textFill>
                        <w14:solidFill>
                          <w14:schemeClr w14:val="tx1"/>
                        </w14:solidFill>
                      </w14:textFill>
                    </w:rPr>
                  </w:pPr>
                </w:p>
              </w:tc>
              <w:tc>
                <w:tcPr>
                  <w:tcW w:w="843" w:type="pct"/>
                  <w:vAlign w:val="center"/>
                </w:tcPr>
                <w:p w14:paraId="461A1752">
                  <w:pPr>
                    <w:jc w:val="center"/>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szCs w:val="21"/>
                      <w:highlight w:val="none"/>
                      <w14:textFill>
                        <w14:solidFill>
                          <w14:schemeClr w14:val="tx1"/>
                        </w14:solidFill>
                      </w14:textFill>
                    </w:rPr>
                    <w:t>地下水污染防范措施</w:t>
                  </w:r>
                </w:p>
              </w:tc>
              <w:tc>
                <w:tcPr>
                  <w:tcW w:w="2237" w:type="pct"/>
                  <w:vAlign w:val="center"/>
                </w:tcPr>
                <w:p w14:paraId="3DAECAB9">
                  <w:pPr>
                    <w:jc w:val="center"/>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szCs w:val="21"/>
                      <w:highlight w:val="none"/>
                      <w14:textFill>
                        <w14:solidFill>
                          <w14:schemeClr w14:val="tx1"/>
                        </w14:solidFill>
                      </w14:textFill>
                    </w:rPr>
                    <w:t>危险间进行地面防渗，防渗层至少1m后粘土层（渗透系数≤10</w:t>
                  </w:r>
                  <w:r>
                    <w:rPr>
                      <w:rFonts w:hint="default" w:ascii="Times New Roman" w:hAnsi="Times New Roman" w:cs="Times New Roman"/>
                      <w:color w:val="000000" w:themeColor="text1"/>
                      <w:szCs w:val="21"/>
                      <w:highlight w:val="none"/>
                      <w:vertAlign w:val="superscript"/>
                      <w14:textFill>
                        <w14:solidFill>
                          <w14:schemeClr w14:val="tx1"/>
                        </w14:solidFill>
                      </w14:textFill>
                    </w:rPr>
                    <w:t>-7</w:t>
                  </w:r>
                  <w:r>
                    <w:rPr>
                      <w:rFonts w:hint="default" w:ascii="Times New Roman" w:hAnsi="Times New Roman" w:cs="Times New Roman"/>
                      <w:color w:val="000000" w:themeColor="text1"/>
                      <w:szCs w:val="21"/>
                      <w:highlight w:val="none"/>
                      <w14:textFill>
                        <w14:solidFill>
                          <w14:schemeClr w14:val="tx1"/>
                        </w14:solidFill>
                      </w14:textFill>
                    </w:rPr>
                    <w:t>cm/s），或2mm厚高密度聚乙烯，或至少2mm厚的其他人工材料，渗透系数渗透系数≤1×10</w:t>
                  </w:r>
                  <w:r>
                    <w:rPr>
                      <w:rFonts w:hint="default" w:ascii="Times New Roman" w:hAnsi="Times New Roman" w:cs="Times New Roman"/>
                      <w:color w:val="000000" w:themeColor="text1"/>
                      <w:szCs w:val="21"/>
                      <w:highlight w:val="none"/>
                      <w:vertAlign w:val="superscript"/>
                      <w14:textFill>
                        <w14:solidFill>
                          <w14:schemeClr w14:val="tx1"/>
                        </w14:solidFill>
                      </w14:textFill>
                    </w:rPr>
                    <w:t>-10</w:t>
                  </w:r>
                  <w:r>
                    <w:rPr>
                      <w:rFonts w:hint="default" w:ascii="Times New Roman" w:hAnsi="Times New Roman" w:cs="Times New Roman"/>
                      <w:color w:val="000000" w:themeColor="text1"/>
                      <w:szCs w:val="21"/>
                      <w:highlight w:val="none"/>
                      <w14:textFill>
                        <w14:solidFill>
                          <w14:schemeClr w14:val="tx1"/>
                        </w14:solidFill>
                      </w14:textFill>
                    </w:rPr>
                    <w:t>cm/s，</w:t>
                  </w:r>
                </w:p>
                <w:p w14:paraId="6CEF24DB">
                  <w:pPr>
                    <w:jc w:val="center"/>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szCs w:val="21"/>
                      <w:highlight w:val="none"/>
                      <w14:textFill>
                        <w14:solidFill>
                          <w14:schemeClr w14:val="tx1"/>
                        </w14:solidFill>
                      </w14:textFill>
                    </w:rPr>
                    <w:t>事故池及</w:t>
                  </w:r>
                  <w:r>
                    <w:rPr>
                      <w:rFonts w:hint="eastAsia" w:cs="Times New Roman"/>
                      <w:color w:val="000000" w:themeColor="text1"/>
                      <w:szCs w:val="21"/>
                      <w:highlight w:val="none"/>
                      <w:lang w:eastAsia="zh-CN"/>
                      <w14:textFill>
                        <w14:solidFill>
                          <w14:schemeClr w14:val="tx1"/>
                        </w14:solidFill>
                      </w14:textFill>
                    </w:rPr>
                    <w:t>集液池</w:t>
                  </w:r>
                  <w:r>
                    <w:rPr>
                      <w:rFonts w:hint="default" w:ascii="Times New Roman" w:hAnsi="Times New Roman" w:cs="Times New Roman"/>
                      <w:color w:val="000000" w:themeColor="text1"/>
                      <w:szCs w:val="21"/>
                      <w:highlight w:val="none"/>
                      <w14:textFill>
                        <w14:solidFill>
                          <w14:schemeClr w14:val="tx1"/>
                        </w14:solidFill>
                      </w14:textFill>
                    </w:rPr>
                    <w:t>进行防渗，渗透系数小于1×10</w:t>
                  </w:r>
                  <w:r>
                    <w:rPr>
                      <w:rFonts w:hint="default" w:ascii="Times New Roman" w:hAnsi="Times New Roman" w:cs="Times New Roman"/>
                      <w:color w:val="000000" w:themeColor="text1"/>
                      <w:szCs w:val="21"/>
                      <w:highlight w:val="none"/>
                      <w:vertAlign w:val="superscript"/>
                      <w14:textFill>
                        <w14:solidFill>
                          <w14:schemeClr w14:val="tx1"/>
                        </w14:solidFill>
                      </w14:textFill>
                    </w:rPr>
                    <w:t>-7</w:t>
                  </w:r>
                  <w:r>
                    <w:rPr>
                      <w:rFonts w:hint="default" w:ascii="Times New Roman" w:hAnsi="Times New Roman" w:cs="Times New Roman"/>
                      <w:color w:val="000000" w:themeColor="text1"/>
                      <w:szCs w:val="21"/>
                      <w:highlight w:val="none"/>
                      <w14:textFill>
                        <w14:solidFill>
                          <w14:schemeClr w14:val="tx1"/>
                        </w14:solidFill>
                      </w14:textFill>
                    </w:rPr>
                    <w:t>cm/s</w:t>
                  </w:r>
                </w:p>
              </w:tc>
              <w:tc>
                <w:tcPr>
                  <w:tcW w:w="1221" w:type="pct"/>
                  <w:vAlign w:val="center"/>
                </w:tcPr>
                <w:p w14:paraId="58D8E448">
                  <w:pPr>
                    <w:jc w:val="center"/>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szCs w:val="21"/>
                      <w:highlight w:val="none"/>
                      <w14:textFill>
                        <w14:solidFill>
                          <w14:schemeClr w14:val="tx1"/>
                        </w14:solidFill>
                      </w14:textFill>
                    </w:rPr>
                    <w:t>新建</w:t>
                  </w:r>
                </w:p>
              </w:tc>
            </w:tr>
          </w:tbl>
          <w:p w14:paraId="72DB26E6">
            <w:pPr>
              <w:pStyle w:val="69"/>
              <w:numPr>
                <w:ilvl w:val="0"/>
                <w:numId w:val="4"/>
              </w:numPr>
              <w:spacing w:line="360" w:lineRule="auto"/>
              <w:jc w:val="both"/>
              <w:rPr>
                <w:rFonts w:hint="default" w:ascii="Times New Roman" w:hAnsi="Times New Roman" w:cs="Times New Roman"/>
                <w:b/>
                <w:bCs/>
                <w:color w:val="auto"/>
                <w:sz w:val="24"/>
                <w:szCs w:val="52"/>
                <w:highlight w:val="none"/>
              </w:rPr>
            </w:pPr>
            <w:r>
              <w:rPr>
                <w:rFonts w:hint="default" w:ascii="Times New Roman" w:hAnsi="Times New Roman" w:cs="Times New Roman"/>
                <w:b/>
                <w:bCs/>
                <w:color w:val="auto"/>
                <w:sz w:val="24"/>
                <w:szCs w:val="52"/>
                <w:highlight w:val="none"/>
              </w:rPr>
              <w:t>原辅材料及能源消耗情况</w:t>
            </w:r>
          </w:p>
          <w:p w14:paraId="1E1C3CDF">
            <w:pPr>
              <w:pStyle w:val="69"/>
              <w:rPr>
                <w:rFonts w:hint="default" w:ascii="Times New Roman" w:hAnsi="Times New Roman" w:cs="Times New Roman"/>
                <w:b/>
                <w:bCs/>
                <w:color w:val="000000" w:themeColor="text1"/>
                <w:highlight w:val="none"/>
                <w14:textFill>
                  <w14:solidFill>
                    <w14:schemeClr w14:val="tx1"/>
                  </w14:solidFill>
                </w14:textFill>
              </w:rPr>
            </w:pPr>
            <w:r>
              <w:rPr>
                <w:rFonts w:hint="default" w:ascii="Times New Roman" w:hAnsi="Times New Roman" w:cs="Times New Roman"/>
                <w:b/>
                <w:bCs/>
                <w:color w:val="000000" w:themeColor="text1"/>
                <w:highlight w:val="none"/>
                <w14:textFill>
                  <w14:solidFill>
                    <w14:schemeClr w14:val="tx1"/>
                  </w14:solidFill>
                </w14:textFill>
              </w:rPr>
              <w:t>表2-2 原辅材料及能源消耗情况一览表</w:t>
            </w:r>
          </w:p>
          <w:tbl>
            <w:tblPr>
              <w:tblStyle w:val="28"/>
              <w:tblW w:w="7945" w:type="dxa"/>
              <w:tblInd w:w="5" w:type="dxa"/>
              <w:tblBorders>
                <w:top w:val="double" w:color="auto" w:sz="4" w:space="0"/>
                <w:left w:val="none" w:color="auto" w:sz="0" w:space="0"/>
                <w:bottom w:val="doub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860"/>
              <w:gridCol w:w="1296"/>
              <w:gridCol w:w="1176"/>
              <w:gridCol w:w="972"/>
              <w:gridCol w:w="1212"/>
              <w:gridCol w:w="2429"/>
            </w:tblGrid>
            <w:tr w14:paraId="79D4C24B">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860" w:type="dxa"/>
                  <w:tcBorders>
                    <w:tl2br w:val="nil"/>
                    <w:tr2bl w:val="nil"/>
                  </w:tcBorders>
                  <w:vAlign w:val="center"/>
                </w:tcPr>
                <w:p w14:paraId="67C50855">
                  <w:pPr>
                    <w:pStyle w:val="69"/>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序号</w:t>
                  </w:r>
                </w:p>
              </w:tc>
              <w:tc>
                <w:tcPr>
                  <w:tcW w:w="1296" w:type="dxa"/>
                  <w:tcBorders>
                    <w:tl2br w:val="nil"/>
                    <w:tr2bl w:val="nil"/>
                  </w:tcBorders>
                  <w:vAlign w:val="center"/>
                </w:tcPr>
                <w:p w14:paraId="69B917CE">
                  <w:pPr>
                    <w:pStyle w:val="69"/>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名称</w:t>
                  </w:r>
                </w:p>
              </w:tc>
              <w:tc>
                <w:tcPr>
                  <w:tcW w:w="1176" w:type="dxa"/>
                  <w:tcBorders>
                    <w:tl2br w:val="nil"/>
                    <w:tr2bl w:val="nil"/>
                  </w:tcBorders>
                  <w:vAlign w:val="center"/>
                </w:tcPr>
                <w:p w14:paraId="714CA741">
                  <w:pPr>
                    <w:pStyle w:val="69"/>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单位</w:t>
                  </w:r>
                </w:p>
              </w:tc>
              <w:tc>
                <w:tcPr>
                  <w:tcW w:w="972" w:type="dxa"/>
                  <w:tcBorders>
                    <w:tl2br w:val="nil"/>
                    <w:tr2bl w:val="nil"/>
                  </w:tcBorders>
                  <w:vAlign w:val="center"/>
                </w:tcPr>
                <w:p w14:paraId="44A8C014">
                  <w:pPr>
                    <w:pStyle w:val="69"/>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数量</w:t>
                  </w:r>
                </w:p>
              </w:tc>
              <w:tc>
                <w:tcPr>
                  <w:tcW w:w="1212" w:type="dxa"/>
                  <w:tcBorders>
                    <w:tl2br w:val="nil"/>
                    <w:tr2bl w:val="nil"/>
                  </w:tcBorders>
                  <w:vAlign w:val="center"/>
                </w:tcPr>
                <w:p w14:paraId="02E6FA8D">
                  <w:pPr>
                    <w:pStyle w:val="69"/>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物理性状</w:t>
                  </w:r>
                </w:p>
              </w:tc>
              <w:tc>
                <w:tcPr>
                  <w:tcW w:w="2429" w:type="dxa"/>
                  <w:tcBorders>
                    <w:tl2br w:val="nil"/>
                    <w:tr2bl w:val="nil"/>
                  </w:tcBorders>
                  <w:vAlign w:val="center"/>
                </w:tcPr>
                <w:p w14:paraId="6C251519">
                  <w:pPr>
                    <w:pStyle w:val="69"/>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来源</w:t>
                  </w:r>
                </w:p>
              </w:tc>
            </w:tr>
            <w:tr w14:paraId="1015776B">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860" w:type="dxa"/>
                  <w:tcBorders>
                    <w:tl2br w:val="nil"/>
                    <w:tr2bl w:val="nil"/>
                  </w:tcBorders>
                  <w:vAlign w:val="center"/>
                </w:tcPr>
                <w:p w14:paraId="76BD4725">
                  <w:pPr>
                    <w:pStyle w:val="69"/>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1</w:t>
                  </w:r>
                </w:p>
              </w:tc>
              <w:tc>
                <w:tcPr>
                  <w:tcW w:w="1296" w:type="dxa"/>
                  <w:tcBorders>
                    <w:tl2br w:val="nil"/>
                    <w:tr2bl w:val="nil"/>
                  </w:tcBorders>
                  <w:vAlign w:val="center"/>
                </w:tcPr>
                <w:p w14:paraId="05310D4A">
                  <w:pPr>
                    <w:pStyle w:val="69"/>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活性炭</w:t>
                  </w:r>
                </w:p>
              </w:tc>
              <w:tc>
                <w:tcPr>
                  <w:tcW w:w="1176" w:type="dxa"/>
                  <w:tcBorders>
                    <w:tl2br w:val="nil"/>
                    <w:tr2bl w:val="nil"/>
                  </w:tcBorders>
                  <w:vAlign w:val="center"/>
                </w:tcPr>
                <w:p w14:paraId="1820665F">
                  <w:pPr>
                    <w:pStyle w:val="69"/>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t/a</w:t>
                  </w:r>
                </w:p>
              </w:tc>
              <w:tc>
                <w:tcPr>
                  <w:tcW w:w="972" w:type="dxa"/>
                  <w:tcBorders>
                    <w:tl2br w:val="nil"/>
                    <w:tr2bl w:val="nil"/>
                  </w:tcBorders>
                  <w:vAlign w:val="center"/>
                </w:tcPr>
                <w:p w14:paraId="5D417EAA">
                  <w:pPr>
                    <w:pStyle w:val="69"/>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eastAsia" w:cs="Times New Roman"/>
                      <w:color w:val="auto"/>
                      <w:highlight w:val="none"/>
                      <w:lang w:val="en-US" w:eastAsia="zh-CN"/>
                    </w:rPr>
                    <w:t>0.328</w:t>
                  </w:r>
                </w:p>
              </w:tc>
              <w:tc>
                <w:tcPr>
                  <w:tcW w:w="1212" w:type="dxa"/>
                  <w:tcBorders>
                    <w:tl2br w:val="nil"/>
                    <w:tr2bl w:val="nil"/>
                  </w:tcBorders>
                  <w:vAlign w:val="center"/>
                </w:tcPr>
                <w:p w14:paraId="15C06DD4">
                  <w:pPr>
                    <w:pStyle w:val="69"/>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固态</w:t>
                  </w:r>
                </w:p>
              </w:tc>
              <w:tc>
                <w:tcPr>
                  <w:tcW w:w="2429" w:type="dxa"/>
                  <w:tcBorders>
                    <w:tl2br w:val="nil"/>
                    <w:tr2bl w:val="nil"/>
                  </w:tcBorders>
                  <w:vAlign w:val="center"/>
                </w:tcPr>
                <w:p w14:paraId="464BC1EA">
                  <w:pPr>
                    <w:pStyle w:val="69"/>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外购</w:t>
                  </w:r>
                </w:p>
              </w:tc>
            </w:tr>
            <w:tr w14:paraId="322F19C3">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860" w:type="dxa"/>
                  <w:tcBorders>
                    <w:tl2br w:val="nil"/>
                    <w:tr2bl w:val="nil"/>
                  </w:tcBorders>
                  <w:vAlign w:val="center"/>
                </w:tcPr>
                <w:p w14:paraId="0BB10933">
                  <w:pPr>
                    <w:pStyle w:val="69"/>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2</w:t>
                  </w:r>
                </w:p>
              </w:tc>
              <w:tc>
                <w:tcPr>
                  <w:tcW w:w="1296" w:type="dxa"/>
                  <w:tcBorders>
                    <w:tl2br w:val="nil"/>
                    <w:tr2bl w:val="nil"/>
                  </w:tcBorders>
                  <w:vAlign w:val="center"/>
                </w:tcPr>
                <w:p w14:paraId="7CB99FD4">
                  <w:pPr>
                    <w:pStyle w:val="69"/>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电</w:t>
                  </w:r>
                </w:p>
              </w:tc>
              <w:tc>
                <w:tcPr>
                  <w:tcW w:w="1176" w:type="dxa"/>
                  <w:tcBorders>
                    <w:tl2br w:val="nil"/>
                    <w:tr2bl w:val="nil"/>
                  </w:tcBorders>
                  <w:vAlign w:val="center"/>
                </w:tcPr>
                <w:p w14:paraId="0D00505C">
                  <w:pPr>
                    <w:pStyle w:val="69"/>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kWh/a</w:t>
                  </w:r>
                </w:p>
              </w:tc>
              <w:tc>
                <w:tcPr>
                  <w:tcW w:w="972" w:type="dxa"/>
                  <w:tcBorders>
                    <w:tl2br w:val="nil"/>
                    <w:tr2bl w:val="nil"/>
                  </w:tcBorders>
                  <w:vAlign w:val="center"/>
                </w:tcPr>
                <w:p w14:paraId="2E066FAD">
                  <w:pPr>
                    <w:pStyle w:val="69"/>
                    <w:rPr>
                      <w:rFonts w:hint="default" w:ascii="Times New Roman" w:hAnsi="Times New Roman" w:cs="Times New Roman"/>
                      <w:color w:val="000000" w:themeColor="text1"/>
                      <w:highlight w:val="none"/>
                      <w14:textFill>
                        <w14:solidFill>
                          <w14:schemeClr w14:val="tx1"/>
                        </w14:solidFill>
                      </w14:textFill>
                    </w:rPr>
                  </w:pPr>
                  <w:r>
                    <w:rPr>
                      <w:rFonts w:hint="eastAsia" w:cs="Times New Roman"/>
                      <w:color w:val="000000" w:themeColor="text1"/>
                      <w:highlight w:val="none"/>
                      <w:lang w:val="en-US" w:eastAsia="zh-CN"/>
                      <w14:textFill>
                        <w14:solidFill>
                          <w14:schemeClr w14:val="tx1"/>
                        </w14:solidFill>
                      </w14:textFill>
                    </w:rPr>
                    <w:t>10</w:t>
                  </w:r>
                  <w:r>
                    <w:rPr>
                      <w:rFonts w:hint="default" w:ascii="Times New Roman" w:hAnsi="Times New Roman" w:cs="Times New Roman"/>
                      <w:color w:val="000000" w:themeColor="text1"/>
                      <w:highlight w:val="none"/>
                      <w14:textFill>
                        <w14:solidFill>
                          <w14:schemeClr w14:val="tx1"/>
                        </w14:solidFill>
                      </w14:textFill>
                    </w:rPr>
                    <w:t>00</w:t>
                  </w:r>
                </w:p>
              </w:tc>
              <w:tc>
                <w:tcPr>
                  <w:tcW w:w="1212" w:type="dxa"/>
                  <w:tcBorders>
                    <w:tl2br w:val="nil"/>
                    <w:tr2bl w:val="nil"/>
                  </w:tcBorders>
                  <w:vAlign w:val="center"/>
                </w:tcPr>
                <w:p w14:paraId="2763859D">
                  <w:pPr>
                    <w:pStyle w:val="69"/>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w:t>
                  </w:r>
                </w:p>
              </w:tc>
              <w:tc>
                <w:tcPr>
                  <w:tcW w:w="2429" w:type="dxa"/>
                  <w:tcBorders>
                    <w:tl2br w:val="nil"/>
                    <w:tr2bl w:val="nil"/>
                  </w:tcBorders>
                  <w:vAlign w:val="center"/>
                </w:tcPr>
                <w:p w14:paraId="477D2E20">
                  <w:pPr>
                    <w:pStyle w:val="69"/>
                    <w:rPr>
                      <w:rFonts w:hint="eastAsia" w:ascii="Times New Roman" w:hAnsi="Times New Roman" w:eastAsia="宋体" w:cs="Times New Roman"/>
                      <w:color w:val="000000" w:themeColor="text1"/>
                      <w:highlight w:val="none"/>
                      <w:lang w:eastAsia="zh-CN"/>
                      <w14:textFill>
                        <w14:solidFill>
                          <w14:schemeClr w14:val="tx1"/>
                        </w14:solidFill>
                      </w14:textFill>
                    </w:rPr>
                  </w:pPr>
                  <w:r>
                    <w:rPr>
                      <w:rFonts w:hint="eastAsia" w:cs="Times New Roman"/>
                      <w:color w:val="000000" w:themeColor="text1"/>
                      <w:highlight w:val="none"/>
                      <w:lang w:val="en-US" w:eastAsia="zh-CN"/>
                      <w14:textFill>
                        <w14:solidFill>
                          <w14:schemeClr w14:val="tx1"/>
                        </w14:solidFill>
                      </w14:textFill>
                    </w:rPr>
                    <w:t>市政</w:t>
                  </w:r>
                </w:p>
              </w:tc>
            </w:tr>
          </w:tbl>
          <w:p w14:paraId="71249464">
            <w:pPr>
              <w:numPr>
                <w:ilvl w:val="0"/>
                <w:numId w:val="5"/>
              </w:numPr>
              <w:snapToGrid w:val="0"/>
              <w:spacing w:line="360" w:lineRule="auto"/>
              <w:jc w:val="left"/>
              <w:outlineLvl w:val="1"/>
              <w:rPr>
                <w:rFonts w:hint="default" w:ascii="Times New Roman" w:hAnsi="Times New Roman" w:cs="Times New Roman"/>
                <w:b/>
                <w:bCs/>
                <w:color w:val="000000" w:themeColor="text1"/>
                <w:sz w:val="24"/>
                <w:szCs w:val="32"/>
                <w:highlight w:val="none"/>
                <w14:textFill>
                  <w14:solidFill>
                    <w14:schemeClr w14:val="tx1"/>
                  </w14:solidFill>
                </w14:textFill>
              </w:rPr>
            </w:pPr>
            <w:r>
              <w:rPr>
                <w:rFonts w:hint="default" w:ascii="Times New Roman" w:hAnsi="Times New Roman" w:cs="Times New Roman"/>
                <w:b/>
                <w:bCs/>
                <w:color w:val="000000" w:themeColor="text1"/>
                <w:sz w:val="24"/>
                <w:szCs w:val="32"/>
                <w:highlight w:val="none"/>
                <w14:textFill>
                  <w14:solidFill>
                    <w14:schemeClr w14:val="tx1"/>
                  </w14:solidFill>
                </w14:textFill>
              </w:rPr>
              <w:t>危险废物收集贮存方案</w:t>
            </w:r>
          </w:p>
          <w:p w14:paraId="2E8883E1">
            <w:pPr>
              <w:numPr>
                <w:ilvl w:val="0"/>
                <w:numId w:val="6"/>
              </w:numPr>
              <w:snapToGrid w:val="0"/>
              <w:spacing w:line="360" w:lineRule="auto"/>
              <w:ind w:left="630" w:leftChars="0" w:firstLineChars="0"/>
              <w:jc w:val="left"/>
              <w:outlineLvl w:val="1"/>
              <w:rPr>
                <w:rFonts w:hint="default" w:ascii="Times New Roman" w:hAnsi="Times New Roman" w:cs="Times New Roman"/>
                <w:color w:val="000000" w:themeColor="text1"/>
                <w:sz w:val="24"/>
                <w:szCs w:val="32"/>
                <w:highlight w:val="none"/>
                <w14:textFill>
                  <w14:solidFill>
                    <w14:schemeClr w14:val="tx1"/>
                  </w14:solidFill>
                </w14:textFill>
              </w:rPr>
            </w:pPr>
            <w:r>
              <w:rPr>
                <w:rFonts w:hint="default" w:ascii="Times New Roman" w:hAnsi="Times New Roman" w:cs="Times New Roman"/>
                <w:color w:val="000000" w:themeColor="text1"/>
                <w:sz w:val="24"/>
                <w:szCs w:val="32"/>
                <w:highlight w:val="none"/>
                <w14:textFill>
                  <w14:solidFill>
                    <w14:schemeClr w14:val="tx1"/>
                  </w14:solidFill>
                </w14:textFill>
              </w:rPr>
              <w:t>危险废物收集范围</w:t>
            </w:r>
          </w:p>
          <w:p w14:paraId="7AA23C0C">
            <w:pPr>
              <w:snapToGrid w:val="0"/>
              <w:spacing w:line="360" w:lineRule="auto"/>
              <w:ind w:firstLine="480" w:firstLineChars="200"/>
              <w:jc w:val="left"/>
              <w:outlineLvl w:val="1"/>
              <w:rPr>
                <w:rFonts w:hint="eastAsia" w:cs="Times New Roman"/>
                <w:color w:val="000000" w:themeColor="text1"/>
                <w:sz w:val="24"/>
                <w:szCs w:val="32"/>
                <w:highlight w:val="none"/>
                <w:lang w:val="en-US" w:eastAsia="zh-CN"/>
                <w14:textFill>
                  <w14:solidFill>
                    <w14:schemeClr w14:val="tx1"/>
                  </w14:solidFill>
                </w14:textFill>
              </w:rPr>
            </w:pPr>
            <w:r>
              <w:rPr>
                <w:rFonts w:hint="default" w:ascii="Times New Roman" w:hAnsi="Times New Roman" w:cs="Times New Roman"/>
                <w:color w:val="000000" w:themeColor="text1"/>
                <w:sz w:val="24"/>
                <w:szCs w:val="32"/>
                <w:highlight w:val="none"/>
                <w:lang w:val="en-US" w:eastAsia="zh-CN"/>
                <w14:textFill>
                  <w14:solidFill>
                    <w14:schemeClr w14:val="tx1"/>
                  </w14:solidFill>
                </w14:textFill>
              </w:rPr>
              <w:t>本项目转运的危险废物主要是HW08废矿物油。本项目建成后，HW08废矿物油（900-199-08、900-200-08、900-214-08、900-217-08、900-218-08）年转运量为</w:t>
            </w:r>
            <w:r>
              <w:rPr>
                <w:rFonts w:hint="eastAsia" w:cs="Times New Roman"/>
                <w:color w:val="000000" w:themeColor="text1"/>
                <w:sz w:val="24"/>
                <w:szCs w:val="32"/>
                <w:highlight w:val="none"/>
                <w:lang w:val="en-US" w:eastAsia="zh-CN"/>
                <w14:textFill>
                  <w14:solidFill>
                    <w14:schemeClr w14:val="tx1"/>
                  </w14:solidFill>
                </w14:textFill>
              </w:rPr>
              <w:t>1000</w:t>
            </w:r>
            <w:r>
              <w:rPr>
                <w:rFonts w:hint="default" w:ascii="Times New Roman" w:hAnsi="Times New Roman" w:cs="Times New Roman"/>
                <w:color w:val="000000" w:themeColor="text1"/>
                <w:sz w:val="24"/>
                <w:szCs w:val="32"/>
                <w:highlight w:val="none"/>
                <w:lang w:val="en-US" w:eastAsia="zh-CN"/>
                <w14:textFill>
                  <w14:solidFill>
                    <w14:schemeClr w14:val="tx1"/>
                  </w14:solidFill>
                </w14:textFill>
              </w:rPr>
              <w:t>t，废矿物油储存区内设置</w:t>
            </w:r>
            <w:r>
              <w:rPr>
                <w:rFonts w:hint="eastAsia" w:cs="Times New Roman"/>
                <w:color w:val="000000" w:themeColor="text1"/>
                <w:sz w:val="24"/>
                <w:szCs w:val="32"/>
                <w:highlight w:val="none"/>
                <w:lang w:val="en-US" w:eastAsia="zh-CN"/>
                <w14:textFill>
                  <w14:solidFill>
                    <w14:schemeClr w14:val="tx1"/>
                  </w14:solidFill>
                </w14:textFill>
              </w:rPr>
              <w:t>2</w:t>
            </w:r>
            <w:r>
              <w:rPr>
                <w:rFonts w:hint="default" w:ascii="Times New Roman" w:hAnsi="Times New Roman" w:cs="Times New Roman"/>
                <w:color w:val="000000" w:themeColor="text1"/>
                <w:sz w:val="24"/>
                <w:szCs w:val="32"/>
                <w:highlight w:val="none"/>
                <w:lang w:val="en-US" w:eastAsia="zh-CN"/>
                <w14:textFill>
                  <w14:solidFill>
                    <w14:schemeClr w14:val="tx1"/>
                  </w14:solidFill>
                </w14:textFill>
              </w:rPr>
              <w:t>个</w:t>
            </w:r>
            <w:r>
              <w:rPr>
                <w:rFonts w:hint="eastAsia" w:cs="Times New Roman"/>
                <w:color w:val="000000" w:themeColor="text1"/>
                <w:sz w:val="24"/>
                <w:szCs w:val="32"/>
                <w:highlight w:val="none"/>
                <w:lang w:val="en-US" w:eastAsia="zh-CN"/>
                <w14:textFill>
                  <w14:solidFill>
                    <w14:schemeClr w14:val="tx1"/>
                  </w14:solidFill>
                </w14:textFill>
              </w:rPr>
              <w:t>6</w:t>
            </w:r>
            <w:r>
              <w:rPr>
                <w:rFonts w:hint="default" w:ascii="Times New Roman" w:hAnsi="Times New Roman" w:cs="Times New Roman"/>
                <w:color w:val="000000" w:themeColor="text1"/>
                <w:sz w:val="24"/>
                <w:szCs w:val="32"/>
                <w:highlight w:val="none"/>
                <w:lang w:val="en-US" w:eastAsia="zh-CN"/>
                <w14:textFill>
                  <w14:solidFill>
                    <w14:schemeClr w14:val="tx1"/>
                  </w14:solidFill>
                </w14:textFill>
              </w:rPr>
              <w:t>0m</w:t>
            </w:r>
            <w:r>
              <w:rPr>
                <w:rFonts w:hint="default" w:ascii="Times New Roman" w:hAnsi="Times New Roman" w:cs="Times New Roman"/>
                <w:color w:val="000000" w:themeColor="text1"/>
                <w:sz w:val="24"/>
                <w:szCs w:val="32"/>
                <w:highlight w:val="none"/>
                <w:vertAlign w:val="superscript"/>
                <w:lang w:val="en-US" w:eastAsia="zh-CN"/>
                <w14:textFill>
                  <w14:solidFill>
                    <w14:schemeClr w14:val="tx1"/>
                  </w14:solidFill>
                </w14:textFill>
              </w:rPr>
              <w:t>3</w:t>
            </w:r>
            <w:r>
              <w:rPr>
                <w:rFonts w:hint="default" w:ascii="Times New Roman" w:hAnsi="Times New Roman" w:cs="Times New Roman"/>
                <w:color w:val="000000" w:themeColor="text1"/>
                <w:sz w:val="24"/>
                <w:szCs w:val="32"/>
                <w:highlight w:val="none"/>
                <w:lang w:val="en-US" w:eastAsia="zh-CN"/>
                <w14:textFill>
                  <w14:solidFill>
                    <w14:schemeClr w14:val="tx1"/>
                  </w14:solidFill>
                </w14:textFill>
              </w:rPr>
              <w:t>的卧式油罐，</w:t>
            </w:r>
            <w:r>
              <w:rPr>
                <w:rFonts w:hint="eastAsia" w:cs="Times New Roman"/>
                <w:color w:val="000000" w:themeColor="text1"/>
                <w:sz w:val="24"/>
                <w:szCs w:val="32"/>
                <w:highlight w:val="none"/>
                <w:lang w:val="en-US" w:eastAsia="zh-CN"/>
                <w14:textFill>
                  <w14:solidFill>
                    <w14:schemeClr w14:val="tx1"/>
                  </w14:solidFill>
                </w14:textFill>
              </w:rPr>
              <w:t>废矿物油密度按880kg/m</w:t>
            </w:r>
            <w:r>
              <w:rPr>
                <w:rFonts w:hint="eastAsia" w:cs="Times New Roman"/>
                <w:color w:val="000000" w:themeColor="text1"/>
                <w:sz w:val="24"/>
                <w:szCs w:val="32"/>
                <w:highlight w:val="none"/>
                <w:vertAlign w:val="superscript"/>
                <w:lang w:val="en-US" w:eastAsia="zh-CN"/>
                <w14:textFill>
                  <w14:solidFill>
                    <w14:schemeClr w14:val="tx1"/>
                  </w14:solidFill>
                </w14:textFill>
              </w:rPr>
              <w:t>3</w:t>
            </w:r>
            <w:r>
              <w:rPr>
                <w:rFonts w:hint="eastAsia" w:cs="Times New Roman"/>
                <w:color w:val="000000" w:themeColor="text1"/>
                <w:sz w:val="24"/>
                <w:szCs w:val="32"/>
                <w:highlight w:val="none"/>
                <w:lang w:val="en-US" w:eastAsia="zh-CN"/>
                <w14:textFill>
                  <w14:solidFill>
                    <w14:schemeClr w14:val="tx1"/>
                  </w14:solidFill>
                </w14:textFill>
              </w:rPr>
              <w:t>计，</w:t>
            </w:r>
            <w:r>
              <w:rPr>
                <w:rFonts w:hint="default" w:ascii="Times New Roman" w:hAnsi="Times New Roman" w:cs="Times New Roman"/>
                <w:color w:val="000000" w:themeColor="text1"/>
                <w:sz w:val="24"/>
                <w:szCs w:val="32"/>
                <w:highlight w:val="none"/>
                <w:lang w:val="en-US" w:eastAsia="zh-CN"/>
                <w14:textFill>
                  <w14:solidFill>
                    <w14:schemeClr w14:val="tx1"/>
                  </w14:solidFill>
                </w14:textFill>
              </w:rPr>
              <w:t>储罐储存量按</w:t>
            </w:r>
            <w:r>
              <w:rPr>
                <w:rFonts w:hint="eastAsia" w:cs="Times New Roman"/>
                <w:color w:val="000000" w:themeColor="text1"/>
                <w:sz w:val="24"/>
                <w:szCs w:val="32"/>
                <w:highlight w:val="none"/>
                <w:lang w:val="en-US" w:eastAsia="zh-CN"/>
                <w14:textFill>
                  <w14:solidFill>
                    <w14:schemeClr w14:val="tx1"/>
                  </w14:solidFill>
                </w14:textFill>
              </w:rPr>
              <w:t>9</w:t>
            </w:r>
            <w:r>
              <w:rPr>
                <w:rFonts w:hint="default" w:ascii="Times New Roman" w:hAnsi="Times New Roman" w:cs="Times New Roman"/>
                <w:color w:val="000000" w:themeColor="text1"/>
                <w:sz w:val="24"/>
                <w:szCs w:val="32"/>
                <w:highlight w:val="none"/>
                <w:lang w:val="en-US" w:eastAsia="zh-CN"/>
                <w14:textFill>
                  <w14:solidFill>
                    <w14:schemeClr w14:val="tx1"/>
                  </w14:solidFill>
                </w14:textFill>
              </w:rPr>
              <w:t>0%计，则最大储存量为</w:t>
            </w:r>
            <w:r>
              <w:rPr>
                <w:rFonts w:hint="eastAsia" w:cs="Times New Roman"/>
                <w:color w:val="000000" w:themeColor="text1"/>
                <w:sz w:val="24"/>
                <w:szCs w:val="32"/>
                <w:highlight w:val="none"/>
                <w:lang w:val="en-US" w:eastAsia="zh-CN"/>
                <w14:textFill>
                  <w14:solidFill>
                    <w14:schemeClr w14:val="tx1"/>
                  </w14:solidFill>
                </w14:textFill>
              </w:rPr>
              <w:t>95.04</w:t>
            </w:r>
            <w:r>
              <w:rPr>
                <w:rFonts w:hint="default" w:ascii="Times New Roman" w:hAnsi="Times New Roman" w:cs="Times New Roman"/>
                <w:color w:val="000000" w:themeColor="text1"/>
                <w:sz w:val="24"/>
                <w:szCs w:val="32"/>
                <w:highlight w:val="none"/>
                <w:lang w:val="en-US" w:eastAsia="zh-CN"/>
                <w14:textFill>
                  <w14:solidFill>
                    <w14:schemeClr w14:val="tx1"/>
                  </w14:solidFill>
                </w14:textFill>
              </w:rPr>
              <w:t>t，年周转次数最少为</w:t>
            </w:r>
            <w:r>
              <w:rPr>
                <w:rFonts w:hint="eastAsia" w:cs="Times New Roman"/>
                <w:color w:val="000000" w:themeColor="text1"/>
                <w:sz w:val="24"/>
                <w:szCs w:val="32"/>
                <w:highlight w:val="none"/>
                <w:lang w:val="en-US" w:eastAsia="zh-CN"/>
                <w14:textFill>
                  <w14:solidFill>
                    <w14:schemeClr w14:val="tx1"/>
                  </w14:solidFill>
                </w14:textFill>
              </w:rPr>
              <w:t>11</w:t>
            </w:r>
            <w:r>
              <w:rPr>
                <w:rFonts w:hint="default" w:ascii="Times New Roman" w:hAnsi="Times New Roman" w:cs="Times New Roman"/>
                <w:color w:val="000000" w:themeColor="text1"/>
                <w:sz w:val="24"/>
                <w:szCs w:val="32"/>
                <w:highlight w:val="none"/>
                <w:lang w:val="en-US" w:eastAsia="zh-CN"/>
                <w14:textFill>
                  <w14:solidFill>
                    <w14:schemeClr w14:val="tx1"/>
                  </w14:solidFill>
                </w14:textFill>
              </w:rPr>
              <w:t>次</w:t>
            </w:r>
            <w:r>
              <w:rPr>
                <w:rFonts w:hint="eastAsia" w:cs="Times New Roman"/>
                <w:color w:val="000000" w:themeColor="text1"/>
                <w:sz w:val="24"/>
                <w:szCs w:val="32"/>
                <w:highlight w:val="none"/>
                <w:lang w:val="en-US" w:eastAsia="zh-CN"/>
                <w14:textFill>
                  <w14:solidFill>
                    <w14:schemeClr w14:val="tx1"/>
                  </w14:solidFill>
                </w14:textFill>
              </w:rPr>
              <w:t>。</w:t>
            </w:r>
          </w:p>
          <w:p w14:paraId="7B30E5A5">
            <w:pPr>
              <w:snapToGrid w:val="0"/>
              <w:spacing w:line="360" w:lineRule="auto"/>
              <w:ind w:firstLine="480" w:firstLineChars="200"/>
              <w:jc w:val="left"/>
              <w:outlineLvl w:val="1"/>
              <w:rPr>
                <w:rFonts w:hint="eastAsia" w:cs="Times New Roman"/>
                <w:color w:val="000000" w:themeColor="text1"/>
                <w:sz w:val="24"/>
                <w:szCs w:val="32"/>
                <w:highlight w:val="none"/>
                <w:lang w:val="en-US" w:eastAsia="zh-CN"/>
                <w14:textFill>
                  <w14:solidFill>
                    <w14:schemeClr w14:val="tx1"/>
                  </w14:solidFill>
                </w14:textFill>
              </w:rPr>
            </w:pPr>
            <w:r>
              <w:rPr>
                <w:rFonts w:hint="default" w:ascii="Times New Roman" w:hAnsi="Times New Roman" w:cs="Times New Roman"/>
                <w:color w:val="000000" w:themeColor="text1"/>
                <w:sz w:val="24"/>
                <w:szCs w:val="32"/>
                <w:highlight w:val="none"/>
                <w:lang w:val="en-US" w:eastAsia="zh-CN"/>
                <w14:textFill>
                  <w14:solidFill>
                    <w14:schemeClr w14:val="tx1"/>
                  </w14:solidFill>
                </w14:textFill>
              </w:rPr>
              <w:t xml:space="preserve">项目只对废矿物油进行收集贮存，不涉及后续处置利用。 </w:t>
            </w:r>
            <w:r>
              <w:rPr>
                <w:rFonts w:hint="eastAsia" w:cs="Times New Roman"/>
                <w:color w:val="000000" w:themeColor="text1"/>
                <w:sz w:val="24"/>
                <w:szCs w:val="32"/>
                <w:highlight w:val="none"/>
                <w:lang w:val="en-US" w:eastAsia="zh-CN"/>
                <w14:textFill>
                  <w14:solidFill>
                    <w14:schemeClr w14:val="tx1"/>
                  </w14:solidFill>
                </w14:textFill>
              </w:rPr>
              <w:t>本项目产品方案见表2-3：</w:t>
            </w:r>
          </w:p>
          <w:p w14:paraId="7A3C90ED">
            <w:pPr>
              <w:pStyle w:val="2"/>
              <w:ind w:left="0" w:leftChars="0" w:firstLine="0" w:firstLineChars="0"/>
              <w:jc w:val="center"/>
              <w:rPr>
                <w:rFonts w:hint="eastAsia" w:cs="Times New Roman"/>
                <w:b/>
                <w:bCs/>
                <w:color w:val="000000" w:themeColor="text1"/>
                <w:sz w:val="21"/>
                <w:szCs w:val="24"/>
                <w:highlight w:val="none"/>
                <w:lang w:val="en-US" w:eastAsia="zh-CN"/>
                <w14:textFill>
                  <w14:solidFill>
                    <w14:schemeClr w14:val="tx1"/>
                  </w14:solidFill>
                </w14:textFill>
              </w:rPr>
            </w:pPr>
            <w:r>
              <w:rPr>
                <w:rFonts w:hint="eastAsia" w:cs="Times New Roman"/>
                <w:b/>
                <w:bCs/>
                <w:color w:val="000000" w:themeColor="text1"/>
                <w:sz w:val="21"/>
                <w:szCs w:val="24"/>
                <w:highlight w:val="none"/>
                <w:lang w:val="en-US" w:eastAsia="zh-CN"/>
                <w14:textFill>
                  <w14:solidFill>
                    <w14:schemeClr w14:val="tx1"/>
                  </w14:solidFill>
                </w14:textFill>
              </w:rPr>
              <w:t>表2-3 产品方案一览表</w:t>
            </w:r>
          </w:p>
          <w:tbl>
            <w:tblPr>
              <w:tblStyle w:val="28"/>
              <w:tblW w:w="0" w:type="auto"/>
              <w:tblInd w:w="5" w:type="dxa"/>
              <w:tblBorders>
                <w:top w:val="double" w:color="auto" w:sz="4" w:space="0"/>
                <w:left w:val="none" w:color="auto" w:sz="0" w:space="0"/>
                <w:bottom w:val="doub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157"/>
              <w:gridCol w:w="1365"/>
              <w:gridCol w:w="1665"/>
              <w:gridCol w:w="2357"/>
              <w:gridCol w:w="1637"/>
            </w:tblGrid>
            <w:tr w14:paraId="60386953">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1157" w:type="dxa"/>
                  <w:tcBorders>
                    <w:tl2br w:val="nil"/>
                    <w:tr2bl w:val="nil"/>
                  </w:tcBorders>
                  <w:vAlign w:val="center"/>
                </w:tcPr>
                <w:p w14:paraId="3AC9DC00">
                  <w:pPr>
                    <w:spacing w:line="240" w:lineRule="auto"/>
                    <w:jc w:val="center"/>
                    <w:rPr>
                      <w:rFonts w:hint="default"/>
                      <w:vertAlign w:val="baseline"/>
                      <w:lang w:val="en-US" w:eastAsia="zh-CN"/>
                    </w:rPr>
                  </w:pPr>
                  <w:r>
                    <w:rPr>
                      <w:rFonts w:hint="eastAsia"/>
                      <w:vertAlign w:val="baseline"/>
                      <w:lang w:val="en-US" w:eastAsia="zh-CN"/>
                    </w:rPr>
                    <w:t>产品</w:t>
                  </w:r>
                </w:p>
              </w:tc>
              <w:tc>
                <w:tcPr>
                  <w:tcW w:w="1365" w:type="dxa"/>
                  <w:tcBorders>
                    <w:tl2br w:val="nil"/>
                    <w:tr2bl w:val="nil"/>
                  </w:tcBorders>
                  <w:vAlign w:val="center"/>
                </w:tcPr>
                <w:p w14:paraId="381231FF">
                  <w:pPr>
                    <w:spacing w:line="240" w:lineRule="auto"/>
                    <w:jc w:val="center"/>
                    <w:rPr>
                      <w:rFonts w:hint="default"/>
                      <w:vertAlign w:val="baseline"/>
                      <w:lang w:val="en-US" w:eastAsia="zh-CN"/>
                    </w:rPr>
                  </w:pPr>
                  <w:r>
                    <w:rPr>
                      <w:rFonts w:hint="eastAsia"/>
                      <w:vertAlign w:val="baseline"/>
                      <w:lang w:val="en-US" w:eastAsia="zh-CN"/>
                    </w:rPr>
                    <w:t>最大储存量</w:t>
                  </w:r>
                </w:p>
              </w:tc>
              <w:tc>
                <w:tcPr>
                  <w:tcW w:w="1665" w:type="dxa"/>
                  <w:tcBorders>
                    <w:tl2br w:val="nil"/>
                    <w:tr2bl w:val="nil"/>
                  </w:tcBorders>
                  <w:vAlign w:val="center"/>
                </w:tcPr>
                <w:p w14:paraId="050B27F5">
                  <w:pPr>
                    <w:spacing w:line="240" w:lineRule="auto"/>
                    <w:jc w:val="center"/>
                    <w:rPr>
                      <w:rFonts w:hint="default"/>
                      <w:vertAlign w:val="baseline"/>
                      <w:lang w:val="en-US" w:eastAsia="zh-CN"/>
                    </w:rPr>
                  </w:pPr>
                  <w:r>
                    <w:rPr>
                      <w:rFonts w:hint="eastAsia"/>
                      <w:vertAlign w:val="baseline"/>
                      <w:lang w:val="en-US" w:eastAsia="zh-CN"/>
                    </w:rPr>
                    <w:t>收集转运量</w:t>
                  </w:r>
                </w:p>
              </w:tc>
              <w:tc>
                <w:tcPr>
                  <w:tcW w:w="2357" w:type="dxa"/>
                  <w:tcBorders>
                    <w:tl2br w:val="nil"/>
                    <w:tr2bl w:val="nil"/>
                  </w:tcBorders>
                  <w:vAlign w:val="center"/>
                </w:tcPr>
                <w:p w14:paraId="6915EBBA">
                  <w:pPr>
                    <w:spacing w:line="240" w:lineRule="auto"/>
                    <w:jc w:val="center"/>
                    <w:rPr>
                      <w:rFonts w:hint="default"/>
                      <w:vertAlign w:val="baseline"/>
                      <w:lang w:val="en-US" w:eastAsia="zh-CN"/>
                    </w:rPr>
                  </w:pPr>
                  <w:r>
                    <w:rPr>
                      <w:rFonts w:hint="eastAsia"/>
                      <w:vertAlign w:val="baseline"/>
                      <w:lang w:val="en-US" w:eastAsia="zh-CN"/>
                    </w:rPr>
                    <w:t>来源</w:t>
                  </w:r>
                </w:p>
              </w:tc>
              <w:tc>
                <w:tcPr>
                  <w:tcW w:w="1637" w:type="dxa"/>
                  <w:tcBorders>
                    <w:tl2br w:val="nil"/>
                    <w:tr2bl w:val="nil"/>
                  </w:tcBorders>
                  <w:vAlign w:val="center"/>
                </w:tcPr>
                <w:p w14:paraId="7B989B41">
                  <w:pPr>
                    <w:spacing w:line="240" w:lineRule="auto"/>
                    <w:jc w:val="center"/>
                    <w:rPr>
                      <w:rFonts w:hint="default"/>
                      <w:vertAlign w:val="baseline"/>
                      <w:lang w:val="en-US" w:eastAsia="zh-CN"/>
                    </w:rPr>
                  </w:pPr>
                  <w:r>
                    <w:rPr>
                      <w:rFonts w:hint="eastAsia"/>
                      <w:vertAlign w:val="baseline"/>
                      <w:lang w:val="en-US" w:eastAsia="zh-CN"/>
                    </w:rPr>
                    <w:t>转运去向</w:t>
                  </w:r>
                </w:p>
              </w:tc>
            </w:tr>
            <w:tr w14:paraId="4B9C28B4">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1157" w:type="dxa"/>
                  <w:tcBorders>
                    <w:tl2br w:val="nil"/>
                    <w:tr2bl w:val="nil"/>
                  </w:tcBorders>
                  <w:vAlign w:val="center"/>
                </w:tcPr>
                <w:p w14:paraId="71B60120">
                  <w:pPr>
                    <w:spacing w:line="240" w:lineRule="auto"/>
                    <w:jc w:val="center"/>
                    <w:rPr>
                      <w:rFonts w:hint="default"/>
                      <w:vertAlign w:val="baseline"/>
                      <w:lang w:val="en-US" w:eastAsia="zh-CN"/>
                    </w:rPr>
                  </w:pPr>
                  <w:r>
                    <w:rPr>
                      <w:rFonts w:hint="eastAsia"/>
                      <w:vertAlign w:val="baseline"/>
                      <w:lang w:val="en-US" w:eastAsia="zh-CN"/>
                    </w:rPr>
                    <w:t>废矿物油</w:t>
                  </w:r>
                </w:p>
              </w:tc>
              <w:tc>
                <w:tcPr>
                  <w:tcW w:w="1365" w:type="dxa"/>
                  <w:tcBorders>
                    <w:tl2br w:val="nil"/>
                    <w:tr2bl w:val="nil"/>
                  </w:tcBorders>
                  <w:vAlign w:val="center"/>
                </w:tcPr>
                <w:p w14:paraId="3B17C036">
                  <w:pPr>
                    <w:spacing w:line="240" w:lineRule="auto"/>
                    <w:jc w:val="center"/>
                    <w:rPr>
                      <w:rFonts w:hint="default"/>
                      <w:vertAlign w:val="baseline"/>
                      <w:lang w:val="en-US" w:eastAsia="zh-CN"/>
                    </w:rPr>
                  </w:pPr>
                  <w:r>
                    <w:rPr>
                      <w:rFonts w:hint="eastAsia"/>
                      <w:vertAlign w:val="baseline"/>
                      <w:lang w:val="en-US" w:eastAsia="zh-CN"/>
                    </w:rPr>
                    <w:t>95.04</w:t>
                  </w:r>
                </w:p>
              </w:tc>
              <w:tc>
                <w:tcPr>
                  <w:tcW w:w="1665" w:type="dxa"/>
                  <w:tcBorders>
                    <w:tl2br w:val="nil"/>
                    <w:tr2bl w:val="nil"/>
                  </w:tcBorders>
                  <w:vAlign w:val="center"/>
                </w:tcPr>
                <w:p w14:paraId="3F1140F5">
                  <w:pPr>
                    <w:spacing w:line="240" w:lineRule="auto"/>
                    <w:jc w:val="center"/>
                    <w:rPr>
                      <w:rFonts w:hint="default"/>
                      <w:vertAlign w:val="baseline"/>
                      <w:lang w:val="en-US" w:eastAsia="zh-CN"/>
                    </w:rPr>
                  </w:pPr>
                  <w:r>
                    <w:rPr>
                      <w:rFonts w:hint="eastAsia"/>
                      <w:vertAlign w:val="baseline"/>
                      <w:lang w:val="en-US" w:eastAsia="zh-CN"/>
                    </w:rPr>
                    <w:t>1000</w:t>
                  </w:r>
                </w:p>
              </w:tc>
              <w:tc>
                <w:tcPr>
                  <w:tcW w:w="2357" w:type="dxa"/>
                  <w:tcBorders>
                    <w:tl2br w:val="nil"/>
                    <w:tr2bl w:val="nil"/>
                  </w:tcBorders>
                  <w:vAlign w:val="center"/>
                </w:tcPr>
                <w:p w14:paraId="7313F9DA">
                  <w:pPr>
                    <w:spacing w:line="240" w:lineRule="auto"/>
                    <w:jc w:val="center"/>
                    <w:rPr>
                      <w:rFonts w:hint="default"/>
                      <w:vertAlign w:val="baseline"/>
                      <w:lang w:val="en-US" w:eastAsia="zh-CN"/>
                    </w:rPr>
                  </w:pPr>
                  <w:r>
                    <w:rPr>
                      <w:rFonts w:hint="eastAsia"/>
                      <w:vertAlign w:val="baseline"/>
                      <w:lang w:val="en-US" w:eastAsia="zh-CN"/>
                    </w:rPr>
                    <w:t>汽车修理厂及工矿企业</w:t>
                  </w:r>
                </w:p>
              </w:tc>
              <w:tc>
                <w:tcPr>
                  <w:tcW w:w="1637" w:type="dxa"/>
                  <w:tcBorders>
                    <w:tl2br w:val="nil"/>
                    <w:tr2bl w:val="nil"/>
                  </w:tcBorders>
                  <w:vAlign w:val="center"/>
                </w:tcPr>
                <w:p w14:paraId="0BC7B980">
                  <w:pPr>
                    <w:spacing w:line="240" w:lineRule="auto"/>
                    <w:jc w:val="center"/>
                    <w:rPr>
                      <w:rFonts w:hint="default"/>
                      <w:vertAlign w:val="baseline"/>
                      <w:lang w:val="en-US" w:eastAsia="zh-CN"/>
                    </w:rPr>
                  </w:pPr>
                  <w:r>
                    <w:rPr>
                      <w:rFonts w:hint="eastAsia"/>
                      <w:vertAlign w:val="baseline"/>
                      <w:lang w:val="en-US" w:eastAsia="zh-CN"/>
                    </w:rPr>
                    <w:t>有资质单位</w:t>
                  </w:r>
                </w:p>
              </w:tc>
            </w:tr>
          </w:tbl>
          <w:p w14:paraId="507E4000">
            <w:pPr>
              <w:jc w:val="center"/>
              <w:rPr>
                <w:rFonts w:hint="default"/>
                <w:b/>
                <w:bCs/>
                <w:lang w:val="en-US" w:eastAsia="zh-CN"/>
              </w:rPr>
            </w:pPr>
            <w:r>
              <w:rPr>
                <w:rFonts w:hint="eastAsia"/>
                <w:b/>
                <w:bCs/>
                <w:lang w:val="en-US" w:eastAsia="zh-CN"/>
              </w:rPr>
              <w:t>表2-4 项目危险废物收集种类一览表</w:t>
            </w:r>
          </w:p>
          <w:tbl>
            <w:tblPr>
              <w:tblStyle w:val="28"/>
              <w:tblW w:w="0" w:type="auto"/>
              <w:tblInd w:w="5" w:type="dxa"/>
              <w:tblBorders>
                <w:top w:val="double" w:color="auto" w:sz="4" w:space="0"/>
                <w:left w:val="none" w:color="auto" w:sz="0" w:space="0"/>
                <w:bottom w:val="doub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187"/>
              <w:gridCol w:w="1294"/>
              <w:gridCol w:w="3693"/>
              <w:gridCol w:w="1133"/>
              <w:gridCol w:w="869"/>
            </w:tblGrid>
            <w:tr w14:paraId="61515312">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1187" w:type="dxa"/>
                  <w:tcBorders>
                    <w:tl2br w:val="nil"/>
                    <w:tr2bl w:val="nil"/>
                  </w:tcBorders>
                  <w:vAlign w:val="center"/>
                </w:tcPr>
                <w:p w14:paraId="72A3AAEA">
                  <w:pPr>
                    <w:pStyle w:val="18"/>
                    <w:jc w:val="center"/>
                    <w:rPr>
                      <w:rFonts w:hint="default" w:ascii="Times New Roman" w:hAnsi="Times New Roman" w:eastAsia="宋体" w:cs="Times New Roman"/>
                      <w:vertAlign w:val="baseline"/>
                      <w:lang w:val="en-US" w:eastAsia="zh-CN"/>
                    </w:rPr>
                  </w:pPr>
                  <w:r>
                    <w:rPr>
                      <w:rFonts w:hint="default" w:ascii="Times New Roman" w:hAnsi="Times New Roman" w:cs="Times New Roman"/>
                      <w:vertAlign w:val="baseline"/>
                      <w:lang w:val="en-US" w:eastAsia="zh-CN"/>
                    </w:rPr>
                    <w:t>类别</w:t>
                  </w:r>
                </w:p>
              </w:tc>
              <w:tc>
                <w:tcPr>
                  <w:tcW w:w="1294" w:type="dxa"/>
                  <w:tcBorders>
                    <w:tl2br w:val="nil"/>
                    <w:tr2bl w:val="nil"/>
                  </w:tcBorders>
                  <w:vAlign w:val="center"/>
                </w:tcPr>
                <w:p w14:paraId="3993715C">
                  <w:pPr>
                    <w:pStyle w:val="18"/>
                    <w:jc w:val="center"/>
                    <w:rPr>
                      <w:rFonts w:hint="default" w:ascii="Times New Roman" w:hAnsi="Times New Roman" w:eastAsia="宋体" w:cs="Times New Roman"/>
                      <w:vertAlign w:val="baseline"/>
                      <w:lang w:val="en-US" w:eastAsia="zh-CN"/>
                    </w:rPr>
                  </w:pPr>
                  <w:r>
                    <w:rPr>
                      <w:rFonts w:hint="default" w:ascii="Times New Roman" w:hAnsi="Times New Roman" w:cs="Times New Roman"/>
                      <w:vertAlign w:val="baseline"/>
                      <w:lang w:val="en-US" w:eastAsia="zh-CN"/>
                    </w:rPr>
                    <w:t>废物代码</w:t>
                  </w:r>
                </w:p>
              </w:tc>
              <w:tc>
                <w:tcPr>
                  <w:tcW w:w="3693" w:type="dxa"/>
                  <w:tcBorders>
                    <w:tl2br w:val="nil"/>
                    <w:tr2bl w:val="nil"/>
                  </w:tcBorders>
                  <w:vAlign w:val="center"/>
                </w:tcPr>
                <w:p w14:paraId="4AC7065C">
                  <w:pPr>
                    <w:pStyle w:val="18"/>
                    <w:jc w:val="center"/>
                    <w:rPr>
                      <w:rFonts w:hint="default" w:ascii="Times New Roman" w:hAnsi="Times New Roman" w:eastAsia="宋体" w:cs="Times New Roman"/>
                      <w:vertAlign w:val="baseline"/>
                      <w:lang w:val="en-US" w:eastAsia="zh-CN"/>
                    </w:rPr>
                  </w:pPr>
                  <w:r>
                    <w:rPr>
                      <w:rFonts w:hint="default" w:ascii="Times New Roman" w:hAnsi="Times New Roman" w:cs="Times New Roman"/>
                      <w:vertAlign w:val="baseline"/>
                      <w:lang w:val="en-US" w:eastAsia="zh-CN"/>
                    </w:rPr>
                    <w:t>危险废物</w:t>
                  </w:r>
                </w:p>
              </w:tc>
              <w:tc>
                <w:tcPr>
                  <w:tcW w:w="1133" w:type="dxa"/>
                  <w:tcBorders>
                    <w:tl2br w:val="nil"/>
                    <w:tr2bl w:val="nil"/>
                  </w:tcBorders>
                  <w:vAlign w:val="center"/>
                </w:tcPr>
                <w:p w14:paraId="1FAA33B0">
                  <w:pPr>
                    <w:pStyle w:val="18"/>
                    <w:jc w:val="center"/>
                    <w:rPr>
                      <w:rFonts w:hint="default" w:ascii="Times New Roman" w:hAnsi="Times New Roman" w:eastAsia="宋体" w:cs="Times New Roman"/>
                      <w:vertAlign w:val="baseline"/>
                      <w:lang w:val="en-US" w:eastAsia="zh-CN"/>
                    </w:rPr>
                  </w:pPr>
                  <w:r>
                    <w:rPr>
                      <w:rFonts w:hint="default" w:ascii="Times New Roman" w:hAnsi="Times New Roman" w:cs="Times New Roman"/>
                      <w:vertAlign w:val="baseline"/>
                      <w:lang w:val="en-US" w:eastAsia="zh-CN"/>
                    </w:rPr>
                    <w:t>危险特性</w:t>
                  </w:r>
                </w:p>
              </w:tc>
              <w:tc>
                <w:tcPr>
                  <w:tcW w:w="869" w:type="dxa"/>
                  <w:tcBorders>
                    <w:tl2br w:val="nil"/>
                    <w:tr2bl w:val="nil"/>
                  </w:tcBorders>
                  <w:vAlign w:val="center"/>
                </w:tcPr>
                <w:p w14:paraId="2D96BA2D">
                  <w:pPr>
                    <w:pStyle w:val="18"/>
                    <w:jc w:val="center"/>
                    <w:rPr>
                      <w:rFonts w:hint="default" w:ascii="Times New Roman" w:hAnsi="Times New Roman" w:eastAsia="宋体" w:cs="Times New Roman"/>
                      <w:vertAlign w:val="baseline"/>
                      <w:lang w:val="en-US" w:eastAsia="zh-CN"/>
                    </w:rPr>
                  </w:pPr>
                  <w:r>
                    <w:rPr>
                      <w:rFonts w:hint="default" w:ascii="Times New Roman" w:hAnsi="Times New Roman" w:cs="Times New Roman"/>
                      <w:vertAlign w:val="baseline"/>
                      <w:lang w:val="en-US" w:eastAsia="zh-CN"/>
                    </w:rPr>
                    <w:t>备注</w:t>
                  </w:r>
                </w:p>
              </w:tc>
            </w:tr>
            <w:tr w14:paraId="40F88E5F">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1187" w:type="dxa"/>
                  <w:vMerge w:val="restart"/>
                  <w:tcBorders>
                    <w:tl2br w:val="nil"/>
                    <w:tr2bl w:val="nil"/>
                  </w:tcBorders>
                  <w:vAlign w:val="center"/>
                </w:tcPr>
                <w:p w14:paraId="45C71948">
                  <w:pPr>
                    <w:pStyle w:val="18"/>
                    <w:jc w:val="center"/>
                    <w:rPr>
                      <w:rFonts w:hint="default" w:ascii="Times New Roman" w:hAnsi="Times New Roman" w:eastAsia="宋体" w:cs="Times New Roman"/>
                      <w:vertAlign w:val="baseline"/>
                      <w:lang w:val="en-US" w:eastAsia="zh-CN"/>
                    </w:rPr>
                  </w:pPr>
                  <w:r>
                    <w:rPr>
                      <w:rFonts w:hint="default" w:ascii="Times New Roman" w:hAnsi="Times New Roman" w:cs="Times New Roman"/>
                      <w:vertAlign w:val="baseline"/>
                      <w:lang w:val="en-US" w:eastAsia="zh-CN"/>
                    </w:rPr>
                    <w:t>HW08 废矿物油与含矿物油废物</w:t>
                  </w:r>
                </w:p>
              </w:tc>
              <w:tc>
                <w:tcPr>
                  <w:tcW w:w="1294" w:type="dxa"/>
                  <w:tcBorders>
                    <w:tl2br w:val="nil"/>
                    <w:tr2bl w:val="nil"/>
                  </w:tcBorders>
                  <w:vAlign w:val="center"/>
                </w:tcPr>
                <w:p w14:paraId="28584EBE">
                  <w:pPr>
                    <w:pStyle w:val="18"/>
                    <w:jc w:val="center"/>
                    <w:rPr>
                      <w:rFonts w:hint="default" w:ascii="Times New Roman" w:hAnsi="Times New Roman" w:eastAsia="宋体" w:cs="Times New Roman"/>
                      <w:vertAlign w:val="baseline"/>
                      <w:lang w:val="en-US" w:eastAsia="zh-CN"/>
                    </w:rPr>
                  </w:pPr>
                  <w:r>
                    <w:rPr>
                      <w:rFonts w:hint="default" w:ascii="Times New Roman" w:hAnsi="Times New Roman" w:cs="Times New Roman"/>
                      <w:vertAlign w:val="baseline"/>
                      <w:lang w:val="en-US" w:eastAsia="zh-CN"/>
                    </w:rPr>
                    <w:t>900-199-08</w:t>
                  </w:r>
                </w:p>
              </w:tc>
              <w:tc>
                <w:tcPr>
                  <w:tcW w:w="3693" w:type="dxa"/>
                  <w:tcBorders>
                    <w:tl2br w:val="nil"/>
                    <w:tr2bl w:val="nil"/>
                  </w:tcBorders>
                  <w:vAlign w:val="center"/>
                </w:tcPr>
                <w:p w14:paraId="78C8A227">
                  <w:pPr>
                    <w:pStyle w:val="18"/>
                    <w:jc w:val="center"/>
                    <w:rPr>
                      <w:rFonts w:hint="default" w:ascii="Times New Roman" w:hAnsi="Times New Roman" w:eastAsia="宋体" w:cs="Times New Roman"/>
                      <w:vertAlign w:val="baseline"/>
                      <w:lang w:val="en-US" w:eastAsia="zh-CN"/>
                    </w:rPr>
                  </w:pPr>
                  <w:r>
                    <w:rPr>
                      <w:rFonts w:hint="default" w:ascii="Times New Roman" w:hAnsi="Times New Roman" w:cs="Times New Roman"/>
                      <w:vertAlign w:val="baseline"/>
                      <w:lang w:val="en-US" w:eastAsia="zh-CN"/>
                    </w:rPr>
                    <w:t>内燃机、汽车、轮船等集中拆解过程产生的废矿物油及油泥</w:t>
                  </w:r>
                </w:p>
              </w:tc>
              <w:tc>
                <w:tcPr>
                  <w:tcW w:w="1133" w:type="dxa"/>
                  <w:tcBorders>
                    <w:tl2br w:val="nil"/>
                    <w:tr2bl w:val="nil"/>
                  </w:tcBorders>
                  <w:vAlign w:val="center"/>
                </w:tcPr>
                <w:p w14:paraId="314405B4">
                  <w:pPr>
                    <w:pStyle w:val="18"/>
                    <w:jc w:val="center"/>
                    <w:rPr>
                      <w:rFonts w:hint="default" w:ascii="Times New Roman" w:hAnsi="Times New Roman" w:eastAsia="宋体" w:cs="Times New Roman"/>
                      <w:vertAlign w:val="baseline"/>
                      <w:lang w:val="en-US" w:eastAsia="zh-CN"/>
                    </w:rPr>
                  </w:pPr>
                  <w:r>
                    <w:rPr>
                      <w:rFonts w:hint="default" w:ascii="Times New Roman" w:hAnsi="Times New Roman" w:cs="Times New Roman"/>
                      <w:vertAlign w:val="baseline"/>
                      <w:lang w:val="en-US" w:eastAsia="zh-CN"/>
                    </w:rPr>
                    <w:t>T,I</w:t>
                  </w:r>
                </w:p>
              </w:tc>
              <w:tc>
                <w:tcPr>
                  <w:tcW w:w="869" w:type="dxa"/>
                  <w:tcBorders>
                    <w:tl2br w:val="nil"/>
                    <w:tr2bl w:val="nil"/>
                  </w:tcBorders>
                  <w:vAlign w:val="center"/>
                </w:tcPr>
                <w:p w14:paraId="42DDDABF">
                  <w:pPr>
                    <w:pStyle w:val="18"/>
                    <w:jc w:val="center"/>
                    <w:rPr>
                      <w:rFonts w:hint="default" w:ascii="Times New Roman" w:hAnsi="Times New Roman" w:cs="Times New Roman"/>
                      <w:vertAlign w:val="baseline"/>
                    </w:rPr>
                  </w:pPr>
                </w:p>
              </w:tc>
            </w:tr>
            <w:tr w14:paraId="747B3812">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1187" w:type="dxa"/>
                  <w:vMerge w:val="continue"/>
                  <w:tcBorders>
                    <w:tl2br w:val="nil"/>
                    <w:tr2bl w:val="nil"/>
                  </w:tcBorders>
                  <w:vAlign w:val="center"/>
                </w:tcPr>
                <w:p w14:paraId="792730F2">
                  <w:pPr>
                    <w:pStyle w:val="18"/>
                    <w:jc w:val="center"/>
                    <w:rPr>
                      <w:rFonts w:hint="default" w:ascii="Times New Roman" w:hAnsi="Times New Roman" w:cs="Times New Roman"/>
                      <w:vertAlign w:val="baseline"/>
                    </w:rPr>
                  </w:pPr>
                </w:p>
              </w:tc>
              <w:tc>
                <w:tcPr>
                  <w:tcW w:w="1294" w:type="dxa"/>
                  <w:tcBorders>
                    <w:tl2br w:val="nil"/>
                    <w:tr2bl w:val="nil"/>
                  </w:tcBorders>
                  <w:vAlign w:val="center"/>
                </w:tcPr>
                <w:p w14:paraId="51EFC51A">
                  <w:pPr>
                    <w:pStyle w:val="18"/>
                    <w:jc w:val="center"/>
                    <w:rPr>
                      <w:rFonts w:hint="default" w:ascii="Times New Roman" w:hAnsi="Times New Roman" w:eastAsia="宋体" w:cs="Times New Roman"/>
                      <w:vertAlign w:val="baseline"/>
                      <w:lang w:val="en-US" w:eastAsia="zh-CN"/>
                    </w:rPr>
                  </w:pPr>
                  <w:r>
                    <w:rPr>
                      <w:rFonts w:hint="default" w:ascii="Times New Roman" w:hAnsi="Times New Roman" w:cs="Times New Roman"/>
                      <w:vertAlign w:val="baseline"/>
                      <w:lang w:val="en-US" w:eastAsia="zh-CN"/>
                    </w:rPr>
                    <w:t>900-200-08</w:t>
                  </w:r>
                </w:p>
              </w:tc>
              <w:tc>
                <w:tcPr>
                  <w:tcW w:w="3693" w:type="dxa"/>
                  <w:tcBorders>
                    <w:tl2br w:val="nil"/>
                    <w:tr2bl w:val="nil"/>
                  </w:tcBorders>
                  <w:vAlign w:val="center"/>
                </w:tcPr>
                <w:p w14:paraId="2DC17627">
                  <w:pPr>
                    <w:pStyle w:val="18"/>
                    <w:jc w:val="center"/>
                    <w:rPr>
                      <w:rFonts w:hint="default" w:ascii="Times New Roman" w:hAnsi="Times New Roman" w:eastAsia="宋体" w:cs="Times New Roman"/>
                      <w:vertAlign w:val="baseline"/>
                      <w:lang w:val="en-US" w:eastAsia="zh-CN"/>
                    </w:rPr>
                  </w:pPr>
                  <w:r>
                    <w:rPr>
                      <w:rFonts w:hint="default" w:ascii="Times New Roman" w:hAnsi="Times New Roman" w:cs="Times New Roman"/>
                      <w:vertAlign w:val="baseline"/>
                      <w:lang w:val="en-US" w:eastAsia="zh-CN"/>
                    </w:rPr>
                    <w:t>珩磨、研磨、打磨过程产生的废矿物油及油泥</w:t>
                  </w:r>
                </w:p>
              </w:tc>
              <w:tc>
                <w:tcPr>
                  <w:tcW w:w="1133" w:type="dxa"/>
                  <w:tcBorders>
                    <w:tl2br w:val="nil"/>
                    <w:tr2bl w:val="nil"/>
                  </w:tcBorders>
                  <w:vAlign w:val="center"/>
                </w:tcPr>
                <w:p w14:paraId="11057AD7">
                  <w:pPr>
                    <w:pStyle w:val="18"/>
                    <w:jc w:val="center"/>
                    <w:rPr>
                      <w:rFonts w:hint="default" w:ascii="Times New Roman" w:hAnsi="Times New Roman" w:cs="Times New Roman"/>
                      <w:vertAlign w:val="baseline"/>
                    </w:rPr>
                  </w:pPr>
                  <w:r>
                    <w:rPr>
                      <w:rFonts w:hint="default" w:ascii="Times New Roman" w:hAnsi="Times New Roman" w:cs="Times New Roman"/>
                      <w:vertAlign w:val="baseline"/>
                      <w:lang w:val="en-US" w:eastAsia="zh-CN"/>
                    </w:rPr>
                    <w:t>T,I</w:t>
                  </w:r>
                </w:p>
              </w:tc>
              <w:tc>
                <w:tcPr>
                  <w:tcW w:w="869" w:type="dxa"/>
                  <w:tcBorders>
                    <w:tl2br w:val="nil"/>
                    <w:tr2bl w:val="nil"/>
                  </w:tcBorders>
                  <w:vAlign w:val="center"/>
                </w:tcPr>
                <w:p w14:paraId="59EFB304">
                  <w:pPr>
                    <w:pStyle w:val="18"/>
                    <w:jc w:val="center"/>
                    <w:rPr>
                      <w:rFonts w:hint="default" w:ascii="Times New Roman" w:hAnsi="Times New Roman" w:cs="Times New Roman"/>
                      <w:vertAlign w:val="baseline"/>
                    </w:rPr>
                  </w:pPr>
                </w:p>
              </w:tc>
            </w:tr>
            <w:tr w14:paraId="3CA5033D">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1187" w:type="dxa"/>
                  <w:vMerge w:val="continue"/>
                  <w:tcBorders>
                    <w:tl2br w:val="nil"/>
                    <w:tr2bl w:val="nil"/>
                  </w:tcBorders>
                  <w:vAlign w:val="center"/>
                </w:tcPr>
                <w:p w14:paraId="35FC7034">
                  <w:pPr>
                    <w:pStyle w:val="18"/>
                    <w:jc w:val="center"/>
                    <w:rPr>
                      <w:rFonts w:hint="default" w:ascii="Times New Roman" w:hAnsi="Times New Roman" w:cs="Times New Roman"/>
                      <w:vertAlign w:val="baseline"/>
                    </w:rPr>
                  </w:pPr>
                </w:p>
              </w:tc>
              <w:tc>
                <w:tcPr>
                  <w:tcW w:w="1294" w:type="dxa"/>
                  <w:tcBorders>
                    <w:tl2br w:val="nil"/>
                    <w:tr2bl w:val="nil"/>
                  </w:tcBorders>
                  <w:vAlign w:val="center"/>
                </w:tcPr>
                <w:p w14:paraId="5A65B2CD">
                  <w:pPr>
                    <w:pStyle w:val="18"/>
                    <w:jc w:val="center"/>
                    <w:rPr>
                      <w:rFonts w:hint="default" w:ascii="Times New Roman" w:hAnsi="Times New Roman" w:eastAsia="宋体" w:cs="Times New Roman"/>
                      <w:vertAlign w:val="baseline"/>
                      <w:lang w:val="en-US" w:eastAsia="zh-CN"/>
                    </w:rPr>
                  </w:pPr>
                  <w:r>
                    <w:rPr>
                      <w:rFonts w:hint="default" w:ascii="Times New Roman" w:hAnsi="Times New Roman" w:cs="Times New Roman"/>
                      <w:vertAlign w:val="baseline"/>
                      <w:lang w:val="en-US" w:eastAsia="zh-CN"/>
                    </w:rPr>
                    <w:t>900-214-08</w:t>
                  </w:r>
                </w:p>
              </w:tc>
              <w:tc>
                <w:tcPr>
                  <w:tcW w:w="3693" w:type="dxa"/>
                  <w:tcBorders>
                    <w:tl2br w:val="nil"/>
                    <w:tr2bl w:val="nil"/>
                  </w:tcBorders>
                  <w:vAlign w:val="center"/>
                </w:tcPr>
                <w:p w14:paraId="6551718D">
                  <w:pPr>
                    <w:pStyle w:val="18"/>
                    <w:jc w:val="center"/>
                    <w:rPr>
                      <w:rFonts w:hint="default" w:ascii="Times New Roman" w:hAnsi="Times New Roman" w:eastAsia="宋体" w:cs="Times New Roman"/>
                      <w:vertAlign w:val="baseline"/>
                      <w:lang w:val="en-US" w:eastAsia="zh-CN"/>
                    </w:rPr>
                  </w:pPr>
                  <w:r>
                    <w:rPr>
                      <w:rFonts w:hint="default" w:ascii="Times New Roman" w:hAnsi="Times New Roman" w:cs="Times New Roman"/>
                      <w:vertAlign w:val="baseline"/>
                      <w:lang w:val="en-US" w:eastAsia="zh-CN"/>
                    </w:rPr>
                    <w:t>车辆、轮船及其他机械维修过程中产生的废发动机油、制动器油、自动变速器油、齿轮油等废润滑油</w:t>
                  </w:r>
                </w:p>
              </w:tc>
              <w:tc>
                <w:tcPr>
                  <w:tcW w:w="1133" w:type="dxa"/>
                  <w:tcBorders>
                    <w:tl2br w:val="nil"/>
                    <w:tr2bl w:val="nil"/>
                  </w:tcBorders>
                  <w:vAlign w:val="center"/>
                </w:tcPr>
                <w:p w14:paraId="0206D433">
                  <w:pPr>
                    <w:pStyle w:val="18"/>
                    <w:jc w:val="center"/>
                    <w:rPr>
                      <w:rFonts w:hint="default" w:ascii="Times New Roman" w:hAnsi="Times New Roman" w:cs="Times New Roman"/>
                      <w:vertAlign w:val="baseline"/>
                    </w:rPr>
                  </w:pPr>
                  <w:r>
                    <w:rPr>
                      <w:rFonts w:hint="default" w:ascii="Times New Roman" w:hAnsi="Times New Roman" w:cs="Times New Roman"/>
                      <w:vertAlign w:val="baseline"/>
                      <w:lang w:val="en-US" w:eastAsia="zh-CN"/>
                    </w:rPr>
                    <w:t>T,I</w:t>
                  </w:r>
                </w:p>
              </w:tc>
              <w:tc>
                <w:tcPr>
                  <w:tcW w:w="869" w:type="dxa"/>
                  <w:tcBorders>
                    <w:tl2br w:val="nil"/>
                    <w:tr2bl w:val="nil"/>
                  </w:tcBorders>
                  <w:vAlign w:val="center"/>
                </w:tcPr>
                <w:p w14:paraId="0927BA47">
                  <w:pPr>
                    <w:pStyle w:val="18"/>
                    <w:jc w:val="center"/>
                    <w:rPr>
                      <w:rFonts w:hint="default" w:ascii="Times New Roman" w:hAnsi="Times New Roman" w:cs="Times New Roman"/>
                      <w:vertAlign w:val="baseline"/>
                    </w:rPr>
                  </w:pPr>
                </w:p>
              </w:tc>
            </w:tr>
            <w:tr w14:paraId="5925BCA3">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1187" w:type="dxa"/>
                  <w:vMerge w:val="continue"/>
                  <w:tcBorders>
                    <w:tl2br w:val="nil"/>
                    <w:tr2bl w:val="nil"/>
                  </w:tcBorders>
                  <w:vAlign w:val="center"/>
                </w:tcPr>
                <w:p w14:paraId="4F150549">
                  <w:pPr>
                    <w:pStyle w:val="18"/>
                    <w:jc w:val="center"/>
                    <w:rPr>
                      <w:rFonts w:hint="default" w:ascii="Times New Roman" w:hAnsi="Times New Roman" w:cs="Times New Roman"/>
                      <w:vertAlign w:val="baseline"/>
                    </w:rPr>
                  </w:pPr>
                </w:p>
              </w:tc>
              <w:tc>
                <w:tcPr>
                  <w:tcW w:w="1294" w:type="dxa"/>
                  <w:tcBorders>
                    <w:tl2br w:val="nil"/>
                    <w:tr2bl w:val="nil"/>
                  </w:tcBorders>
                  <w:vAlign w:val="center"/>
                </w:tcPr>
                <w:p w14:paraId="34FCFE58">
                  <w:pPr>
                    <w:pStyle w:val="18"/>
                    <w:jc w:val="center"/>
                    <w:rPr>
                      <w:rFonts w:hint="default" w:ascii="Times New Roman" w:hAnsi="Times New Roman" w:eastAsia="宋体" w:cs="Times New Roman"/>
                      <w:vertAlign w:val="baseline"/>
                      <w:lang w:val="en-US" w:eastAsia="zh-CN"/>
                    </w:rPr>
                  </w:pPr>
                  <w:r>
                    <w:rPr>
                      <w:rFonts w:hint="default" w:ascii="Times New Roman" w:hAnsi="Times New Roman" w:cs="Times New Roman"/>
                      <w:vertAlign w:val="baseline"/>
                      <w:lang w:val="en-US" w:eastAsia="zh-CN"/>
                    </w:rPr>
                    <w:t>900-217-08</w:t>
                  </w:r>
                </w:p>
              </w:tc>
              <w:tc>
                <w:tcPr>
                  <w:tcW w:w="3693" w:type="dxa"/>
                  <w:tcBorders>
                    <w:tl2br w:val="nil"/>
                    <w:tr2bl w:val="nil"/>
                  </w:tcBorders>
                  <w:vAlign w:val="center"/>
                </w:tcPr>
                <w:p w14:paraId="5D63F76F">
                  <w:pPr>
                    <w:pStyle w:val="18"/>
                    <w:jc w:val="center"/>
                    <w:rPr>
                      <w:rFonts w:hint="default" w:ascii="Times New Roman" w:hAnsi="Times New Roman" w:eastAsia="宋体" w:cs="Times New Roman"/>
                      <w:vertAlign w:val="baseline"/>
                      <w:lang w:val="en-US" w:eastAsia="zh-CN"/>
                    </w:rPr>
                  </w:pPr>
                  <w:r>
                    <w:rPr>
                      <w:rFonts w:hint="default" w:ascii="Times New Roman" w:hAnsi="Times New Roman" w:cs="Times New Roman"/>
                      <w:vertAlign w:val="baseline"/>
                      <w:lang w:val="en-US" w:eastAsia="zh-CN"/>
                    </w:rPr>
                    <w:t>使用工业齿轮油进行机械设备润滑过程产生的废润滑油</w:t>
                  </w:r>
                </w:p>
              </w:tc>
              <w:tc>
                <w:tcPr>
                  <w:tcW w:w="1133" w:type="dxa"/>
                  <w:tcBorders>
                    <w:tl2br w:val="nil"/>
                    <w:tr2bl w:val="nil"/>
                  </w:tcBorders>
                  <w:vAlign w:val="center"/>
                </w:tcPr>
                <w:p w14:paraId="26710E07">
                  <w:pPr>
                    <w:pStyle w:val="18"/>
                    <w:jc w:val="center"/>
                    <w:rPr>
                      <w:rFonts w:hint="default" w:ascii="Times New Roman" w:hAnsi="Times New Roman" w:cs="Times New Roman"/>
                      <w:vertAlign w:val="baseline"/>
                    </w:rPr>
                  </w:pPr>
                  <w:r>
                    <w:rPr>
                      <w:rFonts w:hint="default" w:ascii="Times New Roman" w:hAnsi="Times New Roman" w:cs="Times New Roman"/>
                      <w:vertAlign w:val="baseline"/>
                      <w:lang w:val="en-US" w:eastAsia="zh-CN"/>
                    </w:rPr>
                    <w:t>T,I</w:t>
                  </w:r>
                </w:p>
              </w:tc>
              <w:tc>
                <w:tcPr>
                  <w:tcW w:w="869" w:type="dxa"/>
                  <w:tcBorders>
                    <w:tl2br w:val="nil"/>
                    <w:tr2bl w:val="nil"/>
                  </w:tcBorders>
                  <w:vAlign w:val="center"/>
                </w:tcPr>
                <w:p w14:paraId="24D264B6">
                  <w:pPr>
                    <w:pStyle w:val="18"/>
                    <w:jc w:val="center"/>
                    <w:rPr>
                      <w:rFonts w:hint="default" w:ascii="Times New Roman" w:hAnsi="Times New Roman" w:cs="Times New Roman"/>
                      <w:vertAlign w:val="baseline"/>
                    </w:rPr>
                  </w:pPr>
                </w:p>
              </w:tc>
            </w:tr>
            <w:tr w14:paraId="4E2E0E44">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1187" w:type="dxa"/>
                  <w:vMerge w:val="continue"/>
                  <w:tcBorders>
                    <w:tl2br w:val="nil"/>
                    <w:tr2bl w:val="nil"/>
                  </w:tcBorders>
                  <w:vAlign w:val="center"/>
                </w:tcPr>
                <w:p w14:paraId="34D2004E">
                  <w:pPr>
                    <w:pStyle w:val="18"/>
                    <w:jc w:val="center"/>
                    <w:rPr>
                      <w:rFonts w:hint="default" w:ascii="Times New Roman" w:hAnsi="Times New Roman" w:cs="Times New Roman"/>
                      <w:vertAlign w:val="baseline"/>
                    </w:rPr>
                  </w:pPr>
                </w:p>
              </w:tc>
              <w:tc>
                <w:tcPr>
                  <w:tcW w:w="1294" w:type="dxa"/>
                  <w:tcBorders>
                    <w:tl2br w:val="nil"/>
                    <w:tr2bl w:val="nil"/>
                  </w:tcBorders>
                  <w:vAlign w:val="center"/>
                </w:tcPr>
                <w:p w14:paraId="60FE9336">
                  <w:pPr>
                    <w:pStyle w:val="18"/>
                    <w:jc w:val="center"/>
                    <w:rPr>
                      <w:rFonts w:hint="default" w:ascii="Times New Roman" w:hAnsi="Times New Roman" w:eastAsia="宋体" w:cs="Times New Roman"/>
                      <w:vertAlign w:val="baseline"/>
                      <w:lang w:val="en-US" w:eastAsia="zh-CN"/>
                    </w:rPr>
                  </w:pPr>
                  <w:r>
                    <w:rPr>
                      <w:rFonts w:hint="default" w:ascii="Times New Roman" w:hAnsi="Times New Roman" w:cs="Times New Roman"/>
                      <w:vertAlign w:val="baseline"/>
                      <w:lang w:val="en-US" w:eastAsia="zh-CN"/>
                    </w:rPr>
                    <w:t>900-218-08</w:t>
                  </w:r>
                </w:p>
              </w:tc>
              <w:tc>
                <w:tcPr>
                  <w:tcW w:w="3693" w:type="dxa"/>
                  <w:tcBorders>
                    <w:tl2br w:val="nil"/>
                    <w:tr2bl w:val="nil"/>
                  </w:tcBorders>
                  <w:vAlign w:val="center"/>
                </w:tcPr>
                <w:p w14:paraId="7DDB9844">
                  <w:pPr>
                    <w:pStyle w:val="18"/>
                    <w:jc w:val="center"/>
                    <w:rPr>
                      <w:rFonts w:hint="default" w:ascii="Times New Roman" w:hAnsi="Times New Roman" w:eastAsia="宋体" w:cs="Times New Roman"/>
                      <w:vertAlign w:val="baseline"/>
                      <w:lang w:val="en-US" w:eastAsia="zh-CN"/>
                    </w:rPr>
                  </w:pPr>
                  <w:r>
                    <w:rPr>
                      <w:rFonts w:hint="default" w:ascii="Times New Roman" w:hAnsi="Times New Roman" w:cs="Times New Roman"/>
                      <w:vertAlign w:val="baseline"/>
                      <w:lang w:val="en-US" w:eastAsia="zh-CN"/>
                    </w:rPr>
                    <w:t>液压设备维护、更换和拆解过程中产生的废液压油</w:t>
                  </w:r>
                </w:p>
              </w:tc>
              <w:tc>
                <w:tcPr>
                  <w:tcW w:w="1133" w:type="dxa"/>
                  <w:tcBorders>
                    <w:tl2br w:val="nil"/>
                    <w:tr2bl w:val="nil"/>
                  </w:tcBorders>
                  <w:vAlign w:val="center"/>
                </w:tcPr>
                <w:p w14:paraId="4EF6F990">
                  <w:pPr>
                    <w:pStyle w:val="18"/>
                    <w:jc w:val="center"/>
                    <w:rPr>
                      <w:rFonts w:hint="default" w:ascii="Times New Roman" w:hAnsi="Times New Roman" w:cs="Times New Roman"/>
                      <w:vertAlign w:val="baseline"/>
                    </w:rPr>
                  </w:pPr>
                  <w:r>
                    <w:rPr>
                      <w:rFonts w:hint="default" w:ascii="Times New Roman" w:hAnsi="Times New Roman" w:cs="Times New Roman"/>
                      <w:vertAlign w:val="baseline"/>
                      <w:lang w:val="en-US" w:eastAsia="zh-CN"/>
                    </w:rPr>
                    <w:t>T,I</w:t>
                  </w:r>
                </w:p>
              </w:tc>
              <w:tc>
                <w:tcPr>
                  <w:tcW w:w="869" w:type="dxa"/>
                  <w:tcBorders>
                    <w:tl2br w:val="nil"/>
                    <w:tr2bl w:val="nil"/>
                  </w:tcBorders>
                  <w:vAlign w:val="center"/>
                </w:tcPr>
                <w:p w14:paraId="1F99C88A">
                  <w:pPr>
                    <w:pStyle w:val="18"/>
                    <w:jc w:val="center"/>
                    <w:rPr>
                      <w:rFonts w:hint="default" w:ascii="Times New Roman" w:hAnsi="Times New Roman" w:cs="Times New Roman"/>
                      <w:vertAlign w:val="baseline"/>
                    </w:rPr>
                  </w:pPr>
                </w:p>
              </w:tc>
            </w:tr>
            <w:tr w14:paraId="59C841BB">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1187" w:type="dxa"/>
                  <w:vMerge w:val="continue"/>
                  <w:tcBorders>
                    <w:tl2br w:val="nil"/>
                    <w:tr2bl w:val="nil"/>
                  </w:tcBorders>
                  <w:vAlign w:val="center"/>
                </w:tcPr>
                <w:p w14:paraId="24199035">
                  <w:pPr>
                    <w:pStyle w:val="18"/>
                    <w:jc w:val="center"/>
                    <w:rPr>
                      <w:rFonts w:hint="default" w:ascii="Times New Roman" w:hAnsi="Times New Roman" w:cs="Times New Roman"/>
                      <w:vertAlign w:val="baseline"/>
                    </w:rPr>
                  </w:pPr>
                </w:p>
              </w:tc>
              <w:tc>
                <w:tcPr>
                  <w:tcW w:w="1294" w:type="dxa"/>
                  <w:tcBorders>
                    <w:tl2br w:val="nil"/>
                    <w:tr2bl w:val="nil"/>
                  </w:tcBorders>
                  <w:vAlign w:val="center"/>
                </w:tcPr>
                <w:p w14:paraId="54FB96F7">
                  <w:pPr>
                    <w:pStyle w:val="18"/>
                    <w:jc w:val="center"/>
                    <w:rPr>
                      <w:rFonts w:hint="default" w:ascii="Times New Roman" w:hAnsi="Times New Roman" w:eastAsia="宋体" w:cs="Times New Roman"/>
                      <w:vertAlign w:val="baseline"/>
                      <w:lang w:val="en-US" w:eastAsia="zh-CN"/>
                    </w:rPr>
                  </w:pPr>
                  <w:r>
                    <w:rPr>
                      <w:rFonts w:hint="default" w:ascii="Times New Roman" w:hAnsi="Times New Roman" w:cs="Times New Roman"/>
                      <w:vertAlign w:val="baseline"/>
                      <w:lang w:val="en-US" w:eastAsia="zh-CN"/>
                    </w:rPr>
                    <w:t>900-249-08</w:t>
                  </w:r>
                </w:p>
              </w:tc>
              <w:tc>
                <w:tcPr>
                  <w:tcW w:w="3693" w:type="dxa"/>
                  <w:tcBorders>
                    <w:tl2br w:val="nil"/>
                    <w:tr2bl w:val="nil"/>
                  </w:tcBorders>
                  <w:vAlign w:val="center"/>
                </w:tcPr>
                <w:p w14:paraId="3D2146ED">
                  <w:pPr>
                    <w:pStyle w:val="18"/>
                    <w:jc w:val="center"/>
                    <w:rPr>
                      <w:rFonts w:hint="default" w:ascii="Times New Roman" w:hAnsi="Times New Roman" w:eastAsia="宋体" w:cs="Times New Roman"/>
                      <w:vertAlign w:val="baseline"/>
                      <w:lang w:val="en-US" w:eastAsia="zh-CN"/>
                    </w:rPr>
                  </w:pPr>
                  <w:r>
                    <w:rPr>
                      <w:rFonts w:hint="default" w:ascii="Times New Roman" w:hAnsi="Times New Roman" w:cs="Times New Roman"/>
                      <w:vertAlign w:val="baseline"/>
                      <w:lang w:val="en-US" w:eastAsia="zh-CN"/>
                    </w:rPr>
                    <w:t>其他生产、销售、使用过程中产生的废矿物油及沾染矿物油的废弃包装物</w:t>
                  </w:r>
                </w:p>
              </w:tc>
              <w:tc>
                <w:tcPr>
                  <w:tcW w:w="1133" w:type="dxa"/>
                  <w:tcBorders>
                    <w:tl2br w:val="nil"/>
                    <w:tr2bl w:val="nil"/>
                  </w:tcBorders>
                  <w:vAlign w:val="center"/>
                </w:tcPr>
                <w:p w14:paraId="31B9305F">
                  <w:pPr>
                    <w:pStyle w:val="18"/>
                    <w:jc w:val="center"/>
                    <w:rPr>
                      <w:rFonts w:hint="default" w:ascii="Times New Roman" w:hAnsi="Times New Roman" w:eastAsia="宋体" w:cs="Times New Roman"/>
                      <w:vertAlign w:val="baseline"/>
                      <w:lang w:val="en-US" w:eastAsia="zh-CN"/>
                    </w:rPr>
                  </w:pPr>
                  <w:r>
                    <w:rPr>
                      <w:rFonts w:hint="default" w:ascii="Times New Roman" w:hAnsi="Times New Roman" w:cs="Times New Roman"/>
                      <w:vertAlign w:val="baseline"/>
                      <w:lang w:val="en-US" w:eastAsia="zh-CN"/>
                    </w:rPr>
                    <w:t>T/In</w:t>
                  </w:r>
                </w:p>
              </w:tc>
              <w:tc>
                <w:tcPr>
                  <w:tcW w:w="869" w:type="dxa"/>
                  <w:tcBorders>
                    <w:tl2br w:val="nil"/>
                    <w:tr2bl w:val="nil"/>
                  </w:tcBorders>
                  <w:vAlign w:val="center"/>
                </w:tcPr>
                <w:p w14:paraId="3BEB9CA9">
                  <w:pPr>
                    <w:pStyle w:val="18"/>
                    <w:jc w:val="center"/>
                    <w:rPr>
                      <w:rFonts w:hint="default" w:ascii="Times New Roman" w:hAnsi="Times New Roman" w:cs="Times New Roman"/>
                      <w:vertAlign w:val="baseline"/>
                    </w:rPr>
                  </w:pPr>
                </w:p>
              </w:tc>
            </w:tr>
          </w:tbl>
          <w:p w14:paraId="4788D1AD">
            <w:pPr>
              <w:pStyle w:val="18"/>
              <w:rPr>
                <w:rFonts w:hint="default"/>
                <w:lang w:val="en-US" w:eastAsia="zh-CN"/>
              </w:rPr>
            </w:pPr>
          </w:p>
          <w:p w14:paraId="0E30F83B">
            <w:pPr>
              <w:spacing w:line="240" w:lineRule="auto"/>
              <w:jc w:val="center"/>
              <w:outlineLvl w:val="1"/>
              <w:rPr>
                <w:rFonts w:hint="eastAsia" w:cs="Times New Roman"/>
                <w:b/>
                <w:bCs/>
                <w:color w:val="000000" w:themeColor="text1"/>
                <w:sz w:val="21"/>
                <w:szCs w:val="21"/>
                <w:highlight w:val="none"/>
                <w:lang w:val="en-US" w:eastAsia="zh-CN"/>
                <w14:textFill>
                  <w14:solidFill>
                    <w14:schemeClr w14:val="tx1"/>
                  </w14:solidFill>
                </w14:textFill>
              </w:rPr>
            </w:pPr>
            <w:r>
              <w:rPr>
                <w:rFonts w:hint="eastAsia" w:cs="Times New Roman"/>
                <w:b/>
                <w:bCs/>
                <w:color w:val="000000" w:themeColor="text1"/>
                <w:sz w:val="21"/>
                <w:szCs w:val="21"/>
                <w:highlight w:val="none"/>
                <w:lang w:val="en-US" w:eastAsia="zh-CN"/>
                <w14:textFill>
                  <w14:solidFill>
                    <w14:schemeClr w14:val="tx1"/>
                  </w14:solidFill>
                </w14:textFill>
              </w:rPr>
              <w:t>表2-5 废矿物油的理化性质及危险特性表</w:t>
            </w:r>
          </w:p>
          <w:tbl>
            <w:tblPr>
              <w:tblStyle w:val="28"/>
              <w:tblW w:w="0" w:type="auto"/>
              <w:tblInd w:w="5" w:type="dxa"/>
              <w:tblBorders>
                <w:top w:val="double" w:color="auto" w:sz="4" w:space="0"/>
                <w:left w:val="none" w:color="auto" w:sz="0" w:space="0"/>
                <w:bottom w:val="doub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104"/>
              <w:gridCol w:w="1219"/>
              <w:gridCol w:w="1429"/>
              <w:gridCol w:w="897"/>
              <w:gridCol w:w="1323"/>
              <w:gridCol w:w="1036"/>
              <w:gridCol w:w="1168"/>
            </w:tblGrid>
            <w:tr w14:paraId="3B7678FF">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1104" w:type="dxa"/>
                  <w:tcBorders>
                    <w:tl2br w:val="nil"/>
                    <w:tr2bl w:val="nil"/>
                  </w:tcBorders>
                  <w:vAlign w:val="center"/>
                </w:tcPr>
                <w:p w14:paraId="782B9296">
                  <w:pPr>
                    <w:pStyle w:val="2"/>
                    <w:ind w:left="0" w:leftChars="0" w:firstLine="0" w:firstLineChars="0"/>
                    <w:jc w:val="center"/>
                    <w:rPr>
                      <w:rFonts w:hint="default"/>
                      <w:vertAlign w:val="baseline"/>
                      <w:lang w:val="en-US" w:eastAsia="zh-CN"/>
                    </w:rPr>
                  </w:pPr>
                  <w:r>
                    <w:rPr>
                      <w:rFonts w:hint="eastAsia"/>
                      <w:vertAlign w:val="baseline"/>
                      <w:lang w:val="en-US" w:eastAsia="zh-CN"/>
                    </w:rPr>
                    <w:t>标识</w:t>
                  </w:r>
                </w:p>
              </w:tc>
              <w:tc>
                <w:tcPr>
                  <w:tcW w:w="1219" w:type="dxa"/>
                  <w:tcBorders>
                    <w:tl2br w:val="nil"/>
                    <w:tr2bl w:val="nil"/>
                  </w:tcBorders>
                  <w:vAlign w:val="center"/>
                </w:tcPr>
                <w:p w14:paraId="03AD2053">
                  <w:pPr>
                    <w:pStyle w:val="2"/>
                    <w:ind w:left="0" w:leftChars="0" w:firstLine="0" w:firstLineChars="0"/>
                    <w:jc w:val="center"/>
                    <w:rPr>
                      <w:rFonts w:hint="default"/>
                      <w:vertAlign w:val="baseline"/>
                      <w:lang w:val="en-US" w:eastAsia="zh-CN"/>
                    </w:rPr>
                  </w:pPr>
                  <w:r>
                    <w:rPr>
                      <w:rFonts w:hint="eastAsia"/>
                      <w:vertAlign w:val="baseline"/>
                      <w:lang w:val="en-US" w:eastAsia="zh-CN"/>
                    </w:rPr>
                    <w:t>中文名</w:t>
                  </w:r>
                </w:p>
              </w:tc>
              <w:tc>
                <w:tcPr>
                  <w:tcW w:w="1429" w:type="dxa"/>
                  <w:tcBorders>
                    <w:tl2br w:val="nil"/>
                    <w:tr2bl w:val="nil"/>
                  </w:tcBorders>
                  <w:vAlign w:val="center"/>
                </w:tcPr>
                <w:p w14:paraId="54063087">
                  <w:pPr>
                    <w:pStyle w:val="2"/>
                    <w:ind w:left="0" w:leftChars="0" w:firstLine="0" w:firstLineChars="0"/>
                    <w:jc w:val="center"/>
                    <w:rPr>
                      <w:rFonts w:hint="default"/>
                      <w:vertAlign w:val="baseline"/>
                      <w:lang w:val="en-US" w:eastAsia="zh-CN"/>
                    </w:rPr>
                  </w:pPr>
                  <w:r>
                    <w:rPr>
                      <w:rFonts w:hint="eastAsia"/>
                      <w:vertAlign w:val="baseline"/>
                      <w:lang w:val="en-US" w:eastAsia="zh-CN"/>
                    </w:rPr>
                    <w:t>机油：润滑油</w:t>
                  </w:r>
                </w:p>
              </w:tc>
              <w:tc>
                <w:tcPr>
                  <w:tcW w:w="897" w:type="dxa"/>
                  <w:tcBorders>
                    <w:tl2br w:val="nil"/>
                    <w:tr2bl w:val="nil"/>
                  </w:tcBorders>
                  <w:vAlign w:val="center"/>
                </w:tcPr>
                <w:p w14:paraId="36156ACB">
                  <w:pPr>
                    <w:pStyle w:val="2"/>
                    <w:ind w:left="0" w:leftChars="0" w:firstLine="0" w:firstLineChars="0"/>
                    <w:jc w:val="center"/>
                    <w:rPr>
                      <w:rFonts w:hint="default"/>
                      <w:vertAlign w:val="baseline"/>
                      <w:lang w:val="en-US" w:eastAsia="zh-CN"/>
                    </w:rPr>
                  </w:pPr>
                  <w:r>
                    <w:rPr>
                      <w:rFonts w:hint="eastAsia"/>
                      <w:vertAlign w:val="baseline"/>
                      <w:lang w:val="en-US" w:eastAsia="zh-CN"/>
                    </w:rPr>
                    <w:t>英文名</w:t>
                  </w:r>
                </w:p>
              </w:tc>
              <w:tc>
                <w:tcPr>
                  <w:tcW w:w="1323" w:type="dxa"/>
                  <w:tcBorders>
                    <w:tl2br w:val="nil"/>
                    <w:tr2bl w:val="nil"/>
                  </w:tcBorders>
                  <w:vAlign w:val="center"/>
                </w:tcPr>
                <w:p w14:paraId="2632082C">
                  <w:pPr>
                    <w:pStyle w:val="2"/>
                    <w:ind w:left="0" w:leftChars="0" w:firstLine="0" w:firstLineChars="0"/>
                    <w:jc w:val="center"/>
                    <w:rPr>
                      <w:rFonts w:hint="default"/>
                      <w:vertAlign w:val="baseline"/>
                      <w:lang w:val="en-US" w:eastAsia="zh-CN"/>
                    </w:rPr>
                  </w:pPr>
                  <w:r>
                    <w:rPr>
                      <w:rFonts w:hint="eastAsia"/>
                      <w:vertAlign w:val="baseline"/>
                      <w:lang w:val="en-US" w:eastAsia="zh-CN"/>
                    </w:rPr>
                    <w:t>Lubricating oil;Lube oil</w:t>
                  </w:r>
                </w:p>
              </w:tc>
              <w:tc>
                <w:tcPr>
                  <w:tcW w:w="1036" w:type="dxa"/>
                  <w:tcBorders>
                    <w:tl2br w:val="nil"/>
                    <w:tr2bl w:val="nil"/>
                  </w:tcBorders>
                  <w:vAlign w:val="center"/>
                </w:tcPr>
                <w:p w14:paraId="5AD2F1FC">
                  <w:pPr>
                    <w:pStyle w:val="2"/>
                    <w:ind w:left="0" w:leftChars="0" w:firstLine="0" w:firstLineChars="0"/>
                    <w:jc w:val="center"/>
                    <w:rPr>
                      <w:rFonts w:hint="default"/>
                      <w:vertAlign w:val="baseline"/>
                      <w:lang w:val="en-US" w:eastAsia="zh-CN"/>
                    </w:rPr>
                  </w:pPr>
                  <w:r>
                    <w:rPr>
                      <w:rFonts w:hint="eastAsia"/>
                      <w:vertAlign w:val="baseline"/>
                      <w:lang w:val="en-US" w:eastAsia="zh-CN"/>
                    </w:rPr>
                    <w:t>分子量</w:t>
                  </w:r>
                </w:p>
              </w:tc>
              <w:tc>
                <w:tcPr>
                  <w:tcW w:w="1168" w:type="dxa"/>
                  <w:tcBorders>
                    <w:tl2br w:val="nil"/>
                    <w:tr2bl w:val="nil"/>
                  </w:tcBorders>
                  <w:vAlign w:val="center"/>
                </w:tcPr>
                <w:p w14:paraId="6AE5465A">
                  <w:pPr>
                    <w:pStyle w:val="2"/>
                    <w:ind w:left="0" w:leftChars="0" w:firstLine="0" w:firstLineChars="0"/>
                    <w:jc w:val="center"/>
                    <w:rPr>
                      <w:rFonts w:hint="default"/>
                      <w:vertAlign w:val="baseline"/>
                      <w:lang w:val="en-US" w:eastAsia="zh-CN"/>
                    </w:rPr>
                  </w:pPr>
                  <w:r>
                    <w:rPr>
                      <w:rFonts w:hint="eastAsia"/>
                      <w:vertAlign w:val="baseline"/>
                      <w:lang w:val="en-US" w:eastAsia="zh-CN"/>
                    </w:rPr>
                    <w:t>230~500</w:t>
                  </w:r>
                </w:p>
              </w:tc>
            </w:tr>
            <w:tr w14:paraId="1395BCB6">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1104" w:type="dxa"/>
                  <w:vMerge w:val="restart"/>
                  <w:tcBorders>
                    <w:tl2br w:val="nil"/>
                    <w:tr2bl w:val="nil"/>
                  </w:tcBorders>
                  <w:vAlign w:val="center"/>
                </w:tcPr>
                <w:p w14:paraId="7A689DEF">
                  <w:pPr>
                    <w:pStyle w:val="2"/>
                    <w:ind w:left="0" w:leftChars="0" w:firstLine="0" w:firstLineChars="0"/>
                    <w:jc w:val="center"/>
                    <w:rPr>
                      <w:rFonts w:hint="default"/>
                      <w:vertAlign w:val="baseline"/>
                      <w:lang w:val="en-US" w:eastAsia="zh-CN"/>
                    </w:rPr>
                  </w:pPr>
                  <w:r>
                    <w:rPr>
                      <w:rFonts w:hint="eastAsia"/>
                      <w:vertAlign w:val="baseline"/>
                      <w:lang w:val="en-US" w:eastAsia="zh-CN"/>
                    </w:rPr>
                    <w:t>理化性质</w:t>
                  </w:r>
                </w:p>
              </w:tc>
              <w:tc>
                <w:tcPr>
                  <w:tcW w:w="1219" w:type="dxa"/>
                  <w:tcBorders>
                    <w:tl2br w:val="nil"/>
                    <w:tr2bl w:val="nil"/>
                  </w:tcBorders>
                  <w:vAlign w:val="center"/>
                </w:tcPr>
                <w:p w14:paraId="43746151">
                  <w:pPr>
                    <w:pStyle w:val="2"/>
                    <w:ind w:left="0" w:leftChars="0" w:firstLine="0" w:firstLineChars="0"/>
                    <w:jc w:val="center"/>
                    <w:rPr>
                      <w:rFonts w:hint="default"/>
                      <w:vertAlign w:val="baseline"/>
                      <w:lang w:val="en-US" w:eastAsia="zh-CN"/>
                    </w:rPr>
                  </w:pPr>
                  <w:r>
                    <w:rPr>
                      <w:rFonts w:hint="eastAsia"/>
                      <w:vertAlign w:val="baseline"/>
                      <w:lang w:val="en-US" w:eastAsia="zh-CN"/>
                    </w:rPr>
                    <w:t>性状</w:t>
                  </w:r>
                </w:p>
              </w:tc>
              <w:tc>
                <w:tcPr>
                  <w:tcW w:w="5853" w:type="dxa"/>
                  <w:gridSpan w:val="5"/>
                  <w:tcBorders>
                    <w:tl2br w:val="nil"/>
                    <w:tr2bl w:val="nil"/>
                  </w:tcBorders>
                  <w:vAlign w:val="center"/>
                </w:tcPr>
                <w:p w14:paraId="049F223E">
                  <w:pPr>
                    <w:pStyle w:val="2"/>
                    <w:ind w:left="0" w:leftChars="0" w:firstLine="0" w:firstLineChars="0"/>
                    <w:jc w:val="center"/>
                    <w:rPr>
                      <w:rFonts w:hint="default"/>
                      <w:vertAlign w:val="baseline"/>
                      <w:lang w:val="en-US" w:eastAsia="zh-CN"/>
                    </w:rPr>
                  </w:pPr>
                  <w:r>
                    <w:rPr>
                      <w:rFonts w:hint="eastAsia"/>
                      <w:vertAlign w:val="baseline"/>
                      <w:lang w:val="en-US" w:eastAsia="zh-CN"/>
                    </w:rPr>
                    <w:t>油状液体，淡黄色至褐色，无气味或略带异味</w:t>
                  </w:r>
                </w:p>
              </w:tc>
            </w:tr>
            <w:tr w14:paraId="5182CFAF">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1104" w:type="dxa"/>
                  <w:vMerge w:val="continue"/>
                  <w:tcBorders>
                    <w:tl2br w:val="nil"/>
                    <w:tr2bl w:val="nil"/>
                  </w:tcBorders>
                  <w:vAlign w:val="center"/>
                </w:tcPr>
                <w:p w14:paraId="5784B271">
                  <w:pPr>
                    <w:pStyle w:val="2"/>
                    <w:ind w:left="0" w:leftChars="0" w:firstLine="0" w:firstLineChars="0"/>
                    <w:jc w:val="center"/>
                    <w:rPr>
                      <w:rFonts w:hint="default"/>
                      <w:vertAlign w:val="baseline"/>
                      <w:lang w:val="en-US" w:eastAsia="zh-CN"/>
                    </w:rPr>
                  </w:pPr>
                </w:p>
              </w:tc>
              <w:tc>
                <w:tcPr>
                  <w:tcW w:w="1219" w:type="dxa"/>
                  <w:tcBorders>
                    <w:tl2br w:val="nil"/>
                    <w:tr2bl w:val="nil"/>
                  </w:tcBorders>
                  <w:vAlign w:val="center"/>
                </w:tcPr>
                <w:p w14:paraId="31A238FF">
                  <w:pPr>
                    <w:pStyle w:val="2"/>
                    <w:ind w:left="0" w:leftChars="0" w:firstLine="0" w:firstLineChars="0"/>
                    <w:jc w:val="center"/>
                    <w:rPr>
                      <w:rFonts w:hint="default"/>
                      <w:vertAlign w:val="baseline"/>
                      <w:lang w:val="en-US" w:eastAsia="zh-CN"/>
                    </w:rPr>
                  </w:pPr>
                  <w:r>
                    <w:rPr>
                      <w:rFonts w:hint="eastAsia"/>
                      <w:vertAlign w:val="baseline"/>
                      <w:lang w:val="en-US" w:eastAsia="zh-CN"/>
                    </w:rPr>
                    <w:t>溶解性</w:t>
                  </w:r>
                </w:p>
              </w:tc>
              <w:tc>
                <w:tcPr>
                  <w:tcW w:w="2326" w:type="dxa"/>
                  <w:gridSpan w:val="2"/>
                  <w:tcBorders>
                    <w:tl2br w:val="nil"/>
                    <w:tr2bl w:val="nil"/>
                  </w:tcBorders>
                  <w:vAlign w:val="center"/>
                </w:tcPr>
                <w:p w14:paraId="7E01864A">
                  <w:pPr>
                    <w:pStyle w:val="2"/>
                    <w:ind w:left="0" w:leftChars="0" w:firstLine="0" w:firstLineChars="0"/>
                    <w:jc w:val="center"/>
                    <w:rPr>
                      <w:rFonts w:hint="default"/>
                      <w:vertAlign w:val="baseline"/>
                      <w:lang w:val="en-US" w:eastAsia="zh-CN"/>
                    </w:rPr>
                  </w:pPr>
                  <w:r>
                    <w:rPr>
                      <w:rFonts w:hint="eastAsia"/>
                      <w:vertAlign w:val="baseline"/>
                      <w:lang w:val="en-US" w:eastAsia="zh-CN"/>
                    </w:rPr>
                    <w:t>不溶于水</w:t>
                  </w:r>
                </w:p>
              </w:tc>
              <w:tc>
                <w:tcPr>
                  <w:tcW w:w="1323" w:type="dxa"/>
                  <w:tcBorders>
                    <w:tl2br w:val="nil"/>
                    <w:tr2bl w:val="nil"/>
                  </w:tcBorders>
                  <w:vAlign w:val="center"/>
                </w:tcPr>
                <w:p w14:paraId="297EB0F5">
                  <w:pPr>
                    <w:pStyle w:val="2"/>
                    <w:ind w:left="0" w:leftChars="0" w:firstLine="0" w:firstLineChars="0"/>
                    <w:jc w:val="center"/>
                    <w:rPr>
                      <w:rFonts w:hint="default"/>
                      <w:vertAlign w:val="baseline"/>
                      <w:lang w:val="en-US" w:eastAsia="zh-CN"/>
                    </w:rPr>
                  </w:pPr>
                  <w:r>
                    <w:rPr>
                      <w:rFonts w:hint="eastAsia"/>
                      <w:vertAlign w:val="baseline"/>
                      <w:lang w:val="en-US" w:eastAsia="zh-CN"/>
                    </w:rPr>
                    <w:t>相对密度</w:t>
                  </w:r>
                </w:p>
              </w:tc>
              <w:tc>
                <w:tcPr>
                  <w:tcW w:w="2204" w:type="dxa"/>
                  <w:gridSpan w:val="2"/>
                  <w:tcBorders>
                    <w:tl2br w:val="nil"/>
                    <w:tr2bl w:val="nil"/>
                  </w:tcBorders>
                  <w:vAlign w:val="center"/>
                </w:tcPr>
                <w:p w14:paraId="77F86D63">
                  <w:pPr>
                    <w:pStyle w:val="2"/>
                    <w:ind w:left="0" w:leftChars="0" w:firstLine="0" w:firstLineChars="0"/>
                    <w:jc w:val="center"/>
                    <w:rPr>
                      <w:rFonts w:hint="default"/>
                      <w:vertAlign w:val="baseline"/>
                      <w:lang w:val="en-US" w:eastAsia="zh-CN"/>
                    </w:rPr>
                  </w:pPr>
                  <w:r>
                    <w:rPr>
                      <w:rFonts w:hint="eastAsia"/>
                      <w:vertAlign w:val="baseline"/>
                      <w:lang w:val="en-US" w:eastAsia="zh-CN"/>
                    </w:rPr>
                    <w:t>&lt;1</w:t>
                  </w:r>
                </w:p>
              </w:tc>
            </w:tr>
            <w:tr w14:paraId="3D13F0A5">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1104" w:type="dxa"/>
                  <w:vMerge w:val="restart"/>
                  <w:tcBorders>
                    <w:tl2br w:val="nil"/>
                    <w:tr2bl w:val="nil"/>
                  </w:tcBorders>
                  <w:vAlign w:val="center"/>
                </w:tcPr>
                <w:p w14:paraId="0850ABDA">
                  <w:pPr>
                    <w:pStyle w:val="2"/>
                    <w:ind w:left="0" w:leftChars="0" w:firstLine="0" w:firstLineChars="0"/>
                    <w:jc w:val="center"/>
                    <w:rPr>
                      <w:rFonts w:hint="default"/>
                      <w:vertAlign w:val="baseline"/>
                      <w:lang w:val="en-US" w:eastAsia="zh-CN"/>
                    </w:rPr>
                  </w:pPr>
                  <w:r>
                    <w:rPr>
                      <w:rFonts w:hint="eastAsia"/>
                      <w:vertAlign w:val="baseline"/>
                      <w:lang w:val="en-US" w:eastAsia="zh-CN"/>
                    </w:rPr>
                    <w:t>燃烧爆炸危险性</w:t>
                  </w:r>
                </w:p>
              </w:tc>
              <w:tc>
                <w:tcPr>
                  <w:tcW w:w="1219" w:type="dxa"/>
                  <w:tcBorders>
                    <w:tl2br w:val="nil"/>
                    <w:tr2bl w:val="nil"/>
                  </w:tcBorders>
                  <w:vAlign w:val="center"/>
                </w:tcPr>
                <w:p w14:paraId="6D5008E4">
                  <w:pPr>
                    <w:jc w:val="center"/>
                    <w:rPr>
                      <w:rFonts w:hint="default"/>
                      <w:lang w:val="en-US" w:eastAsia="zh-CN"/>
                    </w:rPr>
                  </w:pPr>
                  <w:r>
                    <w:rPr>
                      <w:rFonts w:hint="eastAsia"/>
                      <w:vertAlign w:val="baseline"/>
                      <w:lang w:val="en-US" w:eastAsia="zh-CN"/>
                    </w:rPr>
                    <w:t>沸点</w:t>
                  </w:r>
                </w:p>
              </w:tc>
              <w:tc>
                <w:tcPr>
                  <w:tcW w:w="2326" w:type="dxa"/>
                  <w:gridSpan w:val="2"/>
                  <w:tcBorders>
                    <w:tl2br w:val="nil"/>
                    <w:tr2bl w:val="nil"/>
                  </w:tcBorders>
                  <w:vAlign w:val="center"/>
                </w:tcPr>
                <w:p w14:paraId="588634ED">
                  <w:pPr>
                    <w:pStyle w:val="2"/>
                    <w:ind w:left="0" w:leftChars="0" w:firstLine="0" w:firstLineChars="0"/>
                    <w:jc w:val="center"/>
                    <w:rPr>
                      <w:rFonts w:hint="default"/>
                      <w:vertAlign w:val="baseline"/>
                      <w:lang w:val="en-US" w:eastAsia="zh-CN"/>
                    </w:rPr>
                  </w:pPr>
                  <w:r>
                    <w:rPr>
                      <w:rFonts w:hint="eastAsia"/>
                      <w:vertAlign w:val="baseline"/>
                      <w:lang w:val="en-US" w:eastAsia="zh-CN"/>
                    </w:rPr>
                    <w:t>163~73</w:t>
                  </w:r>
                </w:p>
              </w:tc>
              <w:tc>
                <w:tcPr>
                  <w:tcW w:w="1323" w:type="dxa"/>
                  <w:tcBorders>
                    <w:tl2br w:val="nil"/>
                    <w:tr2bl w:val="nil"/>
                  </w:tcBorders>
                  <w:vAlign w:val="center"/>
                </w:tcPr>
                <w:p w14:paraId="25895058">
                  <w:pPr>
                    <w:pStyle w:val="2"/>
                    <w:ind w:left="0" w:leftChars="0" w:firstLine="0" w:firstLineChars="0"/>
                    <w:jc w:val="center"/>
                    <w:rPr>
                      <w:rFonts w:hint="default"/>
                      <w:vertAlign w:val="baseline"/>
                      <w:lang w:val="en-US" w:eastAsia="zh-CN"/>
                    </w:rPr>
                  </w:pPr>
                  <w:r>
                    <w:rPr>
                      <w:rFonts w:hint="eastAsia"/>
                      <w:vertAlign w:val="baseline"/>
                      <w:lang w:val="en-US" w:eastAsia="zh-CN"/>
                    </w:rPr>
                    <w:t>闪点</w:t>
                  </w:r>
                </w:p>
              </w:tc>
              <w:tc>
                <w:tcPr>
                  <w:tcW w:w="2204" w:type="dxa"/>
                  <w:gridSpan w:val="2"/>
                  <w:tcBorders>
                    <w:tl2br w:val="nil"/>
                    <w:tr2bl w:val="nil"/>
                  </w:tcBorders>
                  <w:vAlign w:val="center"/>
                </w:tcPr>
                <w:p w14:paraId="36DF1DE7">
                  <w:pPr>
                    <w:pStyle w:val="2"/>
                    <w:ind w:left="0" w:leftChars="0" w:firstLine="0" w:firstLineChars="0"/>
                    <w:jc w:val="center"/>
                    <w:rPr>
                      <w:rFonts w:hint="default"/>
                      <w:vertAlign w:val="baseline"/>
                      <w:lang w:val="en-US" w:eastAsia="zh-CN"/>
                    </w:rPr>
                  </w:pPr>
                  <w:r>
                    <w:rPr>
                      <w:rFonts w:hint="eastAsia"/>
                      <w:vertAlign w:val="baseline"/>
                      <w:lang w:val="en-US" w:eastAsia="zh-CN"/>
                    </w:rPr>
                    <w:t>76</w:t>
                  </w:r>
                </w:p>
              </w:tc>
            </w:tr>
            <w:tr w14:paraId="792328E6">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1104" w:type="dxa"/>
                  <w:vMerge w:val="continue"/>
                  <w:tcBorders>
                    <w:tl2br w:val="nil"/>
                    <w:tr2bl w:val="nil"/>
                  </w:tcBorders>
                  <w:vAlign w:val="center"/>
                </w:tcPr>
                <w:p w14:paraId="5091F39C">
                  <w:pPr>
                    <w:pStyle w:val="2"/>
                    <w:ind w:left="0" w:leftChars="0" w:firstLine="0" w:firstLineChars="0"/>
                    <w:jc w:val="center"/>
                    <w:rPr>
                      <w:rFonts w:hint="default"/>
                      <w:vertAlign w:val="baseline"/>
                      <w:lang w:val="en-US" w:eastAsia="zh-CN"/>
                    </w:rPr>
                  </w:pPr>
                </w:p>
              </w:tc>
              <w:tc>
                <w:tcPr>
                  <w:tcW w:w="1219" w:type="dxa"/>
                  <w:tcBorders>
                    <w:tl2br w:val="nil"/>
                    <w:tr2bl w:val="nil"/>
                  </w:tcBorders>
                  <w:vAlign w:val="center"/>
                </w:tcPr>
                <w:p w14:paraId="1A4DED02">
                  <w:pPr>
                    <w:pStyle w:val="2"/>
                    <w:ind w:left="0" w:leftChars="0" w:firstLine="0" w:firstLineChars="0"/>
                    <w:jc w:val="center"/>
                    <w:rPr>
                      <w:rFonts w:hint="default"/>
                      <w:vertAlign w:val="baseline"/>
                      <w:lang w:val="en-US" w:eastAsia="zh-CN"/>
                    </w:rPr>
                  </w:pPr>
                  <w:r>
                    <w:rPr>
                      <w:rFonts w:hint="eastAsia"/>
                      <w:vertAlign w:val="baseline"/>
                      <w:lang w:val="en-US" w:eastAsia="zh-CN"/>
                    </w:rPr>
                    <w:t>爆炸极限</w:t>
                  </w:r>
                </w:p>
              </w:tc>
              <w:tc>
                <w:tcPr>
                  <w:tcW w:w="2326" w:type="dxa"/>
                  <w:gridSpan w:val="2"/>
                  <w:tcBorders>
                    <w:tl2br w:val="nil"/>
                    <w:tr2bl w:val="nil"/>
                  </w:tcBorders>
                  <w:vAlign w:val="center"/>
                </w:tcPr>
                <w:p w14:paraId="0DB17E0A">
                  <w:pPr>
                    <w:pStyle w:val="2"/>
                    <w:ind w:left="0" w:leftChars="0" w:firstLine="0" w:firstLineChars="0"/>
                    <w:jc w:val="center"/>
                    <w:rPr>
                      <w:rFonts w:hint="default"/>
                      <w:vertAlign w:val="baseline"/>
                      <w:lang w:val="en-US" w:eastAsia="zh-CN"/>
                    </w:rPr>
                  </w:pPr>
                  <w:r>
                    <w:rPr>
                      <w:rFonts w:hint="eastAsia"/>
                      <w:vertAlign w:val="baseline"/>
                      <w:lang w:val="en-US" w:eastAsia="zh-CN"/>
                    </w:rPr>
                    <w:t>3.8~1.2</w:t>
                  </w:r>
                </w:p>
              </w:tc>
              <w:tc>
                <w:tcPr>
                  <w:tcW w:w="1323" w:type="dxa"/>
                  <w:tcBorders>
                    <w:tl2br w:val="nil"/>
                    <w:tr2bl w:val="nil"/>
                  </w:tcBorders>
                  <w:vAlign w:val="center"/>
                </w:tcPr>
                <w:p w14:paraId="10ED6394">
                  <w:pPr>
                    <w:pStyle w:val="2"/>
                    <w:ind w:left="0" w:leftChars="0" w:firstLine="0" w:firstLineChars="0"/>
                    <w:jc w:val="center"/>
                    <w:rPr>
                      <w:rFonts w:hint="default"/>
                      <w:vertAlign w:val="baseline"/>
                      <w:lang w:val="en-US" w:eastAsia="zh-CN"/>
                    </w:rPr>
                  </w:pPr>
                  <w:r>
                    <w:rPr>
                      <w:rFonts w:hint="eastAsia"/>
                      <w:vertAlign w:val="baseline"/>
                      <w:lang w:val="en-US" w:eastAsia="zh-CN"/>
                    </w:rPr>
                    <w:t>引燃温度</w:t>
                  </w:r>
                </w:p>
              </w:tc>
              <w:tc>
                <w:tcPr>
                  <w:tcW w:w="2204" w:type="dxa"/>
                  <w:gridSpan w:val="2"/>
                  <w:tcBorders>
                    <w:tl2br w:val="nil"/>
                    <w:tr2bl w:val="nil"/>
                  </w:tcBorders>
                  <w:vAlign w:val="center"/>
                </w:tcPr>
                <w:p w14:paraId="717C400E">
                  <w:pPr>
                    <w:pStyle w:val="2"/>
                    <w:ind w:left="0" w:leftChars="0" w:firstLine="0" w:firstLineChars="0"/>
                    <w:jc w:val="center"/>
                    <w:rPr>
                      <w:rFonts w:hint="default"/>
                      <w:vertAlign w:val="baseline"/>
                      <w:lang w:val="en-US" w:eastAsia="zh-CN"/>
                    </w:rPr>
                  </w:pPr>
                  <w:r>
                    <w:rPr>
                      <w:rFonts w:hint="eastAsia"/>
                      <w:vertAlign w:val="baseline"/>
                      <w:lang w:val="en-US" w:eastAsia="zh-CN"/>
                    </w:rPr>
                    <w:t>248</w:t>
                  </w:r>
                </w:p>
              </w:tc>
            </w:tr>
            <w:tr w14:paraId="439338BB">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1104" w:type="dxa"/>
                  <w:vMerge w:val="continue"/>
                  <w:tcBorders>
                    <w:tl2br w:val="nil"/>
                    <w:tr2bl w:val="nil"/>
                  </w:tcBorders>
                  <w:vAlign w:val="center"/>
                </w:tcPr>
                <w:p w14:paraId="457FAEFD">
                  <w:pPr>
                    <w:pStyle w:val="2"/>
                    <w:ind w:left="0" w:leftChars="0" w:firstLine="0" w:firstLineChars="0"/>
                    <w:jc w:val="center"/>
                    <w:rPr>
                      <w:rFonts w:hint="default"/>
                      <w:vertAlign w:val="baseline"/>
                      <w:lang w:val="en-US" w:eastAsia="zh-CN"/>
                    </w:rPr>
                  </w:pPr>
                </w:p>
              </w:tc>
              <w:tc>
                <w:tcPr>
                  <w:tcW w:w="1219" w:type="dxa"/>
                  <w:tcBorders>
                    <w:tl2br w:val="nil"/>
                    <w:tr2bl w:val="nil"/>
                  </w:tcBorders>
                  <w:vAlign w:val="center"/>
                </w:tcPr>
                <w:p w14:paraId="703313A6">
                  <w:pPr>
                    <w:pStyle w:val="2"/>
                    <w:ind w:left="0" w:leftChars="0" w:firstLine="0" w:firstLineChars="0"/>
                    <w:jc w:val="center"/>
                    <w:rPr>
                      <w:rFonts w:hint="default"/>
                      <w:vertAlign w:val="baseline"/>
                      <w:lang w:val="en-US" w:eastAsia="zh-CN"/>
                    </w:rPr>
                  </w:pPr>
                  <w:r>
                    <w:rPr>
                      <w:rFonts w:hint="eastAsia"/>
                      <w:vertAlign w:val="baseline"/>
                      <w:lang w:val="en-US" w:eastAsia="zh-CN"/>
                    </w:rPr>
                    <w:t>危险特性</w:t>
                  </w:r>
                </w:p>
              </w:tc>
              <w:tc>
                <w:tcPr>
                  <w:tcW w:w="5853" w:type="dxa"/>
                  <w:gridSpan w:val="5"/>
                  <w:tcBorders>
                    <w:tl2br w:val="nil"/>
                    <w:tr2bl w:val="nil"/>
                  </w:tcBorders>
                  <w:vAlign w:val="center"/>
                </w:tcPr>
                <w:p w14:paraId="22A2830F">
                  <w:pPr>
                    <w:pStyle w:val="2"/>
                    <w:ind w:left="0" w:leftChars="0" w:firstLine="0" w:firstLineChars="0"/>
                    <w:jc w:val="center"/>
                    <w:rPr>
                      <w:rFonts w:hint="default"/>
                      <w:vertAlign w:val="baseline"/>
                      <w:lang w:val="en-US" w:eastAsia="zh-CN"/>
                    </w:rPr>
                  </w:pPr>
                  <w:r>
                    <w:rPr>
                      <w:rFonts w:hint="eastAsia"/>
                      <w:vertAlign w:val="baseline"/>
                      <w:lang w:val="en-US" w:eastAsia="zh-CN"/>
                    </w:rPr>
                    <w:t>遇明火，高热可燃</w:t>
                  </w:r>
                </w:p>
              </w:tc>
            </w:tr>
            <w:tr w14:paraId="6CCC8917">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1104" w:type="dxa"/>
                  <w:vMerge w:val="continue"/>
                  <w:tcBorders>
                    <w:tl2br w:val="nil"/>
                    <w:tr2bl w:val="nil"/>
                  </w:tcBorders>
                  <w:vAlign w:val="center"/>
                </w:tcPr>
                <w:p w14:paraId="5C647BF4">
                  <w:pPr>
                    <w:pStyle w:val="2"/>
                    <w:ind w:left="0" w:leftChars="0" w:firstLine="0" w:firstLineChars="0"/>
                    <w:jc w:val="center"/>
                    <w:rPr>
                      <w:rFonts w:hint="default"/>
                      <w:vertAlign w:val="baseline"/>
                      <w:lang w:val="en-US" w:eastAsia="zh-CN"/>
                    </w:rPr>
                  </w:pPr>
                </w:p>
              </w:tc>
              <w:tc>
                <w:tcPr>
                  <w:tcW w:w="1219" w:type="dxa"/>
                  <w:tcBorders>
                    <w:tl2br w:val="nil"/>
                    <w:tr2bl w:val="nil"/>
                  </w:tcBorders>
                  <w:vAlign w:val="center"/>
                </w:tcPr>
                <w:p w14:paraId="2444BB6D">
                  <w:pPr>
                    <w:pStyle w:val="2"/>
                    <w:ind w:left="0" w:leftChars="0" w:firstLine="0" w:firstLineChars="0"/>
                    <w:jc w:val="center"/>
                    <w:rPr>
                      <w:rFonts w:hint="default"/>
                      <w:vertAlign w:val="baseline"/>
                      <w:lang w:val="en-US" w:eastAsia="zh-CN"/>
                    </w:rPr>
                  </w:pPr>
                  <w:r>
                    <w:rPr>
                      <w:rFonts w:hint="eastAsia"/>
                      <w:vertAlign w:val="baseline"/>
                      <w:lang w:val="en-US" w:eastAsia="zh-CN"/>
                    </w:rPr>
                    <w:t>灭火方法</w:t>
                  </w:r>
                </w:p>
              </w:tc>
              <w:tc>
                <w:tcPr>
                  <w:tcW w:w="5853" w:type="dxa"/>
                  <w:gridSpan w:val="5"/>
                  <w:tcBorders>
                    <w:tl2br w:val="nil"/>
                    <w:tr2bl w:val="nil"/>
                  </w:tcBorders>
                  <w:vAlign w:val="center"/>
                </w:tcPr>
                <w:p w14:paraId="1AB30EEE">
                  <w:pPr>
                    <w:pStyle w:val="2"/>
                    <w:ind w:left="0" w:leftChars="0" w:firstLine="0" w:firstLineChars="0"/>
                    <w:jc w:val="center"/>
                    <w:rPr>
                      <w:rFonts w:hint="default"/>
                      <w:vertAlign w:val="baseline"/>
                      <w:lang w:val="en-US" w:eastAsia="zh-CN"/>
                    </w:rPr>
                  </w:pPr>
                  <w:r>
                    <w:rPr>
                      <w:rFonts w:hint="eastAsia"/>
                      <w:vertAlign w:val="baseline"/>
                      <w:lang w:val="en-US" w:eastAsia="zh-CN"/>
                    </w:rPr>
                    <w:t>消防人员须佩戴防毒面具，穿全身消防服，在上风向灭火。尽可能将容器从火场转移至空旷处。喷水保持火场容器冷却，直至灭火结束。处在火场中的容器若已变色或从安全泄压装置中产生声音，必须马上撤离。灭火剂：雾状水、泡沫干粉、二氧化碳、砂土。</w:t>
                  </w:r>
                </w:p>
              </w:tc>
            </w:tr>
            <w:tr w14:paraId="1C77974C">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1104" w:type="dxa"/>
                  <w:vMerge w:val="continue"/>
                  <w:tcBorders>
                    <w:tl2br w:val="nil"/>
                    <w:tr2bl w:val="nil"/>
                  </w:tcBorders>
                  <w:vAlign w:val="center"/>
                </w:tcPr>
                <w:p w14:paraId="09318BE6">
                  <w:pPr>
                    <w:pStyle w:val="2"/>
                    <w:ind w:left="0" w:leftChars="0" w:firstLine="0" w:firstLineChars="0"/>
                    <w:jc w:val="center"/>
                    <w:rPr>
                      <w:rFonts w:hint="default"/>
                      <w:vertAlign w:val="baseline"/>
                      <w:lang w:val="en-US" w:eastAsia="zh-CN"/>
                    </w:rPr>
                  </w:pPr>
                </w:p>
              </w:tc>
              <w:tc>
                <w:tcPr>
                  <w:tcW w:w="1219" w:type="dxa"/>
                  <w:tcBorders>
                    <w:tl2br w:val="nil"/>
                    <w:tr2bl w:val="nil"/>
                  </w:tcBorders>
                  <w:vAlign w:val="center"/>
                </w:tcPr>
                <w:p w14:paraId="47B10FAF">
                  <w:pPr>
                    <w:pStyle w:val="2"/>
                    <w:ind w:left="0" w:leftChars="0" w:firstLine="0" w:firstLineChars="0"/>
                    <w:jc w:val="center"/>
                    <w:rPr>
                      <w:rFonts w:hint="default"/>
                      <w:vertAlign w:val="baseline"/>
                      <w:lang w:val="en-US" w:eastAsia="zh-CN"/>
                    </w:rPr>
                  </w:pPr>
                  <w:r>
                    <w:rPr>
                      <w:rFonts w:hint="eastAsia"/>
                      <w:vertAlign w:val="baseline"/>
                      <w:lang w:val="en-US" w:eastAsia="zh-CN"/>
                    </w:rPr>
                    <w:t>禁忌物</w:t>
                  </w:r>
                </w:p>
              </w:tc>
              <w:tc>
                <w:tcPr>
                  <w:tcW w:w="2326" w:type="dxa"/>
                  <w:gridSpan w:val="2"/>
                  <w:tcBorders>
                    <w:tl2br w:val="nil"/>
                    <w:tr2bl w:val="nil"/>
                  </w:tcBorders>
                  <w:vAlign w:val="center"/>
                </w:tcPr>
                <w:p w14:paraId="4E9537F6">
                  <w:pPr>
                    <w:pStyle w:val="2"/>
                    <w:ind w:left="0" w:leftChars="0" w:firstLine="0" w:firstLineChars="0"/>
                    <w:jc w:val="center"/>
                    <w:rPr>
                      <w:rFonts w:hint="eastAsia"/>
                      <w:vertAlign w:val="baseline"/>
                      <w:lang w:val="en-US" w:eastAsia="zh-CN"/>
                    </w:rPr>
                  </w:pPr>
                  <w:r>
                    <w:rPr>
                      <w:rFonts w:hint="eastAsia"/>
                      <w:vertAlign w:val="baseline"/>
                      <w:lang w:val="en-US" w:eastAsia="zh-CN"/>
                    </w:rPr>
                    <w:t>——</w:t>
                  </w:r>
                </w:p>
              </w:tc>
              <w:tc>
                <w:tcPr>
                  <w:tcW w:w="1323" w:type="dxa"/>
                  <w:tcBorders>
                    <w:tl2br w:val="nil"/>
                    <w:tr2bl w:val="nil"/>
                  </w:tcBorders>
                  <w:vAlign w:val="center"/>
                </w:tcPr>
                <w:p w14:paraId="03C8FE5E">
                  <w:pPr>
                    <w:pStyle w:val="2"/>
                    <w:ind w:left="0" w:leftChars="0" w:firstLine="0" w:firstLineChars="0"/>
                    <w:jc w:val="center"/>
                    <w:rPr>
                      <w:rFonts w:hint="default"/>
                      <w:vertAlign w:val="baseline"/>
                      <w:lang w:val="en-US" w:eastAsia="zh-CN"/>
                    </w:rPr>
                  </w:pPr>
                  <w:r>
                    <w:rPr>
                      <w:rFonts w:hint="eastAsia"/>
                      <w:vertAlign w:val="baseline"/>
                      <w:lang w:val="en-US" w:eastAsia="zh-CN"/>
                    </w:rPr>
                    <w:t>稳定性</w:t>
                  </w:r>
                </w:p>
              </w:tc>
              <w:tc>
                <w:tcPr>
                  <w:tcW w:w="2204" w:type="dxa"/>
                  <w:gridSpan w:val="2"/>
                  <w:tcBorders>
                    <w:tl2br w:val="nil"/>
                    <w:tr2bl w:val="nil"/>
                  </w:tcBorders>
                  <w:vAlign w:val="center"/>
                </w:tcPr>
                <w:p w14:paraId="5D47C9DD">
                  <w:pPr>
                    <w:pStyle w:val="2"/>
                    <w:ind w:left="0" w:leftChars="0" w:firstLine="0" w:firstLineChars="0"/>
                    <w:jc w:val="center"/>
                    <w:rPr>
                      <w:rFonts w:hint="default"/>
                      <w:vertAlign w:val="baseline"/>
                      <w:lang w:val="en-US" w:eastAsia="zh-CN"/>
                    </w:rPr>
                  </w:pPr>
                  <w:r>
                    <w:rPr>
                      <w:rFonts w:hint="eastAsia"/>
                      <w:vertAlign w:val="baseline"/>
                      <w:lang w:val="en-US" w:eastAsia="zh-CN"/>
                    </w:rPr>
                    <w:t>稳定</w:t>
                  </w:r>
                </w:p>
              </w:tc>
            </w:tr>
            <w:tr w14:paraId="51160951">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1104" w:type="dxa"/>
                  <w:vMerge w:val="continue"/>
                  <w:tcBorders>
                    <w:tl2br w:val="nil"/>
                    <w:tr2bl w:val="nil"/>
                  </w:tcBorders>
                  <w:vAlign w:val="center"/>
                </w:tcPr>
                <w:p w14:paraId="109C9BEA">
                  <w:pPr>
                    <w:pStyle w:val="2"/>
                    <w:ind w:left="0" w:leftChars="0" w:firstLine="0" w:firstLineChars="0"/>
                    <w:jc w:val="center"/>
                    <w:rPr>
                      <w:rFonts w:hint="default"/>
                      <w:vertAlign w:val="baseline"/>
                      <w:lang w:val="en-US" w:eastAsia="zh-CN"/>
                    </w:rPr>
                  </w:pPr>
                </w:p>
              </w:tc>
              <w:tc>
                <w:tcPr>
                  <w:tcW w:w="1219" w:type="dxa"/>
                  <w:tcBorders>
                    <w:tl2br w:val="nil"/>
                    <w:tr2bl w:val="nil"/>
                  </w:tcBorders>
                  <w:vAlign w:val="center"/>
                </w:tcPr>
                <w:p w14:paraId="5CE10B90">
                  <w:pPr>
                    <w:pStyle w:val="2"/>
                    <w:ind w:left="0" w:leftChars="0" w:firstLine="0" w:firstLineChars="0"/>
                    <w:jc w:val="center"/>
                    <w:rPr>
                      <w:rFonts w:hint="default"/>
                      <w:vertAlign w:val="baseline"/>
                      <w:lang w:val="en-US" w:eastAsia="zh-CN"/>
                    </w:rPr>
                  </w:pPr>
                  <w:r>
                    <w:rPr>
                      <w:rFonts w:hint="eastAsia"/>
                      <w:vertAlign w:val="baseline"/>
                      <w:lang w:val="en-US" w:eastAsia="zh-CN"/>
                    </w:rPr>
                    <w:t>燃烧产污</w:t>
                  </w:r>
                </w:p>
              </w:tc>
              <w:tc>
                <w:tcPr>
                  <w:tcW w:w="2326" w:type="dxa"/>
                  <w:gridSpan w:val="2"/>
                  <w:tcBorders>
                    <w:tl2br w:val="nil"/>
                    <w:tr2bl w:val="nil"/>
                  </w:tcBorders>
                  <w:vAlign w:val="center"/>
                </w:tcPr>
                <w:p w14:paraId="59EBC427">
                  <w:pPr>
                    <w:pStyle w:val="2"/>
                    <w:ind w:left="0" w:leftChars="0" w:firstLine="0" w:firstLineChars="0"/>
                    <w:jc w:val="center"/>
                    <w:rPr>
                      <w:rFonts w:hint="default"/>
                      <w:vertAlign w:val="baseline"/>
                      <w:lang w:val="en-US" w:eastAsia="zh-CN"/>
                    </w:rPr>
                  </w:pPr>
                  <w:r>
                    <w:rPr>
                      <w:rFonts w:hint="eastAsia"/>
                      <w:vertAlign w:val="baseline"/>
                      <w:lang w:val="en-US" w:eastAsia="zh-CN"/>
                    </w:rPr>
                    <w:t>一氧化碳、二氧化碳</w:t>
                  </w:r>
                </w:p>
              </w:tc>
              <w:tc>
                <w:tcPr>
                  <w:tcW w:w="1323" w:type="dxa"/>
                  <w:tcBorders>
                    <w:tl2br w:val="nil"/>
                    <w:tr2bl w:val="nil"/>
                  </w:tcBorders>
                  <w:vAlign w:val="center"/>
                </w:tcPr>
                <w:p w14:paraId="28F1E868">
                  <w:pPr>
                    <w:pStyle w:val="2"/>
                    <w:ind w:left="0" w:leftChars="0" w:firstLine="0" w:firstLineChars="0"/>
                    <w:jc w:val="center"/>
                    <w:rPr>
                      <w:rFonts w:hint="default"/>
                      <w:vertAlign w:val="baseline"/>
                      <w:lang w:val="en-US" w:eastAsia="zh-CN"/>
                    </w:rPr>
                  </w:pPr>
                  <w:r>
                    <w:rPr>
                      <w:rFonts w:hint="eastAsia"/>
                      <w:vertAlign w:val="baseline"/>
                      <w:lang w:val="en-US" w:eastAsia="zh-CN"/>
                    </w:rPr>
                    <w:t>聚合危害</w:t>
                  </w:r>
                </w:p>
              </w:tc>
              <w:tc>
                <w:tcPr>
                  <w:tcW w:w="2204" w:type="dxa"/>
                  <w:gridSpan w:val="2"/>
                  <w:tcBorders>
                    <w:tl2br w:val="nil"/>
                    <w:tr2bl w:val="nil"/>
                  </w:tcBorders>
                  <w:vAlign w:val="center"/>
                </w:tcPr>
                <w:p w14:paraId="0A292C50">
                  <w:pPr>
                    <w:pStyle w:val="2"/>
                    <w:ind w:left="0" w:leftChars="0" w:firstLine="0" w:firstLineChars="0"/>
                    <w:jc w:val="center"/>
                    <w:rPr>
                      <w:rFonts w:hint="eastAsia"/>
                      <w:vertAlign w:val="baseline"/>
                      <w:lang w:val="en-US" w:eastAsia="zh-CN"/>
                    </w:rPr>
                  </w:pPr>
                  <w:r>
                    <w:rPr>
                      <w:rFonts w:hint="eastAsia"/>
                      <w:vertAlign w:val="baseline"/>
                      <w:lang w:val="en-US" w:eastAsia="zh-CN"/>
                    </w:rPr>
                    <w:t>不聚合</w:t>
                  </w:r>
                </w:p>
              </w:tc>
            </w:tr>
            <w:tr w14:paraId="36A5964D">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1104" w:type="dxa"/>
                  <w:vMerge w:val="restart"/>
                  <w:tcBorders>
                    <w:tl2br w:val="nil"/>
                    <w:tr2bl w:val="nil"/>
                  </w:tcBorders>
                  <w:vAlign w:val="center"/>
                </w:tcPr>
                <w:p w14:paraId="63BE0CD4">
                  <w:pPr>
                    <w:pStyle w:val="2"/>
                    <w:ind w:left="0" w:leftChars="0" w:firstLine="0" w:firstLineChars="0"/>
                    <w:jc w:val="center"/>
                    <w:rPr>
                      <w:rFonts w:hint="default"/>
                      <w:vertAlign w:val="baseline"/>
                      <w:lang w:val="en-US" w:eastAsia="zh-CN"/>
                    </w:rPr>
                  </w:pPr>
                  <w:r>
                    <w:rPr>
                      <w:rFonts w:hint="eastAsia"/>
                      <w:vertAlign w:val="baseline"/>
                      <w:lang w:val="en-US" w:eastAsia="zh-CN"/>
                    </w:rPr>
                    <w:t>毒性及健康危害</w:t>
                  </w:r>
                </w:p>
              </w:tc>
              <w:tc>
                <w:tcPr>
                  <w:tcW w:w="1219" w:type="dxa"/>
                  <w:tcBorders>
                    <w:tl2br w:val="nil"/>
                    <w:tr2bl w:val="nil"/>
                  </w:tcBorders>
                  <w:vAlign w:val="center"/>
                </w:tcPr>
                <w:p w14:paraId="47F37F9B">
                  <w:pPr>
                    <w:pStyle w:val="2"/>
                    <w:ind w:left="0" w:leftChars="0" w:firstLine="0" w:firstLineChars="0"/>
                    <w:jc w:val="center"/>
                    <w:rPr>
                      <w:rFonts w:hint="default"/>
                      <w:vertAlign w:val="baseline"/>
                      <w:lang w:val="en-US" w:eastAsia="zh-CN"/>
                    </w:rPr>
                  </w:pPr>
                  <w:r>
                    <w:rPr>
                      <w:rFonts w:hint="eastAsia"/>
                      <w:vertAlign w:val="baseline"/>
                      <w:lang w:val="en-US" w:eastAsia="zh-CN"/>
                    </w:rPr>
                    <w:t>急性毒性</w:t>
                  </w:r>
                </w:p>
              </w:tc>
              <w:tc>
                <w:tcPr>
                  <w:tcW w:w="5853" w:type="dxa"/>
                  <w:gridSpan w:val="5"/>
                  <w:tcBorders>
                    <w:tl2br w:val="nil"/>
                    <w:tr2bl w:val="nil"/>
                  </w:tcBorders>
                  <w:vAlign w:val="center"/>
                </w:tcPr>
                <w:p w14:paraId="7115BE04">
                  <w:pPr>
                    <w:pStyle w:val="2"/>
                    <w:ind w:left="0" w:leftChars="0" w:firstLine="0" w:firstLineChars="0"/>
                    <w:jc w:val="center"/>
                    <w:rPr>
                      <w:rFonts w:hint="eastAsia"/>
                      <w:vertAlign w:val="baseline"/>
                      <w:lang w:val="en-US" w:eastAsia="zh-CN"/>
                    </w:rPr>
                  </w:pPr>
                </w:p>
              </w:tc>
            </w:tr>
            <w:tr w14:paraId="7CDF54B7">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1104" w:type="dxa"/>
                  <w:vMerge w:val="continue"/>
                  <w:tcBorders>
                    <w:tl2br w:val="nil"/>
                    <w:tr2bl w:val="nil"/>
                  </w:tcBorders>
                  <w:vAlign w:val="center"/>
                </w:tcPr>
                <w:p w14:paraId="686486E1">
                  <w:pPr>
                    <w:pStyle w:val="2"/>
                    <w:ind w:left="0" w:leftChars="0" w:firstLine="0" w:firstLineChars="0"/>
                    <w:jc w:val="center"/>
                    <w:rPr>
                      <w:rFonts w:hint="default"/>
                      <w:vertAlign w:val="baseline"/>
                      <w:lang w:val="en-US" w:eastAsia="zh-CN"/>
                    </w:rPr>
                  </w:pPr>
                </w:p>
              </w:tc>
              <w:tc>
                <w:tcPr>
                  <w:tcW w:w="1219" w:type="dxa"/>
                  <w:tcBorders>
                    <w:tl2br w:val="nil"/>
                    <w:tr2bl w:val="nil"/>
                  </w:tcBorders>
                  <w:vAlign w:val="center"/>
                </w:tcPr>
                <w:p w14:paraId="525881AF">
                  <w:pPr>
                    <w:pStyle w:val="2"/>
                    <w:ind w:left="0" w:leftChars="0" w:firstLine="0" w:firstLineChars="0"/>
                    <w:jc w:val="center"/>
                    <w:rPr>
                      <w:rFonts w:hint="default"/>
                      <w:vertAlign w:val="baseline"/>
                      <w:lang w:val="en-US" w:eastAsia="zh-CN"/>
                    </w:rPr>
                  </w:pPr>
                  <w:r>
                    <w:rPr>
                      <w:rFonts w:hint="eastAsia"/>
                      <w:vertAlign w:val="baseline"/>
                      <w:lang w:val="en-US" w:eastAsia="zh-CN"/>
                    </w:rPr>
                    <w:t>健康危害</w:t>
                  </w:r>
                </w:p>
              </w:tc>
              <w:tc>
                <w:tcPr>
                  <w:tcW w:w="5853" w:type="dxa"/>
                  <w:gridSpan w:val="5"/>
                  <w:tcBorders>
                    <w:tl2br w:val="nil"/>
                    <w:tr2bl w:val="nil"/>
                  </w:tcBorders>
                  <w:vAlign w:val="center"/>
                </w:tcPr>
                <w:p w14:paraId="385AD544">
                  <w:pPr>
                    <w:pStyle w:val="2"/>
                    <w:ind w:left="0" w:leftChars="0" w:firstLine="0" w:firstLineChars="0"/>
                    <w:jc w:val="center"/>
                    <w:rPr>
                      <w:rFonts w:hint="eastAsia"/>
                      <w:lang w:val="en-US" w:eastAsia="zh-CN"/>
                    </w:rPr>
                  </w:pPr>
                  <w:r>
                    <w:rPr>
                      <w:rFonts w:hint="eastAsia"/>
                      <w:lang w:val="en-US" w:eastAsia="zh-CN"/>
                    </w:rPr>
                    <w:t>侵入途径：食入、经皮吸收</w:t>
                  </w:r>
                </w:p>
                <w:p w14:paraId="27784A90">
                  <w:pPr>
                    <w:jc w:val="center"/>
                    <w:rPr>
                      <w:rFonts w:hint="eastAsia"/>
                      <w:lang w:val="en-US" w:eastAsia="zh-CN"/>
                    </w:rPr>
                  </w:pPr>
                  <w:r>
                    <w:rPr>
                      <w:rFonts w:hint="eastAsia"/>
                      <w:lang w:val="en-US" w:eastAsia="zh-CN"/>
                    </w:rPr>
                    <w:t>健康危害：封闭毛孔，皮肤不能正常代谢，造成皮肤生理功能受损。</w:t>
                  </w:r>
                </w:p>
                <w:p w14:paraId="2F2FAECA">
                  <w:pPr>
                    <w:pStyle w:val="2"/>
                    <w:ind w:left="0" w:leftChars="0" w:firstLine="0" w:firstLineChars="0"/>
                    <w:jc w:val="center"/>
                    <w:rPr>
                      <w:rFonts w:hint="default"/>
                      <w:lang w:val="en-US" w:eastAsia="zh-CN"/>
                    </w:rPr>
                  </w:pPr>
                  <w:r>
                    <w:rPr>
                      <w:rFonts w:hint="eastAsia"/>
                      <w:vertAlign w:val="baseline"/>
                      <w:lang w:val="en-US" w:eastAsia="zh-CN"/>
                    </w:rPr>
                    <w:t>环境危害：对土壤有危害</w:t>
                  </w:r>
                </w:p>
              </w:tc>
            </w:tr>
            <w:tr w14:paraId="6F8C6BE6">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1104" w:type="dxa"/>
                  <w:tcBorders>
                    <w:tl2br w:val="nil"/>
                    <w:tr2bl w:val="nil"/>
                  </w:tcBorders>
                  <w:vAlign w:val="center"/>
                </w:tcPr>
                <w:p w14:paraId="2E008A64">
                  <w:pPr>
                    <w:pStyle w:val="2"/>
                    <w:ind w:left="0" w:leftChars="0" w:firstLine="0" w:firstLineChars="0"/>
                    <w:jc w:val="center"/>
                    <w:rPr>
                      <w:rFonts w:hint="default"/>
                      <w:vertAlign w:val="baseline"/>
                      <w:lang w:val="en-US" w:eastAsia="zh-CN"/>
                    </w:rPr>
                  </w:pPr>
                  <w:r>
                    <w:rPr>
                      <w:rFonts w:hint="eastAsia"/>
                      <w:vertAlign w:val="baseline"/>
                      <w:lang w:val="en-US" w:eastAsia="zh-CN"/>
                    </w:rPr>
                    <w:t>急救</w:t>
                  </w:r>
                </w:p>
              </w:tc>
              <w:tc>
                <w:tcPr>
                  <w:tcW w:w="7072" w:type="dxa"/>
                  <w:gridSpan w:val="6"/>
                  <w:tcBorders>
                    <w:tl2br w:val="nil"/>
                    <w:tr2bl w:val="nil"/>
                  </w:tcBorders>
                  <w:vAlign w:val="center"/>
                </w:tcPr>
                <w:p w14:paraId="34C42A34">
                  <w:pPr>
                    <w:pStyle w:val="2"/>
                    <w:ind w:left="0" w:leftChars="0" w:firstLine="0" w:firstLineChars="0"/>
                    <w:jc w:val="center"/>
                    <w:rPr>
                      <w:rFonts w:hint="eastAsia"/>
                      <w:lang w:val="en-US" w:eastAsia="zh-CN"/>
                    </w:rPr>
                  </w:pPr>
                  <w:r>
                    <w:rPr>
                      <w:rFonts w:hint="eastAsia"/>
                      <w:lang w:val="en-US" w:eastAsia="zh-CN"/>
                    </w:rPr>
                    <w:t>皮肤接触：及时清洗；</w:t>
                  </w:r>
                </w:p>
                <w:p w14:paraId="39115573">
                  <w:pPr>
                    <w:jc w:val="center"/>
                    <w:rPr>
                      <w:rFonts w:hint="eastAsia"/>
                      <w:lang w:val="en-US" w:eastAsia="zh-CN"/>
                    </w:rPr>
                  </w:pPr>
                  <w:r>
                    <w:rPr>
                      <w:rFonts w:hint="eastAsia"/>
                      <w:lang w:val="en-US" w:eastAsia="zh-CN"/>
                    </w:rPr>
                    <w:t>眼睛接触：提起眼睑，用流动清水或生理盐水冲洗。就医。</w:t>
                  </w:r>
                </w:p>
                <w:p w14:paraId="52130B8A">
                  <w:pPr>
                    <w:pStyle w:val="2"/>
                    <w:ind w:left="0" w:leftChars="0" w:firstLine="0" w:firstLineChars="0"/>
                    <w:jc w:val="center"/>
                    <w:rPr>
                      <w:rFonts w:hint="default"/>
                      <w:lang w:val="en-US" w:eastAsia="zh-CN"/>
                    </w:rPr>
                  </w:pPr>
                  <w:r>
                    <w:rPr>
                      <w:rFonts w:hint="eastAsia"/>
                      <w:lang w:val="en-US" w:eastAsia="zh-CN"/>
                    </w:rPr>
                    <w:t>食入：饮足量温水，催吐。就医</w:t>
                  </w:r>
                </w:p>
              </w:tc>
            </w:tr>
            <w:tr w14:paraId="0ACA1029">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1104" w:type="dxa"/>
                  <w:tcBorders>
                    <w:tl2br w:val="nil"/>
                    <w:tr2bl w:val="nil"/>
                  </w:tcBorders>
                  <w:vAlign w:val="center"/>
                </w:tcPr>
                <w:p w14:paraId="4C79EC6E">
                  <w:pPr>
                    <w:pStyle w:val="2"/>
                    <w:ind w:left="0" w:leftChars="0" w:firstLine="0" w:firstLineChars="0"/>
                    <w:jc w:val="center"/>
                    <w:rPr>
                      <w:rFonts w:hint="default"/>
                      <w:vertAlign w:val="baseline"/>
                      <w:lang w:val="en-US" w:eastAsia="zh-CN"/>
                    </w:rPr>
                  </w:pPr>
                  <w:r>
                    <w:rPr>
                      <w:rFonts w:hint="eastAsia"/>
                      <w:vertAlign w:val="baseline"/>
                      <w:lang w:val="en-US" w:eastAsia="zh-CN"/>
                    </w:rPr>
                    <w:t>防护</w:t>
                  </w:r>
                </w:p>
              </w:tc>
              <w:tc>
                <w:tcPr>
                  <w:tcW w:w="7072" w:type="dxa"/>
                  <w:gridSpan w:val="6"/>
                  <w:tcBorders>
                    <w:tl2br w:val="nil"/>
                    <w:tr2bl w:val="nil"/>
                  </w:tcBorders>
                  <w:vAlign w:val="center"/>
                </w:tcPr>
                <w:p w14:paraId="388F8796">
                  <w:pPr>
                    <w:pStyle w:val="2"/>
                    <w:ind w:left="0" w:leftChars="0" w:firstLine="0" w:firstLineChars="0"/>
                    <w:jc w:val="center"/>
                    <w:rPr>
                      <w:rFonts w:hint="eastAsia"/>
                      <w:lang w:val="en-US" w:eastAsia="zh-CN"/>
                    </w:rPr>
                  </w:pPr>
                  <w:r>
                    <w:rPr>
                      <w:rFonts w:hint="eastAsia"/>
                      <w:lang w:val="en-US" w:eastAsia="zh-CN"/>
                    </w:rPr>
                    <w:t>工程控制：提供良好的自然通风条件，地面采用防渗漏处理。</w:t>
                  </w:r>
                </w:p>
                <w:p w14:paraId="4DE47CC0">
                  <w:pPr>
                    <w:jc w:val="center"/>
                    <w:rPr>
                      <w:rFonts w:hint="eastAsia"/>
                      <w:lang w:val="en-US" w:eastAsia="zh-CN"/>
                    </w:rPr>
                  </w:pPr>
                  <w:r>
                    <w:rPr>
                      <w:rFonts w:hint="eastAsia"/>
                      <w:lang w:val="en-US" w:eastAsia="zh-CN"/>
                    </w:rPr>
                    <w:t>眼睛防护：戴化学安全防护眼镜。</w:t>
                  </w:r>
                </w:p>
                <w:p w14:paraId="76967A06">
                  <w:pPr>
                    <w:pStyle w:val="2"/>
                    <w:ind w:left="0" w:leftChars="0" w:firstLine="0" w:firstLineChars="0"/>
                    <w:jc w:val="center"/>
                    <w:rPr>
                      <w:rFonts w:hint="eastAsia"/>
                      <w:lang w:val="en-US" w:eastAsia="zh-CN"/>
                    </w:rPr>
                  </w:pPr>
                  <w:r>
                    <w:rPr>
                      <w:rFonts w:hint="eastAsia"/>
                      <w:lang w:val="en-US" w:eastAsia="zh-CN"/>
                    </w:rPr>
                    <w:t>手防护：戴橡胶耐油手套。</w:t>
                  </w:r>
                </w:p>
                <w:p w14:paraId="4C6D3F01">
                  <w:pPr>
                    <w:jc w:val="center"/>
                    <w:rPr>
                      <w:rFonts w:hint="default"/>
                      <w:lang w:val="en-US" w:eastAsia="zh-CN"/>
                    </w:rPr>
                  </w:pPr>
                  <w:r>
                    <w:rPr>
                      <w:rFonts w:hint="eastAsia"/>
                      <w:vertAlign w:val="baseline"/>
                      <w:lang w:val="en-US" w:eastAsia="zh-CN"/>
                    </w:rPr>
                    <w:t>其他防护：工作现场严禁吸烟</w:t>
                  </w:r>
                </w:p>
              </w:tc>
            </w:tr>
            <w:tr w14:paraId="4807039B">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1104" w:type="dxa"/>
                  <w:tcBorders>
                    <w:tl2br w:val="nil"/>
                    <w:tr2bl w:val="nil"/>
                  </w:tcBorders>
                  <w:vAlign w:val="center"/>
                </w:tcPr>
                <w:p w14:paraId="253A0DFF">
                  <w:pPr>
                    <w:pStyle w:val="2"/>
                    <w:ind w:left="0" w:leftChars="0" w:firstLine="0" w:firstLineChars="0"/>
                    <w:jc w:val="center"/>
                    <w:rPr>
                      <w:rFonts w:hint="default"/>
                      <w:vertAlign w:val="baseline"/>
                      <w:lang w:val="en-US" w:eastAsia="zh-CN"/>
                    </w:rPr>
                  </w:pPr>
                  <w:r>
                    <w:rPr>
                      <w:rFonts w:hint="eastAsia"/>
                      <w:vertAlign w:val="baseline"/>
                      <w:lang w:val="en-US" w:eastAsia="zh-CN"/>
                    </w:rPr>
                    <w:t>泄露处理</w:t>
                  </w:r>
                </w:p>
              </w:tc>
              <w:tc>
                <w:tcPr>
                  <w:tcW w:w="7072" w:type="dxa"/>
                  <w:gridSpan w:val="6"/>
                  <w:tcBorders>
                    <w:tl2br w:val="nil"/>
                    <w:tr2bl w:val="nil"/>
                  </w:tcBorders>
                  <w:vAlign w:val="center"/>
                </w:tcPr>
                <w:p w14:paraId="581B3E5F">
                  <w:pPr>
                    <w:pStyle w:val="2"/>
                    <w:ind w:left="0" w:leftChars="0" w:firstLine="0" w:firstLineChars="0"/>
                    <w:jc w:val="center"/>
                    <w:rPr>
                      <w:rFonts w:hint="default"/>
                      <w:vertAlign w:val="baseline"/>
                      <w:lang w:val="en-US" w:eastAsia="zh-CN"/>
                    </w:rPr>
                  </w:pPr>
                  <w:r>
                    <w:rPr>
                      <w:rFonts w:hint="eastAsia"/>
                      <w:vertAlign w:val="baseline"/>
                      <w:lang w:val="en-US" w:eastAsia="zh-CN"/>
                    </w:rPr>
                    <w:t>迅速撤离泄漏污染区人员至安全区，并进行格力，严格限制出入。切断火源。建议应急处理人员戴自给正压式呼吸器，穿防毒服，尽可能切断泄露源。防止流入下水道、排洪沟等限制性空间</w:t>
                  </w:r>
                </w:p>
              </w:tc>
            </w:tr>
            <w:tr w14:paraId="3D7255D0">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1104" w:type="dxa"/>
                  <w:tcBorders>
                    <w:tl2br w:val="nil"/>
                    <w:tr2bl w:val="nil"/>
                  </w:tcBorders>
                  <w:vAlign w:val="center"/>
                </w:tcPr>
                <w:p w14:paraId="589EBD9A">
                  <w:pPr>
                    <w:pStyle w:val="2"/>
                    <w:ind w:left="0" w:leftChars="0" w:firstLine="0" w:firstLineChars="0"/>
                    <w:jc w:val="center"/>
                    <w:rPr>
                      <w:rFonts w:hint="default"/>
                      <w:vertAlign w:val="baseline"/>
                      <w:lang w:val="en-US" w:eastAsia="zh-CN"/>
                    </w:rPr>
                  </w:pPr>
                  <w:r>
                    <w:rPr>
                      <w:rFonts w:hint="eastAsia"/>
                      <w:vertAlign w:val="baseline"/>
                      <w:lang w:val="en-US" w:eastAsia="zh-CN"/>
                    </w:rPr>
                    <w:t>储运</w:t>
                  </w:r>
                </w:p>
              </w:tc>
              <w:tc>
                <w:tcPr>
                  <w:tcW w:w="7072" w:type="dxa"/>
                  <w:gridSpan w:val="6"/>
                  <w:tcBorders>
                    <w:tl2br w:val="nil"/>
                    <w:tr2bl w:val="nil"/>
                  </w:tcBorders>
                  <w:vAlign w:val="center"/>
                </w:tcPr>
                <w:p w14:paraId="2342936F">
                  <w:pPr>
                    <w:pStyle w:val="2"/>
                    <w:ind w:left="0" w:leftChars="0" w:firstLine="0" w:firstLineChars="0"/>
                    <w:jc w:val="center"/>
                    <w:rPr>
                      <w:rFonts w:hint="default"/>
                      <w:vertAlign w:val="baseline"/>
                      <w:lang w:val="en-US" w:eastAsia="zh-CN"/>
                    </w:rPr>
                  </w:pPr>
                  <w:r>
                    <w:rPr>
                      <w:rFonts w:hint="eastAsia"/>
                      <w:vertAlign w:val="baseline"/>
                      <w:lang w:val="en-US" w:eastAsia="zh-CN"/>
                    </w:rPr>
                    <w:t>储存于阴凉、通风的房间。远离火种、热源。应于氧化剂分开存放，切忌混储。配备相应品种和数量的消防器材。储存区应备有泄露应急处理设备和合适的收容材料。运输前应先检查包装容器是否完整、密封，运输过程中要确保容器不泄露、不倒塌、不坠落、不损坏。</w:t>
                  </w:r>
                </w:p>
              </w:tc>
            </w:tr>
          </w:tbl>
          <w:p w14:paraId="0A4E8D55">
            <w:pPr>
              <w:pStyle w:val="2"/>
              <w:spacing w:line="360" w:lineRule="auto"/>
              <w:ind w:left="0" w:leftChars="0" w:firstLine="480" w:firstLineChars="200"/>
              <w:rPr>
                <w:rFonts w:hint="default"/>
                <w:sz w:val="24"/>
                <w:szCs w:val="32"/>
                <w:lang w:val="en-US" w:eastAsia="zh-CN"/>
              </w:rPr>
            </w:pPr>
            <w:r>
              <w:rPr>
                <w:rFonts w:hint="default"/>
                <w:sz w:val="24"/>
                <w:szCs w:val="32"/>
                <w:lang w:val="en-US" w:eastAsia="zh-CN"/>
              </w:rPr>
              <w:t>本项目废油来源主要为</w:t>
            </w:r>
            <w:r>
              <w:rPr>
                <w:rFonts w:hint="eastAsia"/>
                <w:sz w:val="24"/>
                <w:szCs w:val="32"/>
                <w:lang w:val="en-US" w:eastAsia="zh-CN"/>
              </w:rPr>
              <w:t>本溪</w:t>
            </w:r>
            <w:r>
              <w:rPr>
                <w:rFonts w:hint="default"/>
                <w:sz w:val="24"/>
                <w:szCs w:val="32"/>
                <w:lang w:val="en-US" w:eastAsia="zh-CN"/>
              </w:rPr>
              <w:t>市内各区县市机修厂、汽车维修拆解厂、4S店及当地工业企业。废矿物油指各种润滑油在不同机械设备使用过程中受杂质污染、氧化和热的作用，改变了原有的理化性质，不能继续使用而被更换的废油，包括废内燃机油、废齿轮油、废液压油、废专用油（废变压油、废压缩机油、废汽轮机油）以及其他工业废油，其中机加工企业或汽车修理过程中更换或淘汰的废机油均属于废矿物油中的一类。</w:t>
            </w:r>
          </w:p>
          <w:p w14:paraId="26BE60CC">
            <w:pPr>
              <w:numPr>
                <w:ilvl w:val="0"/>
                <w:numId w:val="5"/>
              </w:numPr>
              <w:spacing w:line="360" w:lineRule="auto"/>
              <w:ind w:left="0" w:leftChars="0" w:firstLine="0" w:firstLineChars="0"/>
              <w:rPr>
                <w:rFonts w:hint="eastAsia"/>
                <w:b/>
                <w:bCs/>
                <w:sz w:val="24"/>
                <w:szCs w:val="32"/>
                <w:lang w:val="en-US" w:eastAsia="zh-CN"/>
              </w:rPr>
            </w:pPr>
            <w:r>
              <w:rPr>
                <w:rFonts w:hint="eastAsia"/>
                <w:b/>
                <w:bCs/>
                <w:sz w:val="24"/>
                <w:szCs w:val="32"/>
                <w:lang w:val="en-US" w:eastAsia="zh-CN"/>
              </w:rPr>
              <w:t>项目主要生产设备</w:t>
            </w:r>
          </w:p>
          <w:p w14:paraId="5F98ED3C">
            <w:pPr>
              <w:pStyle w:val="18"/>
              <w:numPr>
                <w:ilvl w:val="0"/>
                <w:numId w:val="0"/>
              </w:numPr>
              <w:spacing w:line="360" w:lineRule="auto"/>
              <w:ind w:leftChars="0"/>
              <w:rPr>
                <w:rFonts w:hint="default"/>
                <w:sz w:val="24"/>
                <w:szCs w:val="32"/>
                <w:lang w:val="en-US" w:eastAsia="zh-CN"/>
              </w:rPr>
            </w:pPr>
            <w:r>
              <w:rPr>
                <w:rFonts w:hint="eastAsia"/>
                <w:lang w:val="en-US" w:eastAsia="zh-CN"/>
              </w:rPr>
              <w:t xml:space="preserve">   </w:t>
            </w:r>
            <w:r>
              <w:rPr>
                <w:rFonts w:hint="eastAsia"/>
                <w:sz w:val="24"/>
                <w:szCs w:val="32"/>
                <w:lang w:val="en-US" w:eastAsia="zh-CN"/>
              </w:rPr>
              <w:t xml:space="preserve">  本项目生产及辅助设备见下表：</w:t>
            </w:r>
          </w:p>
          <w:p w14:paraId="73AAC081">
            <w:pPr>
              <w:spacing w:line="240" w:lineRule="auto"/>
              <w:jc w:val="center"/>
              <w:rPr>
                <w:rFonts w:hint="eastAsia"/>
                <w:b/>
                <w:bCs/>
                <w:sz w:val="21"/>
                <w:szCs w:val="24"/>
                <w:lang w:val="en-US" w:eastAsia="zh-CN"/>
              </w:rPr>
            </w:pPr>
            <w:r>
              <w:rPr>
                <w:rFonts w:hint="eastAsia"/>
                <w:b/>
                <w:bCs/>
                <w:sz w:val="21"/>
                <w:szCs w:val="24"/>
                <w:lang w:val="en-US" w:eastAsia="zh-CN"/>
              </w:rPr>
              <w:t>表2-6 项目设备一览表</w:t>
            </w:r>
          </w:p>
          <w:tbl>
            <w:tblPr>
              <w:tblStyle w:val="28"/>
              <w:tblW w:w="4995" w:type="pct"/>
              <w:tblInd w:w="5" w:type="dxa"/>
              <w:tblBorders>
                <w:top w:val="double" w:color="auto" w:sz="4" w:space="0"/>
                <w:left w:val="none" w:color="auto" w:sz="0" w:space="0"/>
                <w:bottom w:val="doub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945"/>
              <w:gridCol w:w="2324"/>
              <w:gridCol w:w="1637"/>
              <w:gridCol w:w="1635"/>
              <w:gridCol w:w="1637"/>
            </w:tblGrid>
            <w:tr w14:paraId="7AD3EAB5">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578" w:type="pct"/>
                  <w:tcBorders>
                    <w:tl2br w:val="nil"/>
                    <w:tr2bl w:val="nil"/>
                  </w:tcBorders>
                  <w:vAlign w:val="center"/>
                </w:tcPr>
                <w:p w14:paraId="6BDF3E98">
                  <w:pPr>
                    <w:pStyle w:val="18"/>
                    <w:spacing w:line="240" w:lineRule="auto"/>
                    <w:jc w:val="center"/>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序号</w:t>
                  </w:r>
                </w:p>
              </w:tc>
              <w:tc>
                <w:tcPr>
                  <w:tcW w:w="1420" w:type="pct"/>
                  <w:tcBorders>
                    <w:tl2br w:val="nil"/>
                    <w:tr2bl w:val="nil"/>
                  </w:tcBorders>
                  <w:vAlign w:val="center"/>
                </w:tcPr>
                <w:p w14:paraId="0A371CBE">
                  <w:pPr>
                    <w:pStyle w:val="18"/>
                    <w:spacing w:line="240" w:lineRule="auto"/>
                    <w:jc w:val="center"/>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设备名称</w:t>
                  </w:r>
                </w:p>
              </w:tc>
              <w:tc>
                <w:tcPr>
                  <w:tcW w:w="1000" w:type="pct"/>
                  <w:tcBorders>
                    <w:tl2br w:val="nil"/>
                    <w:tr2bl w:val="nil"/>
                  </w:tcBorders>
                  <w:vAlign w:val="center"/>
                </w:tcPr>
                <w:p w14:paraId="0B936EF5">
                  <w:pPr>
                    <w:pStyle w:val="18"/>
                    <w:spacing w:line="240" w:lineRule="auto"/>
                    <w:jc w:val="center"/>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规格</w:t>
                  </w:r>
                </w:p>
              </w:tc>
              <w:tc>
                <w:tcPr>
                  <w:tcW w:w="999" w:type="pct"/>
                  <w:tcBorders>
                    <w:tl2br w:val="nil"/>
                    <w:tr2bl w:val="nil"/>
                  </w:tcBorders>
                  <w:vAlign w:val="center"/>
                </w:tcPr>
                <w:p w14:paraId="4F08EDC9">
                  <w:pPr>
                    <w:pStyle w:val="18"/>
                    <w:spacing w:line="240" w:lineRule="auto"/>
                    <w:jc w:val="center"/>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数量</w:t>
                  </w:r>
                </w:p>
              </w:tc>
              <w:tc>
                <w:tcPr>
                  <w:tcW w:w="1000" w:type="pct"/>
                  <w:tcBorders>
                    <w:tl2br w:val="nil"/>
                    <w:tr2bl w:val="nil"/>
                  </w:tcBorders>
                  <w:vAlign w:val="center"/>
                </w:tcPr>
                <w:p w14:paraId="171625B5">
                  <w:pPr>
                    <w:pStyle w:val="18"/>
                    <w:spacing w:line="240" w:lineRule="auto"/>
                    <w:jc w:val="center"/>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备注</w:t>
                  </w:r>
                </w:p>
              </w:tc>
            </w:tr>
            <w:tr w14:paraId="412F1EC0">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578" w:type="pct"/>
                  <w:tcBorders>
                    <w:tl2br w:val="nil"/>
                    <w:tr2bl w:val="nil"/>
                  </w:tcBorders>
                  <w:vAlign w:val="center"/>
                </w:tcPr>
                <w:p w14:paraId="3EB2C83C">
                  <w:pPr>
                    <w:pStyle w:val="18"/>
                    <w:spacing w:line="240" w:lineRule="auto"/>
                    <w:jc w:val="center"/>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1</w:t>
                  </w:r>
                </w:p>
              </w:tc>
              <w:tc>
                <w:tcPr>
                  <w:tcW w:w="1420" w:type="pct"/>
                  <w:tcBorders>
                    <w:tl2br w:val="nil"/>
                    <w:tr2bl w:val="nil"/>
                  </w:tcBorders>
                  <w:vAlign w:val="center"/>
                </w:tcPr>
                <w:p w14:paraId="465E4513">
                  <w:pPr>
                    <w:pStyle w:val="18"/>
                    <w:spacing w:line="240" w:lineRule="auto"/>
                    <w:jc w:val="center"/>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卧式油罐</w:t>
                  </w:r>
                </w:p>
              </w:tc>
              <w:tc>
                <w:tcPr>
                  <w:tcW w:w="1000" w:type="pct"/>
                  <w:tcBorders>
                    <w:tl2br w:val="nil"/>
                    <w:tr2bl w:val="nil"/>
                  </w:tcBorders>
                  <w:vAlign w:val="center"/>
                </w:tcPr>
                <w:p w14:paraId="6401BFB1">
                  <w:pPr>
                    <w:pStyle w:val="18"/>
                    <w:spacing w:line="240" w:lineRule="auto"/>
                    <w:jc w:val="center"/>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60m</w:t>
                  </w:r>
                  <w:r>
                    <w:rPr>
                      <w:rFonts w:hint="default" w:ascii="Times New Roman" w:hAnsi="Times New Roman" w:cs="Times New Roman"/>
                      <w:vertAlign w:val="superscript"/>
                      <w:lang w:val="en-US" w:eastAsia="zh-CN"/>
                    </w:rPr>
                    <w:t>3</w:t>
                  </w:r>
                </w:p>
              </w:tc>
              <w:tc>
                <w:tcPr>
                  <w:tcW w:w="999" w:type="pct"/>
                  <w:tcBorders>
                    <w:tl2br w:val="nil"/>
                    <w:tr2bl w:val="nil"/>
                  </w:tcBorders>
                  <w:vAlign w:val="center"/>
                </w:tcPr>
                <w:p w14:paraId="48A3EA3B">
                  <w:pPr>
                    <w:pStyle w:val="18"/>
                    <w:spacing w:line="240" w:lineRule="auto"/>
                    <w:jc w:val="center"/>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2</w:t>
                  </w:r>
                </w:p>
              </w:tc>
              <w:tc>
                <w:tcPr>
                  <w:tcW w:w="1000" w:type="pct"/>
                  <w:tcBorders>
                    <w:tl2br w:val="nil"/>
                    <w:tr2bl w:val="nil"/>
                  </w:tcBorders>
                  <w:vAlign w:val="center"/>
                </w:tcPr>
                <w:p w14:paraId="6B825587">
                  <w:pPr>
                    <w:pStyle w:val="18"/>
                    <w:spacing w:line="240" w:lineRule="auto"/>
                    <w:jc w:val="center"/>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双层</w:t>
                  </w:r>
                </w:p>
              </w:tc>
            </w:tr>
            <w:tr w14:paraId="5BEA62CE">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578" w:type="pct"/>
                  <w:tcBorders>
                    <w:tl2br w:val="nil"/>
                    <w:tr2bl w:val="nil"/>
                  </w:tcBorders>
                  <w:vAlign w:val="center"/>
                </w:tcPr>
                <w:p w14:paraId="1ED1B2CD">
                  <w:pPr>
                    <w:pStyle w:val="18"/>
                    <w:spacing w:line="240" w:lineRule="auto"/>
                    <w:jc w:val="center"/>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2</w:t>
                  </w:r>
                </w:p>
              </w:tc>
              <w:tc>
                <w:tcPr>
                  <w:tcW w:w="1420" w:type="pct"/>
                  <w:tcBorders>
                    <w:tl2br w:val="nil"/>
                    <w:tr2bl w:val="nil"/>
                  </w:tcBorders>
                  <w:vAlign w:val="center"/>
                </w:tcPr>
                <w:p w14:paraId="36D5CBE9">
                  <w:pPr>
                    <w:pStyle w:val="18"/>
                    <w:spacing w:line="240" w:lineRule="auto"/>
                    <w:jc w:val="center"/>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油泵</w:t>
                  </w:r>
                </w:p>
              </w:tc>
              <w:tc>
                <w:tcPr>
                  <w:tcW w:w="1000" w:type="pct"/>
                  <w:tcBorders>
                    <w:tl2br w:val="nil"/>
                    <w:tr2bl w:val="nil"/>
                  </w:tcBorders>
                  <w:vAlign w:val="center"/>
                </w:tcPr>
                <w:p w14:paraId="45B39C48">
                  <w:pPr>
                    <w:pStyle w:val="18"/>
                    <w:spacing w:line="240" w:lineRule="auto"/>
                    <w:jc w:val="center"/>
                    <w:rPr>
                      <w:rFonts w:hint="default"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LC50-06</w:t>
                  </w:r>
                </w:p>
              </w:tc>
              <w:tc>
                <w:tcPr>
                  <w:tcW w:w="999" w:type="pct"/>
                  <w:tcBorders>
                    <w:tl2br w:val="nil"/>
                    <w:tr2bl w:val="nil"/>
                  </w:tcBorders>
                  <w:vAlign w:val="center"/>
                </w:tcPr>
                <w:p w14:paraId="5001C4F6">
                  <w:pPr>
                    <w:pStyle w:val="18"/>
                    <w:spacing w:line="240" w:lineRule="auto"/>
                    <w:jc w:val="center"/>
                    <w:rPr>
                      <w:rFonts w:hint="default"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1</w:t>
                  </w:r>
                </w:p>
              </w:tc>
              <w:tc>
                <w:tcPr>
                  <w:tcW w:w="1000" w:type="pct"/>
                  <w:tcBorders>
                    <w:tl2br w:val="nil"/>
                    <w:tr2bl w:val="nil"/>
                  </w:tcBorders>
                  <w:vAlign w:val="center"/>
                </w:tcPr>
                <w:p w14:paraId="3E1F3834">
                  <w:pPr>
                    <w:pStyle w:val="18"/>
                    <w:spacing w:line="240" w:lineRule="auto"/>
                    <w:jc w:val="center"/>
                    <w:rPr>
                      <w:rFonts w:hint="default" w:ascii="Times New Roman" w:hAnsi="Times New Roman" w:cs="Times New Roman"/>
                      <w:vertAlign w:val="baseline"/>
                      <w:lang w:val="en-US" w:eastAsia="zh-CN"/>
                    </w:rPr>
                  </w:pPr>
                </w:p>
              </w:tc>
            </w:tr>
            <w:tr w14:paraId="7DA4FE9E">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578" w:type="pct"/>
                  <w:tcBorders>
                    <w:tl2br w:val="nil"/>
                    <w:tr2bl w:val="nil"/>
                  </w:tcBorders>
                  <w:vAlign w:val="center"/>
                </w:tcPr>
                <w:p w14:paraId="4738E776">
                  <w:pPr>
                    <w:pStyle w:val="18"/>
                    <w:spacing w:line="240" w:lineRule="auto"/>
                    <w:jc w:val="center"/>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3</w:t>
                  </w:r>
                </w:p>
              </w:tc>
              <w:tc>
                <w:tcPr>
                  <w:tcW w:w="1420" w:type="pct"/>
                  <w:tcBorders>
                    <w:tl2br w:val="nil"/>
                    <w:tr2bl w:val="nil"/>
                  </w:tcBorders>
                  <w:vAlign w:val="center"/>
                </w:tcPr>
                <w:p w14:paraId="7257DE5B">
                  <w:pPr>
                    <w:pStyle w:val="18"/>
                    <w:spacing w:line="240" w:lineRule="auto"/>
                    <w:jc w:val="center"/>
                    <w:rPr>
                      <w:rFonts w:hint="default"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电机</w:t>
                  </w:r>
                </w:p>
              </w:tc>
              <w:tc>
                <w:tcPr>
                  <w:tcW w:w="1000" w:type="pct"/>
                  <w:tcBorders>
                    <w:tl2br w:val="nil"/>
                    <w:tr2bl w:val="nil"/>
                  </w:tcBorders>
                  <w:vAlign w:val="center"/>
                </w:tcPr>
                <w:p w14:paraId="0EB61878">
                  <w:pPr>
                    <w:pStyle w:val="18"/>
                    <w:spacing w:line="240" w:lineRule="auto"/>
                    <w:jc w:val="center"/>
                    <w:rPr>
                      <w:rFonts w:hint="default"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YE2-160M-4</w:t>
                  </w:r>
                </w:p>
              </w:tc>
              <w:tc>
                <w:tcPr>
                  <w:tcW w:w="999" w:type="pct"/>
                  <w:tcBorders>
                    <w:tl2br w:val="nil"/>
                    <w:tr2bl w:val="nil"/>
                  </w:tcBorders>
                  <w:vAlign w:val="center"/>
                </w:tcPr>
                <w:p w14:paraId="10BDA663">
                  <w:pPr>
                    <w:pStyle w:val="18"/>
                    <w:spacing w:line="240" w:lineRule="auto"/>
                    <w:jc w:val="center"/>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1</w:t>
                  </w:r>
                </w:p>
              </w:tc>
              <w:tc>
                <w:tcPr>
                  <w:tcW w:w="1000" w:type="pct"/>
                  <w:tcBorders>
                    <w:tl2br w:val="nil"/>
                    <w:tr2bl w:val="nil"/>
                  </w:tcBorders>
                  <w:vAlign w:val="center"/>
                </w:tcPr>
                <w:p w14:paraId="1CB8930E">
                  <w:pPr>
                    <w:pStyle w:val="18"/>
                    <w:spacing w:line="240" w:lineRule="auto"/>
                    <w:jc w:val="center"/>
                    <w:rPr>
                      <w:rFonts w:hint="default" w:ascii="Times New Roman" w:hAnsi="Times New Roman" w:cs="Times New Roman"/>
                      <w:vertAlign w:val="baseline"/>
                      <w:lang w:val="en-US" w:eastAsia="zh-CN"/>
                    </w:rPr>
                  </w:pPr>
                </w:p>
              </w:tc>
            </w:tr>
            <w:tr w14:paraId="52D9EA7B">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578" w:type="pct"/>
                  <w:tcBorders>
                    <w:tl2br w:val="nil"/>
                    <w:tr2bl w:val="nil"/>
                  </w:tcBorders>
                  <w:vAlign w:val="center"/>
                </w:tcPr>
                <w:p w14:paraId="04160E12">
                  <w:pPr>
                    <w:pStyle w:val="18"/>
                    <w:spacing w:line="240" w:lineRule="auto"/>
                    <w:jc w:val="center"/>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4</w:t>
                  </w:r>
                </w:p>
              </w:tc>
              <w:tc>
                <w:tcPr>
                  <w:tcW w:w="1420" w:type="pct"/>
                  <w:tcBorders>
                    <w:tl2br w:val="nil"/>
                    <w:tr2bl w:val="nil"/>
                  </w:tcBorders>
                  <w:vAlign w:val="center"/>
                </w:tcPr>
                <w:p w14:paraId="5B7CE753">
                  <w:pPr>
                    <w:pStyle w:val="18"/>
                    <w:spacing w:line="240" w:lineRule="auto"/>
                    <w:jc w:val="center"/>
                    <w:rPr>
                      <w:rFonts w:hint="default"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活性炭吸附装置及配套风机</w:t>
                  </w:r>
                </w:p>
              </w:tc>
              <w:tc>
                <w:tcPr>
                  <w:tcW w:w="1000" w:type="pct"/>
                  <w:tcBorders>
                    <w:tl2br w:val="nil"/>
                    <w:tr2bl w:val="nil"/>
                  </w:tcBorders>
                  <w:vAlign w:val="center"/>
                </w:tcPr>
                <w:p w14:paraId="2D5DFB00">
                  <w:pPr>
                    <w:pStyle w:val="18"/>
                    <w:spacing w:line="240" w:lineRule="auto"/>
                    <w:jc w:val="center"/>
                    <w:rPr>
                      <w:rFonts w:hint="default"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w:t>
                  </w:r>
                </w:p>
              </w:tc>
              <w:tc>
                <w:tcPr>
                  <w:tcW w:w="999" w:type="pct"/>
                  <w:tcBorders>
                    <w:tl2br w:val="nil"/>
                    <w:tr2bl w:val="nil"/>
                  </w:tcBorders>
                  <w:vAlign w:val="center"/>
                </w:tcPr>
                <w:p w14:paraId="2877564E">
                  <w:pPr>
                    <w:pStyle w:val="18"/>
                    <w:spacing w:line="240" w:lineRule="auto"/>
                    <w:jc w:val="center"/>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1</w:t>
                  </w:r>
                </w:p>
              </w:tc>
              <w:tc>
                <w:tcPr>
                  <w:tcW w:w="1000" w:type="pct"/>
                  <w:tcBorders>
                    <w:tl2br w:val="nil"/>
                    <w:tr2bl w:val="nil"/>
                  </w:tcBorders>
                  <w:vAlign w:val="center"/>
                </w:tcPr>
                <w:p w14:paraId="2E68528D">
                  <w:pPr>
                    <w:pStyle w:val="18"/>
                    <w:spacing w:line="240" w:lineRule="auto"/>
                    <w:jc w:val="center"/>
                    <w:rPr>
                      <w:rFonts w:hint="default" w:ascii="Times New Roman" w:hAnsi="Times New Roman" w:cs="Times New Roman"/>
                      <w:vertAlign w:val="baseline"/>
                      <w:lang w:val="en-US" w:eastAsia="zh-CN"/>
                    </w:rPr>
                  </w:pPr>
                  <w:r>
                    <w:rPr>
                      <w:rFonts w:hint="eastAsia" w:ascii="Times New Roman" w:hAnsi="Times New Roman" w:cs="Times New Roman"/>
                      <w:vertAlign w:val="baseline"/>
                      <w:lang w:val="en-US" w:eastAsia="zh-CN"/>
                    </w:rPr>
                    <w:t>填充活性炭颗粒，碘值&gt;800</w:t>
                  </w:r>
                </w:p>
              </w:tc>
            </w:tr>
          </w:tbl>
          <w:p w14:paraId="64E1960D">
            <w:pPr>
              <w:numPr>
                <w:ilvl w:val="0"/>
                <w:numId w:val="5"/>
              </w:numPr>
              <w:spacing w:line="360" w:lineRule="auto"/>
              <w:jc w:val="left"/>
              <w:outlineLvl w:val="1"/>
              <w:rPr>
                <w:rFonts w:hint="default" w:ascii="Times New Roman" w:hAnsi="Times New Roman" w:cs="Times New Roman"/>
                <w:b/>
                <w:bCs/>
                <w:color w:val="000000" w:themeColor="text1"/>
                <w:sz w:val="24"/>
                <w:szCs w:val="32"/>
                <w:highlight w:val="none"/>
                <w14:textFill>
                  <w14:solidFill>
                    <w14:schemeClr w14:val="tx1"/>
                  </w14:solidFill>
                </w14:textFill>
              </w:rPr>
            </w:pPr>
            <w:r>
              <w:rPr>
                <w:rFonts w:hint="default" w:ascii="Times New Roman" w:hAnsi="Times New Roman" w:cs="Times New Roman"/>
                <w:b/>
                <w:bCs/>
                <w:color w:val="000000" w:themeColor="text1"/>
                <w:sz w:val="24"/>
                <w:szCs w:val="32"/>
                <w:highlight w:val="none"/>
                <w14:textFill>
                  <w14:solidFill>
                    <w14:schemeClr w14:val="tx1"/>
                  </w14:solidFill>
                </w14:textFill>
              </w:rPr>
              <w:t>公用及辅助工程</w:t>
            </w:r>
          </w:p>
          <w:p w14:paraId="057665FF">
            <w:pPr>
              <w:numPr>
                <w:ilvl w:val="0"/>
                <w:numId w:val="0"/>
              </w:numPr>
              <w:spacing w:line="360" w:lineRule="auto"/>
              <w:ind w:firstLine="480" w:firstLineChars="200"/>
              <w:jc w:val="left"/>
              <w:outlineLvl w:val="1"/>
              <w:rPr>
                <w:rFonts w:hint="default" w:ascii="Times New Roman" w:hAnsi="Times New Roman" w:cs="Times New Roman"/>
                <w:color w:val="000000" w:themeColor="text1"/>
                <w:sz w:val="24"/>
                <w:szCs w:val="32"/>
                <w:highlight w:val="none"/>
                <w14:textFill>
                  <w14:solidFill>
                    <w14:schemeClr w14:val="tx1"/>
                  </w14:solidFill>
                </w14:textFill>
              </w:rPr>
            </w:pPr>
            <w:r>
              <w:rPr>
                <w:rFonts w:hint="eastAsia" w:cs="Times New Roman"/>
                <w:color w:val="000000" w:themeColor="text1"/>
                <w:sz w:val="24"/>
                <w:szCs w:val="32"/>
                <w:highlight w:val="none"/>
                <w:lang w:eastAsia="zh-CN"/>
                <w14:textFill>
                  <w14:solidFill>
                    <w14:schemeClr w14:val="tx1"/>
                  </w14:solidFill>
                </w14:textFill>
              </w:rPr>
              <w:t>（</w:t>
            </w:r>
            <w:r>
              <w:rPr>
                <w:rFonts w:hint="eastAsia" w:cs="Times New Roman"/>
                <w:color w:val="000000" w:themeColor="text1"/>
                <w:sz w:val="24"/>
                <w:szCs w:val="32"/>
                <w:highlight w:val="none"/>
                <w:lang w:val="en-US" w:eastAsia="zh-CN"/>
                <w14:textFill>
                  <w14:solidFill>
                    <w14:schemeClr w14:val="tx1"/>
                  </w14:solidFill>
                </w14:textFill>
              </w:rPr>
              <w:t>1</w:t>
            </w:r>
            <w:r>
              <w:rPr>
                <w:rFonts w:hint="eastAsia" w:cs="Times New Roman"/>
                <w:color w:val="000000" w:themeColor="text1"/>
                <w:sz w:val="24"/>
                <w:szCs w:val="32"/>
                <w:highlight w:val="none"/>
                <w:lang w:eastAsia="zh-CN"/>
                <w14:textFill>
                  <w14:solidFill>
                    <w14:schemeClr w14:val="tx1"/>
                  </w14:solidFill>
                </w14:textFill>
              </w:rPr>
              <w:t>）</w:t>
            </w:r>
            <w:r>
              <w:rPr>
                <w:rFonts w:hint="default" w:ascii="Times New Roman" w:hAnsi="Times New Roman" w:cs="Times New Roman"/>
                <w:color w:val="000000" w:themeColor="text1"/>
                <w:sz w:val="24"/>
                <w:szCs w:val="32"/>
                <w:highlight w:val="none"/>
                <w14:textFill>
                  <w14:solidFill>
                    <w14:schemeClr w14:val="tx1"/>
                  </w14:solidFill>
                </w14:textFill>
              </w:rPr>
              <w:t>给水：</w:t>
            </w:r>
            <w:r>
              <w:rPr>
                <w:rFonts w:hint="default" w:ascii="Times New Roman" w:hAnsi="Times New Roman" w:cs="Times New Roman"/>
                <w:color w:val="000000" w:themeColor="text1"/>
                <w:sz w:val="24"/>
                <w:szCs w:val="32"/>
                <w:highlight w:val="none"/>
                <w:lang w:val="en-US" w:eastAsia="zh-CN"/>
                <w14:textFill>
                  <w14:solidFill>
                    <w14:schemeClr w14:val="tx1"/>
                  </w14:solidFill>
                </w14:textFill>
              </w:rPr>
              <w:t>废矿物油采用油泵直接抽入油罐内，正常情况下无泄漏，无需对地面进行冲洗处理，而采用干扫方式进行清洁地面，地面滴的废油采用抹布等方式进行擦拭，故本项目生产过程中不涉及到生产用水。</w:t>
            </w:r>
            <w:r>
              <w:rPr>
                <w:rFonts w:hint="eastAsia" w:cs="Times New Roman"/>
                <w:color w:val="000000" w:themeColor="text1"/>
                <w:sz w:val="24"/>
                <w:szCs w:val="32"/>
                <w:highlight w:val="none"/>
                <w:lang w:val="en-US" w:eastAsia="zh-CN"/>
                <w14:textFill>
                  <w14:solidFill>
                    <w14:schemeClr w14:val="tx1"/>
                  </w14:solidFill>
                </w14:textFill>
              </w:rPr>
              <w:t>生活用水采用外购桶装水。</w:t>
            </w:r>
          </w:p>
          <w:p w14:paraId="74D773E8">
            <w:pPr>
              <w:spacing w:line="360" w:lineRule="auto"/>
              <w:ind w:firstLine="480" w:firstLineChars="200"/>
              <w:jc w:val="left"/>
              <w:outlineLvl w:val="1"/>
              <w:rPr>
                <w:rFonts w:hint="default" w:ascii="Times New Roman" w:hAnsi="Times New Roman" w:cs="Times New Roman"/>
                <w:color w:val="000000" w:themeColor="text1"/>
                <w:sz w:val="24"/>
                <w:szCs w:val="32"/>
                <w:highlight w:val="none"/>
                <w14:textFill>
                  <w14:solidFill>
                    <w14:schemeClr w14:val="tx1"/>
                  </w14:solidFill>
                </w14:textFill>
              </w:rPr>
            </w:pPr>
            <w:r>
              <w:rPr>
                <w:rFonts w:hint="default" w:ascii="Times New Roman" w:hAnsi="Times New Roman" w:cs="Times New Roman"/>
                <w:color w:val="000000" w:themeColor="text1"/>
                <w:sz w:val="24"/>
                <w:szCs w:val="32"/>
                <w:highlight w:val="none"/>
                <w14:textFill>
                  <w14:solidFill>
                    <w14:schemeClr w14:val="tx1"/>
                  </w14:solidFill>
                </w14:textFill>
              </w:rPr>
              <w:t>（2）排水：本项目新增劳动定员</w:t>
            </w:r>
            <w:r>
              <w:rPr>
                <w:rFonts w:hint="eastAsia" w:cs="Times New Roman"/>
                <w:color w:val="000000" w:themeColor="text1"/>
                <w:sz w:val="24"/>
                <w:szCs w:val="32"/>
                <w:highlight w:val="none"/>
                <w:lang w:val="en-US" w:eastAsia="zh-CN"/>
                <w14:textFill>
                  <w14:solidFill>
                    <w14:schemeClr w14:val="tx1"/>
                  </w14:solidFill>
                </w14:textFill>
              </w:rPr>
              <w:t>3人，生活用水量按50L/人</w:t>
            </w:r>
            <w:r>
              <w:rPr>
                <w:rFonts w:hint="default" w:ascii="Times New Roman" w:hAnsi="Times New Roman" w:cs="Times New Roman"/>
                <w:color w:val="000000" w:themeColor="text1"/>
                <w:sz w:val="24"/>
                <w:szCs w:val="32"/>
                <w:highlight w:val="none"/>
                <w:lang w:val="en-US" w:eastAsia="zh-CN"/>
                <w14:textFill>
                  <w14:solidFill>
                    <w14:schemeClr w14:val="tx1"/>
                  </w14:solidFill>
                </w14:textFill>
              </w:rPr>
              <w:t>·</w:t>
            </w:r>
            <w:r>
              <w:rPr>
                <w:rFonts w:hint="eastAsia" w:cs="Times New Roman"/>
                <w:color w:val="000000" w:themeColor="text1"/>
                <w:sz w:val="24"/>
                <w:szCs w:val="32"/>
                <w:highlight w:val="none"/>
                <w:lang w:val="en-US" w:eastAsia="zh-CN"/>
                <w14:textFill>
                  <w14:solidFill>
                    <w14:schemeClr w14:val="tx1"/>
                  </w14:solidFill>
                </w14:textFill>
              </w:rPr>
              <w:t>d计算，则生活用水量为0.15t/d、30t/a，生活污水排放量按用水量80%计算，则生活污水排放量为0.12t/d、24t/a</w:t>
            </w:r>
            <w:r>
              <w:rPr>
                <w:rFonts w:hint="default" w:ascii="Times New Roman" w:hAnsi="Times New Roman" w:cs="Times New Roman"/>
                <w:color w:val="000000" w:themeColor="text1"/>
                <w:sz w:val="24"/>
                <w:szCs w:val="32"/>
                <w:highlight w:val="none"/>
                <w14:textFill>
                  <w14:solidFill>
                    <w14:schemeClr w14:val="tx1"/>
                  </w14:solidFill>
                </w14:textFill>
              </w:rPr>
              <w:t>，</w:t>
            </w:r>
            <w:r>
              <w:rPr>
                <w:rFonts w:hint="eastAsia" w:cs="Times New Roman"/>
                <w:color w:val="000000" w:themeColor="text1"/>
                <w:sz w:val="24"/>
                <w:szCs w:val="32"/>
                <w:highlight w:val="none"/>
                <w:lang w:val="en-US" w:eastAsia="zh-CN"/>
                <w14:textFill>
                  <w14:solidFill>
                    <w14:schemeClr w14:val="tx1"/>
                  </w14:solidFill>
                </w14:textFill>
              </w:rPr>
              <w:t>生活污水依托租用厂区内现有旱厕。</w:t>
            </w:r>
          </w:p>
          <w:p w14:paraId="6B0EE576">
            <w:pPr>
              <w:spacing w:line="360" w:lineRule="auto"/>
              <w:ind w:firstLine="480" w:firstLineChars="200"/>
              <w:jc w:val="left"/>
              <w:outlineLvl w:val="1"/>
              <w:rPr>
                <w:rFonts w:hint="default" w:ascii="Times New Roman" w:hAnsi="Times New Roman" w:eastAsia="宋体" w:cs="Times New Roman"/>
                <w:color w:val="000000" w:themeColor="text1"/>
                <w:sz w:val="24"/>
                <w:szCs w:val="32"/>
                <w:highlight w:val="none"/>
                <w:lang w:val="en-US" w:eastAsia="zh-CN"/>
                <w14:textFill>
                  <w14:solidFill>
                    <w14:schemeClr w14:val="tx1"/>
                  </w14:solidFill>
                </w14:textFill>
              </w:rPr>
            </w:pPr>
            <w:r>
              <w:rPr>
                <w:rFonts w:hint="default" w:ascii="Times New Roman" w:hAnsi="Times New Roman" w:cs="Times New Roman"/>
                <w:color w:val="000000" w:themeColor="text1"/>
                <w:sz w:val="24"/>
                <w:szCs w:val="32"/>
                <w:highlight w:val="none"/>
                <w14:textFill>
                  <w14:solidFill>
                    <w14:schemeClr w14:val="tx1"/>
                  </w14:solidFill>
                </w14:textFill>
              </w:rPr>
              <w:t>（3）供电：</w:t>
            </w:r>
            <w:r>
              <w:rPr>
                <w:rFonts w:hint="eastAsia" w:cs="Times New Roman"/>
                <w:color w:val="000000" w:themeColor="text1"/>
                <w:sz w:val="24"/>
                <w:szCs w:val="32"/>
                <w:highlight w:val="none"/>
                <w:lang w:val="en-US" w:eastAsia="zh-CN"/>
                <w14:textFill>
                  <w14:solidFill>
                    <w14:schemeClr w14:val="tx1"/>
                  </w14:solidFill>
                </w14:textFill>
              </w:rPr>
              <w:t>用电依托市政供电系统。</w:t>
            </w:r>
          </w:p>
          <w:p w14:paraId="50859A8F">
            <w:pPr>
              <w:pStyle w:val="18"/>
              <w:numPr>
                <w:ilvl w:val="0"/>
                <w:numId w:val="5"/>
              </w:numPr>
              <w:spacing w:line="360" w:lineRule="auto"/>
              <w:ind w:left="0" w:leftChars="0" w:firstLine="0" w:firstLineChars="0"/>
              <w:rPr>
                <w:rFonts w:hint="default" w:ascii="Times New Roman" w:hAnsi="Times New Roman" w:cs="Times New Roman"/>
                <w:b/>
                <w:bCs/>
                <w:color w:val="000000" w:themeColor="text1"/>
                <w:sz w:val="24"/>
                <w:szCs w:val="32"/>
                <w:highlight w:val="none"/>
                <w14:textFill>
                  <w14:solidFill>
                    <w14:schemeClr w14:val="tx1"/>
                  </w14:solidFill>
                </w14:textFill>
              </w:rPr>
            </w:pPr>
            <w:r>
              <w:rPr>
                <w:rFonts w:hint="default" w:ascii="Times New Roman" w:hAnsi="Times New Roman" w:cs="Times New Roman"/>
                <w:b/>
                <w:bCs/>
                <w:color w:val="000000" w:themeColor="text1"/>
                <w:sz w:val="24"/>
                <w:szCs w:val="32"/>
                <w:highlight w:val="none"/>
                <w14:textFill>
                  <w14:solidFill>
                    <w14:schemeClr w14:val="tx1"/>
                  </w14:solidFill>
                </w14:textFill>
              </w:rPr>
              <w:t>劳动定员及工作制度</w:t>
            </w:r>
          </w:p>
          <w:p w14:paraId="68DF37B5">
            <w:pPr>
              <w:spacing w:line="360" w:lineRule="auto"/>
              <w:ind w:firstLine="480" w:firstLineChars="200"/>
              <w:rPr>
                <w:rFonts w:hint="default" w:ascii="Times New Roman" w:hAnsi="Times New Roman" w:cs="Times New Roman"/>
                <w:color w:val="000000" w:themeColor="text1"/>
                <w:sz w:val="24"/>
                <w:szCs w:val="32"/>
                <w:highlight w:val="none"/>
                <w14:textFill>
                  <w14:solidFill>
                    <w14:schemeClr w14:val="tx1"/>
                  </w14:solidFill>
                </w14:textFill>
              </w:rPr>
            </w:pPr>
            <w:r>
              <w:rPr>
                <w:rFonts w:hint="default" w:ascii="Times New Roman" w:hAnsi="Times New Roman" w:cs="Times New Roman"/>
                <w:color w:val="000000" w:themeColor="text1"/>
                <w:sz w:val="24"/>
                <w:szCs w:val="32"/>
                <w:highlight w:val="none"/>
                <w14:textFill>
                  <w14:solidFill>
                    <w14:schemeClr w14:val="tx1"/>
                  </w14:solidFill>
                </w14:textFill>
              </w:rPr>
              <w:t>本项目新增劳动定员</w:t>
            </w:r>
            <w:r>
              <w:rPr>
                <w:rFonts w:hint="eastAsia" w:cs="Times New Roman"/>
                <w:color w:val="000000" w:themeColor="text1"/>
                <w:sz w:val="24"/>
                <w:szCs w:val="32"/>
                <w:highlight w:val="none"/>
                <w:lang w:val="en-US" w:eastAsia="zh-CN"/>
                <w14:textFill>
                  <w14:solidFill>
                    <w14:schemeClr w14:val="tx1"/>
                  </w14:solidFill>
                </w14:textFill>
              </w:rPr>
              <w:t>3人</w:t>
            </w:r>
            <w:r>
              <w:rPr>
                <w:rFonts w:hint="default" w:ascii="Times New Roman" w:hAnsi="Times New Roman" w:cs="Times New Roman"/>
                <w:color w:val="000000" w:themeColor="text1"/>
                <w:sz w:val="24"/>
                <w:szCs w:val="32"/>
                <w:highlight w:val="none"/>
                <w14:textFill>
                  <w14:solidFill>
                    <w14:schemeClr w14:val="tx1"/>
                  </w14:solidFill>
                </w14:textFill>
              </w:rPr>
              <w:t>，年工作</w:t>
            </w:r>
            <w:r>
              <w:rPr>
                <w:rFonts w:hint="eastAsia" w:cs="Times New Roman"/>
                <w:color w:val="000000" w:themeColor="text1"/>
                <w:sz w:val="24"/>
                <w:szCs w:val="32"/>
                <w:highlight w:val="none"/>
                <w:lang w:val="en-US" w:eastAsia="zh-CN"/>
                <w14:textFill>
                  <w14:solidFill>
                    <w14:schemeClr w14:val="tx1"/>
                  </w14:solidFill>
                </w14:textFill>
              </w:rPr>
              <w:t>200</w:t>
            </w:r>
            <w:r>
              <w:rPr>
                <w:rFonts w:hint="default" w:ascii="Times New Roman" w:hAnsi="Times New Roman" w:cs="Times New Roman"/>
                <w:color w:val="000000" w:themeColor="text1"/>
                <w:sz w:val="24"/>
                <w:szCs w:val="32"/>
                <w:highlight w:val="none"/>
                <w14:textFill>
                  <w14:solidFill>
                    <w14:schemeClr w14:val="tx1"/>
                  </w14:solidFill>
                </w14:textFill>
              </w:rPr>
              <w:t>天。</w:t>
            </w:r>
            <w:r>
              <w:rPr>
                <w:rFonts w:hint="eastAsia" w:cs="Times New Roman"/>
                <w:color w:val="000000" w:themeColor="text1"/>
                <w:sz w:val="24"/>
                <w:szCs w:val="32"/>
                <w:highlight w:val="none"/>
                <w:lang w:val="en-US" w:eastAsia="zh-CN"/>
                <w14:textFill>
                  <w14:solidFill>
                    <w14:schemeClr w14:val="tx1"/>
                  </w14:solidFill>
                </w14:textFill>
              </w:rPr>
              <w:t>场地内不提供食宿。</w:t>
            </w:r>
          </w:p>
          <w:p w14:paraId="52987020">
            <w:pPr>
              <w:pStyle w:val="2"/>
              <w:numPr>
                <w:ilvl w:val="0"/>
                <w:numId w:val="5"/>
              </w:numPr>
              <w:spacing w:line="360" w:lineRule="auto"/>
              <w:ind w:left="0" w:leftChars="0" w:firstLine="0" w:firstLineChars="0"/>
              <w:rPr>
                <w:rFonts w:hint="eastAsia" w:cs="Times New Roman"/>
                <w:b/>
                <w:bCs/>
                <w:color w:val="000000" w:themeColor="text1"/>
                <w:sz w:val="24"/>
                <w:szCs w:val="24"/>
                <w:highlight w:val="none"/>
                <w:lang w:val="en-US" w:eastAsia="zh-CN"/>
                <w14:textFill>
                  <w14:solidFill>
                    <w14:schemeClr w14:val="tx1"/>
                  </w14:solidFill>
                </w14:textFill>
              </w:rPr>
            </w:pPr>
            <w:r>
              <w:rPr>
                <w:rFonts w:hint="eastAsia" w:cs="Times New Roman"/>
                <w:b/>
                <w:bCs/>
                <w:color w:val="000000" w:themeColor="text1"/>
                <w:sz w:val="24"/>
                <w:szCs w:val="24"/>
                <w:highlight w:val="none"/>
                <w:lang w:val="en-US" w:eastAsia="zh-CN"/>
                <w14:textFill>
                  <w14:solidFill>
                    <w14:schemeClr w14:val="tx1"/>
                  </w14:solidFill>
                </w14:textFill>
              </w:rPr>
              <w:t>运输方案</w:t>
            </w:r>
          </w:p>
          <w:p w14:paraId="07B70C07">
            <w:pPr>
              <w:keepNext w:val="0"/>
              <w:keepLines w:val="0"/>
              <w:widowControl/>
              <w:suppressLineNumbers w:val="0"/>
              <w:spacing w:line="360" w:lineRule="auto"/>
              <w:ind w:firstLine="480" w:firstLineChars="200"/>
              <w:jc w:val="left"/>
              <w:rPr>
                <w:sz w:val="24"/>
                <w:szCs w:val="24"/>
              </w:rPr>
            </w:pPr>
            <w:r>
              <w:rPr>
                <w:rFonts w:hint="eastAsia" w:ascii="宋体" w:hAnsi="宋体" w:eastAsia="宋体" w:cs="宋体"/>
                <w:color w:val="000000"/>
                <w:kern w:val="0"/>
                <w:sz w:val="24"/>
                <w:szCs w:val="24"/>
                <w:lang w:val="en-US" w:eastAsia="zh-CN" w:bidi="ar"/>
              </w:rPr>
              <w:t xml:space="preserve">危险废物经专业运输单位运输至停入装卸区，废矿物油通过油泵，吸油管抽入废矿物油贮存罐内。 </w:t>
            </w:r>
          </w:p>
          <w:p w14:paraId="4D7F9163">
            <w:pPr>
              <w:keepNext w:val="0"/>
              <w:keepLines w:val="0"/>
              <w:widowControl/>
              <w:suppressLineNumbers w:val="0"/>
              <w:spacing w:line="360" w:lineRule="auto"/>
              <w:ind w:firstLine="480" w:firstLineChars="200"/>
              <w:jc w:val="left"/>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当危险废物储存到一定量后，及时由专业运输单位运输的油罐车及运输车辆进行转运及处置。各类危险废物在运输过程中应满足《危险货物运输包装通用技术条件》（</w:t>
            </w:r>
            <w:r>
              <w:rPr>
                <w:rFonts w:hint="default" w:ascii="Times New Roman" w:hAnsi="Times New Roman" w:eastAsia="宋体" w:cs="Times New Roman"/>
                <w:color w:val="000000"/>
                <w:kern w:val="0"/>
                <w:sz w:val="24"/>
                <w:szCs w:val="24"/>
                <w:lang w:val="en-US" w:eastAsia="zh-CN" w:bidi="ar"/>
              </w:rPr>
              <w:t>GB12463-2009</w:t>
            </w:r>
            <w:r>
              <w:rPr>
                <w:rFonts w:hint="eastAsia" w:ascii="宋体" w:hAnsi="宋体" w:eastAsia="宋体" w:cs="宋体"/>
                <w:color w:val="000000"/>
                <w:kern w:val="0"/>
                <w:sz w:val="24"/>
                <w:szCs w:val="24"/>
                <w:lang w:val="en-US" w:eastAsia="zh-CN" w:bidi="ar"/>
              </w:rPr>
              <w:t>）和《危险废物收集贮存运输技术规范》（</w:t>
            </w:r>
            <w:r>
              <w:rPr>
                <w:rFonts w:hint="default" w:ascii="Times New Roman" w:hAnsi="Times New Roman" w:eastAsia="宋体" w:cs="Times New Roman"/>
                <w:color w:val="000000"/>
                <w:kern w:val="0"/>
                <w:sz w:val="24"/>
                <w:szCs w:val="24"/>
                <w:lang w:val="en-US" w:eastAsia="zh-CN" w:bidi="ar"/>
              </w:rPr>
              <w:t>HJ2025-2012</w:t>
            </w:r>
            <w:r>
              <w:rPr>
                <w:rFonts w:hint="eastAsia" w:ascii="宋体" w:hAnsi="宋体" w:eastAsia="宋体" w:cs="宋体"/>
                <w:color w:val="000000"/>
                <w:kern w:val="0"/>
                <w:sz w:val="24"/>
                <w:szCs w:val="24"/>
                <w:lang w:val="en-US" w:eastAsia="zh-CN" w:bidi="ar"/>
              </w:rPr>
              <w:t>）中的具体要求。</w:t>
            </w:r>
          </w:p>
          <w:p w14:paraId="0338B3BF">
            <w:pPr>
              <w:keepNext w:val="0"/>
              <w:keepLines w:val="0"/>
              <w:widowControl/>
              <w:suppressLineNumbers w:val="0"/>
              <w:spacing w:line="360" w:lineRule="auto"/>
              <w:ind w:firstLine="480" w:firstLineChars="200"/>
              <w:jc w:val="left"/>
              <w:rPr>
                <w:sz w:val="24"/>
                <w:szCs w:val="24"/>
              </w:rPr>
            </w:pPr>
            <w:r>
              <w:rPr>
                <w:rFonts w:hint="eastAsia" w:ascii="宋体" w:hAnsi="宋体" w:eastAsia="宋体" w:cs="宋体"/>
                <w:color w:val="000000"/>
                <w:kern w:val="0"/>
                <w:sz w:val="24"/>
                <w:szCs w:val="24"/>
                <w:lang w:val="en-US" w:eastAsia="zh-CN" w:bidi="ar"/>
              </w:rPr>
              <w:t>对于驾驶员、操作工均持有</w:t>
            </w:r>
            <w:r>
              <w:rPr>
                <w:rFonts w:hint="eastAsia" w:ascii="Times New Roman" w:hAnsi="Times New Roman" w:eastAsia="宋体" w:cs="Times New Roman"/>
                <w:color w:val="000000"/>
                <w:kern w:val="0"/>
                <w:sz w:val="24"/>
                <w:szCs w:val="24"/>
                <w:lang w:val="en-US" w:eastAsia="zh-CN" w:bidi="ar"/>
              </w:rPr>
              <w:t>“</w:t>
            </w:r>
            <w:r>
              <w:rPr>
                <w:rFonts w:hint="eastAsia" w:ascii="宋体" w:hAnsi="宋体" w:eastAsia="宋体" w:cs="宋体"/>
                <w:color w:val="000000"/>
                <w:kern w:val="0"/>
                <w:sz w:val="24"/>
                <w:szCs w:val="24"/>
                <w:lang w:val="en-US" w:eastAsia="zh-CN" w:bidi="ar"/>
              </w:rPr>
              <w:t>危险品运输资格证</w:t>
            </w:r>
            <w:r>
              <w:rPr>
                <w:rFonts w:hint="eastAsia" w:ascii="Times New Roman" w:hAnsi="Times New Roman" w:eastAsia="宋体" w:cs="Times New Roman"/>
                <w:color w:val="000000"/>
                <w:kern w:val="0"/>
                <w:sz w:val="24"/>
                <w:szCs w:val="24"/>
                <w:lang w:val="en-US" w:eastAsia="zh-CN" w:bidi="ar"/>
              </w:rPr>
              <w:t>”</w:t>
            </w:r>
            <w:r>
              <w:rPr>
                <w:rFonts w:hint="eastAsia" w:ascii="宋体" w:hAnsi="宋体" w:eastAsia="宋体" w:cs="宋体"/>
                <w:color w:val="000000"/>
                <w:kern w:val="0"/>
                <w:sz w:val="24"/>
                <w:szCs w:val="24"/>
                <w:lang w:val="en-US" w:eastAsia="zh-CN" w:bidi="ar"/>
              </w:rPr>
              <w:t>，具有专业知识及处理突发事故的能力，并具备处理运输途中可能发生的事故能力运输，运输车辆在醒目处标有特殊标志，告知公众为危险品运输车辆。运输、搬运过程采取专人专车并做到轻拿轻放，保证货物不倾泄翻出。同时，运输路线要避开水源保护地、人口密集区和交通拥堵路段。各企业业主为收集环境的环境责任主体，主要负责收集过程中危废包装满足相关堆放及要求。第三方运输单位为运输过程中的环境责任主体，对运输过程满足环保相关要求。本项目委托危废运输资质单位将废矿物油运至相关危废处理资质单位进行处置。</w:t>
            </w:r>
          </w:p>
          <w:p w14:paraId="5A5EDA14">
            <w:pPr>
              <w:numPr>
                <w:ilvl w:val="0"/>
                <w:numId w:val="5"/>
              </w:numPr>
              <w:spacing w:line="360" w:lineRule="auto"/>
              <w:ind w:left="0" w:leftChars="0" w:firstLine="0" w:firstLineChars="0"/>
              <w:jc w:val="left"/>
              <w:outlineLvl w:val="1"/>
              <w:rPr>
                <w:rFonts w:hint="default" w:ascii="Times New Roman" w:hAnsi="Times New Roman" w:cs="Times New Roman"/>
                <w:b/>
                <w:bCs/>
                <w:color w:val="000000" w:themeColor="text1"/>
                <w:sz w:val="24"/>
                <w:szCs w:val="32"/>
                <w:highlight w:val="none"/>
                <w14:textFill>
                  <w14:solidFill>
                    <w14:schemeClr w14:val="tx1"/>
                  </w14:solidFill>
                </w14:textFill>
              </w:rPr>
            </w:pPr>
            <w:r>
              <w:rPr>
                <w:rFonts w:hint="default" w:ascii="Times New Roman" w:hAnsi="Times New Roman" w:cs="Times New Roman"/>
                <w:b/>
                <w:bCs/>
                <w:color w:val="000000" w:themeColor="text1"/>
                <w:sz w:val="24"/>
                <w:szCs w:val="32"/>
                <w:highlight w:val="none"/>
                <w14:textFill>
                  <w14:solidFill>
                    <w14:schemeClr w14:val="tx1"/>
                  </w14:solidFill>
                </w14:textFill>
              </w:rPr>
              <w:t>总平面布置</w:t>
            </w:r>
          </w:p>
          <w:p w14:paraId="23CD85E5">
            <w:pPr>
              <w:spacing w:line="360" w:lineRule="auto"/>
              <w:ind w:firstLine="480" w:firstLineChars="200"/>
              <w:jc w:val="left"/>
              <w:outlineLvl w:val="1"/>
              <w:rPr>
                <w:rFonts w:hint="default" w:ascii="Times New Roman" w:hAnsi="Times New Roman" w:cs="Times New Roman"/>
                <w:color w:val="000000" w:themeColor="text1"/>
                <w:sz w:val="24"/>
                <w:szCs w:val="32"/>
                <w:highlight w:val="none"/>
                <w14:textFill>
                  <w14:solidFill>
                    <w14:schemeClr w14:val="tx1"/>
                  </w14:solidFill>
                </w14:textFill>
              </w:rPr>
            </w:pPr>
            <w:r>
              <w:rPr>
                <w:rFonts w:hint="default" w:ascii="Times New Roman" w:hAnsi="Times New Roman" w:cs="Times New Roman"/>
                <w:color w:val="000000" w:themeColor="text1"/>
                <w:sz w:val="24"/>
                <w:szCs w:val="32"/>
                <w:highlight w:val="none"/>
                <w14:textFill>
                  <w14:solidFill>
                    <w14:schemeClr w14:val="tx1"/>
                  </w14:solidFill>
                </w14:textFill>
              </w:rPr>
              <w:t>本项目结合厂址环境，危险废物暂存间依据《危险废物贮存污染控制标准》（GB18597-2001）及其修改单、《危险废物收集、贮存、运输技术规范》（HJ2025-2012）、《石油化工企业设计防火标准（2018年版）》（GB50160-2008）、《建筑设计防火规范（2018年版）》（GB50016-2014）和《石油化工全厂性仓库及堆场设计规范》（GB50475-2008）规定，各建筑之间距离满足相应要求。危险废物暂存间内不同危险废物分区存放，危废暂存间内设置集液沟以保证少量泄漏液及时收集、及时处理。危废暂存间封闭管理，防止无关人员接触危险废物。总平面布置符合符合安全、卫生、防火、环保等规范要求。</w:t>
            </w:r>
          </w:p>
          <w:p w14:paraId="09F16086">
            <w:pPr>
              <w:pStyle w:val="18"/>
              <w:spacing w:line="360" w:lineRule="auto"/>
              <w:ind w:firstLine="480" w:firstLineChars="20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sz w:val="24"/>
                <w:szCs w:val="32"/>
                <w:highlight w:val="none"/>
                <w14:textFill>
                  <w14:solidFill>
                    <w14:schemeClr w14:val="tx1"/>
                  </w14:solidFill>
                </w14:textFill>
              </w:rPr>
              <w:t>综上，本项目平面布置合理。</w:t>
            </w:r>
          </w:p>
        </w:tc>
      </w:tr>
      <w:tr w14:paraId="3713F6A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582" w:type="dxa"/>
            <w:vAlign w:val="center"/>
          </w:tcPr>
          <w:p w14:paraId="21169402">
            <w:pPr>
              <w:pStyle w:val="23"/>
              <w:adjustRightInd w:val="0"/>
              <w:snapToGrid w:val="0"/>
              <w:spacing w:beforeAutospacing="0" w:afterAutospacing="0"/>
              <w:jc w:val="center"/>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工艺流程和产排污环节</w:t>
            </w:r>
          </w:p>
        </w:tc>
        <w:tc>
          <w:tcPr>
            <w:tcW w:w="8402" w:type="dxa"/>
          </w:tcPr>
          <w:p w14:paraId="3C8C6D3C">
            <w:pPr>
              <w:pStyle w:val="68"/>
              <w:ind w:firstLine="482"/>
              <w:rPr>
                <w:rFonts w:hint="default" w:ascii="Times New Roman" w:hAnsi="Times New Roman" w:cs="Times New Roman"/>
                <w:b/>
                <w:color w:val="000000" w:themeColor="text1"/>
                <w:szCs w:val="24"/>
                <w:highlight w:val="none"/>
                <w14:textFill>
                  <w14:solidFill>
                    <w14:schemeClr w14:val="tx1"/>
                  </w14:solidFill>
                </w14:textFill>
              </w:rPr>
            </w:pPr>
            <w:r>
              <w:rPr>
                <w:rFonts w:hint="default" w:ascii="Times New Roman" w:hAnsi="Times New Roman" w:cs="Times New Roman"/>
                <w:b/>
                <w:color w:val="000000" w:themeColor="text1"/>
                <w:szCs w:val="24"/>
                <w:highlight w:val="none"/>
                <w14:textFill>
                  <w14:solidFill>
                    <w14:schemeClr w14:val="tx1"/>
                  </w14:solidFill>
                </w14:textFill>
              </w:rPr>
              <w:t>一、施工期</w:t>
            </w:r>
          </w:p>
          <w:p w14:paraId="25DD9645">
            <w:pPr>
              <w:spacing w:line="360" w:lineRule="auto"/>
              <w:ind w:firstLine="480" w:firstLineChars="200"/>
              <w:jc w:val="left"/>
              <w:rPr>
                <w:rFonts w:hint="default" w:ascii="Times New Roman" w:hAnsi="Times New Roman" w:cs="Times New Roman"/>
                <w:color w:val="000000" w:themeColor="text1"/>
                <w:sz w:val="24"/>
                <w:szCs w:val="32"/>
                <w:highlight w:val="none"/>
                <w14:textFill>
                  <w14:solidFill>
                    <w14:schemeClr w14:val="tx1"/>
                  </w14:solidFill>
                </w14:textFill>
              </w:rPr>
            </w:pPr>
            <w:r>
              <w:rPr>
                <w:rFonts w:hint="default" w:ascii="Times New Roman" w:hAnsi="Times New Roman" w:cs="Times New Roman"/>
                <w:color w:val="auto"/>
                <w:sz w:val="24"/>
                <w:szCs w:val="32"/>
                <w:highlight w:val="none"/>
                <w:lang w:val="en-US" w:eastAsia="zh-CN"/>
              </w:rPr>
              <w:t>本项目租赁</w:t>
            </w:r>
            <w:r>
              <w:rPr>
                <w:rFonts w:hint="eastAsia" w:cs="Times New Roman"/>
                <w:color w:val="auto"/>
                <w:sz w:val="24"/>
                <w:szCs w:val="32"/>
                <w:highlight w:val="none"/>
                <w:lang w:val="en-US" w:eastAsia="zh-CN"/>
              </w:rPr>
              <w:t>个人（段振龙）现有</w:t>
            </w:r>
            <w:r>
              <w:rPr>
                <w:rFonts w:hint="default" w:ascii="Times New Roman" w:hAnsi="Times New Roman" w:cs="Times New Roman"/>
                <w:color w:val="auto"/>
                <w:sz w:val="24"/>
                <w:szCs w:val="32"/>
                <w:highlight w:val="none"/>
                <w:lang w:val="en-US" w:eastAsia="zh-CN"/>
              </w:rPr>
              <w:t>闲置厂房进行废</w:t>
            </w:r>
            <w:r>
              <w:rPr>
                <w:rFonts w:hint="eastAsia" w:cs="Times New Roman"/>
                <w:color w:val="auto"/>
                <w:sz w:val="24"/>
                <w:szCs w:val="32"/>
                <w:highlight w:val="none"/>
                <w:lang w:val="en-US" w:eastAsia="zh-CN"/>
              </w:rPr>
              <w:t>矿物油</w:t>
            </w:r>
            <w:r>
              <w:rPr>
                <w:rFonts w:hint="default" w:ascii="Times New Roman" w:hAnsi="Times New Roman" w:cs="Times New Roman"/>
                <w:color w:val="auto"/>
                <w:sz w:val="24"/>
                <w:szCs w:val="32"/>
                <w:highlight w:val="none"/>
                <w:lang w:val="en-US" w:eastAsia="zh-CN"/>
              </w:rPr>
              <w:t>贮存，项目位于</w:t>
            </w:r>
            <w:r>
              <w:rPr>
                <w:rFonts w:hint="eastAsia" w:cs="Times New Roman"/>
                <w:color w:val="auto"/>
                <w:sz w:val="24"/>
                <w:szCs w:val="32"/>
                <w:highlight w:val="none"/>
                <w:lang w:val="en-US" w:eastAsia="zh-CN"/>
              </w:rPr>
              <w:t>本溪市溪湖区郑家（钢材机制厂上行300m处）</w:t>
            </w:r>
            <w:r>
              <w:rPr>
                <w:rFonts w:hint="default" w:ascii="Times New Roman" w:hAnsi="Times New Roman" w:cs="Times New Roman"/>
                <w:color w:val="0000FF"/>
                <w:sz w:val="24"/>
                <w:szCs w:val="32"/>
                <w:highlight w:val="none"/>
                <w:lang w:val="en-US" w:eastAsia="zh-CN"/>
              </w:rPr>
              <w:t>，</w:t>
            </w:r>
            <w:r>
              <w:rPr>
                <w:rFonts w:hint="default" w:ascii="Times New Roman" w:hAnsi="Times New Roman" w:cs="Times New Roman"/>
                <w:color w:val="000000" w:themeColor="text1"/>
                <w:sz w:val="24"/>
                <w:szCs w:val="32"/>
                <w:highlight w:val="none"/>
                <w:lang w:val="en-US" w:eastAsia="zh-CN"/>
                <w14:textFill>
                  <w14:solidFill>
                    <w14:schemeClr w14:val="tx1"/>
                  </w14:solidFill>
                </w14:textFill>
              </w:rPr>
              <w:t>项目施工期只进行设备的安装及地面防渗漏、防流失施工，项目施工期污染物产生量较小，通过对施工现场定期洒水抑尘，加强施工管理等措施后，项目施工期污染物不会对周围环境产生明显影响。</w:t>
            </w:r>
          </w:p>
          <w:p w14:paraId="07AA7F88">
            <w:pPr>
              <w:pStyle w:val="68"/>
              <w:ind w:firstLine="482"/>
              <w:rPr>
                <w:rFonts w:hint="default" w:ascii="Times New Roman" w:hAnsi="Times New Roman" w:cs="Times New Roman"/>
                <w:b/>
                <w:color w:val="000000" w:themeColor="text1"/>
                <w:szCs w:val="24"/>
                <w:highlight w:val="none"/>
                <w14:textFill>
                  <w14:solidFill>
                    <w14:schemeClr w14:val="tx1"/>
                  </w14:solidFill>
                </w14:textFill>
              </w:rPr>
            </w:pPr>
            <w:r>
              <w:rPr>
                <w:rFonts w:hint="default" w:ascii="Times New Roman" w:hAnsi="Times New Roman" w:cs="Times New Roman"/>
                <w:b/>
                <w:color w:val="000000" w:themeColor="text1"/>
                <w:szCs w:val="24"/>
                <w:highlight w:val="none"/>
                <w14:textFill>
                  <w14:solidFill>
                    <w14:schemeClr w14:val="tx1"/>
                  </w14:solidFill>
                </w14:textFill>
              </w:rPr>
              <w:t>二、运营期</w:t>
            </w:r>
          </w:p>
          <w:p w14:paraId="29C74F1A">
            <w:pPr>
              <w:pStyle w:val="68"/>
              <w:ind w:firstLine="482"/>
              <w:rPr>
                <w:rFonts w:hint="default" w:ascii="Times New Roman" w:hAnsi="Times New Roman" w:cs="Times New Roman"/>
                <w:b/>
                <w:color w:val="000000" w:themeColor="text1"/>
                <w:szCs w:val="24"/>
                <w:highlight w:val="none"/>
                <w14:textFill>
                  <w14:solidFill>
                    <w14:schemeClr w14:val="tx1"/>
                  </w14:solidFill>
                </w14:textFill>
              </w:rPr>
            </w:pPr>
            <w:r>
              <w:rPr>
                <w:rFonts w:hint="default" w:ascii="Times New Roman" w:hAnsi="Times New Roman" w:cs="Times New Roman"/>
                <w:b/>
                <w:color w:val="000000" w:themeColor="text1"/>
                <w:szCs w:val="24"/>
                <w:highlight w:val="none"/>
                <w14:textFill>
                  <w14:solidFill>
                    <w14:schemeClr w14:val="tx1"/>
                  </w14:solidFill>
                </w14:textFill>
              </w:rPr>
              <w:t>1、工艺流程及产污节点示意图</w:t>
            </w:r>
          </w:p>
          <w:p w14:paraId="00D3C69B">
            <w:pPr>
              <w:pStyle w:val="68"/>
              <w:ind w:firstLine="480"/>
              <w:rPr>
                <w:rFonts w:hint="default" w:ascii="Times New Roman" w:hAnsi="Times New Roman" w:cs="Times New Roman"/>
                <w:b/>
                <w:color w:val="000000" w:themeColor="text1"/>
                <w:szCs w:val="24"/>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mc:AlternateContent>
                <mc:Choice Requires="wps">
                  <w:drawing>
                    <wp:anchor distT="0" distB="0" distL="114300" distR="114300" simplePos="0" relativeHeight="251691008" behindDoc="0" locked="0" layoutInCell="1" allowOverlap="1">
                      <wp:simplePos x="0" y="0"/>
                      <wp:positionH relativeFrom="column">
                        <wp:posOffset>2951480</wp:posOffset>
                      </wp:positionH>
                      <wp:positionV relativeFrom="paragraph">
                        <wp:posOffset>210185</wp:posOffset>
                      </wp:positionV>
                      <wp:extent cx="0" cy="369570"/>
                      <wp:effectExtent l="38100" t="0" r="38100" b="11430"/>
                      <wp:wrapNone/>
                      <wp:docPr id="126" name="直接箭头连接符 126"/>
                      <wp:cNvGraphicFramePr/>
                      <a:graphic xmlns:a="http://schemas.openxmlformats.org/drawingml/2006/main">
                        <a:graphicData uri="http://schemas.microsoft.com/office/word/2010/wordprocessingShape">
                          <wps:wsp>
                            <wps:cNvCnPr/>
                            <wps:spPr>
                              <a:xfrm flipV="1">
                                <a:off x="4317365" y="1558925"/>
                                <a:ext cx="0" cy="369570"/>
                              </a:xfrm>
                              <a:prstGeom prst="straightConnector1">
                                <a:avLst/>
                              </a:prstGeom>
                              <a:noFill/>
                              <a:ln w="9525" cap="flat" cmpd="sng" algn="ctr">
                                <a:solidFill>
                                  <a:srgbClr val="000000"/>
                                </a:solidFill>
                                <a:prstDash val="dash"/>
                                <a:headEnd type="none"/>
                                <a:tailEnd type="triangle" w="med" len="med"/>
                              </a:ln>
                              <a:effectLst/>
                            </wps:spPr>
                            <wps:bodyPr/>
                          </wps:wsp>
                        </a:graphicData>
                      </a:graphic>
                    </wp:anchor>
                  </w:drawing>
                </mc:Choice>
                <mc:Fallback>
                  <w:pict>
                    <v:shape id="_x0000_s1026" o:spid="_x0000_s1026" o:spt="32" type="#_x0000_t32" style="position:absolute;left:0pt;flip:y;margin-left:232.4pt;margin-top:16.55pt;height:29.1pt;width:0pt;z-index:251691008;mso-width-relative:page;mso-height-relative:page;" filled="f" stroked="t" coordsize="21600,21600" o:gfxdata="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dd+zNMAAAAJAQAADwAAAAAAAAABACAAAAAiAAAAZHJzL2Rvd25yZXYueG1sUEsBAhQAFAAAAAgA&#10;h07iQE8nB6kqAgAAGgQAAA4AAAAAAAAAAQAgAAAAIgEAAGRycy9lMm9Eb2MueG1sUEsFBgAAAAAG&#10;AAYAWQEAAL4FAAAAAA==&#10;">
                      <v:fill on="f" focussize="0,0"/>
                      <v:stroke color="#000000" joinstyle="round" dashstyle="dash" endarrow="block"/>
                      <v:imagedata o:title=""/>
                      <o:lock v:ext="edit" aspectratio="f"/>
                    </v:shape>
                  </w:pict>
                </mc:Fallback>
              </mc:AlternateContent>
            </w:r>
            <w:r>
              <w:rPr>
                <w:rFonts w:hint="default" w:ascii="Times New Roman" w:hAnsi="Times New Roman" w:cs="Times New Roman"/>
                <w:color w:val="000000" w:themeColor="text1"/>
                <w:highlight w:val="none"/>
                <w14:textFill>
                  <w14:solidFill>
                    <w14:schemeClr w14:val="tx1"/>
                  </w14:solidFill>
                </w14:textFill>
              </w:rPr>
              <mc:AlternateContent>
                <mc:Choice Requires="wps">
                  <w:drawing>
                    <wp:anchor distT="0" distB="0" distL="114300" distR="114300" simplePos="0" relativeHeight="251689984" behindDoc="0" locked="0" layoutInCell="1" allowOverlap="1">
                      <wp:simplePos x="0" y="0"/>
                      <wp:positionH relativeFrom="column">
                        <wp:posOffset>2176145</wp:posOffset>
                      </wp:positionH>
                      <wp:positionV relativeFrom="paragraph">
                        <wp:posOffset>-96520</wp:posOffset>
                      </wp:positionV>
                      <wp:extent cx="1550035" cy="306705"/>
                      <wp:effectExtent l="0" t="0" r="4445" b="13335"/>
                      <wp:wrapNone/>
                      <wp:docPr id="124" name="文本框 124"/>
                      <wp:cNvGraphicFramePr/>
                      <a:graphic xmlns:a="http://schemas.openxmlformats.org/drawingml/2006/main">
                        <a:graphicData uri="http://schemas.microsoft.com/office/word/2010/wordprocessingShape">
                          <wps:wsp>
                            <wps:cNvSpPr txBox="1"/>
                            <wps:spPr>
                              <a:xfrm>
                                <a:off x="0" y="0"/>
                                <a:ext cx="1550035" cy="306705"/>
                              </a:xfrm>
                              <a:prstGeom prst="rect">
                                <a:avLst/>
                              </a:prstGeom>
                              <a:solidFill>
                                <a:srgbClr val="FFFFFF"/>
                              </a:solidFill>
                              <a:ln w="6350">
                                <a:noFill/>
                              </a:ln>
                              <a:effectLst/>
                            </wps:spPr>
                            <wps:txbx>
                              <w:txbxContent>
                                <w:p w14:paraId="40B1C4E4">
                                  <w:r>
                                    <w:rPr>
                                      <w:rFonts w:hint="eastAsia"/>
                                    </w:rPr>
                                    <w:t>废气、噪声、固体废物</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71.35pt;margin-top:-7.6pt;height:24.15pt;width:122.05pt;z-index:251689984;mso-width-relative:page;mso-height-relative:page;" fillcolor="#FFFFFF" filled="t" stroked="f" coordsize="21600,21600" o:gfxdata="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7PnSJNUAAAAKAQAA&#10;DwAAAAAAAAABACAAAAAiAAAAZHJzL2Rvd25yZXYueG1sUEsBAhQAFAAAAAgAh07iQGQepm9VAgAA&#10;oQQAAA4AAAAAAAAAAQAgAAAAJAEAAGRycy9lMm9Eb2MueG1sUEsFBgAAAAAGAAYAWQEAAOsFAAAA&#10;AA==&#10;">
                      <v:fill on="t" focussize="0,0"/>
                      <v:stroke on="f" weight="0.5pt"/>
                      <v:imagedata o:title=""/>
                      <o:lock v:ext="edit" aspectratio="f"/>
                      <v:textbox>
                        <w:txbxContent>
                          <w:p w14:paraId="40B1C4E4">
                            <w:r>
                              <w:rPr>
                                <w:rFonts w:hint="eastAsia"/>
                              </w:rPr>
                              <w:t>废气、噪声、固体废物</w:t>
                            </w:r>
                          </w:p>
                        </w:txbxContent>
                      </v:textbox>
                    </v:shape>
                  </w:pict>
                </mc:Fallback>
              </mc:AlternateContent>
            </w:r>
          </w:p>
          <w:p w14:paraId="125D94C9">
            <w:pPr>
              <w:pStyle w:val="68"/>
              <w:ind w:firstLine="482"/>
              <w:rPr>
                <w:rFonts w:hint="default" w:ascii="Times New Roman" w:hAnsi="Times New Roman" w:cs="Times New Roman"/>
                <w:b/>
                <w:color w:val="000000" w:themeColor="text1"/>
                <w:szCs w:val="24"/>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mc:AlternateContent>
                <mc:Choice Requires="wps">
                  <w:drawing>
                    <wp:anchor distT="0" distB="0" distL="114300" distR="114300" simplePos="0" relativeHeight="251685888" behindDoc="0" locked="0" layoutInCell="1" allowOverlap="1">
                      <wp:simplePos x="0" y="0"/>
                      <wp:positionH relativeFrom="column">
                        <wp:posOffset>4535805</wp:posOffset>
                      </wp:positionH>
                      <wp:positionV relativeFrom="paragraph">
                        <wp:posOffset>240030</wp:posOffset>
                      </wp:positionV>
                      <wp:extent cx="892175" cy="433705"/>
                      <wp:effectExtent l="0" t="0" r="6985" b="8255"/>
                      <wp:wrapNone/>
                      <wp:docPr id="120" name="文本框 120"/>
                      <wp:cNvGraphicFramePr/>
                      <a:graphic xmlns:a="http://schemas.openxmlformats.org/drawingml/2006/main">
                        <a:graphicData uri="http://schemas.microsoft.com/office/word/2010/wordprocessingShape">
                          <wps:wsp>
                            <wps:cNvSpPr txBox="1"/>
                            <wps:spPr>
                              <a:xfrm>
                                <a:off x="0" y="0"/>
                                <a:ext cx="892175" cy="433705"/>
                              </a:xfrm>
                              <a:prstGeom prst="rect">
                                <a:avLst/>
                              </a:prstGeom>
                              <a:noFill/>
                              <a:ln w="6350">
                                <a:noFill/>
                              </a:ln>
                              <a:effectLst/>
                            </wps:spPr>
                            <wps:txbx>
                              <w:txbxContent>
                                <w:p w14:paraId="06698441">
                                  <w:pPr>
                                    <w:jc w:val="center"/>
                                    <w:rPr>
                                      <w:rFonts w:hint="eastAsia"/>
                                      <w:lang w:val="en-US" w:eastAsia="zh-CN"/>
                                    </w:rPr>
                                  </w:pPr>
                                  <w:r>
                                    <w:rPr>
                                      <w:rFonts w:hint="eastAsia"/>
                                      <w:lang w:val="en-US" w:eastAsia="zh-CN"/>
                                    </w:rPr>
                                    <w:t>有资质公司</w:t>
                                  </w:r>
                                </w:p>
                                <w:p w14:paraId="193169F6">
                                  <w:pPr>
                                    <w:jc w:val="center"/>
                                    <w:rPr>
                                      <w:rFonts w:hint="default" w:eastAsia="宋体"/>
                                      <w:lang w:val="en-US" w:eastAsia="zh-CN"/>
                                    </w:rPr>
                                  </w:pPr>
                                  <w:r>
                                    <w:rPr>
                                      <w:rFonts w:hint="eastAsia"/>
                                      <w:lang w:val="en-US" w:eastAsia="zh-CN"/>
                                    </w:rPr>
                                    <w:t>集中处置</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57.15pt;margin-top:18.9pt;height:34.15pt;width:70.25pt;z-index:251685888;mso-width-relative:page;mso-height-relative:page;" filled="f" stroked="f" coordsize="21600,21600" o:gfxdata="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IJYfbzaAAAACgEAAA8AAAAAAAAAAQAgAAAA&#10;IgAAAGRycy9kb3ducmV2LnhtbFBLAQIUABQAAAAIAIdO4kCFJrXqQgIAAHcEAAAOAAAAAAAAAAEA&#10;IAAAACkBAABkcnMvZTJvRG9jLnhtbFBLBQYAAAAABgAGAFkBAADdBQAAAAA=&#10;">
                      <v:fill on="f" focussize="0,0"/>
                      <v:stroke on="f" weight="0.5pt"/>
                      <v:imagedata o:title=""/>
                      <o:lock v:ext="edit" aspectratio="f"/>
                      <v:textbox>
                        <w:txbxContent>
                          <w:p w14:paraId="06698441">
                            <w:pPr>
                              <w:jc w:val="center"/>
                              <w:rPr>
                                <w:rFonts w:hint="eastAsia"/>
                                <w:lang w:val="en-US" w:eastAsia="zh-CN"/>
                              </w:rPr>
                            </w:pPr>
                            <w:r>
                              <w:rPr>
                                <w:rFonts w:hint="eastAsia"/>
                                <w:lang w:val="en-US" w:eastAsia="zh-CN"/>
                              </w:rPr>
                              <w:t>有资质公司</w:t>
                            </w:r>
                          </w:p>
                          <w:p w14:paraId="193169F6">
                            <w:pPr>
                              <w:jc w:val="center"/>
                              <w:rPr>
                                <w:rFonts w:hint="default" w:eastAsia="宋体"/>
                                <w:lang w:val="en-US" w:eastAsia="zh-CN"/>
                              </w:rPr>
                            </w:pPr>
                            <w:r>
                              <w:rPr>
                                <w:rFonts w:hint="eastAsia"/>
                                <w:lang w:val="en-US" w:eastAsia="zh-CN"/>
                              </w:rPr>
                              <w:t>集中处置</w:t>
                            </w:r>
                          </w:p>
                        </w:txbxContent>
                      </v:textbox>
                    </v:shape>
                  </w:pict>
                </mc:Fallback>
              </mc:AlternateContent>
            </w:r>
          </w:p>
          <w:p w14:paraId="668F1A30">
            <w:pPr>
              <w:pStyle w:val="68"/>
              <w:ind w:firstLine="480"/>
              <w:rPr>
                <w:rFonts w:hint="default" w:ascii="Times New Roman" w:hAnsi="Times New Roman" w:cs="Times New Roman"/>
                <w:b/>
                <w:color w:val="000000" w:themeColor="text1"/>
                <w:szCs w:val="24"/>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mc:AlternateContent>
                <mc:Choice Requires="wps">
                  <w:drawing>
                    <wp:anchor distT="0" distB="0" distL="114300" distR="114300" simplePos="0" relativeHeight="251687936" behindDoc="0" locked="0" layoutInCell="1" allowOverlap="1">
                      <wp:simplePos x="0" y="0"/>
                      <wp:positionH relativeFrom="column">
                        <wp:posOffset>1587500</wp:posOffset>
                      </wp:positionH>
                      <wp:positionV relativeFrom="paragraph">
                        <wp:posOffset>182880</wp:posOffset>
                      </wp:positionV>
                      <wp:extent cx="379095" cy="0"/>
                      <wp:effectExtent l="0" t="38100" r="1905" b="38100"/>
                      <wp:wrapNone/>
                      <wp:docPr id="122" name="直接箭头连接符 122"/>
                      <wp:cNvGraphicFramePr/>
                      <a:graphic xmlns:a="http://schemas.openxmlformats.org/drawingml/2006/main">
                        <a:graphicData uri="http://schemas.microsoft.com/office/word/2010/wordprocessingShape">
                          <wps:wsp>
                            <wps:cNvCnPr/>
                            <wps:spPr>
                              <a:xfrm>
                                <a:off x="3524250" y="2938145"/>
                                <a:ext cx="379095" cy="0"/>
                              </a:xfrm>
                              <a:prstGeom prst="straightConnector1">
                                <a:avLst/>
                              </a:prstGeom>
                              <a:noFill/>
                              <a:ln w="9525" cap="flat" cmpd="sng" algn="ctr">
                                <a:solidFill>
                                  <a:srgbClr val="000000"/>
                                </a:solidFill>
                                <a:prstDash val="solid"/>
                                <a:headEnd type="none"/>
                                <a:tailEnd type="triangle" w="med" len="med"/>
                              </a:ln>
                              <a:effectLst/>
                            </wps:spPr>
                            <wps:bodyPr/>
                          </wps:wsp>
                        </a:graphicData>
                      </a:graphic>
                    </wp:anchor>
                  </w:drawing>
                </mc:Choice>
                <mc:Fallback>
                  <w:pict>
                    <v:shape id="_x0000_s1026" o:spid="_x0000_s1026" o:spt="32" type="#_x0000_t32" style="position:absolute;left:0pt;margin-left:125pt;margin-top:14.4pt;height:0pt;width:29.85pt;z-index:251687936;mso-width-relative:page;mso-height-relative:page;" filled="f" stroked="t" coordsize="21600,21600" o:gfxdata="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7&#10;+h3x2QAAAAkBAAAPAAAAAAAAAAEAIAAAACIAAABkcnMvZG93bnJldi54bWxQSwECFAAUAAAACACH&#10;TuJA3KbYHyMCAAARBAAADgAAAAAAAAABACAAAAAoAQAAZHJzL2Uyb0RvYy54bWxQSwUGAAAAAAYA&#10;BgBZAQAAvQUAAAAA&#10;">
                      <v:fill on="f" focussize="0,0"/>
                      <v:stroke color="#000000" joinstyle="round" endarrow="block"/>
                      <v:imagedata o:title=""/>
                      <o:lock v:ext="edit" aspectratio="f"/>
                    </v:shape>
                  </w:pict>
                </mc:Fallback>
              </mc:AlternateContent>
            </w:r>
            <w:r>
              <w:rPr>
                <w:rFonts w:hint="default" w:ascii="Times New Roman" w:hAnsi="Times New Roman" w:cs="Times New Roman"/>
                <w:color w:val="000000" w:themeColor="text1"/>
                <w:highlight w:val="none"/>
                <w14:textFill>
                  <w14:solidFill>
                    <w14:schemeClr w14:val="tx1"/>
                  </w14:solidFill>
                </w14:textFill>
              </w:rPr>
              <mc:AlternateContent>
                <mc:Choice Requires="wps">
                  <w:drawing>
                    <wp:anchor distT="0" distB="0" distL="114300" distR="114300" simplePos="0" relativeHeight="251686912" behindDoc="0" locked="0" layoutInCell="1" allowOverlap="1">
                      <wp:simplePos x="0" y="0"/>
                      <wp:positionH relativeFrom="column">
                        <wp:posOffset>679450</wp:posOffset>
                      </wp:positionH>
                      <wp:positionV relativeFrom="paragraph">
                        <wp:posOffset>193040</wp:posOffset>
                      </wp:positionV>
                      <wp:extent cx="432435" cy="6985"/>
                      <wp:effectExtent l="0" t="32385" r="9525" b="36830"/>
                      <wp:wrapNone/>
                      <wp:docPr id="121" name="直接箭头连接符 121"/>
                      <wp:cNvGraphicFramePr/>
                      <a:graphic xmlns:a="http://schemas.openxmlformats.org/drawingml/2006/main">
                        <a:graphicData uri="http://schemas.microsoft.com/office/word/2010/wordprocessingShape">
                          <wps:wsp>
                            <wps:cNvCnPr/>
                            <wps:spPr>
                              <a:xfrm>
                                <a:off x="2426970" y="2930525"/>
                                <a:ext cx="432435" cy="6985"/>
                              </a:xfrm>
                              <a:prstGeom prst="straightConnector1">
                                <a:avLst/>
                              </a:prstGeom>
                              <a:noFill/>
                              <a:ln w="9525" cap="flat" cmpd="sng" algn="ctr">
                                <a:solidFill>
                                  <a:srgbClr val="000000"/>
                                </a:solidFill>
                                <a:prstDash val="solid"/>
                                <a:headEnd type="none"/>
                                <a:tailEnd type="triangle" w="med" len="med"/>
                              </a:ln>
                              <a:effectLst/>
                            </wps:spPr>
                            <wps:bodyPr/>
                          </wps:wsp>
                        </a:graphicData>
                      </a:graphic>
                    </wp:anchor>
                  </w:drawing>
                </mc:Choice>
                <mc:Fallback>
                  <w:pict>
                    <v:shape id="_x0000_s1026" o:spid="_x0000_s1026" o:spt="32" type="#_x0000_t32" style="position:absolute;left:0pt;margin-left:53.5pt;margin-top:15.2pt;height:0.55pt;width:34.05pt;z-index:251686912;mso-width-relative:page;mso-height-relative:page;" filled="f" stroked="t" coordsize="21600,21600" o:gfxdata="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aggdudkAAAAJAQAADwAAAAAAAAABACAAAAAiAAAAZHJzL2Rvd25yZXYueG1sUEsBAhQAFAAAAAgA&#10;h07iQDS++C0kAgAAFAQAAA4AAAAAAAAAAQAgAAAAKAEAAGRycy9lMm9Eb2MueG1sUEsFBgAAAAAG&#10;AAYAWQEAAL4FAAAAAA==&#10;">
                      <v:fill on="f" focussize="0,0"/>
                      <v:stroke color="#000000" joinstyle="round" endarrow="block"/>
                      <v:imagedata o:title=""/>
                      <o:lock v:ext="edit" aspectratio="f"/>
                    </v:shape>
                  </w:pict>
                </mc:Fallback>
              </mc:AlternateContent>
            </w:r>
            <w:r>
              <w:rPr>
                <w:sz w:val="24"/>
              </w:rPr>
              <mc:AlternateContent>
                <mc:Choice Requires="wps">
                  <w:drawing>
                    <wp:anchor distT="0" distB="0" distL="114300" distR="114300" simplePos="0" relativeHeight="251696128" behindDoc="0" locked="0" layoutInCell="1" allowOverlap="1">
                      <wp:simplePos x="0" y="0"/>
                      <wp:positionH relativeFrom="column">
                        <wp:posOffset>4153535</wp:posOffset>
                      </wp:positionH>
                      <wp:positionV relativeFrom="paragraph">
                        <wp:posOffset>194310</wp:posOffset>
                      </wp:positionV>
                      <wp:extent cx="382270" cy="4445"/>
                      <wp:effectExtent l="0" t="37465" r="13970" b="34290"/>
                      <wp:wrapNone/>
                      <wp:docPr id="44" name="直接箭头连接符 44"/>
                      <wp:cNvGraphicFramePr/>
                      <a:graphic xmlns:a="http://schemas.openxmlformats.org/drawingml/2006/main">
                        <a:graphicData uri="http://schemas.microsoft.com/office/word/2010/wordprocessingShape">
                          <wps:wsp>
                            <wps:cNvCnPr>
                              <a:stCxn id="13" idx="3"/>
                              <a:endCxn id="120" idx="1"/>
                            </wps:cNvCnPr>
                            <wps:spPr>
                              <a:xfrm flipV="1">
                                <a:off x="5519420" y="8210550"/>
                                <a:ext cx="382270" cy="4445"/>
                              </a:xfrm>
                              <a:prstGeom prst="straightConnector1">
                                <a:avLst/>
                              </a:prstGeom>
                              <a:ln>
                                <a:solidFill>
                                  <a:schemeClr val="tx1"/>
                                </a:solidFill>
                                <a:headEnd type="none"/>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y;margin-left:327.05pt;margin-top:15.3pt;height:0.35pt;width:30.1pt;z-index:251696128;mso-width-relative:page;mso-height-relative:page;" filled="f" stroked="t" coordsize="21600,21600" o:gfxdata="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CTNX502QAAAAkBAAAPAAAAAAAAAAEAIAAAACIAAABk&#10;cnMvZG93bnJldi54bWxQSwECFAAUAAAACACHTuJAms9Z6T4CAABRBAAADgAAAAAAAAABACAAAAAo&#10;AQAAZHJzL2Uyb0RvYy54bWxQSwUGAAAAAAYABgBZAQAA2AUAAAAA&#10;">
                      <v:fill on="f" focussize="0,0"/>
                      <v:stroke color="#000000 [3213]" joinstyle="round" endarrow="block"/>
                      <v:imagedata o:title=""/>
                      <o:lock v:ext="edit" aspectratio="f"/>
                    </v:shape>
                  </w:pict>
                </mc:Fallback>
              </mc:AlternateContent>
            </w:r>
            <w:r>
              <w:rPr>
                <w:rFonts w:hint="default" w:ascii="Times New Roman" w:hAnsi="Times New Roman" w:cs="Times New Roman"/>
                <w:color w:val="000000" w:themeColor="text1"/>
                <w:highlight w:val="none"/>
                <w14:textFill>
                  <w14:solidFill>
                    <w14:schemeClr w14:val="tx1"/>
                  </w14:solidFill>
                </w14:textFill>
              </w:rPr>
              <mc:AlternateContent>
                <mc:Choice Requires="wps">
                  <w:drawing>
                    <wp:anchor distT="0" distB="0" distL="114300" distR="114300" simplePos="0" relativeHeight="251694080" behindDoc="0" locked="0" layoutInCell="1" allowOverlap="1">
                      <wp:simplePos x="0" y="0"/>
                      <wp:positionH relativeFrom="column">
                        <wp:posOffset>3669030</wp:posOffset>
                      </wp:positionH>
                      <wp:positionV relativeFrom="paragraph">
                        <wp:posOffset>57785</wp:posOffset>
                      </wp:positionV>
                      <wp:extent cx="484505" cy="281940"/>
                      <wp:effectExtent l="4445" t="4445" r="13970" b="18415"/>
                      <wp:wrapNone/>
                      <wp:docPr id="13" name="文本框 13"/>
                      <wp:cNvGraphicFramePr/>
                      <a:graphic xmlns:a="http://schemas.openxmlformats.org/drawingml/2006/main">
                        <a:graphicData uri="http://schemas.microsoft.com/office/word/2010/wordprocessingShape">
                          <wps:wsp>
                            <wps:cNvSpPr txBox="1"/>
                            <wps:spPr>
                              <a:xfrm>
                                <a:off x="0" y="0"/>
                                <a:ext cx="484505" cy="281940"/>
                              </a:xfrm>
                              <a:prstGeom prst="rect">
                                <a:avLst/>
                              </a:prstGeom>
                              <a:solidFill>
                                <a:srgbClr val="FFFFFF"/>
                              </a:solidFill>
                              <a:ln w="6350">
                                <a:solidFill>
                                  <a:srgbClr val="000000"/>
                                </a:solidFill>
                              </a:ln>
                              <a:effectLst/>
                            </wps:spPr>
                            <wps:txbx>
                              <w:txbxContent>
                                <w:p w14:paraId="6F31B7FF">
                                  <w:pPr>
                                    <w:rPr>
                                      <w:rFonts w:hint="default" w:eastAsia="宋体"/>
                                      <w:lang w:val="en-US" w:eastAsia="zh-CN"/>
                                    </w:rPr>
                                  </w:pPr>
                                  <w:r>
                                    <w:rPr>
                                      <w:rFonts w:hint="eastAsia"/>
                                      <w:lang w:val="en-US" w:eastAsia="zh-CN"/>
                                    </w:rPr>
                                    <w:t>运输</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8.9pt;margin-top:4.55pt;height:22.2pt;width:38.15pt;z-index:251694080;mso-width-relative:page;mso-height-relative:page;" fillcolor="#FFFFFF" filled="t" stroked="t" coordsize="21600,21600" o:gfxdata="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Aad&#10;a/PVAAAACAEAAA8AAAAAAAAAAQAgAAAAIgAAAGRycy9kb3ducmV2LnhtbFBLAQIUABQAAAAIAIdO&#10;4kDpynlGXwIAAMcEAAAOAAAAAAAAAAEAIAAAACQBAABkcnMvZTJvRG9jLnhtbFBLBQYAAAAABgAG&#10;AFkBAAD1BQAAAAA=&#10;">
                      <v:fill on="t" focussize="0,0"/>
                      <v:stroke weight="0.5pt" color="#000000" joinstyle="round"/>
                      <v:imagedata o:title=""/>
                      <o:lock v:ext="edit" aspectratio="f"/>
                      <v:textbox>
                        <w:txbxContent>
                          <w:p w14:paraId="6F31B7FF">
                            <w:pPr>
                              <w:rPr>
                                <w:rFonts w:hint="default" w:eastAsia="宋体"/>
                                <w:lang w:val="en-US" w:eastAsia="zh-CN"/>
                              </w:rPr>
                            </w:pPr>
                            <w:r>
                              <w:rPr>
                                <w:rFonts w:hint="eastAsia"/>
                                <w:lang w:val="en-US" w:eastAsia="zh-CN"/>
                              </w:rPr>
                              <w:t>运输</w:t>
                            </w:r>
                          </w:p>
                        </w:txbxContent>
                      </v:textbox>
                    </v:shape>
                  </w:pict>
                </mc:Fallback>
              </mc:AlternateContent>
            </w:r>
            <w:r>
              <w:rPr>
                <w:rFonts w:hint="default" w:ascii="Times New Roman" w:hAnsi="Times New Roman" w:cs="Times New Roman"/>
                <w:color w:val="000000" w:themeColor="text1"/>
                <w:highlight w:val="none"/>
                <w14:textFill>
                  <w14:solidFill>
                    <w14:schemeClr w14:val="tx1"/>
                  </w14:solidFill>
                </w14:textFill>
              </w:rPr>
              <mc:AlternateContent>
                <mc:Choice Requires="wps">
                  <w:drawing>
                    <wp:anchor distT="0" distB="0" distL="114300" distR="114300" simplePos="0" relativeHeight="251684864" behindDoc="0" locked="0" layoutInCell="1" allowOverlap="1">
                      <wp:simplePos x="0" y="0"/>
                      <wp:positionH relativeFrom="column">
                        <wp:posOffset>2831465</wp:posOffset>
                      </wp:positionH>
                      <wp:positionV relativeFrom="paragraph">
                        <wp:posOffset>54610</wp:posOffset>
                      </wp:positionV>
                      <wp:extent cx="487045" cy="289560"/>
                      <wp:effectExtent l="4445" t="4445" r="11430" b="10795"/>
                      <wp:wrapNone/>
                      <wp:docPr id="75" name="文本框 75"/>
                      <wp:cNvGraphicFramePr/>
                      <a:graphic xmlns:a="http://schemas.openxmlformats.org/drawingml/2006/main">
                        <a:graphicData uri="http://schemas.microsoft.com/office/word/2010/wordprocessingShape">
                          <wps:wsp>
                            <wps:cNvSpPr txBox="1"/>
                            <wps:spPr>
                              <a:xfrm>
                                <a:off x="0" y="0"/>
                                <a:ext cx="487045" cy="289560"/>
                              </a:xfrm>
                              <a:prstGeom prst="rect">
                                <a:avLst/>
                              </a:prstGeom>
                              <a:solidFill>
                                <a:srgbClr val="FFFFFF"/>
                              </a:solidFill>
                              <a:ln w="6350">
                                <a:solidFill>
                                  <a:srgbClr val="000000"/>
                                </a:solidFill>
                              </a:ln>
                              <a:effectLst/>
                            </wps:spPr>
                            <wps:txbx>
                              <w:txbxContent>
                                <w:p w14:paraId="3C609AF9">
                                  <w:pPr>
                                    <w:spacing w:line="240" w:lineRule="auto"/>
                                    <w:jc w:val="center"/>
                                  </w:pPr>
                                  <w:r>
                                    <w:rPr>
                                      <w:rFonts w:hint="eastAsia"/>
                                    </w:rPr>
                                    <w:t>暂存</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22.95pt;margin-top:4.3pt;height:22.8pt;width:38.35pt;z-index:251684864;mso-width-relative:page;mso-height-relative:page;" fillcolor="#FFFFFF" filled="t" stroked="t" coordsize="21600,21600" o:gfxdata="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yD&#10;vrbVAAAACAEAAA8AAAAAAAAAAQAgAAAAIgAAAGRycy9kb3ducmV2LnhtbFBLAQIUABQAAAAIAIdO&#10;4kAXNhAoXwIAAMcEAAAOAAAAAAAAAAEAIAAAACQBAABkcnMvZTJvRG9jLnhtbFBLBQYAAAAABgAG&#10;AFkBAAD1BQAAAAA=&#10;">
                      <v:fill on="t" focussize="0,0"/>
                      <v:stroke weight="0.5pt" color="#000000" joinstyle="round"/>
                      <v:imagedata o:title=""/>
                      <o:lock v:ext="edit" aspectratio="f"/>
                      <v:textbox>
                        <w:txbxContent>
                          <w:p w14:paraId="3C609AF9">
                            <w:pPr>
                              <w:spacing w:line="240" w:lineRule="auto"/>
                              <w:jc w:val="center"/>
                            </w:pPr>
                            <w:r>
                              <w:rPr>
                                <w:rFonts w:hint="eastAsia"/>
                              </w:rPr>
                              <w:t>暂存</w:t>
                            </w:r>
                          </w:p>
                        </w:txbxContent>
                      </v:textbox>
                    </v:shape>
                  </w:pict>
                </mc:Fallback>
              </mc:AlternateContent>
            </w:r>
            <w:r>
              <w:rPr>
                <w:rFonts w:hint="default" w:ascii="Times New Roman" w:hAnsi="Times New Roman" w:cs="Times New Roman"/>
                <w:color w:val="000000" w:themeColor="text1"/>
                <w:highlight w:val="none"/>
                <w14:textFill>
                  <w14:solidFill>
                    <w14:schemeClr w14:val="tx1"/>
                  </w14:solidFill>
                </w14:textFill>
              </w:rPr>
              <mc:AlternateContent>
                <mc:Choice Requires="wps">
                  <w:drawing>
                    <wp:anchor distT="0" distB="0" distL="114300" distR="114300" simplePos="0" relativeHeight="251693056" behindDoc="0" locked="0" layoutInCell="1" allowOverlap="1">
                      <wp:simplePos x="0" y="0"/>
                      <wp:positionH relativeFrom="column">
                        <wp:posOffset>1975485</wp:posOffset>
                      </wp:positionH>
                      <wp:positionV relativeFrom="paragraph">
                        <wp:posOffset>57785</wp:posOffset>
                      </wp:positionV>
                      <wp:extent cx="484505" cy="281940"/>
                      <wp:effectExtent l="4445" t="4445" r="13970" b="18415"/>
                      <wp:wrapNone/>
                      <wp:docPr id="12" name="文本框 12"/>
                      <wp:cNvGraphicFramePr/>
                      <a:graphic xmlns:a="http://schemas.openxmlformats.org/drawingml/2006/main">
                        <a:graphicData uri="http://schemas.microsoft.com/office/word/2010/wordprocessingShape">
                          <wps:wsp>
                            <wps:cNvSpPr txBox="1"/>
                            <wps:spPr>
                              <a:xfrm>
                                <a:off x="0" y="0"/>
                                <a:ext cx="484505" cy="281940"/>
                              </a:xfrm>
                              <a:prstGeom prst="rect">
                                <a:avLst/>
                              </a:prstGeom>
                              <a:solidFill>
                                <a:srgbClr val="FFFFFF"/>
                              </a:solidFill>
                              <a:ln w="6350">
                                <a:solidFill>
                                  <a:srgbClr val="000000"/>
                                </a:solidFill>
                              </a:ln>
                              <a:effectLst/>
                            </wps:spPr>
                            <wps:txbx>
                              <w:txbxContent>
                                <w:p w14:paraId="4329BD33">
                                  <w:pPr>
                                    <w:rPr>
                                      <w:rFonts w:hint="default" w:eastAsia="宋体"/>
                                      <w:lang w:val="en-US" w:eastAsia="zh-CN"/>
                                    </w:rPr>
                                  </w:pPr>
                                  <w:r>
                                    <w:rPr>
                                      <w:rFonts w:hint="eastAsia"/>
                                      <w:lang w:val="en-US" w:eastAsia="zh-CN"/>
                                    </w:rPr>
                                    <w:t>卸油</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55.55pt;margin-top:4.55pt;height:22.2pt;width:38.15pt;z-index:251693056;mso-width-relative:page;mso-height-relative:page;" fillcolor="#FFFFFF" filled="t" stroked="t" coordsize="21600,21600" o:gfxdata="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D3&#10;g5Pj1gAAAAgBAAAPAAAAAAAAAAEAIAAAACIAAABkcnMvZG93bnJldi54bWxQSwECFAAUAAAACACH&#10;TuJAEtKUnF8CAADHBAAADgAAAAAAAAABACAAAAAlAQAAZHJzL2Uyb0RvYy54bWxQSwUGAAAAAAYA&#10;BgBZAQAA9gUAAAAA&#10;">
                      <v:fill on="t" focussize="0,0"/>
                      <v:stroke weight="0.5pt" color="#000000" joinstyle="round"/>
                      <v:imagedata o:title=""/>
                      <o:lock v:ext="edit" aspectratio="f"/>
                      <v:textbox>
                        <w:txbxContent>
                          <w:p w14:paraId="4329BD33">
                            <w:pPr>
                              <w:rPr>
                                <w:rFonts w:hint="default" w:eastAsia="宋体"/>
                                <w:lang w:val="en-US" w:eastAsia="zh-CN"/>
                              </w:rPr>
                            </w:pPr>
                            <w:r>
                              <w:rPr>
                                <w:rFonts w:hint="eastAsia"/>
                                <w:lang w:val="en-US" w:eastAsia="zh-CN"/>
                              </w:rPr>
                              <w:t>卸油</w:t>
                            </w:r>
                          </w:p>
                        </w:txbxContent>
                      </v:textbox>
                    </v:shape>
                  </w:pict>
                </mc:Fallback>
              </mc:AlternateContent>
            </w:r>
            <w:r>
              <w:rPr>
                <w:rFonts w:hint="default" w:ascii="Times New Roman" w:hAnsi="Times New Roman" w:cs="Times New Roman"/>
                <w:color w:val="000000" w:themeColor="text1"/>
                <w:highlight w:val="none"/>
                <w14:textFill>
                  <w14:solidFill>
                    <w14:schemeClr w14:val="tx1"/>
                  </w14:solidFill>
                </w14:textFill>
              </w:rPr>
              <mc:AlternateContent>
                <mc:Choice Requires="wps">
                  <w:drawing>
                    <wp:anchor distT="0" distB="0" distL="114300" distR="114300" simplePos="0" relativeHeight="251683840" behindDoc="0" locked="0" layoutInCell="1" allowOverlap="1">
                      <wp:simplePos x="0" y="0"/>
                      <wp:positionH relativeFrom="column">
                        <wp:posOffset>1111885</wp:posOffset>
                      </wp:positionH>
                      <wp:positionV relativeFrom="paragraph">
                        <wp:posOffset>57785</wp:posOffset>
                      </wp:positionV>
                      <wp:extent cx="484505" cy="281940"/>
                      <wp:effectExtent l="4445" t="4445" r="13970" b="18415"/>
                      <wp:wrapNone/>
                      <wp:docPr id="74" name="文本框 74"/>
                      <wp:cNvGraphicFramePr/>
                      <a:graphic xmlns:a="http://schemas.openxmlformats.org/drawingml/2006/main">
                        <a:graphicData uri="http://schemas.microsoft.com/office/word/2010/wordprocessingShape">
                          <wps:wsp>
                            <wps:cNvSpPr txBox="1"/>
                            <wps:spPr>
                              <a:xfrm>
                                <a:off x="0" y="0"/>
                                <a:ext cx="484505" cy="281940"/>
                              </a:xfrm>
                              <a:prstGeom prst="rect">
                                <a:avLst/>
                              </a:prstGeom>
                              <a:solidFill>
                                <a:srgbClr val="FFFFFF"/>
                              </a:solidFill>
                              <a:ln w="6350">
                                <a:solidFill>
                                  <a:srgbClr val="000000"/>
                                </a:solidFill>
                              </a:ln>
                              <a:effectLst/>
                            </wps:spPr>
                            <wps:txbx>
                              <w:txbxContent>
                                <w:p w14:paraId="5C35EED1">
                                  <w:pPr>
                                    <w:rPr>
                                      <w:rFonts w:hint="default" w:eastAsia="宋体"/>
                                      <w:lang w:val="en-US" w:eastAsia="zh-CN"/>
                                    </w:rPr>
                                  </w:pPr>
                                  <w:r>
                                    <w:rPr>
                                      <w:rFonts w:hint="eastAsia"/>
                                      <w:lang w:val="en-US" w:eastAsia="zh-CN"/>
                                    </w:rPr>
                                    <w:t>运输</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87.55pt;margin-top:4.55pt;height:22.2pt;width:38.15pt;z-index:251683840;mso-width-relative:page;mso-height-relative:page;" fillcolor="#FFFFFF" filled="t" stroked="t" coordsize="21600,21600" o:gfxdata="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GI7&#10;X2jVAAAACAEAAA8AAAAAAAAAAQAgAAAAIgAAAGRycy9kb3ducmV2LnhtbFBLAQIUABQAAAAIAIdO&#10;4kDjHdXQXwIAAMcEAAAOAAAAAAAAAAEAIAAAACQBAABkcnMvZTJvRG9jLnhtbFBLBQYAAAAABgAG&#10;AFkBAAD1BQAAAAA=&#10;">
                      <v:fill on="t" focussize="0,0"/>
                      <v:stroke weight="0.5pt" color="#000000" joinstyle="round"/>
                      <v:imagedata o:title=""/>
                      <o:lock v:ext="edit" aspectratio="f"/>
                      <v:textbox>
                        <w:txbxContent>
                          <w:p w14:paraId="5C35EED1">
                            <w:pPr>
                              <w:rPr>
                                <w:rFonts w:hint="default" w:eastAsia="宋体"/>
                                <w:lang w:val="en-US" w:eastAsia="zh-CN"/>
                              </w:rPr>
                            </w:pPr>
                            <w:r>
                              <w:rPr>
                                <w:rFonts w:hint="eastAsia"/>
                                <w:lang w:val="en-US" w:eastAsia="zh-CN"/>
                              </w:rPr>
                              <w:t>运输</w:t>
                            </w:r>
                          </w:p>
                        </w:txbxContent>
                      </v:textbox>
                    </v:shape>
                  </w:pict>
                </mc:Fallback>
              </mc:AlternateContent>
            </w:r>
            <w:r>
              <w:rPr>
                <w:rFonts w:hint="default" w:ascii="Times New Roman" w:hAnsi="Times New Roman" w:cs="Times New Roman"/>
                <w:color w:val="000000" w:themeColor="text1"/>
                <w:highlight w:val="none"/>
                <w14:textFill>
                  <w14:solidFill>
                    <w14:schemeClr w14:val="tx1"/>
                  </w14:solidFill>
                </w14:textFill>
              </w:rPr>
              <mc:AlternateContent>
                <mc:Choice Requires="wps">
                  <w:drawing>
                    <wp:anchor distT="0" distB="0" distL="114300" distR="114300" simplePos="0" relativeHeight="251682816" behindDoc="0" locked="0" layoutInCell="1" allowOverlap="1">
                      <wp:simplePos x="0" y="0"/>
                      <wp:positionH relativeFrom="column">
                        <wp:posOffset>-67310</wp:posOffset>
                      </wp:positionH>
                      <wp:positionV relativeFrom="paragraph">
                        <wp:posOffset>50800</wp:posOffset>
                      </wp:positionV>
                      <wp:extent cx="746760" cy="281940"/>
                      <wp:effectExtent l="0" t="0" r="0" b="7620"/>
                      <wp:wrapNone/>
                      <wp:docPr id="14" name="文本框 14"/>
                      <wp:cNvGraphicFramePr/>
                      <a:graphic xmlns:a="http://schemas.openxmlformats.org/drawingml/2006/main">
                        <a:graphicData uri="http://schemas.microsoft.com/office/word/2010/wordprocessingShape">
                          <wps:wsp>
                            <wps:cNvSpPr txBox="1"/>
                            <wps:spPr>
                              <a:xfrm>
                                <a:off x="1695450" y="2279015"/>
                                <a:ext cx="746760" cy="281940"/>
                              </a:xfrm>
                              <a:prstGeom prst="rect">
                                <a:avLst/>
                              </a:prstGeom>
                              <a:noFill/>
                              <a:ln w="6350">
                                <a:noFill/>
                              </a:ln>
                              <a:effectLst/>
                            </wps:spPr>
                            <wps:txbx>
                              <w:txbxContent>
                                <w:p w14:paraId="1A9AEBAE">
                                  <w:pPr>
                                    <w:rPr>
                                      <w:rFonts w:hint="eastAsia" w:eastAsia="宋体"/>
                                      <w:lang w:val="en-US" w:eastAsia="zh-CN"/>
                                    </w:rPr>
                                  </w:pPr>
                                  <w:r>
                                    <w:rPr>
                                      <w:rFonts w:hint="eastAsia"/>
                                      <w:lang w:val="en-US" w:eastAsia="zh-CN"/>
                                    </w:rPr>
                                    <w:t>废矿物油</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3pt;margin-top:4pt;height:22.2pt;width:58.8pt;z-index:251682816;mso-width-relative:page;mso-height-relative:page;" filled="f" stroked="f" coordsize="21600,21600" o:gfxdata="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Z7DxDtkAAAAIAQAADwAAAAAA&#10;AAABACAAAAAiAAAAZHJzL2Rvd25yZXYueG1sUEsBAhQAFAAAAAgAh07iQFuFS+xLAgAAgQQAAA4A&#10;AAAAAAAAAQAgAAAAKAEAAGRycy9lMm9Eb2MueG1sUEsFBgAAAAAGAAYAWQEAAOUFAAAAAA==&#10;">
                      <v:fill on="f" focussize="0,0"/>
                      <v:stroke on="f" weight="0.5pt"/>
                      <v:imagedata o:title=""/>
                      <o:lock v:ext="edit" aspectratio="f"/>
                      <v:textbox>
                        <w:txbxContent>
                          <w:p w14:paraId="1A9AEBAE">
                            <w:pPr>
                              <w:rPr>
                                <w:rFonts w:hint="eastAsia" w:eastAsia="宋体"/>
                                <w:lang w:val="en-US" w:eastAsia="zh-CN"/>
                              </w:rPr>
                            </w:pPr>
                            <w:r>
                              <w:rPr>
                                <w:rFonts w:hint="eastAsia"/>
                                <w:lang w:val="en-US" w:eastAsia="zh-CN"/>
                              </w:rPr>
                              <w:t>废矿物油</w:t>
                            </w:r>
                          </w:p>
                        </w:txbxContent>
                      </v:textbox>
                    </v:shape>
                  </w:pict>
                </mc:Fallback>
              </mc:AlternateContent>
            </w:r>
            <w:r>
              <w:rPr>
                <w:sz w:val="24"/>
              </w:rPr>
              <mc:AlternateContent>
                <mc:Choice Requires="wps">
                  <w:drawing>
                    <wp:anchor distT="0" distB="0" distL="114300" distR="114300" simplePos="0" relativeHeight="251695104" behindDoc="0" locked="0" layoutInCell="1" allowOverlap="1">
                      <wp:simplePos x="0" y="0"/>
                      <wp:positionH relativeFrom="column">
                        <wp:posOffset>3318510</wp:posOffset>
                      </wp:positionH>
                      <wp:positionV relativeFrom="paragraph">
                        <wp:posOffset>198755</wp:posOffset>
                      </wp:positionV>
                      <wp:extent cx="350520" cy="635"/>
                      <wp:effectExtent l="0" t="38100" r="0" b="37465"/>
                      <wp:wrapNone/>
                      <wp:docPr id="18" name="直接箭头连接符 18"/>
                      <wp:cNvGraphicFramePr/>
                      <a:graphic xmlns:a="http://schemas.openxmlformats.org/drawingml/2006/main">
                        <a:graphicData uri="http://schemas.microsoft.com/office/word/2010/wordprocessingShape">
                          <wps:wsp>
                            <wps:cNvCnPr>
                              <a:stCxn id="75" idx="3"/>
                              <a:endCxn id="13" idx="1"/>
                            </wps:cNvCnPr>
                            <wps:spPr>
                              <a:xfrm flipV="1">
                                <a:off x="4972050" y="8168005"/>
                                <a:ext cx="350520" cy="635"/>
                              </a:xfrm>
                              <a:prstGeom prst="straightConnector1">
                                <a:avLst/>
                              </a:prstGeom>
                              <a:ln>
                                <a:solidFill>
                                  <a:schemeClr val="tx1"/>
                                </a:solidFill>
                                <a:headEnd type="none"/>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y;margin-left:261.3pt;margin-top:15.65pt;height:0.05pt;width:27.6pt;z-index:251695104;mso-width-relative:page;mso-height-relative:page;" filled="f" stroked="t" coordsize="21600,21600" o:gfxdata="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MUIwP9kAAAAJAQAADwAAAAAAAAABACAAAAAiAAAA&#10;ZHJzL2Rvd25yZXYueG1sUEsBAhQAFAAAAAgAh07iQCC99AI/AgAATwQAAA4AAAAAAAAAAQAgAAAA&#10;KAEAAGRycy9lMm9Eb2MueG1sUEsFBgAAAAAGAAYAWQEAANkFAAAAAA==&#10;">
                      <v:fill on="f" focussize="0,0"/>
                      <v:stroke color="#000000 [3213]" joinstyle="round" endarrow="block"/>
                      <v:imagedata o:title=""/>
                      <o:lock v:ext="edit" aspectratio="f"/>
                    </v:shape>
                  </w:pict>
                </mc:Fallback>
              </mc:AlternateContent>
            </w:r>
            <w:r>
              <w:rPr>
                <w:rFonts w:hint="default" w:ascii="Times New Roman" w:hAnsi="Times New Roman" w:cs="Times New Roman"/>
                <w:color w:val="000000" w:themeColor="text1"/>
                <w:highlight w:val="none"/>
                <w14:textFill>
                  <w14:solidFill>
                    <w14:schemeClr w14:val="tx1"/>
                  </w14:solidFill>
                </w14:textFill>
              </w:rPr>
              <mc:AlternateContent>
                <mc:Choice Requires="wps">
                  <w:drawing>
                    <wp:anchor distT="0" distB="0" distL="114300" distR="114300" simplePos="0" relativeHeight="251688960" behindDoc="0" locked="0" layoutInCell="1" allowOverlap="1">
                      <wp:simplePos x="0" y="0"/>
                      <wp:positionH relativeFrom="column">
                        <wp:posOffset>2459990</wp:posOffset>
                      </wp:positionH>
                      <wp:positionV relativeFrom="paragraph">
                        <wp:posOffset>198755</wp:posOffset>
                      </wp:positionV>
                      <wp:extent cx="371475" cy="635"/>
                      <wp:effectExtent l="0" t="37465" r="9525" b="38100"/>
                      <wp:wrapNone/>
                      <wp:docPr id="123" name="直接箭头连接符 123"/>
                      <wp:cNvGraphicFramePr/>
                      <a:graphic xmlns:a="http://schemas.openxmlformats.org/drawingml/2006/main">
                        <a:graphicData uri="http://schemas.microsoft.com/office/word/2010/wordprocessingShape">
                          <wps:wsp>
                            <wps:cNvCnPr>
                              <a:stCxn id="12" idx="3"/>
                              <a:endCxn id="75" idx="1"/>
                            </wps:cNvCnPr>
                            <wps:spPr>
                              <a:xfrm>
                                <a:off x="4963795" y="2953385"/>
                                <a:ext cx="371475" cy="635"/>
                              </a:xfrm>
                              <a:prstGeom prst="straightConnector1">
                                <a:avLst/>
                              </a:prstGeom>
                              <a:noFill/>
                              <a:ln w="9525" cap="flat" cmpd="sng" algn="ctr">
                                <a:solidFill>
                                  <a:srgbClr val="000000"/>
                                </a:solidFill>
                                <a:prstDash val="solid"/>
                                <a:headEnd type="none"/>
                                <a:tailEnd type="triangle" w="med" len="med"/>
                              </a:ln>
                              <a:effectLst/>
                            </wps:spPr>
                            <wps:bodyPr/>
                          </wps:wsp>
                        </a:graphicData>
                      </a:graphic>
                    </wp:anchor>
                  </w:drawing>
                </mc:Choice>
                <mc:Fallback>
                  <w:pict>
                    <v:shape id="_x0000_s1026" o:spid="_x0000_s1026" o:spt="32" type="#_x0000_t32" style="position:absolute;left:0pt;margin-left:193.7pt;margin-top:15.65pt;height:0.05pt;width:29.25pt;z-index:251688960;mso-width-relative:page;mso-height-relative:page;" filled="f" stroked="t" coordsize="21600,21600" o:gfxdata="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DSSSoq2QAAAAkBAAAPAAAAAAAAAAEAIAAAACIAAABk&#10;cnMvZG93bnJldi54bWxQSwECFAAUAAAACACHTuJAjKTHLj4CAABVBAAADgAAAAAAAAABACAAAAAo&#10;AQAAZHJzL2Uyb0RvYy54bWxQSwUGAAAAAAYABgBZAQAA2AUAAAAA&#10;">
                      <v:fill on="f" focussize="0,0"/>
                      <v:stroke color="#000000" joinstyle="round" endarrow="block"/>
                      <v:imagedata o:title=""/>
                      <o:lock v:ext="edit" aspectratio="f"/>
                    </v:shape>
                  </w:pict>
                </mc:Fallback>
              </mc:AlternateContent>
            </w:r>
          </w:p>
          <w:p w14:paraId="1E1ECFE8">
            <w:pPr>
              <w:pStyle w:val="68"/>
              <w:ind w:firstLine="0" w:firstLineChars="0"/>
              <w:rPr>
                <w:rFonts w:hint="default" w:ascii="Times New Roman" w:hAnsi="Times New Roman" w:cs="Times New Roman"/>
                <w:b/>
                <w:color w:val="000000" w:themeColor="text1"/>
                <w:szCs w:val="24"/>
                <w:highlight w:val="none"/>
                <w14:textFill>
                  <w14:solidFill>
                    <w14:schemeClr w14:val="tx1"/>
                  </w14:solidFill>
                </w14:textFill>
              </w:rPr>
            </w:pPr>
          </w:p>
          <w:p w14:paraId="7E12CF17">
            <w:pPr>
              <w:pStyle w:val="62"/>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图2-3    生产工艺流程及排污节点示意图</w:t>
            </w:r>
          </w:p>
          <w:p w14:paraId="10679E2F">
            <w:pPr>
              <w:pStyle w:val="69"/>
              <w:rPr>
                <w:rFonts w:hint="default" w:ascii="Times New Roman" w:hAnsi="Times New Roman" w:cs="Times New Roman"/>
                <w:color w:val="000000" w:themeColor="text1"/>
                <w:highlight w:val="none"/>
                <w14:textFill>
                  <w14:solidFill>
                    <w14:schemeClr w14:val="tx1"/>
                  </w14:solidFill>
                </w14:textFill>
              </w:rPr>
            </w:pPr>
          </w:p>
          <w:p w14:paraId="4E49EE2E">
            <w:pPr>
              <w:pStyle w:val="68"/>
              <w:ind w:firstLine="482"/>
              <w:rPr>
                <w:rFonts w:hint="default" w:ascii="Times New Roman" w:hAnsi="Times New Roman" w:cs="Times New Roman"/>
                <w:b/>
                <w:color w:val="000000" w:themeColor="text1"/>
                <w:szCs w:val="24"/>
                <w:highlight w:val="none"/>
                <w14:textFill>
                  <w14:solidFill>
                    <w14:schemeClr w14:val="tx1"/>
                  </w14:solidFill>
                </w14:textFill>
              </w:rPr>
            </w:pPr>
            <w:r>
              <w:rPr>
                <w:rFonts w:hint="default" w:ascii="Times New Roman" w:hAnsi="Times New Roman" w:cs="Times New Roman"/>
                <w:b/>
                <w:color w:val="000000" w:themeColor="text1"/>
                <w:szCs w:val="24"/>
                <w:highlight w:val="none"/>
                <w14:textFill>
                  <w14:solidFill>
                    <w14:schemeClr w14:val="tx1"/>
                  </w14:solidFill>
                </w14:textFill>
              </w:rPr>
              <w:t>2、生产工艺流程简述</w:t>
            </w:r>
          </w:p>
          <w:p w14:paraId="38585983">
            <w:pPr>
              <w:numPr>
                <w:ilvl w:val="0"/>
                <w:numId w:val="7"/>
              </w:numPr>
              <w:snapToGrid w:val="0"/>
              <w:spacing w:line="360" w:lineRule="auto"/>
              <w:ind w:firstLine="425"/>
              <w:rPr>
                <w:rFonts w:hint="default" w:ascii="Times New Roman" w:hAnsi="Times New Roman" w:cs="Times New Roman"/>
                <w:color w:val="000000" w:themeColor="text1"/>
                <w:sz w:val="24"/>
                <w:szCs w:val="32"/>
                <w:highlight w:val="none"/>
                <w14:textFill>
                  <w14:solidFill>
                    <w14:schemeClr w14:val="tx1"/>
                  </w14:solidFill>
                </w14:textFill>
              </w:rPr>
            </w:pPr>
            <w:r>
              <w:rPr>
                <w:rFonts w:hint="default" w:ascii="Times New Roman" w:hAnsi="Times New Roman" w:cs="Times New Roman"/>
                <w:color w:val="000000" w:themeColor="text1"/>
                <w:sz w:val="24"/>
                <w:szCs w:val="32"/>
                <w:highlight w:val="none"/>
                <w14:textFill>
                  <w14:solidFill>
                    <w14:schemeClr w14:val="tx1"/>
                  </w14:solidFill>
                </w14:textFill>
              </w:rPr>
              <w:t>分类收集、分区贮存</w:t>
            </w:r>
          </w:p>
          <w:p w14:paraId="2F6E4F02">
            <w:pPr>
              <w:snapToGrid w:val="0"/>
              <w:spacing w:line="360" w:lineRule="auto"/>
              <w:ind w:firstLine="480" w:firstLineChars="200"/>
              <w:rPr>
                <w:rFonts w:hint="default" w:ascii="Times New Roman" w:hAnsi="Times New Roman" w:cs="Times New Roman"/>
                <w:color w:val="000000" w:themeColor="text1"/>
                <w:sz w:val="24"/>
                <w:szCs w:val="32"/>
                <w:highlight w:val="none"/>
                <w14:textFill>
                  <w14:solidFill>
                    <w14:schemeClr w14:val="tx1"/>
                  </w14:solidFill>
                </w14:textFill>
              </w:rPr>
            </w:pPr>
            <w:r>
              <w:rPr>
                <w:rFonts w:hint="default" w:ascii="Times New Roman" w:hAnsi="Times New Roman" w:cs="Times New Roman"/>
                <w:color w:val="000000" w:themeColor="text1"/>
                <w:sz w:val="24"/>
                <w:szCs w:val="32"/>
                <w:highlight w:val="none"/>
                <w:lang w:val="en-US" w:eastAsia="zh-CN"/>
                <w14:textFill>
                  <w14:solidFill>
                    <w14:schemeClr w14:val="tx1"/>
                  </w14:solidFill>
                </w14:textFill>
              </w:rPr>
              <w:t>企业产生的废矿物油，在各自企业收集点内按相关要求进行储存，废矿物油储存方式为密封桶装，储存危险废物的容器应根据其特性而设计，不易破损、变形，其所用材料能有效地防止渗漏、扩散，并耐酸腐蚀。装有危险废物的容器必须粘贴符合《危险废物贮存污染控制标准》（GB18597-2001）中附录 A 所要求的危险废物标签（有害/可燃）。</w:t>
            </w:r>
          </w:p>
          <w:p w14:paraId="0C461CA1">
            <w:pPr>
              <w:numPr>
                <w:ilvl w:val="0"/>
                <w:numId w:val="8"/>
              </w:numPr>
              <w:snapToGrid w:val="0"/>
              <w:spacing w:line="360" w:lineRule="auto"/>
              <w:ind w:left="0" w:leftChars="0" w:firstLine="480" w:firstLineChars="200"/>
              <w:rPr>
                <w:rFonts w:hint="eastAsia" w:cs="Times New Roman"/>
                <w:color w:val="000000" w:themeColor="text1"/>
                <w:sz w:val="24"/>
                <w:szCs w:val="32"/>
                <w:highlight w:val="none"/>
                <w:lang w:val="en-US" w:eastAsia="zh-CN"/>
                <w14:textFill>
                  <w14:solidFill>
                    <w14:schemeClr w14:val="tx1"/>
                  </w14:solidFill>
                </w14:textFill>
              </w:rPr>
            </w:pPr>
            <w:r>
              <w:rPr>
                <w:rFonts w:hint="eastAsia" w:cs="Times New Roman"/>
                <w:color w:val="000000" w:themeColor="text1"/>
                <w:sz w:val="24"/>
                <w:szCs w:val="32"/>
                <w:highlight w:val="none"/>
                <w:lang w:val="en-US" w:eastAsia="zh-CN"/>
                <w14:textFill>
                  <w14:solidFill>
                    <w14:schemeClr w14:val="tx1"/>
                  </w14:solidFill>
                </w14:textFill>
              </w:rPr>
              <w:t>运输</w:t>
            </w:r>
          </w:p>
          <w:p w14:paraId="40BD5F70">
            <w:pPr>
              <w:bidi w:val="0"/>
              <w:spacing w:line="360" w:lineRule="auto"/>
              <w:ind w:firstLine="480" w:firstLineChars="200"/>
              <w:rPr>
                <w:rFonts w:hint="default"/>
                <w:lang w:val="en-US" w:eastAsia="zh-CN"/>
              </w:rPr>
            </w:pPr>
            <w:r>
              <w:rPr>
                <w:rFonts w:hint="default"/>
                <w:sz w:val="24"/>
                <w:szCs w:val="24"/>
                <w:lang w:val="en-US" w:eastAsia="zh-CN"/>
              </w:rPr>
              <w:t>待储存至一定量后，由本项目建设单位委托有危险废物运输资质的专用车辆进入产危废企业进行收集装车，废矿物油通过专用的罐车进行收集，再运输至本项目进行储存。由于周边地区废矿物油回收点多而分散，每个回收点一定时期内收集到的废矿物油数量也不一致，收集时间也不统一，回收过程不具备固定线路条件，不做固定线路要求。但要求转运路线需满足下述原则：转运车辆运输途中避开经过医院、学校和居民区等人口密集区，避开饮用水水源保护区、自然保护区等敏感区域</w:t>
            </w:r>
            <w:r>
              <w:rPr>
                <w:rFonts w:hint="default"/>
                <w:lang w:val="en-US" w:eastAsia="zh-CN"/>
              </w:rPr>
              <w:t>。</w:t>
            </w:r>
          </w:p>
          <w:p w14:paraId="4004182E">
            <w:pPr>
              <w:numPr>
                <w:ilvl w:val="0"/>
                <w:numId w:val="0"/>
              </w:numPr>
              <w:bidi w:val="0"/>
              <w:spacing w:line="360" w:lineRule="auto"/>
              <w:ind w:firstLine="480" w:firstLineChars="200"/>
              <w:rPr>
                <w:rFonts w:hint="eastAsia"/>
                <w:sz w:val="24"/>
                <w:szCs w:val="24"/>
                <w:lang w:val="en-US" w:eastAsia="zh-CN"/>
              </w:rPr>
            </w:pPr>
            <w:r>
              <w:rPr>
                <w:rFonts w:hint="eastAsia"/>
                <w:sz w:val="24"/>
                <w:szCs w:val="24"/>
                <w:lang w:val="en-US" w:eastAsia="zh-CN"/>
              </w:rPr>
              <w:t>（2）本项目厂区储存</w:t>
            </w:r>
          </w:p>
          <w:p w14:paraId="034501FC">
            <w:pPr>
              <w:numPr>
                <w:ilvl w:val="0"/>
                <w:numId w:val="0"/>
              </w:numPr>
              <w:bidi w:val="0"/>
              <w:spacing w:line="360" w:lineRule="auto"/>
              <w:ind w:firstLine="480" w:firstLineChars="200"/>
              <w:rPr>
                <w:sz w:val="24"/>
                <w:szCs w:val="24"/>
              </w:rPr>
            </w:pPr>
            <w:r>
              <w:rPr>
                <w:rFonts w:hint="eastAsia"/>
                <w:sz w:val="24"/>
                <w:szCs w:val="24"/>
                <w:lang w:val="en-US" w:eastAsia="zh-CN"/>
              </w:rPr>
              <w:t>对由运输单位送来的危险废物进行登记台帐，并储存。专用收集罐车直接进入厂区卸油区，利用油泵直接进入厂区油罐区，直接送至厂区内相应储存区内储存，待储存至一定量后联系有资质单位进行集中处置。厂区场地按照《危险废物贮存污染控制标准》（</w:t>
            </w:r>
            <w:r>
              <w:rPr>
                <w:rFonts w:hint="default"/>
                <w:sz w:val="24"/>
                <w:szCs w:val="24"/>
                <w:lang w:val="en-US" w:eastAsia="zh-CN"/>
              </w:rPr>
              <w:t>GB18597-2001</w:t>
            </w:r>
            <w:r>
              <w:rPr>
                <w:rFonts w:hint="eastAsia"/>
                <w:sz w:val="24"/>
                <w:szCs w:val="24"/>
                <w:lang w:val="en-US" w:eastAsia="zh-CN"/>
              </w:rPr>
              <w:t>）的要求进行改造、防渗处理。</w:t>
            </w:r>
          </w:p>
          <w:p w14:paraId="78630856">
            <w:pPr>
              <w:numPr>
                <w:ilvl w:val="0"/>
                <w:numId w:val="0"/>
              </w:numPr>
              <w:bidi w:val="0"/>
              <w:spacing w:line="360" w:lineRule="auto"/>
              <w:ind w:firstLine="480" w:firstLineChars="200"/>
              <w:rPr>
                <w:rFonts w:hint="eastAsia"/>
                <w:sz w:val="24"/>
                <w:szCs w:val="24"/>
                <w:lang w:val="en-US" w:eastAsia="zh-CN"/>
              </w:rPr>
            </w:pPr>
            <w:r>
              <w:rPr>
                <w:rFonts w:hint="eastAsia"/>
                <w:sz w:val="24"/>
                <w:szCs w:val="24"/>
                <w:lang w:val="en-US" w:eastAsia="zh-CN"/>
              </w:rPr>
              <w:t>（3）处置</w:t>
            </w:r>
          </w:p>
          <w:p w14:paraId="42D0A1D1">
            <w:pPr>
              <w:numPr>
                <w:ilvl w:val="0"/>
                <w:numId w:val="0"/>
              </w:numPr>
              <w:bidi w:val="0"/>
              <w:spacing w:line="360" w:lineRule="auto"/>
              <w:ind w:firstLine="480" w:firstLineChars="200"/>
              <w:rPr>
                <w:sz w:val="24"/>
                <w:szCs w:val="24"/>
              </w:rPr>
            </w:pPr>
            <w:r>
              <w:rPr>
                <w:rFonts w:hint="eastAsia"/>
                <w:sz w:val="24"/>
                <w:szCs w:val="24"/>
                <w:lang w:val="en-US" w:eastAsia="zh-CN"/>
              </w:rPr>
              <w:t>当废矿物油储存到一定量后，及时通知集中处置单位具有专业危险废物运输资质的油罐车进行转运及处置。而装卸流程与危险废物入厂储存时流程基本一致，油罐内废矿物油在卸油区经油泵抽至处置单位运输罐车内，待装车后根据当天暂存量大小的增减与运输车辆的数量做好登记工作，建立收集、贮存、转移台账，不违规转移。</w:t>
            </w:r>
          </w:p>
          <w:p w14:paraId="73276E7D">
            <w:pPr>
              <w:snapToGrid w:val="0"/>
              <w:spacing w:line="360" w:lineRule="auto"/>
              <w:ind w:firstLine="480" w:firstLineChars="200"/>
              <w:rPr>
                <w:rFonts w:hint="default" w:ascii="Times New Roman" w:hAnsi="Times New Roman" w:cs="Times New Roman"/>
                <w:color w:val="000000" w:themeColor="text1"/>
                <w:sz w:val="24"/>
                <w:szCs w:val="32"/>
                <w:highlight w:val="none"/>
                <w14:textFill>
                  <w14:solidFill>
                    <w14:schemeClr w14:val="tx1"/>
                  </w14:solidFill>
                </w14:textFill>
              </w:rPr>
            </w:pPr>
            <w:r>
              <w:rPr>
                <w:rFonts w:hint="eastAsia" w:cs="Times New Roman"/>
                <w:color w:val="000000" w:themeColor="text1"/>
                <w:sz w:val="24"/>
                <w:szCs w:val="32"/>
                <w:highlight w:val="none"/>
                <w:lang w:val="en-US" w:eastAsia="zh-CN"/>
                <w14:textFill>
                  <w14:solidFill>
                    <w14:schemeClr w14:val="tx1"/>
                  </w14:solidFill>
                </w14:textFill>
              </w:rPr>
              <w:t>废矿物油</w:t>
            </w:r>
            <w:r>
              <w:rPr>
                <w:rFonts w:hint="default" w:ascii="Times New Roman" w:hAnsi="Times New Roman" w:cs="Times New Roman"/>
                <w:color w:val="000000" w:themeColor="text1"/>
                <w:sz w:val="24"/>
                <w:szCs w:val="32"/>
                <w:highlight w:val="none"/>
                <w14:textFill>
                  <w14:solidFill>
                    <w14:schemeClr w14:val="tx1"/>
                  </w14:solidFill>
                </w14:textFill>
              </w:rPr>
              <w:t>暂存期间，盛装危废容器不会被打开。</w:t>
            </w:r>
            <w:r>
              <w:rPr>
                <w:rFonts w:hint="eastAsia" w:cs="Times New Roman"/>
                <w:color w:val="000000" w:themeColor="text1"/>
                <w:sz w:val="24"/>
                <w:szCs w:val="32"/>
                <w:highlight w:val="none"/>
                <w:lang w:val="en-US" w:eastAsia="zh-CN"/>
                <w14:textFill>
                  <w14:solidFill>
                    <w14:schemeClr w14:val="tx1"/>
                  </w14:solidFill>
                </w14:textFill>
              </w:rPr>
              <w:t>储罐</w:t>
            </w:r>
            <w:r>
              <w:rPr>
                <w:rFonts w:hint="default" w:ascii="Times New Roman" w:hAnsi="Times New Roman" w:cs="Times New Roman"/>
                <w:color w:val="000000" w:themeColor="text1"/>
                <w:sz w:val="24"/>
                <w:szCs w:val="32"/>
                <w:highlight w:val="none"/>
                <w14:textFill>
                  <w14:solidFill>
                    <w14:schemeClr w14:val="tx1"/>
                  </w14:solidFill>
                </w14:textFill>
              </w:rPr>
              <w:t>产生的废气</w:t>
            </w:r>
            <w:r>
              <w:rPr>
                <w:rFonts w:hint="eastAsia" w:cs="Times New Roman"/>
                <w:color w:val="000000" w:themeColor="text1"/>
                <w:sz w:val="24"/>
                <w:szCs w:val="32"/>
                <w:highlight w:val="none"/>
                <w:lang w:val="en-US" w:eastAsia="zh-CN"/>
                <w14:textFill>
                  <w14:solidFill>
                    <w14:schemeClr w14:val="tx1"/>
                  </w14:solidFill>
                </w14:textFill>
              </w:rPr>
              <w:t>经</w:t>
            </w:r>
            <w:r>
              <w:rPr>
                <w:rFonts w:hint="default" w:ascii="Times New Roman" w:hAnsi="Times New Roman" w:cs="Times New Roman"/>
                <w:color w:val="000000" w:themeColor="text1"/>
                <w:sz w:val="24"/>
                <w:szCs w:val="32"/>
                <w:highlight w:val="none"/>
                <w14:textFill>
                  <w14:solidFill>
                    <w14:schemeClr w14:val="tx1"/>
                  </w14:solidFill>
                </w14:textFill>
              </w:rPr>
              <w:t>收集+活性炭吸附装置处理后，由1根15m排气筒排放。</w:t>
            </w:r>
          </w:p>
          <w:p w14:paraId="06C7A8BB">
            <w:pPr>
              <w:snapToGrid w:val="0"/>
              <w:spacing w:line="360" w:lineRule="auto"/>
              <w:ind w:firstLine="480" w:firstLineChars="200"/>
              <w:rPr>
                <w:rFonts w:hint="default" w:ascii="Times New Roman" w:hAnsi="Times New Roman" w:cs="Times New Roman"/>
                <w:color w:val="000000" w:themeColor="text1"/>
                <w:sz w:val="24"/>
                <w:szCs w:val="32"/>
                <w:highlight w:val="none"/>
                <w14:textFill>
                  <w14:solidFill>
                    <w14:schemeClr w14:val="tx1"/>
                  </w14:solidFill>
                </w14:textFill>
              </w:rPr>
            </w:pPr>
            <w:r>
              <w:rPr>
                <w:rFonts w:hint="eastAsia" w:cs="Times New Roman"/>
                <w:color w:val="000000" w:themeColor="text1"/>
                <w:sz w:val="24"/>
                <w:szCs w:val="32"/>
                <w:highlight w:val="none"/>
                <w:lang w:val="en-US" w:eastAsia="zh-CN"/>
                <w14:textFill>
                  <w14:solidFill>
                    <w14:schemeClr w14:val="tx1"/>
                  </w14:solidFill>
                </w14:textFill>
              </w:rPr>
              <w:t>废矿物油储存间</w:t>
            </w:r>
            <w:r>
              <w:rPr>
                <w:rFonts w:hint="default" w:ascii="Times New Roman" w:hAnsi="Times New Roman" w:cs="Times New Roman"/>
                <w:color w:val="000000" w:themeColor="text1"/>
                <w:sz w:val="24"/>
                <w:szCs w:val="32"/>
                <w:highlight w:val="none"/>
                <w14:textFill>
                  <w14:solidFill>
                    <w14:schemeClr w14:val="tx1"/>
                  </w14:solidFill>
                </w14:textFill>
              </w:rPr>
              <w:t>地面与裙角均采取防渗、防腐措施。库房设置</w:t>
            </w:r>
            <w:r>
              <w:rPr>
                <w:rFonts w:hint="eastAsia" w:cs="Times New Roman"/>
                <w:color w:val="000000" w:themeColor="text1"/>
                <w:sz w:val="24"/>
                <w:szCs w:val="32"/>
                <w:highlight w:val="none"/>
                <w:lang w:val="en-US" w:eastAsia="zh-CN"/>
                <w14:textFill>
                  <w14:solidFill>
                    <w14:schemeClr w14:val="tx1"/>
                  </w14:solidFill>
                </w14:textFill>
              </w:rPr>
              <w:t>集液池</w:t>
            </w:r>
            <w:r>
              <w:rPr>
                <w:rFonts w:hint="default" w:ascii="Times New Roman" w:hAnsi="Times New Roman" w:cs="Times New Roman"/>
                <w:color w:val="000000" w:themeColor="text1"/>
                <w:sz w:val="24"/>
                <w:szCs w:val="32"/>
                <w:highlight w:val="none"/>
                <w14:textFill>
                  <w14:solidFill>
                    <w14:schemeClr w14:val="tx1"/>
                  </w14:solidFill>
                </w14:textFill>
              </w:rPr>
              <w:t>，用于收集泄漏的物料，事故时，通过阀门切换至新建的事故池。</w:t>
            </w:r>
          </w:p>
          <w:p w14:paraId="2D455968">
            <w:pPr>
              <w:pStyle w:val="62"/>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表2-</w:t>
            </w:r>
            <w:r>
              <w:rPr>
                <w:rFonts w:hint="eastAsia" w:cs="Times New Roman"/>
                <w:color w:val="000000" w:themeColor="text1"/>
                <w:highlight w:val="none"/>
                <w:lang w:val="en-US" w:eastAsia="zh-CN"/>
                <w14:textFill>
                  <w14:solidFill>
                    <w14:schemeClr w14:val="tx1"/>
                  </w14:solidFill>
                </w14:textFill>
              </w:rPr>
              <w:t>7</w:t>
            </w:r>
            <w:r>
              <w:rPr>
                <w:rFonts w:hint="default" w:ascii="Times New Roman" w:hAnsi="Times New Roman" w:cs="Times New Roman"/>
                <w:color w:val="000000" w:themeColor="text1"/>
                <w:highlight w:val="none"/>
                <w14:textFill>
                  <w14:solidFill>
                    <w14:schemeClr w14:val="tx1"/>
                  </w14:solidFill>
                </w14:textFill>
              </w:rPr>
              <w:t xml:space="preserve">    </w:t>
            </w:r>
            <w:r>
              <w:rPr>
                <w:rFonts w:hint="eastAsia" w:cs="Times New Roman"/>
                <w:color w:val="000000" w:themeColor="text1"/>
                <w:highlight w:val="none"/>
                <w:lang w:val="en-US" w:eastAsia="zh-CN"/>
                <w14:textFill>
                  <w14:solidFill>
                    <w14:schemeClr w14:val="tx1"/>
                  </w14:solidFill>
                </w14:textFill>
              </w:rPr>
              <w:t>运营期</w:t>
            </w:r>
            <w:r>
              <w:rPr>
                <w:rFonts w:hint="default" w:ascii="Times New Roman" w:hAnsi="Times New Roman" w:cs="Times New Roman"/>
                <w:color w:val="000000" w:themeColor="text1"/>
                <w:highlight w:val="none"/>
                <w14:textFill>
                  <w14:solidFill>
                    <w14:schemeClr w14:val="tx1"/>
                  </w14:solidFill>
                </w14:textFill>
              </w:rPr>
              <w:t>污染因子一览表</w:t>
            </w:r>
          </w:p>
          <w:tbl>
            <w:tblPr>
              <w:tblStyle w:val="27"/>
              <w:tblW w:w="4998" w:type="pct"/>
              <w:tblInd w:w="0" w:type="dxa"/>
              <w:tblBorders>
                <w:top w:val="double" w:color="auto" w:sz="4" w:space="0"/>
                <w:left w:val="none" w:color="auto" w:sz="0" w:space="0"/>
                <w:bottom w:val="doub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802"/>
              <w:gridCol w:w="1275"/>
              <w:gridCol w:w="1545"/>
              <w:gridCol w:w="1784"/>
              <w:gridCol w:w="2777"/>
            </w:tblGrid>
            <w:tr w14:paraId="6C3354B6">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490" w:type="pct"/>
                  <w:vAlign w:val="center"/>
                </w:tcPr>
                <w:p w14:paraId="5AE84D4F">
                  <w:pPr>
                    <w:pStyle w:val="69"/>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类别</w:t>
                  </w:r>
                </w:p>
              </w:tc>
              <w:tc>
                <w:tcPr>
                  <w:tcW w:w="779" w:type="pct"/>
                  <w:vAlign w:val="center"/>
                </w:tcPr>
                <w:p w14:paraId="53C16EA2">
                  <w:pPr>
                    <w:pStyle w:val="69"/>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eastAsia" w:cs="Times New Roman"/>
                      <w:color w:val="000000" w:themeColor="text1"/>
                      <w:highlight w:val="none"/>
                      <w:lang w:val="en-US" w:eastAsia="zh-CN"/>
                      <w14:textFill>
                        <w14:solidFill>
                          <w14:schemeClr w14:val="tx1"/>
                        </w14:solidFill>
                      </w14:textFill>
                    </w:rPr>
                    <w:t>污染源名称</w:t>
                  </w:r>
                </w:p>
              </w:tc>
              <w:tc>
                <w:tcPr>
                  <w:tcW w:w="944" w:type="pct"/>
                  <w:vAlign w:val="center"/>
                </w:tcPr>
                <w:p w14:paraId="16D629D0">
                  <w:pPr>
                    <w:pStyle w:val="69"/>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产污工序</w:t>
                  </w:r>
                </w:p>
              </w:tc>
              <w:tc>
                <w:tcPr>
                  <w:tcW w:w="1090" w:type="pct"/>
                  <w:vAlign w:val="center"/>
                </w:tcPr>
                <w:p w14:paraId="3D8E5BC2">
                  <w:pPr>
                    <w:pStyle w:val="69"/>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污染因子</w:t>
                  </w:r>
                </w:p>
              </w:tc>
              <w:tc>
                <w:tcPr>
                  <w:tcW w:w="1696" w:type="pct"/>
                  <w:vAlign w:val="center"/>
                </w:tcPr>
                <w:p w14:paraId="7E2E0B95">
                  <w:pPr>
                    <w:pStyle w:val="69"/>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eastAsia" w:cs="Times New Roman"/>
                      <w:color w:val="000000" w:themeColor="text1"/>
                      <w:highlight w:val="none"/>
                      <w:lang w:val="en-US" w:eastAsia="zh-CN"/>
                      <w14:textFill>
                        <w14:solidFill>
                          <w14:schemeClr w14:val="tx1"/>
                        </w14:solidFill>
                      </w14:textFill>
                    </w:rPr>
                    <w:t>污染防治措施</w:t>
                  </w:r>
                </w:p>
              </w:tc>
            </w:tr>
            <w:tr w14:paraId="56F3806D">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490" w:type="pct"/>
                  <w:vAlign w:val="center"/>
                </w:tcPr>
                <w:p w14:paraId="5F81556C">
                  <w:pPr>
                    <w:pStyle w:val="69"/>
                    <w:rPr>
                      <w:rFonts w:hint="eastAsia" w:ascii="Times New Roman" w:hAnsi="Times New Roman" w:eastAsia="宋体" w:cs="Times New Roman"/>
                      <w:color w:val="000000" w:themeColor="text1"/>
                      <w:highlight w:val="none"/>
                      <w:lang w:val="en-US" w:eastAsia="zh-CN"/>
                      <w14:textFill>
                        <w14:solidFill>
                          <w14:schemeClr w14:val="tx1"/>
                        </w14:solidFill>
                      </w14:textFill>
                    </w:rPr>
                  </w:pPr>
                  <w:r>
                    <w:rPr>
                      <w:rFonts w:hint="eastAsia" w:cs="Times New Roman"/>
                      <w:color w:val="000000" w:themeColor="text1"/>
                      <w:highlight w:val="none"/>
                      <w:lang w:val="en-US" w:eastAsia="zh-CN"/>
                      <w14:textFill>
                        <w14:solidFill>
                          <w14:schemeClr w14:val="tx1"/>
                        </w14:solidFill>
                      </w14:textFill>
                    </w:rPr>
                    <w:t>废水</w:t>
                  </w:r>
                </w:p>
              </w:tc>
              <w:tc>
                <w:tcPr>
                  <w:tcW w:w="779" w:type="pct"/>
                  <w:vAlign w:val="center"/>
                </w:tcPr>
                <w:p w14:paraId="4EBB41EC">
                  <w:pPr>
                    <w:pStyle w:val="69"/>
                    <w:rPr>
                      <w:rFonts w:hint="default" w:cs="Times New Roman"/>
                      <w:color w:val="000000" w:themeColor="text1"/>
                      <w:highlight w:val="none"/>
                      <w:lang w:val="en-US" w:eastAsia="zh-CN"/>
                      <w14:textFill>
                        <w14:solidFill>
                          <w14:schemeClr w14:val="tx1"/>
                        </w14:solidFill>
                      </w14:textFill>
                    </w:rPr>
                  </w:pPr>
                  <w:r>
                    <w:rPr>
                      <w:rFonts w:hint="eastAsia" w:cs="Times New Roman"/>
                      <w:color w:val="000000" w:themeColor="text1"/>
                      <w:highlight w:val="none"/>
                      <w:lang w:val="en-US" w:eastAsia="zh-CN"/>
                      <w14:textFill>
                        <w14:solidFill>
                          <w14:schemeClr w14:val="tx1"/>
                        </w14:solidFill>
                      </w14:textFill>
                    </w:rPr>
                    <w:t>生活污水</w:t>
                  </w:r>
                </w:p>
              </w:tc>
              <w:tc>
                <w:tcPr>
                  <w:tcW w:w="944" w:type="pct"/>
                  <w:vAlign w:val="center"/>
                </w:tcPr>
                <w:p w14:paraId="1B8C4DBA">
                  <w:pPr>
                    <w:pStyle w:val="69"/>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eastAsia" w:cs="Times New Roman"/>
                      <w:color w:val="000000" w:themeColor="text1"/>
                      <w:highlight w:val="none"/>
                      <w:lang w:val="en-US" w:eastAsia="zh-CN"/>
                      <w14:textFill>
                        <w14:solidFill>
                          <w14:schemeClr w14:val="tx1"/>
                        </w14:solidFill>
                      </w14:textFill>
                    </w:rPr>
                    <w:t>职工生活</w:t>
                  </w:r>
                </w:p>
              </w:tc>
              <w:tc>
                <w:tcPr>
                  <w:tcW w:w="1090" w:type="pct"/>
                  <w:vAlign w:val="center"/>
                </w:tcPr>
                <w:p w14:paraId="4C57A285">
                  <w:pPr>
                    <w:keepNext w:val="0"/>
                    <w:keepLines w:val="0"/>
                    <w:widowControl/>
                    <w:suppressLineNumbers w:val="0"/>
                    <w:jc w:val="left"/>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eastAsia="宋体" w:cs="Times New Roman"/>
                      <w:color w:val="000000"/>
                      <w:kern w:val="0"/>
                      <w:sz w:val="21"/>
                      <w:szCs w:val="21"/>
                      <w:lang w:val="en-US" w:eastAsia="zh-CN" w:bidi="ar"/>
                    </w:rPr>
                    <w:t>COD</w:t>
                  </w:r>
                  <w:r>
                    <w:rPr>
                      <w:rFonts w:hint="eastAsia" w:ascii="宋体" w:hAnsi="宋体" w:eastAsia="宋体" w:cs="宋体"/>
                      <w:color w:val="000000"/>
                      <w:kern w:val="0"/>
                      <w:sz w:val="21"/>
                      <w:szCs w:val="21"/>
                      <w:lang w:val="en-US" w:eastAsia="zh-CN" w:bidi="ar"/>
                    </w:rPr>
                    <w:t>、</w:t>
                  </w:r>
                  <w:r>
                    <w:rPr>
                      <w:rFonts w:hint="default" w:ascii="Times New Roman" w:hAnsi="Times New Roman" w:eastAsia="宋体" w:cs="Times New Roman"/>
                      <w:color w:val="000000"/>
                      <w:kern w:val="0"/>
                      <w:sz w:val="21"/>
                      <w:szCs w:val="21"/>
                      <w:lang w:val="en-US" w:eastAsia="zh-CN" w:bidi="ar"/>
                    </w:rPr>
                    <w:t>BOD5</w:t>
                  </w:r>
                  <w:r>
                    <w:rPr>
                      <w:rFonts w:hint="eastAsia" w:ascii="宋体" w:hAnsi="宋体" w:eastAsia="宋体" w:cs="宋体"/>
                      <w:color w:val="000000"/>
                      <w:kern w:val="0"/>
                      <w:sz w:val="21"/>
                      <w:szCs w:val="21"/>
                      <w:lang w:val="en-US" w:eastAsia="zh-CN" w:bidi="ar"/>
                    </w:rPr>
                    <w:t>、</w:t>
                  </w:r>
                  <w:r>
                    <w:rPr>
                      <w:rFonts w:hint="default" w:ascii="Times New Roman" w:hAnsi="Times New Roman" w:eastAsia="宋体" w:cs="Times New Roman"/>
                      <w:color w:val="000000"/>
                      <w:kern w:val="0"/>
                      <w:sz w:val="21"/>
                      <w:szCs w:val="21"/>
                      <w:lang w:val="en-US" w:eastAsia="zh-CN" w:bidi="ar"/>
                    </w:rPr>
                    <w:t>NH3-N</w:t>
                  </w:r>
                  <w:r>
                    <w:rPr>
                      <w:rFonts w:hint="eastAsia" w:ascii="宋体" w:hAnsi="宋体" w:eastAsia="宋体" w:cs="宋体"/>
                      <w:color w:val="000000"/>
                      <w:kern w:val="0"/>
                      <w:sz w:val="21"/>
                      <w:szCs w:val="21"/>
                      <w:lang w:val="en-US" w:eastAsia="zh-CN" w:bidi="ar"/>
                    </w:rPr>
                    <w:t>、</w:t>
                  </w:r>
                  <w:r>
                    <w:rPr>
                      <w:rFonts w:hint="default" w:ascii="Times New Roman" w:hAnsi="Times New Roman" w:eastAsia="宋体" w:cs="Times New Roman"/>
                      <w:color w:val="000000"/>
                      <w:kern w:val="0"/>
                      <w:sz w:val="21"/>
                      <w:szCs w:val="21"/>
                      <w:lang w:val="en-US" w:eastAsia="zh-CN" w:bidi="ar"/>
                    </w:rPr>
                    <w:t>SS</w:t>
                  </w:r>
                </w:p>
              </w:tc>
              <w:tc>
                <w:tcPr>
                  <w:tcW w:w="1696" w:type="pct"/>
                  <w:vAlign w:val="center"/>
                </w:tcPr>
                <w:p w14:paraId="7ADF1A8B">
                  <w:pPr>
                    <w:keepNext w:val="0"/>
                    <w:keepLines w:val="0"/>
                    <w:widowControl/>
                    <w:suppressLineNumbers w:val="0"/>
                    <w:jc w:val="left"/>
                    <w:rPr>
                      <w:rFonts w:hint="default" w:ascii="Times New Roman" w:hAnsi="Times New Roman" w:eastAsia="宋体" w:cs="Times New Roman"/>
                      <w:color w:val="000000"/>
                      <w:kern w:val="0"/>
                      <w:sz w:val="21"/>
                      <w:szCs w:val="21"/>
                      <w:lang w:val="en-US" w:eastAsia="zh-CN" w:bidi="ar"/>
                    </w:rPr>
                  </w:pPr>
                  <w:r>
                    <w:rPr>
                      <w:rFonts w:hint="eastAsia" w:cs="Times New Roman"/>
                      <w:color w:val="000000"/>
                      <w:kern w:val="0"/>
                      <w:sz w:val="21"/>
                      <w:szCs w:val="21"/>
                      <w:lang w:val="en-US" w:eastAsia="zh-CN" w:bidi="ar"/>
                    </w:rPr>
                    <w:t>防渗旱厕定期清掏</w:t>
                  </w:r>
                </w:p>
              </w:tc>
            </w:tr>
            <w:tr w14:paraId="7192A179">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490" w:type="pct"/>
                  <w:vAlign w:val="center"/>
                </w:tcPr>
                <w:p w14:paraId="51B241AE">
                  <w:pPr>
                    <w:pStyle w:val="69"/>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废气</w:t>
                  </w:r>
                </w:p>
              </w:tc>
              <w:tc>
                <w:tcPr>
                  <w:tcW w:w="779" w:type="pct"/>
                  <w:vAlign w:val="center"/>
                </w:tcPr>
                <w:p w14:paraId="7E02EEAD">
                  <w:pPr>
                    <w:pStyle w:val="69"/>
                    <w:rPr>
                      <w:rFonts w:hint="default" w:cs="Times New Roman"/>
                      <w:color w:val="000000" w:themeColor="text1"/>
                      <w:highlight w:val="none"/>
                      <w:lang w:val="en-US" w:eastAsia="zh-CN"/>
                      <w14:textFill>
                        <w14:solidFill>
                          <w14:schemeClr w14:val="tx1"/>
                        </w14:solidFill>
                      </w14:textFill>
                    </w:rPr>
                  </w:pPr>
                  <w:r>
                    <w:rPr>
                      <w:rFonts w:hint="eastAsia" w:cs="Times New Roman"/>
                      <w:color w:val="000000" w:themeColor="text1"/>
                      <w:highlight w:val="none"/>
                      <w:lang w:val="en-US" w:eastAsia="zh-CN"/>
                      <w14:textFill>
                        <w14:solidFill>
                          <w14:schemeClr w14:val="tx1"/>
                        </w14:solidFill>
                      </w14:textFill>
                    </w:rPr>
                    <w:t>储罐呼吸废气</w:t>
                  </w:r>
                </w:p>
              </w:tc>
              <w:tc>
                <w:tcPr>
                  <w:tcW w:w="944" w:type="pct"/>
                  <w:vAlign w:val="center"/>
                </w:tcPr>
                <w:p w14:paraId="0DCD9D77">
                  <w:pPr>
                    <w:pStyle w:val="69"/>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eastAsia" w:cs="Times New Roman"/>
                      <w:color w:val="000000" w:themeColor="text1"/>
                      <w:highlight w:val="none"/>
                      <w:lang w:val="en-US" w:eastAsia="zh-CN"/>
                      <w14:textFill>
                        <w14:solidFill>
                          <w14:schemeClr w14:val="tx1"/>
                        </w14:solidFill>
                      </w14:textFill>
                    </w:rPr>
                    <w:t>储罐大小呼吸</w:t>
                  </w:r>
                </w:p>
              </w:tc>
              <w:tc>
                <w:tcPr>
                  <w:tcW w:w="1090" w:type="pct"/>
                  <w:vAlign w:val="center"/>
                </w:tcPr>
                <w:p w14:paraId="652AC78A">
                  <w:pPr>
                    <w:pStyle w:val="69"/>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挥发性有机物（以NMHC计）</w:t>
                  </w:r>
                </w:p>
              </w:tc>
              <w:tc>
                <w:tcPr>
                  <w:tcW w:w="1696" w:type="pct"/>
                  <w:vAlign w:val="center"/>
                </w:tcPr>
                <w:p w14:paraId="56E08DFC">
                  <w:pPr>
                    <w:pStyle w:val="69"/>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eastAsia" w:cs="Times New Roman"/>
                      <w:color w:val="000000" w:themeColor="text1"/>
                      <w:highlight w:val="none"/>
                      <w:lang w:val="en-US" w:eastAsia="zh-CN"/>
                      <w14:textFill>
                        <w14:solidFill>
                          <w14:schemeClr w14:val="tx1"/>
                        </w14:solidFill>
                      </w14:textFill>
                    </w:rPr>
                    <w:t>收集后经活性炭吸附装置处理后，由1根15m高排气筒排放</w:t>
                  </w:r>
                </w:p>
              </w:tc>
            </w:tr>
            <w:tr w14:paraId="4DBEFA81">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490" w:type="pct"/>
                  <w:vAlign w:val="center"/>
                </w:tcPr>
                <w:p w14:paraId="05091FE5">
                  <w:pPr>
                    <w:pStyle w:val="69"/>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噪声</w:t>
                  </w:r>
                </w:p>
              </w:tc>
              <w:tc>
                <w:tcPr>
                  <w:tcW w:w="779" w:type="pct"/>
                  <w:vAlign w:val="center"/>
                </w:tcPr>
                <w:p w14:paraId="6C4FB667">
                  <w:pPr>
                    <w:pStyle w:val="69"/>
                    <w:rPr>
                      <w:rFonts w:hint="default" w:ascii="Times New Roman" w:hAnsi="Times New Roman" w:eastAsia="宋体" w:cs="Times New Roman"/>
                      <w:bCs/>
                      <w:color w:val="000000" w:themeColor="text1"/>
                      <w:highlight w:val="none"/>
                      <w:lang w:val="en-US" w:eastAsia="zh-CN"/>
                      <w14:textFill>
                        <w14:solidFill>
                          <w14:schemeClr w14:val="tx1"/>
                        </w14:solidFill>
                      </w14:textFill>
                    </w:rPr>
                  </w:pPr>
                  <w:r>
                    <w:rPr>
                      <w:rFonts w:hint="eastAsia" w:cs="Times New Roman"/>
                      <w:bCs/>
                      <w:color w:val="000000" w:themeColor="text1"/>
                      <w:highlight w:val="none"/>
                      <w:lang w:val="en-US" w:eastAsia="zh-CN"/>
                      <w14:textFill>
                        <w14:solidFill>
                          <w14:schemeClr w14:val="tx1"/>
                        </w14:solidFill>
                      </w14:textFill>
                    </w:rPr>
                    <w:t>设备噪声</w:t>
                  </w:r>
                </w:p>
              </w:tc>
              <w:tc>
                <w:tcPr>
                  <w:tcW w:w="944" w:type="pct"/>
                  <w:vAlign w:val="center"/>
                </w:tcPr>
                <w:p w14:paraId="4D34B8F3">
                  <w:pPr>
                    <w:pStyle w:val="69"/>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bCs/>
                      <w:color w:val="000000" w:themeColor="text1"/>
                      <w:highlight w:val="none"/>
                      <w14:textFill>
                        <w14:solidFill>
                          <w14:schemeClr w14:val="tx1"/>
                        </w14:solidFill>
                      </w14:textFill>
                    </w:rPr>
                    <w:t>车辆运输噪声</w:t>
                  </w:r>
                </w:p>
              </w:tc>
              <w:tc>
                <w:tcPr>
                  <w:tcW w:w="1090" w:type="pct"/>
                  <w:vAlign w:val="center"/>
                </w:tcPr>
                <w:p w14:paraId="020F5619">
                  <w:pPr>
                    <w:pStyle w:val="69"/>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等效连读A声级</w:t>
                  </w:r>
                </w:p>
              </w:tc>
              <w:tc>
                <w:tcPr>
                  <w:tcW w:w="1696" w:type="pct"/>
                  <w:vAlign w:val="center"/>
                </w:tcPr>
                <w:p w14:paraId="39E45FFB">
                  <w:pPr>
                    <w:pStyle w:val="69"/>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eastAsia" w:cs="Times New Roman"/>
                      <w:color w:val="000000" w:themeColor="text1"/>
                      <w:highlight w:val="none"/>
                      <w:lang w:val="en-US" w:eastAsia="zh-CN"/>
                      <w14:textFill>
                        <w14:solidFill>
                          <w14:schemeClr w14:val="tx1"/>
                        </w14:solidFill>
                      </w14:textFill>
                    </w:rPr>
                    <w:t>隔声、减振</w:t>
                  </w:r>
                </w:p>
              </w:tc>
            </w:tr>
            <w:tr w14:paraId="735D7ACF">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490" w:type="pct"/>
                  <w:vMerge w:val="restart"/>
                  <w:vAlign w:val="center"/>
                </w:tcPr>
                <w:p w14:paraId="1B8272DA">
                  <w:pPr>
                    <w:pStyle w:val="69"/>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固废</w:t>
                  </w:r>
                </w:p>
              </w:tc>
              <w:tc>
                <w:tcPr>
                  <w:tcW w:w="779" w:type="pct"/>
                  <w:vAlign w:val="center"/>
                </w:tcPr>
                <w:p w14:paraId="6563A41B">
                  <w:pPr>
                    <w:pStyle w:val="69"/>
                    <w:rPr>
                      <w:rFonts w:hint="default" w:ascii="Times New Roman" w:hAnsi="Times New Roman" w:eastAsia="宋体" w:cs="Times New Roman"/>
                      <w:bCs/>
                      <w:color w:val="000000" w:themeColor="text1"/>
                      <w:highlight w:val="none"/>
                      <w:lang w:val="en-US" w:eastAsia="zh-CN"/>
                      <w14:textFill>
                        <w14:solidFill>
                          <w14:schemeClr w14:val="tx1"/>
                        </w14:solidFill>
                      </w14:textFill>
                    </w:rPr>
                  </w:pPr>
                  <w:r>
                    <w:rPr>
                      <w:rFonts w:hint="eastAsia" w:cs="Times New Roman"/>
                      <w:bCs/>
                      <w:color w:val="000000" w:themeColor="text1"/>
                      <w:highlight w:val="none"/>
                      <w:lang w:val="en-US" w:eastAsia="zh-CN"/>
                      <w14:textFill>
                        <w14:solidFill>
                          <w14:schemeClr w14:val="tx1"/>
                        </w14:solidFill>
                      </w14:textFill>
                    </w:rPr>
                    <w:t>危险废物</w:t>
                  </w:r>
                </w:p>
              </w:tc>
              <w:tc>
                <w:tcPr>
                  <w:tcW w:w="944" w:type="pct"/>
                  <w:vAlign w:val="center"/>
                </w:tcPr>
                <w:p w14:paraId="67399927">
                  <w:pPr>
                    <w:pStyle w:val="69"/>
                    <w:rPr>
                      <w:rFonts w:hint="default" w:ascii="Times New Roman" w:hAnsi="Times New Roman" w:cs="Times New Roman"/>
                      <w:bCs/>
                      <w:color w:val="000000" w:themeColor="text1"/>
                      <w:highlight w:val="none"/>
                      <w14:textFill>
                        <w14:solidFill>
                          <w14:schemeClr w14:val="tx1"/>
                        </w14:solidFill>
                      </w14:textFill>
                    </w:rPr>
                  </w:pPr>
                  <w:r>
                    <w:rPr>
                      <w:rFonts w:hint="default" w:ascii="Times New Roman" w:hAnsi="Times New Roman" w:cs="Times New Roman"/>
                      <w:bCs/>
                      <w:color w:val="000000" w:themeColor="text1"/>
                      <w:highlight w:val="none"/>
                      <w14:textFill>
                        <w14:solidFill>
                          <w14:schemeClr w14:val="tx1"/>
                        </w14:solidFill>
                      </w14:textFill>
                    </w:rPr>
                    <w:t>活性炭吸附箱</w:t>
                  </w:r>
                </w:p>
              </w:tc>
              <w:tc>
                <w:tcPr>
                  <w:tcW w:w="1090" w:type="pct"/>
                  <w:vAlign w:val="center"/>
                </w:tcPr>
                <w:p w14:paraId="208BCF47">
                  <w:pPr>
                    <w:pStyle w:val="69"/>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废活性炭</w:t>
                  </w:r>
                </w:p>
              </w:tc>
              <w:tc>
                <w:tcPr>
                  <w:tcW w:w="1696" w:type="pct"/>
                  <w:vAlign w:val="center"/>
                </w:tcPr>
                <w:p w14:paraId="4FA37CE2">
                  <w:pPr>
                    <w:pStyle w:val="69"/>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eastAsia" w:cs="Times New Roman"/>
                      <w:color w:val="000000" w:themeColor="text1"/>
                      <w:highlight w:val="none"/>
                      <w:lang w:val="en-US" w:eastAsia="zh-CN"/>
                      <w14:textFill>
                        <w14:solidFill>
                          <w14:schemeClr w14:val="tx1"/>
                        </w14:solidFill>
                      </w14:textFill>
                    </w:rPr>
                    <w:t>车间内分区存放，定期交由有资质单位集中处置</w:t>
                  </w:r>
                </w:p>
              </w:tc>
            </w:tr>
            <w:tr w14:paraId="434E766D">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490" w:type="pct"/>
                  <w:vMerge w:val="continue"/>
                  <w:vAlign w:val="center"/>
                </w:tcPr>
                <w:p w14:paraId="5D4541D9">
                  <w:pPr>
                    <w:pStyle w:val="69"/>
                    <w:rPr>
                      <w:rFonts w:hint="default" w:ascii="Times New Roman" w:hAnsi="Times New Roman" w:cs="Times New Roman"/>
                      <w:color w:val="000000" w:themeColor="text1"/>
                      <w:highlight w:val="none"/>
                      <w14:textFill>
                        <w14:solidFill>
                          <w14:schemeClr w14:val="tx1"/>
                        </w14:solidFill>
                      </w14:textFill>
                    </w:rPr>
                  </w:pPr>
                </w:p>
              </w:tc>
              <w:tc>
                <w:tcPr>
                  <w:tcW w:w="779" w:type="pct"/>
                  <w:vAlign w:val="center"/>
                </w:tcPr>
                <w:p w14:paraId="44EB46D0">
                  <w:pPr>
                    <w:pStyle w:val="69"/>
                    <w:rPr>
                      <w:rFonts w:hint="default" w:cs="Times New Roman"/>
                      <w:bCs/>
                      <w:color w:val="000000" w:themeColor="text1"/>
                      <w:highlight w:val="none"/>
                      <w:lang w:val="en-US" w:eastAsia="zh-CN"/>
                      <w14:textFill>
                        <w14:solidFill>
                          <w14:schemeClr w14:val="tx1"/>
                        </w14:solidFill>
                      </w14:textFill>
                    </w:rPr>
                  </w:pPr>
                  <w:r>
                    <w:rPr>
                      <w:rFonts w:hint="eastAsia" w:cs="Times New Roman"/>
                      <w:bCs/>
                      <w:color w:val="000000" w:themeColor="text1"/>
                      <w:highlight w:val="none"/>
                      <w:lang w:val="en-US" w:eastAsia="zh-CN"/>
                      <w14:textFill>
                        <w14:solidFill>
                          <w14:schemeClr w14:val="tx1"/>
                        </w14:solidFill>
                      </w14:textFill>
                    </w:rPr>
                    <w:t>生活垃圾</w:t>
                  </w:r>
                </w:p>
              </w:tc>
              <w:tc>
                <w:tcPr>
                  <w:tcW w:w="944" w:type="pct"/>
                  <w:vAlign w:val="center"/>
                </w:tcPr>
                <w:p w14:paraId="53F3D232">
                  <w:pPr>
                    <w:pStyle w:val="69"/>
                    <w:rPr>
                      <w:rFonts w:hint="default" w:ascii="Times New Roman" w:hAnsi="Times New Roman" w:eastAsia="宋体" w:cs="Times New Roman"/>
                      <w:bCs/>
                      <w:color w:val="000000" w:themeColor="text1"/>
                      <w:highlight w:val="none"/>
                      <w:lang w:val="en-US" w:eastAsia="zh-CN"/>
                      <w14:textFill>
                        <w14:solidFill>
                          <w14:schemeClr w14:val="tx1"/>
                        </w14:solidFill>
                      </w14:textFill>
                    </w:rPr>
                  </w:pPr>
                  <w:r>
                    <w:rPr>
                      <w:rFonts w:hint="eastAsia" w:cs="Times New Roman"/>
                      <w:bCs/>
                      <w:color w:val="000000" w:themeColor="text1"/>
                      <w:highlight w:val="none"/>
                      <w:lang w:val="en-US" w:eastAsia="zh-CN"/>
                      <w14:textFill>
                        <w14:solidFill>
                          <w14:schemeClr w14:val="tx1"/>
                        </w14:solidFill>
                      </w14:textFill>
                    </w:rPr>
                    <w:t>职工生活</w:t>
                  </w:r>
                </w:p>
              </w:tc>
              <w:tc>
                <w:tcPr>
                  <w:tcW w:w="1090" w:type="pct"/>
                  <w:vAlign w:val="center"/>
                </w:tcPr>
                <w:p w14:paraId="204D7D20">
                  <w:pPr>
                    <w:pStyle w:val="69"/>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eastAsia" w:cs="Times New Roman"/>
                      <w:color w:val="000000" w:themeColor="text1"/>
                      <w:highlight w:val="none"/>
                      <w:lang w:val="en-US" w:eastAsia="zh-CN"/>
                      <w14:textFill>
                        <w14:solidFill>
                          <w14:schemeClr w14:val="tx1"/>
                        </w14:solidFill>
                      </w14:textFill>
                    </w:rPr>
                    <w:t>生活垃圾</w:t>
                  </w:r>
                </w:p>
              </w:tc>
              <w:tc>
                <w:tcPr>
                  <w:tcW w:w="1696" w:type="pct"/>
                  <w:vAlign w:val="center"/>
                </w:tcPr>
                <w:p w14:paraId="5FA968DF">
                  <w:pPr>
                    <w:pStyle w:val="69"/>
                    <w:rPr>
                      <w:rFonts w:hint="default" w:cs="Times New Roman"/>
                      <w:color w:val="000000" w:themeColor="text1"/>
                      <w:highlight w:val="none"/>
                      <w:lang w:val="en-US" w:eastAsia="zh-CN"/>
                      <w14:textFill>
                        <w14:solidFill>
                          <w14:schemeClr w14:val="tx1"/>
                        </w14:solidFill>
                      </w14:textFill>
                    </w:rPr>
                  </w:pPr>
                  <w:r>
                    <w:rPr>
                      <w:rFonts w:hint="eastAsia" w:cs="Times New Roman"/>
                      <w:color w:val="000000" w:themeColor="text1"/>
                      <w:highlight w:val="none"/>
                      <w:lang w:val="en-US" w:eastAsia="zh-CN"/>
                      <w14:textFill>
                        <w14:solidFill>
                          <w14:schemeClr w14:val="tx1"/>
                        </w14:solidFill>
                      </w14:textFill>
                    </w:rPr>
                    <w:t>由环卫部门定期清运</w:t>
                  </w:r>
                </w:p>
              </w:tc>
            </w:tr>
          </w:tbl>
          <w:p w14:paraId="29BCC491">
            <w:pPr>
              <w:pStyle w:val="68"/>
              <w:ind w:firstLine="0" w:firstLineChars="0"/>
              <w:rPr>
                <w:rFonts w:hint="default" w:ascii="Times New Roman" w:hAnsi="Times New Roman" w:cs="Times New Roman"/>
                <w:color w:val="000000" w:themeColor="text1"/>
                <w:highlight w:val="none"/>
                <w14:textFill>
                  <w14:solidFill>
                    <w14:schemeClr w14:val="tx1"/>
                  </w14:solidFill>
                </w14:textFill>
              </w:rPr>
            </w:pPr>
          </w:p>
        </w:tc>
      </w:tr>
      <w:tr w14:paraId="163E21D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19" w:hRule="atLeast"/>
          <w:jc w:val="center"/>
        </w:trPr>
        <w:tc>
          <w:tcPr>
            <w:tcW w:w="582" w:type="dxa"/>
            <w:vAlign w:val="center"/>
          </w:tcPr>
          <w:p w14:paraId="07FDA864">
            <w:pPr>
              <w:pStyle w:val="23"/>
              <w:adjustRightInd w:val="0"/>
              <w:snapToGrid w:val="0"/>
              <w:spacing w:beforeAutospacing="0" w:afterAutospacing="0"/>
              <w:jc w:val="center"/>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bCs/>
                <w:color w:val="000000" w:themeColor="text1"/>
                <w:highlight w:val="none"/>
                <w14:textFill>
                  <w14:solidFill>
                    <w14:schemeClr w14:val="tx1"/>
                  </w14:solidFill>
                </w14:textFill>
              </w:rPr>
              <w:t>与项目有关的原有环境污染问题</w:t>
            </w:r>
          </w:p>
        </w:tc>
        <w:tc>
          <w:tcPr>
            <w:tcW w:w="8402" w:type="dxa"/>
          </w:tcPr>
          <w:p w14:paraId="0DC3B515">
            <w:pPr>
              <w:pStyle w:val="68"/>
              <w:ind w:firstLine="480"/>
              <w:rPr>
                <w:rFonts w:hint="default" w:ascii="Times New Roman" w:hAnsi="Times New Roman" w:cs="Times New Roman"/>
                <w:color w:val="000000" w:themeColor="text1"/>
                <w:highlight w:val="none"/>
                <w14:textFill>
                  <w14:solidFill>
                    <w14:schemeClr w14:val="tx1"/>
                  </w14:solidFill>
                </w14:textFill>
              </w:rPr>
            </w:pPr>
          </w:p>
          <w:p w14:paraId="486E3F04">
            <w:pPr>
              <w:keepNext w:val="0"/>
              <w:keepLines w:val="0"/>
              <w:widowControl/>
              <w:suppressLineNumbers w:val="0"/>
              <w:ind w:firstLine="480" w:firstLineChars="200"/>
              <w:jc w:val="left"/>
            </w:pPr>
            <w:r>
              <w:rPr>
                <w:rFonts w:hint="eastAsia" w:ascii="宋体" w:hAnsi="宋体" w:eastAsia="宋体" w:cs="宋体"/>
                <w:color w:val="000000"/>
                <w:kern w:val="0"/>
                <w:sz w:val="24"/>
                <w:szCs w:val="24"/>
                <w:lang w:val="en-US" w:eastAsia="zh-CN" w:bidi="ar"/>
              </w:rPr>
              <w:t>本项目为新建项目，经现场调查和踏勘，尚未发现与本项目有关的原有污染问题。</w:t>
            </w:r>
          </w:p>
          <w:p w14:paraId="13AC5003">
            <w:pPr>
              <w:pStyle w:val="68"/>
              <w:ind w:firstLine="0" w:firstLineChars="0"/>
              <w:jc w:val="center"/>
              <w:rPr>
                <w:rFonts w:hint="default" w:ascii="Times New Roman" w:hAnsi="Times New Roman" w:cs="Times New Roman"/>
                <w:color w:val="000000" w:themeColor="text1"/>
                <w:highlight w:val="none"/>
                <w14:textFill>
                  <w14:solidFill>
                    <w14:schemeClr w14:val="tx1"/>
                  </w14:solidFill>
                </w14:textFill>
              </w:rPr>
            </w:pPr>
          </w:p>
        </w:tc>
      </w:tr>
    </w:tbl>
    <w:p w14:paraId="6AA2B35D">
      <w:pPr>
        <w:pStyle w:val="23"/>
        <w:ind w:firstLine="720"/>
        <w:jc w:val="center"/>
        <w:rPr>
          <w:rFonts w:hint="default" w:ascii="Times New Roman" w:hAnsi="Times New Roman" w:eastAsia="黑体" w:cs="Times New Roman"/>
          <w:snapToGrid w:val="0"/>
          <w:color w:val="000000" w:themeColor="text1"/>
          <w:sz w:val="36"/>
          <w:szCs w:val="36"/>
          <w:highlight w:val="none"/>
          <w14:textFill>
            <w14:solidFill>
              <w14:schemeClr w14:val="tx1"/>
            </w14:solidFill>
          </w14:textFill>
        </w:rPr>
        <w:sectPr>
          <w:pgSz w:w="11906" w:h="16838"/>
          <w:pgMar w:top="1701" w:right="1531" w:bottom="1701" w:left="1531" w:header="851" w:footer="851" w:gutter="0"/>
          <w:pgBorders>
            <w:top w:val="none" w:sz="0" w:space="0"/>
            <w:left w:val="none" w:sz="0" w:space="0"/>
            <w:bottom w:val="none" w:sz="0" w:space="0"/>
            <w:right w:val="none" w:sz="0" w:space="0"/>
          </w:pgBorders>
          <w:cols w:space="720" w:num="1"/>
          <w:docGrid w:linePitch="312" w:charSpace="0"/>
        </w:sectPr>
      </w:pPr>
    </w:p>
    <w:p w14:paraId="4B724C2F">
      <w:pPr>
        <w:pStyle w:val="23"/>
        <w:ind w:firstLine="601"/>
        <w:jc w:val="center"/>
        <w:outlineLvl w:val="0"/>
        <w:rPr>
          <w:rFonts w:hint="default" w:ascii="Times New Roman" w:hAnsi="Times New Roman" w:eastAsia="黑体" w:cs="Times New Roman"/>
          <w:snapToGrid w:val="0"/>
          <w:color w:val="000000" w:themeColor="text1"/>
          <w:sz w:val="30"/>
          <w:szCs w:val="30"/>
          <w:highlight w:val="none"/>
          <w14:textFill>
            <w14:solidFill>
              <w14:schemeClr w14:val="tx1"/>
            </w14:solidFill>
          </w14:textFill>
        </w:rPr>
      </w:pPr>
      <w:r>
        <w:rPr>
          <w:rFonts w:hint="default" w:ascii="Times New Roman" w:hAnsi="Times New Roman" w:eastAsia="黑体" w:cs="Times New Roman"/>
          <w:snapToGrid w:val="0"/>
          <w:color w:val="000000" w:themeColor="text1"/>
          <w:sz w:val="30"/>
          <w:szCs w:val="30"/>
          <w:highlight w:val="none"/>
          <w14:textFill>
            <w14:solidFill>
              <w14:schemeClr w14:val="tx1"/>
            </w14:solidFill>
          </w14:textFill>
        </w:rPr>
        <w:t>三、区域环境质量现状、环境保护目标及评价标准</w:t>
      </w:r>
    </w:p>
    <w:tbl>
      <w:tblPr>
        <w:tblStyle w:val="27"/>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17"/>
        <w:gridCol w:w="8244"/>
      </w:tblGrid>
      <w:tr w14:paraId="5FC6EE1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846" w:hRule="atLeast"/>
          <w:jc w:val="center"/>
        </w:trPr>
        <w:tc>
          <w:tcPr>
            <w:tcW w:w="817" w:type="dxa"/>
            <w:vAlign w:val="center"/>
          </w:tcPr>
          <w:p w14:paraId="63F01BB9">
            <w:pPr>
              <w:adjustRightInd w:val="0"/>
              <w:snapToGrid w:val="0"/>
              <w:jc w:val="center"/>
              <w:rPr>
                <w:rFonts w:hint="default" w:ascii="Times New Roman" w:hAnsi="Times New Roman" w:cs="Times New Roman"/>
                <w:color w:val="000000" w:themeColor="text1"/>
                <w:kern w:val="0"/>
                <w:szCs w:val="21"/>
                <w:highlight w:val="none"/>
                <w14:textFill>
                  <w14:solidFill>
                    <w14:schemeClr w14:val="tx1"/>
                  </w14:solidFill>
                </w14:textFill>
              </w:rPr>
            </w:pPr>
            <w:r>
              <w:rPr>
                <w:rFonts w:hint="default" w:ascii="Times New Roman" w:hAnsi="Times New Roman" w:cs="Times New Roman"/>
                <w:color w:val="000000" w:themeColor="text1"/>
                <w:kern w:val="0"/>
                <w:szCs w:val="21"/>
                <w:highlight w:val="none"/>
                <w14:textFill>
                  <w14:solidFill>
                    <w14:schemeClr w14:val="tx1"/>
                  </w14:solidFill>
                </w14:textFill>
              </w:rPr>
              <w:t>区域</w:t>
            </w:r>
          </w:p>
          <w:p w14:paraId="4460EE1C">
            <w:pPr>
              <w:adjustRightInd w:val="0"/>
              <w:snapToGrid w:val="0"/>
              <w:jc w:val="center"/>
              <w:rPr>
                <w:rFonts w:hint="default" w:ascii="Times New Roman" w:hAnsi="Times New Roman" w:cs="Times New Roman"/>
                <w:color w:val="000000" w:themeColor="text1"/>
                <w:kern w:val="0"/>
                <w:szCs w:val="21"/>
                <w:highlight w:val="none"/>
                <w14:textFill>
                  <w14:solidFill>
                    <w14:schemeClr w14:val="tx1"/>
                  </w14:solidFill>
                </w14:textFill>
              </w:rPr>
            </w:pPr>
            <w:r>
              <w:rPr>
                <w:rFonts w:hint="default" w:ascii="Times New Roman" w:hAnsi="Times New Roman" w:cs="Times New Roman"/>
                <w:color w:val="000000" w:themeColor="text1"/>
                <w:kern w:val="0"/>
                <w:szCs w:val="21"/>
                <w:highlight w:val="none"/>
                <w14:textFill>
                  <w14:solidFill>
                    <w14:schemeClr w14:val="tx1"/>
                  </w14:solidFill>
                </w14:textFill>
              </w:rPr>
              <w:t>环境</w:t>
            </w:r>
          </w:p>
          <w:p w14:paraId="5384EF59">
            <w:pPr>
              <w:adjustRightInd w:val="0"/>
              <w:snapToGrid w:val="0"/>
              <w:jc w:val="center"/>
              <w:rPr>
                <w:rFonts w:hint="default" w:ascii="Times New Roman" w:hAnsi="Times New Roman" w:cs="Times New Roman"/>
                <w:color w:val="000000" w:themeColor="text1"/>
                <w:kern w:val="0"/>
                <w:szCs w:val="21"/>
                <w:highlight w:val="none"/>
                <w14:textFill>
                  <w14:solidFill>
                    <w14:schemeClr w14:val="tx1"/>
                  </w14:solidFill>
                </w14:textFill>
              </w:rPr>
            </w:pPr>
            <w:r>
              <w:rPr>
                <w:rFonts w:hint="default" w:ascii="Times New Roman" w:hAnsi="Times New Roman" w:cs="Times New Roman"/>
                <w:color w:val="000000" w:themeColor="text1"/>
                <w:kern w:val="0"/>
                <w:szCs w:val="21"/>
                <w:highlight w:val="none"/>
                <w14:textFill>
                  <w14:solidFill>
                    <w14:schemeClr w14:val="tx1"/>
                  </w14:solidFill>
                </w14:textFill>
              </w:rPr>
              <w:t>质量</w:t>
            </w:r>
          </w:p>
          <w:p w14:paraId="362B5A49">
            <w:pPr>
              <w:adjustRightInd w:val="0"/>
              <w:snapToGrid w:val="0"/>
              <w:jc w:val="center"/>
              <w:rPr>
                <w:rFonts w:hint="default" w:ascii="Times New Roman" w:hAnsi="Times New Roman" w:cs="Times New Roman"/>
                <w:color w:val="000000" w:themeColor="text1"/>
                <w:kern w:val="0"/>
                <w:szCs w:val="21"/>
                <w:highlight w:val="none"/>
                <w14:textFill>
                  <w14:solidFill>
                    <w14:schemeClr w14:val="tx1"/>
                  </w14:solidFill>
                </w14:textFill>
              </w:rPr>
            </w:pPr>
            <w:r>
              <w:rPr>
                <w:rFonts w:hint="default" w:ascii="Times New Roman" w:hAnsi="Times New Roman" w:cs="Times New Roman"/>
                <w:color w:val="000000" w:themeColor="text1"/>
                <w:kern w:val="0"/>
                <w:szCs w:val="21"/>
                <w:highlight w:val="none"/>
                <w14:textFill>
                  <w14:solidFill>
                    <w14:schemeClr w14:val="tx1"/>
                  </w14:solidFill>
                </w14:textFill>
              </w:rPr>
              <w:t>现状</w:t>
            </w:r>
          </w:p>
        </w:tc>
        <w:tc>
          <w:tcPr>
            <w:tcW w:w="8244" w:type="dxa"/>
            <w:vAlign w:val="center"/>
          </w:tcPr>
          <w:p w14:paraId="26287862">
            <w:pPr>
              <w:pStyle w:val="68"/>
              <w:ind w:firstLine="482"/>
              <w:rPr>
                <w:rFonts w:hint="default" w:ascii="Times New Roman" w:hAnsi="Times New Roman" w:cs="Times New Roman"/>
                <w:b/>
                <w:color w:val="000000" w:themeColor="text1"/>
                <w:highlight w:val="none"/>
                <w14:textFill>
                  <w14:solidFill>
                    <w14:schemeClr w14:val="tx1"/>
                  </w14:solidFill>
                </w14:textFill>
              </w:rPr>
            </w:pPr>
            <w:r>
              <w:rPr>
                <w:rFonts w:hint="default" w:ascii="Times New Roman" w:hAnsi="Times New Roman" w:cs="Times New Roman"/>
                <w:b/>
                <w:color w:val="000000" w:themeColor="text1"/>
                <w:highlight w:val="none"/>
                <w14:textFill>
                  <w14:solidFill>
                    <w14:schemeClr w14:val="tx1"/>
                  </w14:solidFill>
                </w14:textFill>
              </w:rPr>
              <w:t>一、区域环境质量现状</w:t>
            </w:r>
          </w:p>
          <w:p w14:paraId="7C6D90DC">
            <w:pPr>
              <w:pStyle w:val="68"/>
              <w:ind w:firstLine="482"/>
              <w:rPr>
                <w:rFonts w:hint="default" w:ascii="Times New Roman" w:hAnsi="Times New Roman" w:cs="Times New Roman"/>
                <w:b/>
                <w:color w:val="000000" w:themeColor="text1"/>
                <w:highlight w:val="none"/>
                <w14:textFill>
                  <w14:solidFill>
                    <w14:schemeClr w14:val="tx1"/>
                  </w14:solidFill>
                </w14:textFill>
              </w:rPr>
            </w:pPr>
            <w:r>
              <w:rPr>
                <w:rFonts w:hint="default" w:ascii="Times New Roman" w:hAnsi="Times New Roman" w:cs="Times New Roman"/>
                <w:b/>
                <w:color w:val="000000" w:themeColor="text1"/>
                <w:highlight w:val="none"/>
                <w14:textFill>
                  <w14:solidFill>
                    <w14:schemeClr w14:val="tx1"/>
                  </w14:solidFill>
                </w14:textFill>
              </w:rPr>
              <w:t>1.大气环境</w:t>
            </w:r>
          </w:p>
          <w:p w14:paraId="0EDE60EA">
            <w:pPr>
              <w:pStyle w:val="68"/>
              <w:ind w:firstLine="48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（1）区域达标性判定</w:t>
            </w:r>
          </w:p>
          <w:p w14:paraId="0C68251D">
            <w:pPr>
              <w:pStyle w:val="68"/>
              <w:ind w:firstLine="48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根据《环境影响评价技术导则  大气环境》（HJ2.2-2018）要求，引用</w:t>
            </w:r>
            <w:r>
              <w:rPr>
                <w:rFonts w:hint="eastAsia" w:cs="Times New Roman"/>
                <w:color w:val="000000" w:themeColor="text1"/>
                <w:highlight w:val="none"/>
                <w:lang w:eastAsia="zh-CN"/>
                <w14:textFill>
                  <w14:solidFill>
                    <w14:schemeClr w14:val="tx1"/>
                  </w14:solidFill>
                </w14:textFill>
              </w:rPr>
              <w:t>“</w:t>
            </w:r>
            <w:r>
              <w:rPr>
                <w:rFonts w:hint="default" w:ascii="Times New Roman" w:hAnsi="Times New Roman" w:cs="Times New Roman"/>
                <w:color w:val="000000" w:themeColor="text1"/>
                <w:highlight w:val="none"/>
                <w14:textFill>
                  <w14:solidFill>
                    <w14:schemeClr w14:val="tx1"/>
                  </w14:solidFill>
                </w14:textFill>
              </w:rPr>
              <w:t>国家或地方生态环境主管部门公开发布的城市环境空气质量达标情况，判断项目所在区域是否属于达标区。城市环境空气质量达标情况评价指标为SO</w:t>
            </w:r>
            <w:r>
              <w:rPr>
                <w:rFonts w:hint="default" w:ascii="Times New Roman" w:hAnsi="Times New Roman" w:cs="Times New Roman"/>
                <w:color w:val="000000" w:themeColor="text1"/>
                <w:highlight w:val="none"/>
                <w:vertAlign w:val="subscript"/>
                <w14:textFill>
                  <w14:solidFill>
                    <w14:schemeClr w14:val="tx1"/>
                  </w14:solidFill>
                </w14:textFill>
              </w:rPr>
              <w:t>2</w:t>
            </w:r>
            <w:r>
              <w:rPr>
                <w:rFonts w:hint="default" w:ascii="Times New Roman" w:hAnsi="Times New Roman" w:cs="Times New Roman"/>
                <w:color w:val="000000" w:themeColor="text1"/>
                <w:highlight w:val="none"/>
                <w14:textFill>
                  <w14:solidFill>
                    <w14:schemeClr w14:val="tx1"/>
                  </w14:solidFill>
                </w14:textFill>
              </w:rPr>
              <w:t>、NO</w:t>
            </w:r>
            <w:r>
              <w:rPr>
                <w:rFonts w:hint="default" w:ascii="Times New Roman" w:hAnsi="Times New Roman" w:cs="Times New Roman"/>
                <w:color w:val="000000" w:themeColor="text1"/>
                <w:highlight w:val="none"/>
                <w:vertAlign w:val="subscript"/>
                <w14:textFill>
                  <w14:solidFill>
                    <w14:schemeClr w14:val="tx1"/>
                  </w14:solidFill>
                </w14:textFill>
              </w:rPr>
              <w:t>2</w:t>
            </w:r>
            <w:r>
              <w:rPr>
                <w:rFonts w:hint="default" w:ascii="Times New Roman" w:hAnsi="Times New Roman" w:cs="Times New Roman"/>
                <w:color w:val="000000" w:themeColor="text1"/>
                <w:highlight w:val="none"/>
                <w14:textFill>
                  <w14:solidFill>
                    <w14:schemeClr w14:val="tx1"/>
                  </w14:solidFill>
                </w14:textFill>
              </w:rPr>
              <w:t>、PM</w:t>
            </w:r>
            <w:r>
              <w:rPr>
                <w:rFonts w:hint="default" w:ascii="Times New Roman" w:hAnsi="Times New Roman" w:cs="Times New Roman"/>
                <w:color w:val="000000" w:themeColor="text1"/>
                <w:highlight w:val="none"/>
                <w:vertAlign w:val="subscript"/>
                <w14:textFill>
                  <w14:solidFill>
                    <w14:schemeClr w14:val="tx1"/>
                  </w14:solidFill>
                </w14:textFill>
              </w:rPr>
              <w:t>10</w:t>
            </w:r>
            <w:r>
              <w:rPr>
                <w:rFonts w:hint="default" w:ascii="Times New Roman" w:hAnsi="Times New Roman" w:cs="Times New Roman"/>
                <w:color w:val="000000" w:themeColor="text1"/>
                <w:highlight w:val="none"/>
                <w14:textFill>
                  <w14:solidFill>
                    <w14:schemeClr w14:val="tx1"/>
                  </w14:solidFill>
                </w14:textFill>
              </w:rPr>
              <w:t>、PM</w:t>
            </w:r>
            <w:r>
              <w:rPr>
                <w:rFonts w:hint="default" w:ascii="Times New Roman" w:hAnsi="Times New Roman" w:cs="Times New Roman"/>
                <w:color w:val="000000" w:themeColor="text1"/>
                <w:highlight w:val="none"/>
                <w:vertAlign w:val="subscript"/>
                <w14:textFill>
                  <w14:solidFill>
                    <w14:schemeClr w14:val="tx1"/>
                  </w14:solidFill>
                </w14:textFill>
              </w:rPr>
              <w:t>2.5</w:t>
            </w:r>
            <w:r>
              <w:rPr>
                <w:rFonts w:hint="default" w:ascii="Times New Roman" w:hAnsi="Times New Roman" w:cs="Times New Roman"/>
                <w:color w:val="000000" w:themeColor="text1"/>
                <w:highlight w:val="none"/>
                <w14:textFill>
                  <w14:solidFill>
                    <w14:schemeClr w14:val="tx1"/>
                  </w14:solidFill>
                </w14:textFill>
              </w:rPr>
              <w:t>、CO和O</w:t>
            </w:r>
            <w:r>
              <w:rPr>
                <w:rFonts w:hint="default" w:ascii="Times New Roman" w:hAnsi="Times New Roman" w:cs="Times New Roman"/>
                <w:color w:val="000000" w:themeColor="text1"/>
                <w:highlight w:val="none"/>
                <w:vertAlign w:val="subscript"/>
                <w14:textFill>
                  <w14:solidFill>
                    <w14:schemeClr w14:val="tx1"/>
                  </w14:solidFill>
                </w14:textFill>
              </w:rPr>
              <w:t>3</w:t>
            </w:r>
            <w:r>
              <w:rPr>
                <w:rFonts w:hint="default" w:ascii="Times New Roman" w:hAnsi="Times New Roman" w:cs="Times New Roman"/>
                <w:color w:val="000000" w:themeColor="text1"/>
                <w:highlight w:val="none"/>
                <w14:textFill>
                  <w14:solidFill>
                    <w14:schemeClr w14:val="tx1"/>
                  </w14:solidFill>
                </w14:textFill>
              </w:rPr>
              <w:t>，六项污染物全部达标即为城市环境空气质量达标</w:t>
            </w:r>
            <w:r>
              <w:rPr>
                <w:rFonts w:hint="eastAsia" w:cs="Times New Roman"/>
                <w:color w:val="000000" w:themeColor="text1"/>
                <w:highlight w:val="none"/>
                <w:lang w:eastAsia="zh-CN"/>
                <w14:textFill>
                  <w14:solidFill>
                    <w14:schemeClr w14:val="tx1"/>
                  </w14:solidFill>
                </w14:textFill>
              </w:rPr>
              <w:t>”</w:t>
            </w:r>
            <w:r>
              <w:rPr>
                <w:rFonts w:hint="default" w:ascii="Times New Roman" w:hAnsi="Times New Roman" w:cs="Times New Roman"/>
                <w:color w:val="000000" w:themeColor="text1"/>
                <w:highlight w:val="none"/>
                <w14:textFill>
                  <w14:solidFill>
                    <w14:schemeClr w14:val="tx1"/>
                  </w14:solidFill>
                </w14:textFill>
              </w:rPr>
              <w:t>。</w:t>
            </w:r>
          </w:p>
          <w:p w14:paraId="7FF2666A">
            <w:pPr>
              <w:pStyle w:val="68"/>
              <w:ind w:firstLine="48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eastAsia="宋体" w:cs="Times New Roman"/>
                <w:color w:val="auto"/>
                <w:sz w:val="24"/>
                <w:szCs w:val="24"/>
                <w:highlight w:val="none"/>
                <w:lang w:val="en-US" w:eastAsia="zh-CN"/>
              </w:rPr>
              <w:t>本次评价采用本溪市生态环境局发布的《本溪市环境质量简报》2021年数据，2021年本溪市环境空气质量比上年改善，优良天数为343天，优良天数比例为94.0%，监测项目为SO</w:t>
            </w:r>
            <w:r>
              <w:rPr>
                <w:rFonts w:hint="default" w:ascii="Times New Roman" w:hAnsi="Times New Roman" w:eastAsia="宋体" w:cs="Times New Roman"/>
                <w:color w:val="auto"/>
                <w:sz w:val="24"/>
                <w:szCs w:val="24"/>
                <w:highlight w:val="none"/>
                <w:vertAlign w:val="subscript"/>
                <w:lang w:val="en-US" w:eastAsia="zh-CN"/>
              </w:rPr>
              <w:t>2</w:t>
            </w:r>
            <w:r>
              <w:rPr>
                <w:rFonts w:hint="default" w:ascii="Times New Roman" w:hAnsi="Times New Roman" w:eastAsia="宋体" w:cs="Times New Roman"/>
                <w:color w:val="auto"/>
                <w:sz w:val="24"/>
                <w:szCs w:val="24"/>
                <w:highlight w:val="none"/>
                <w:lang w:val="en-US" w:eastAsia="zh-CN"/>
              </w:rPr>
              <w:t>、NO</w:t>
            </w:r>
            <w:r>
              <w:rPr>
                <w:rFonts w:hint="default" w:ascii="Times New Roman" w:hAnsi="Times New Roman" w:eastAsia="宋体" w:cs="Times New Roman"/>
                <w:color w:val="auto"/>
                <w:sz w:val="24"/>
                <w:szCs w:val="24"/>
                <w:highlight w:val="none"/>
                <w:vertAlign w:val="subscript"/>
                <w:lang w:val="en-US" w:eastAsia="zh-CN"/>
              </w:rPr>
              <w:t>2</w:t>
            </w:r>
            <w:r>
              <w:rPr>
                <w:rFonts w:hint="default" w:ascii="Times New Roman" w:hAnsi="Times New Roman" w:eastAsia="宋体" w:cs="Times New Roman"/>
                <w:color w:val="auto"/>
                <w:sz w:val="24"/>
                <w:szCs w:val="24"/>
                <w:highlight w:val="none"/>
                <w:lang w:val="en-US" w:eastAsia="zh-CN"/>
              </w:rPr>
              <w:t>、PM</w:t>
            </w:r>
            <w:r>
              <w:rPr>
                <w:rFonts w:hint="default" w:ascii="Times New Roman" w:hAnsi="Times New Roman" w:eastAsia="宋体" w:cs="Times New Roman"/>
                <w:color w:val="auto"/>
                <w:sz w:val="24"/>
                <w:szCs w:val="24"/>
                <w:highlight w:val="none"/>
                <w:vertAlign w:val="subscript"/>
                <w:lang w:val="en-US" w:eastAsia="zh-CN"/>
              </w:rPr>
              <w:t>10</w:t>
            </w:r>
            <w:r>
              <w:rPr>
                <w:rFonts w:hint="default" w:ascii="Times New Roman" w:hAnsi="Times New Roman" w:eastAsia="宋体" w:cs="Times New Roman"/>
                <w:color w:val="auto"/>
                <w:sz w:val="24"/>
                <w:szCs w:val="24"/>
                <w:highlight w:val="none"/>
                <w:lang w:val="en-US" w:eastAsia="zh-CN"/>
              </w:rPr>
              <w:t>、PM</w:t>
            </w:r>
            <w:r>
              <w:rPr>
                <w:rFonts w:hint="default" w:ascii="Times New Roman" w:hAnsi="Times New Roman" w:eastAsia="宋体" w:cs="Times New Roman"/>
                <w:color w:val="auto"/>
                <w:sz w:val="24"/>
                <w:szCs w:val="24"/>
                <w:highlight w:val="none"/>
                <w:vertAlign w:val="subscript"/>
                <w:lang w:val="en-US" w:eastAsia="zh-CN"/>
              </w:rPr>
              <w:t>2.5</w:t>
            </w:r>
            <w:r>
              <w:rPr>
                <w:rFonts w:hint="default" w:ascii="Times New Roman" w:hAnsi="Times New Roman" w:eastAsia="宋体" w:cs="Times New Roman"/>
                <w:color w:val="auto"/>
                <w:sz w:val="24"/>
                <w:szCs w:val="24"/>
                <w:highlight w:val="none"/>
                <w:lang w:val="en-US" w:eastAsia="zh-CN"/>
              </w:rPr>
              <w:t>、CO、O</w:t>
            </w:r>
            <w:r>
              <w:rPr>
                <w:rFonts w:hint="default" w:ascii="Times New Roman" w:hAnsi="Times New Roman" w:eastAsia="宋体" w:cs="Times New Roman"/>
                <w:color w:val="auto"/>
                <w:sz w:val="24"/>
                <w:szCs w:val="24"/>
                <w:highlight w:val="none"/>
                <w:vertAlign w:val="subscript"/>
                <w:lang w:val="en-US" w:eastAsia="zh-CN"/>
              </w:rPr>
              <w:t>3</w:t>
            </w:r>
            <w:r>
              <w:rPr>
                <w:rFonts w:hint="default" w:ascii="Times New Roman" w:hAnsi="Times New Roman" w:eastAsia="宋体" w:cs="Times New Roman"/>
                <w:color w:val="auto"/>
                <w:sz w:val="24"/>
                <w:szCs w:val="24"/>
                <w:highlight w:val="none"/>
                <w:lang w:val="en-US" w:eastAsia="zh-CN"/>
              </w:rPr>
              <w:t>，采用《环境空气质量标准》（GB3095-2012）及其修改单中二级标准评价。具体结果见表</w:t>
            </w:r>
            <w:r>
              <w:rPr>
                <w:rFonts w:hint="eastAsia" w:ascii="Times New Roman" w:hAnsi="Times New Roman" w:eastAsia="宋体" w:cs="Times New Roman"/>
                <w:color w:val="auto"/>
                <w:sz w:val="24"/>
                <w:szCs w:val="24"/>
                <w:highlight w:val="none"/>
                <w:lang w:val="en-US" w:eastAsia="zh-CN"/>
              </w:rPr>
              <w:t>3-1</w:t>
            </w:r>
            <w:r>
              <w:rPr>
                <w:rFonts w:hint="default" w:ascii="Times New Roman" w:hAnsi="Times New Roman" w:eastAsia="宋体" w:cs="Times New Roman"/>
                <w:color w:val="auto"/>
                <w:sz w:val="24"/>
                <w:szCs w:val="24"/>
                <w:highlight w:val="none"/>
                <w:lang w:val="en-US" w:eastAsia="zh-CN"/>
              </w:rPr>
              <w:t>。</w:t>
            </w:r>
          </w:p>
          <w:p w14:paraId="41EDC7C5">
            <w:pPr>
              <w:pStyle w:val="62"/>
              <w:ind w:firstLine="48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表3-1    区域空气质量现状评价表</w:t>
            </w:r>
          </w:p>
          <w:tbl>
            <w:tblPr>
              <w:tblStyle w:val="27"/>
              <w:tblW w:w="0" w:type="auto"/>
              <w:tblInd w:w="0" w:type="dxa"/>
              <w:tblBorders>
                <w:top w:val="double" w:color="auto" w:sz="4" w:space="0"/>
                <w:left w:val="none" w:color="auto" w:sz="0" w:space="0"/>
                <w:bottom w:val="double" w:color="auto" w:sz="4" w:space="0"/>
                <w:right w:val="none" w:color="auto" w:sz="0" w:space="0"/>
                <w:insideH w:val="single" w:color="auto" w:sz="4" w:space="0"/>
                <w:insideV w:val="single" w:color="auto" w:sz="4" w:space="0"/>
              </w:tblBorders>
              <w:tblLayout w:type="fixed"/>
              <w:tblCellMar>
                <w:top w:w="0" w:type="dxa"/>
                <w:left w:w="0" w:type="dxa"/>
                <w:bottom w:w="0" w:type="dxa"/>
                <w:right w:w="0" w:type="dxa"/>
              </w:tblCellMar>
            </w:tblPr>
            <w:tblGrid>
              <w:gridCol w:w="743"/>
              <w:gridCol w:w="2179"/>
              <w:gridCol w:w="1801"/>
              <w:gridCol w:w="1333"/>
              <w:gridCol w:w="968"/>
              <w:gridCol w:w="1004"/>
            </w:tblGrid>
            <w:tr w14:paraId="0A24B06C">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743" w:type="dxa"/>
                  <w:vAlign w:val="center"/>
                </w:tcPr>
                <w:p w14:paraId="7D86E5F5">
                  <w:pPr>
                    <w:pStyle w:val="69"/>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污染物</w:t>
                  </w:r>
                </w:p>
              </w:tc>
              <w:tc>
                <w:tcPr>
                  <w:tcW w:w="2179" w:type="dxa"/>
                  <w:vAlign w:val="center"/>
                </w:tcPr>
                <w:p w14:paraId="080C96B2">
                  <w:pPr>
                    <w:pStyle w:val="69"/>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年评价指标</w:t>
                  </w:r>
                </w:p>
              </w:tc>
              <w:tc>
                <w:tcPr>
                  <w:tcW w:w="1801" w:type="dxa"/>
                  <w:vAlign w:val="center"/>
                </w:tcPr>
                <w:p w14:paraId="60DADC8E">
                  <w:pPr>
                    <w:pStyle w:val="69"/>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现状浓度（μg/m</w:t>
                  </w:r>
                  <w:r>
                    <w:rPr>
                      <w:rFonts w:hint="default" w:ascii="Times New Roman" w:hAnsi="Times New Roman" w:cs="Times New Roman"/>
                      <w:color w:val="000000" w:themeColor="text1"/>
                      <w:highlight w:val="none"/>
                      <w:vertAlign w:val="superscript"/>
                      <w14:textFill>
                        <w14:solidFill>
                          <w14:schemeClr w14:val="tx1"/>
                        </w14:solidFill>
                      </w14:textFill>
                    </w:rPr>
                    <w:t>3</w:t>
                  </w:r>
                  <w:r>
                    <w:rPr>
                      <w:rFonts w:hint="default" w:ascii="Times New Roman" w:hAnsi="Times New Roman" w:cs="Times New Roman"/>
                      <w:color w:val="000000" w:themeColor="text1"/>
                      <w:highlight w:val="none"/>
                      <w14:textFill>
                        <w14:solidFill>
                          <w14:schemeClr w14:val="tx1"/>
                        </w14:solidFill>
                      </w14:textFill>
                    </w:rPr>
                    <w:t>）</w:t>
                  </w:r>
                </w:p>
              </w:tc>
              <w:tc>
                <w:tcPr>
                  <w:tcW w:w="1333" w:type="dxa"/>
                  <w:vAlign w:val="center"/>
                </w:tcPr>
                <w:p w14:paraId="75B1D767">
                  <w:pPr>
                    <w:pStyle w:val="69"/>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标准值（μg/m</w:t>
                  </w:r>
                  <w:r>
                    <w:rPr>
                      <w:rFonts w:hint="default" w:ascii="Times New Roman" w:hAnsi="Times New Roman" w:cs="Times New Roman"/>
                      <w:color w:val="000000" w:themeColor="text1"/>
                      <w:highlight w:val="none"/>
                      <w:vertAlign w:val="superscript"/>
                      <w14:textFill>
                        <w14:solidFill>
                          <w14:schemeClr w14:val="tx1"/>
                        </w14:solidFill>
                      </w14:textFill>
                    </w:rPr>
                    <w:t>3</w:t>
                  </w:r>
                  <w:r>
                    <w:rPr>
                      <w:rFonts w:hint="default" w:ascii="Times New Roman" w:hAnsi="Times New Roman" w:cs="Times New Roman"/>
                      <w:color w:val="000000" w:themeColor="text1"/>
                      <w:highlight w:val="none"/>
                      <w14:textFill>
                        <w14:solidFill>
                          <w14:schemeClr w14:val="tx1"/>
                        </w14:solidFill>
                      </w14:textFill>
                    </w:rPr>
                    <w:t>）</w:t>
                  </w:r>
                </w:p>
              </w:tc>
              <w:tc>
                <w:tcPr>
                  <w:tcW w:w="968" w:type="dxa"/>
                  <w:vAlign w:val="center"/>
                </w:tcPr>
                <w:p w14:paraId="794DF49B">
                  <w:pPr>
                    <w:pStyle w:val="69"/>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占标率%</w:t>
                  </w:r>
                </w:p>
              </w:tc>
              <w:tc>
                <w:tcPr>
                  <w:tcW w:w="1004" w:type="dxa"/>
                  <w:vAlign w:val="center"/>
                </w:tcPr>
                <w:p w14:paraId="24251DD1">
                  <w:pPr>
                    <w:pStyle w:val="69"/>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达标情况</w:t>
                  </w:r>
                </w:p>
              </w:tc>
            </w:tr>
            <w:tr w14:paraId="5AB3CA13">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743" w:type="dxa"/>
                  <w:vAlign w:val="center"/>
                </w:tcPr>
                <w:p w14:paraId="2CE00903">
                  <w:pPr>
                    <w:pStyle w:val="69"/>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PM</w:t>
                  </w:r>
                  <w:r>
                    <w:rPr>
                      <w:rFonts w:hint="default" w:ascii="Times New Roman" w:hAnsi="Times New Roman" w:cs="Times New Roman"/>
                      <w:color w:val="000000" w:themeColor="text1"/>
                      <w:highlight w:val="none"/>
                      <w:vertAlign w:val="subscript"/>
                      <w14:textFill>
                        <w14:solidFill>
                          <w14:schemeClr w14:val="tx1"/>
                        </w14:solidFill>
                      </w14:textFill>
                    </w:rPr>
                    <w:t>2.5</w:t>
                  </w:r>
                </w:p>
              </w:tc>
              <w:tc>
                <w:tcPr>
                  <w:tcW w:w="2179" w:type="dxa"/>
                  <w:vAlign w:val="center"/>
                </w:tcPr>
                <w:p w14:paraId="172D40C8">
                  <w:pPr>
                    <w:pStyle w:val="69"/>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年平均质量浓度</w:t>
                  </w:r>
                </w:p>
              </w:tc>
              <w:tc>
                <w:tcPr>
                  <w:tcW w:w="1801" w:type="dxa"/>
                  <w:vAlign w:val="center"/>
                </w:tcPr>
                <w:p w14:paraId="3DEF5299">
                  <w:pPr>
                    <w:pStyle w:val="69"/>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eastAsia" w:cs="Times New Roman"/>
                      <w:color w:val="000000" w:themeColor="text1"/>
                      <w:highlight w:val="none"/>
                      <w:lang w:val="en-US" w:eastAsia="zh-CN"/>
                      <w14:textFill>
                        <w14:solidFill>
                          <w14:schemeClr w14:val="tx1"/>
                        </w14:solidFill>
                      </w14:textFill>
                    </w:rPr>
                    <w:t>30.1</w:t>
                  </w:r>
                </w:p>
              </w:tc>
              <w:tc>
                <w:tcPr>
                  <w:tcW w:w="1333" w:type="dxa"/>
                  <w:vAlign w:val="center"/>
                </w:tcPr>
                <w:p w14:paraId="7190ADB4">
                  <w:pPr>
                    <w:pStyle w:val="69"/>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35</w:t>
                  </w:r>
                </w:p>
              </w:tc>
              <w:tc>
                <w:tcPr>
                  <w:tcW w:w="968" w:type="dxa"/>
                  <w:vAlign w:val="center"/>
                </w:tcPr>
                <w:p w14:paraId="7D9D7A90">
                  <w:pPr>
                    <w:pStyle w:val="69"/>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eastAsia" w:cs="Times New Roman"/>
                      <w:color w:val="000000" w:themeColor="text1"/>
                      <w:highlight w:val="none"/>
                      <w:lang w:val="en-US" w:eastAsia="zh-CN"/>
                      <w14:textFill>
                        <w14:solidFill>
                          <w14:schemeClr w14:val="tx1"/>
                        </w14:solidFill>
                      </w14:textFill>
                    </w:rPr>
                    <w:t>86</w:t>
                  </w:r>
                </w:p>
              </w:tc>
              <w:tc>
                <w:tcPr>
                  <w:tcW w:w="1004" w:type="dxa"/>
                  <w:vAlign w:val="center"/>
                </w:tcPr>
                <w:p w14:paraId="207BE693">
                  <w:pPr>
                    <w:pStyle w:val="69"/>
                    <w:rPr>
                      <w:rFonts w:hint="default" w:ascii="Times New Roman" w:hAnsi="Times New Roman" w:cs="Times New Roman"/>
                      <w:color w:val="000000" w:themeColor="text1"/>
                      <w:highlight w:val="none"/>
                      <w14:textFill>
                        <w14:solidFill>
                          <w14:schemeClr w14:val="tx1"/>
                        </w14:solidFill>
                      </w14:textFill>
                    </w:rPr>
                  </w:pPr>
                  <w:r>
                    <w:rPr>
                      <w:rFonts w:hint="eastAsia" w:cs="Times New Roman"/>
                      <w:color w:val="000000" w:themeColor="text1"/>
                      <w:highlight w:val="none"/>
                      <w:lang w:val="en-US" w:eastAsia="zh-CN"/>
                      <w14:textFill>
                        <w14:solidFill>
                          <w14:schemeClr w14:val="tx1"/>
                        </w14:solidFill>
                      </w14:textFill>
                    </w:rPr>
                    <w:t>达</w:t>
                  </w:r>
                  <w:r>
                    <w:rPr>
                      <w:rFonts w:hint="default" w:ascii="Times New Roman" w:hAnsi="Times New Roman" w:cs="Times New Roman"/>
                      <w:color w:val="000000" w:themeColor="text1"/>
                      <w:highlight w:val="none"/>
                      <w14:textFill>
                        <w14:solidFill>
                          <w14:schemeClr w14:val="tx1"/>
                        </w14:solidFill>
                      </w14:textFill>
                    </w:rPr>
                    <w:t>标</w:t>
                  </w:r>
                </w:p>
              </w:tc>
            </w:tr>
            <w:tr w14:paraId="6E6806E6">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743" w:type="dxa"/>
                  <w:vAlign w:val="center"/>
                </w:tcPr>
                <w:p w14:paraId="270C2BAA">
                  <w:pPr>
                    <w:pStyle w:val="69"/>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PM</w:t>
                  </w:r>
                  <w:r>
                    <w:rPr>
                      <w:rFonts w:hint="default" w:ascii="Times New Roman" w:hAnsi="Times New Roman" w:cs="Times New Roman"/>
                      <w:color w:val="000000" w:themeColor="text1"/>
                      <w:highlight w:val="none"/>
                      <w:vertAlign w:val="subscript"/>
                      <w14:textFill>
                        <w14:solidFill>
                          <w14:schemeClr w14:val="tx1"/>
                        </w14:solidFill>
                      </w14:textFill>
                    </w:rPr>
                    <w:t>10</w:t>
                  </w:r>
                </w:p>
              </w:tc>
              <w:tc>
                <w:tcPr>
                  <w:tcW w:w="2179" w:type="dxa"/>
                  <w:vAlign w:val="center"/>
                </w:tcPr>
                <w:p w14:paraId="1288E9D3">
                  <w:pPr>
                    <w:pStyle w:val="69"/>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年平均质量浓度</w:t>
                  </w:r>
                </w:p>
              </w:tc>
              <w:tc>
                <w:tcPr>
                  <w:tcW w:w="1801" w:type="dxa"/>
                  <w:vAlign w:val="center"/>
                </w:tcPr>
                <w:p w14:paraId="64CADA23">
                  <w:pPr>
                    <w:pStyle w:val="69"/>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eastAsia" w:cs="Times New Roman"/>
                      <w:color w:val="000000" w:themeColor="text1"/>
                      <w:highlight w:val="none"/>
                      <w:lang w:val="en-US" w:eastAsia="zh-CN"/>
                      <w14:textFill>
                        <w14:solidFill>
                          <w14:schemeClr w14:val="tx1"/>
                        </w14:solidFill>
                      </w14:textFill>
                    </w:rPr>
                    <w:t>56.8</w:t>
                  </w:r>
                </w:p>
              </w:tc>
              <w:tc>
                <w:tcPr>
                  <w:tcW w:w="1333" w:type="dxa"/>
                  <w:vAlign w:val="center"/>
                </w:tcPr>
                <w:p w14:paraId="1EB233EC">
                  <w:pPr>
                    <w:pStyle w:val="69"/>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70</w:t>
                  </w:r>
                </w:p>
              </w:tc>
              <w:tc>
                <w:tcPr>
                  <w:tcW w:w="968" w:type="dxa"/>
                  <w:vAlign w:val="center"/>
                </w:tcPr>
                <w:p w14:paraId="104F7C92">
                  <w:pPr>
                    <w:pStyle w:val="69"/>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eastAsia" w:cs="Times New Roman"/>
                      <w:color w:val="000000" w:themeColor="text1"/>
                      <w:highlight w:val="none"/>
                      <w:lang w:val="en-US" w:eastAsia="zh-CN"/>
                      <w14:textFill>
                        <w14:solidFill>
                          <w14:schemeClr w14:val="tx1"/>
                        </w14:solidFill>
                      </w14:textFill>
                    </w:rPr>
                    <w:t>81.14</w:t>
                  </w:r>
                </w:p>
              </w:tc>
              <w:tc>
                <w:tcPr>
                  <w:tcW w:w="1004" w:type="dxa"/>
                  <w:vAlign w:val="center"/>
                </w:tcPr>
                <w:p w14:paraId="5265F613">
                  <w:pPr>
                    <w:pStyle w:val="69"/>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达标</w:t>
                  </w:r>
                </w:p>
              </w:tc>
            </w:tr>
            <w:tr w14:paraId="54BC8981">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743" w:type="dxa"/>
                  <w:vAlign w:val="center"/>
                </w:tcPr>
                <w:p w14:paraId="7D999AC8">
                  <w:pPr>
                    <w:pStyle w:val="69"/>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SO</w:t>
                  </w:r>
                  <w:r>
                    <w:rPr>
                      <w:rFonts w:hint="default" w:ascii="Times New Roman" w:hAnsi="Times New Roman" w:cs="Times New Roman"/>
                      <w:color w:val="000000" w:themeColor="text1"/>
                      <w:highlight w:val="none"/>
                      <w:vertAlign w:val="subscript"/>
                      <w14:textFill>
                        <w14:solidFill>
                          <w14:schemeClr w14:val="tx1"/>
                        </w14:solidFill>
                      </w14:textFill>
                    </w:rPr>
                    <w:t>2</w:t>
                  </w:r>
                </w:p>
              </w:tc>
              <w:tc>
                <w:tcPr>
                  <w:tcW w:w="2179" w:type="dxa"/>
                  <w:vAlign w:val="center"/>
                </w:tcPr>
                <w:p w14:paraId="582EC4B0">
                  <w:pPr>
                    <w:pStyle w:val="69"/>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年平均质量浓度</w:t>
                  </w:r>
                </w:p>
              </w:tc>
              <w:tc>
                <w:tcPr>
                  <w:tcW w:w="1801" w:type="dxa"/>
                  <w:vAlign w:val="center"/>
                </w:tcPr>
                <w:p w14:paraId="2F841473">
                  <w:pPr>
                    <w:pStyle w:val="69"/>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eastAsia" w:cs="Times New Roman"/>
                      <w:color w:val="000000" w:themeColor="text1"/>
                      <w:highlight w:val="none"/>
                      <w:lang w:val="en-US" w:eastAsia="zh-CN"/>
                      <w14:textFill>
                        <w14:solidFill>
                          <w14:schemeClr w14:val="tx1"/>
                        </w14:solidFill>
                      </w14:textFill>
                    </w:rPr>
                    <w:t>15.6</w:t>
                  </w:r>
                </w:p>
              </w:tc>
              <w:tc>
                <w:tcPr>
                  <w:tcW w:w="1333" w:type="dxa"/>
                  <w:vAlign w:val="center"/>
                </w:tcPr>
                <w:p w14:paraId="614353E0">
                  <w:pPr>
                    <w:pStyle w:val="69"/>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60</w:t>
                  </w:r>
                </w:p>
              </w:tc>
              <w:tc>
                <w:tcPr>
                  <w:tcW w:w="968" w:type="dxa"/>
                  <w:vAlign w:val="center"/>
                </w:tcPr>
                <w:p w14:paraId="7F356484">
                  <w:pPr>
                    <w:pStyle w:val="69"/>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26</w:t>
                  </w:r>
                </w:p>
              </w:tc>
              <w:tc>
                <w:tcPr>
                  <w:tcW w:w="1004" w:type="dxa"/>
                  <w:vAlign w:val="center"/>
                </w:tcPr>
                <w:p w14:paraId="0E37021C">
                  <w:pPr>
                    <w:pStyle w:val="69"/>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达标</w:t>
                  </w:r>
                </w:p>
              </w:tc>
            </w:tr>
            <w:tr w14:paraId="2A0C89BB">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743" w:type="dxa"/>
                  <w:vAlign w:val="center"/>
                </w:tcPr>
                <w:p w14:paraId="1FDF4627">
                  <w:pPr>
                    <w:pStyle w:val="69"/>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NO</w:t>
                  </w:r>
                  <w:r>
                    <w:rPr>
                      <w:rFonts w:hint="default" w:ascii="Times New Roman" w:hAnsi="Times New Roman" w:cs="Times New Roman"/>
                      <w:color w:val="000000" w:themeColor="text1"/>
                      <w:highlight w:val="none"/>
                      <w:vertAlign w:val="subscript"/>
                      <w14:textFill>
                        <w14:solidFill>
                          <w14:schemeClr w14:val="tx1"/>
                        </w14:solidFill>
                      </w14:textFill>
                    </w:rPr>
                    <w:t>2</w:t>
                  </w:r>
                </w:p>
              </w:tc>
              <w:tc>
                <w:tcPr>
                  <w:tcW w:w="2179" w:type="dxa"/>
                  <w:vAlign w:val="center"/>
                </w:tcPr>
                <w:p w14:paraId="49A9FE8C">
                  <w:pPr>
                    <w:pStyle w:val="69"/>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年平均质量浓度</w:t>
                  </w:r>
                </w:p>
              </w:tc>
              <w:tc>
                <w:tcPr>
                  <w:tcW w:w="1801" w:type="dxa"/>
                  <w:vAlign w:val="center"/>
                </w:tcPr>
                <w:p w14:paraId="78616A51">
                  <w:pPr>
                    <w:pStyle w:val="69"/>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eastAsia" w:cs="Times New Roman"/>
                      <w:color w:val="000000" w:themeColor="text1"/>
                      <w:highlight w:val="none"/>
                      <w:lang w:val="en-US" w:eastAsia="zh-CN"/>
                      <w14:textFill>
                        <w14:solidFill>
                          <w14:schemeClr w14:val="tx1"/>
                        </w14:solidFill>
                      </w14:textFill>
                    </w:rPr>
                    <w:t>28.6</w:t>
                  </w:r>
                </w:p>
              </w:tc>
              <w:tc>
                <w:tcPr>
                  <w:tcW w:w="1333" w:type="dxa"/>
                  <w:vAlign w:val="center"/>
                </w:tcPr>
                <w:p w14:paraId="43AE60FF">
                  <w:pPr>
                    <w:pStyle w:val="69"/>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40</w:t>
                  </w:r>
                </w:p>
              </w:tc>
              <w:tc>
                <w:tcPr>
                  <w:tcW w:w="968" w:type="dxa"/>
                  <w:vAlign w:val="center"/>
                </w:tcPr>
                <w:p w14:paraId="75E58D75">
                  <w:pPr>
                    <w:pStyle w:val="69"/>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eastAsia" w:cs="Times New Roman"/>
                      <w:color w:val="000000" w:themeColor="text1"/>
                      <w:highlight w:val="none"/>
                      <w:lang w:val="en-US" w:eastAsia="zh-CN"/>
                      <w14:textFill>
                        <w14:solidFill>
                          <w14:schemeClr w14:val="tx1"/>
                        </w14:solidFill>
                      </w14:textFill>
                    </w:rPr>
                    <w:t>71.5</w:t>
                  </w:r>
                </w:p>
              </w:tc>
              <w:tc>
                <w:tcPr>
                  <w:tcW w:w="1004" w:type="dxa"/>
                  <w:vAlign w:val="center"/>
                </w:tcPr>
                <w:p w14:paraId="1711F5A3">
                  <w:pPr>
                    <w:pStyle w:val="69"/>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达标</w:t>
                  </w:r>
                </w:p>
              </w:tc>
            </w:tr>
            <w:tr w14:paraId="44BBFB68">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743" w:type="dxa"/>
                  <w:vAlign w:val="center"/>
                </w:tcPr>
                <w:p w14:paraId="1F429260">
                  <w:pPr>
                    <w:pStyle w:val="69"/>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CO</w:t>
                  </w:r>
                </w:p>
              </w:tc>
              <w:tc>
                <w:tcPr>
                  <w:tcW w:w="2179" w:type="dxa"/>
                  <w:vAlign w:val="center"/>
                </w:tcPr>
                <w:p w14:paraId="550264AA">
                  <w:pPr>
                    <w:pStyle w:val="69"/>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24小时平均第95百分位数浓度</w:t>
                  </w:r>
                </w:p>
              </w:tc>
              <w:tc>
                <w:tcPr>
                  <w:tcW w:w="1801" w:type="dxa"/>
                  <w:vAlign w:val="center"/>
                </w:tcPr>
                <w:p w14:paraId="1C25B360">
                  <w:pPr>
                    <w:pStyle w:val="69"/>
                    <w:rPr>
                      <w:rFonts w:hint="default" w:ascii="Times New Roman" w:hAnsi="Times New Roman" w:cs="Times New Roman"/>
                      <w:color w:val="000000" w:themeColor="text1"/>
                      <w:highlight w:val="none"/>
                      <w14:textFill>
                        <w14:solidFill>
                          <w14:schemeClr w14:val="tx1"/>
                        </w14:solidFill>
                      </w14:textFill>
                    </w:rPr>
                  </w:pPr>
                  <w:r>
                    <w:rPr>
                      <w:rFonts w:hint="eastAsia" w:cs="Times New Roman"/>
                      <w:color w:val="000000" w:themeColor="text1"/>
                      <w:highlight w:val="none"/>
                      <w:lang w:val="en-US" w:eastAsia="zh-CN"/>
                      <w14:textFill>
                        <w14:solidFill>
                          <w14:schemeClr w14:val="tx1"/>
                        </w14:solidFill>
                      </w14:textFill>
                    </w:rPr>
                    <w:t>1.9</w:t>
                  </w:r>
                  <w:r>
                    <w:rPr>
                      <w:rFonts w:hint="default" w:ascii="Times New Roman" w:hAnsi="Times New Roman" w:cs="Times New Roman"/>
                      <w:color w:val="000000" w:themeColor="text1"/>
                      <w:highlight w:val="none"/>
                      <w14:textFill>
                        <w14:solidFill>
                          <w14:schemeClr w14:val="tx1"/>
                        </w14:solidFill>
                      </w14:textFill>
                    </w:rPr>
                    <w:t>（mg/m</w:t>
                  </w:r>
                  <w:r>
                    <w:rPr>
                      <w:rFonts w:hint="default" w:ascii="Times New Roman" w:hAnsi="Times New Roman" w:cs="Times New Roman"/>
                      <w:color w:val="000000" w:themeColor="text1"/>
                      <w:highlight w:val="none"/>
                      <w:vertAlign w:val="superscript"/>
                      <w14:textFill>
                        <w14:solidFill>
                          <w14:schemeClr w14:val="tx1"/>
                        </w14:solidFill>
                      </w14:textFill>
                    </w:rPr>
                    <w:t>3</w:t>
                  </w:r>
                  <w:r>
                    <w:rPr>
                      <w:rFonts w:hint="default" w:ascii="Times New Roman" w:hAnsi="Times New Roman" w:cs="Times New Roman"/>
                      <w:color w:val="000000" w:themeColor="text1"/>
                      <w:highlight w:val="none"/>
                      <w14:textFill>
                        <w14:solidFill>
                          <w14:schemeClr w14:val="tx1"/>
                        </w14:solidFill>
                      </w14:textFill>
                    </w:rPr>
                    <w:t>）</w:t>
                  </w:r>
                </w:p>
              </w:tc>
              <w:tc>
                <w:tcPr>
                  <w:tcW w:w="1333" w:type="dxa"/>
                  <w:vAlign w:val="center"/>
                </w:tcPr>
                <w:p w14:paraId="00E0A743">
                  <w:pPr>
                    <w:pStyle w:val="69"/>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4（mg/m</w:t>
                  </w:r>
                  <w:r>
                    <w:rPr>
                      <w:rFonts w:hint="default" w:ascii="Times New Roman" w:hAnsi="Times New Roman" w:cs="Times New Roman"/>
                      <w:color w:val="000000" w:themeColor="text1"/>
                      <w:highlight w:val="none"/>
                      <w:vertAlign w:val="superscript"/>
                      <w14:textFill>
                        <w14:solidFill>
                          <w14:schemeClr w14:val="tx1"/>
                        </w14:solidFill>
                      </w14:textFill>
                    </w:rPr>
                    <w:t>3</w:t>
                  </w:r>
                  <w:r>
                    <w:rPr>
                      <w:rFonts w:hint="default" w:ascii="Times New Roman" w:hAnsi="Times New Roman" w:cs="Times New Roman"/>
                      <w:color w:val="000000" w:themeColor="text1"/>
                      <w:highlight w:val="none"/>
                      <w14:textFill>
                        <w14:solidFill>
                          <w14:schemeClr w14:val="tx1"/>
                        </w14:solidFill>
                      </w14:textFill>
                    </w:rPr>
                    <w:t>）</w:t>
                  </w:r>
                </w:p>
              </w:tc>
              <w:tc>
                <w:tcPr>
                  <w:tcW w:w="968" w:type="dxa"/>
                  <w:vAlign w:val="center"/>
                </w:tcPr>
                <w:p w14:paraId="79BA4756">
                  <w:pPr>
                    <w:pStyle w:val="69"/>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4</w:t>
                  </w:r>
                  <w:r>
                    <w:rPr>
                      <w:rFonts w:hint="eastAsia" w:cs="Times New Roman"/>
                      <w:color w:val="000000" w:themeColor="text1"/>
                      <w:highlight w:val="none"/>
                      <w:lang w:val="en-US" w:eastAsia="zh-CN"/>
                      <w14:textFill>
                        <w14:solidFill>
                          <w14:schemeClr w14:val="tx1"/>
                        </w14:solidFill>
                      </w14:textFill>
                    </w:rPr>
                    <w:t>7.5</w:t>
                  </w:r>
                </w:p>
              </w:tc>
              <w:tc>
                <w:tcPr>
                  <w:tcW w:w="1004" w:type="dxa"/>
                  <w:vAlign w:val="center"/>
                </w:tcPr>
                <w:p w14:paraId="2747300C">
                  <w:pPr>
                    <w:pStyle w:val="69"/>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达标</w:t>
                  </w:r>
                </w:p>
              </w:tc>
            </w:tr>
            <w:tr w14:paraId="5E5278E3">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743" w:type="dxa"/>
                  <w:vAlign w:val="center"/>
                </w:tcPr>
                <w:p w14:paraId="596DF635">
                  <w:pPr>
                    <w:pStyle w:val="69"/>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O</w:t>
                  </w:r>
                  <w:r>
                    <w:rPr>
                      <w:rFonts w:hint="default" w:ascii="Times New Roman" w:hAnsi="Times New Roman" w:cs="Times New Roman"/>
                      <w:color w:val="000000" w:themeColor="text1"/>
                      <w:highlight w:val="none"/>
                      <w:vertAlign w:val="subscript"/>
                      <w14:textFill>
                        <w14:solidFill>
                          <w14:schemeClr w14:val="tx1"/>
                        </w14:solidFill>
                      </w14:textFill>
                    </w:rPr>
                    <w:t>3</w:t>
                  </w:r>
                </w:p>
              </w:tc>
              <w:tc>
                <w:tcPr>
                  <w:tcW w:w="2179" w:type="dxa"/>
                  <w:vAlign w:val="center"/>
                </w:tcPr>
                <w:p w14:paraId="5A104D63">
                  <w:pPr>
                    <w:pStyle w:val="69"/>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日最大8小时滑动平均值第90百分位数浓度</w:t>
                  </w:r>
                </w:p>
              </w:tc>
              <w:tc>
                <w:tcPr>
                  <w:tcW w:w="1801" w:type="dxa"/>
                  <w:vAlign w:val="center"/>
                </w:tcPr>
                <w:p w14:paraId="781A406B">
                  <w:pPr>
                    <w:pStyle w:val="69"/>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eastAsia" w:cs="Times New Roman"/>
                      <w:color w:val="000000" w:themeColor="text1"/>
                      <w:highlight w:val="none"/>
                      <w:lang w:val="en-US" w:eastAsia="zh-CN"/>
                      <w14:textFill>
                        <w14:solidFill>
                          <w14:schemeClr w14:val="tx1"/>
                        </w14:solidFill>
                      </w14:textFill>
                    </w:rPr>
                    <w:t>119</w:t>
                  </w:r>
                </w:p>
              </w:tc>
              <w:tc>
                <w:tcPr>
                  <w:tcW w:w="1333" w:type="dxa"/>
                  <w:vAlign w:val="center"/>
                </w:tcPr>
                <w:p w14:paraId="5898DAE7">
                  <w:pPr>
                    <w:pStyle w:val="69"/>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160</w:t>
                  </w:r>
                </w:p>
              </w:tc>
              <w:tc>
                <w:tcPr>
                  <w:tcW w:w="968" w:type="dxa"/>
                  <w:vAlign w:val="center"/>
                </w:tcPr>
                <w:p w14:paraId="20F4F9FE">
                  <w:pPr>
                    <w:pStyle w:val="69"/>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eastAsia" w:cs="Times New Roman"/>
                      <w:color w:val="000000" w:themeColor="text1"/>
                      <w:highlight w:val="none"/>
                      <w:lang w:val="en-US" w:eastAsia="zh-CN"/>
                      <w14:textFill>
                        <w14:solidFill>
                          <w14:schemeClr w14:val="tx1"/>
                        </w14:solidFill>
                      </w14:textFill>
                    </w:rPr>
                    <w:t>74.38</w:t>
                  </w:r>
                </w:p>
              </w:tc>
              <w:tc>
                <w:tcPr>
                  <w:tcW w:w="1004" w:type="dxa"/>
                  <w:vAlign w:val="center"/>
                </w:tcPr>
                <w:p w14:paraId="61363044">
                  <w:pPr>
                    <w:pStyle w:val="69"/>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达标</w:t>
                  </w:r>
                </w:p>
              </w:tc>
            </w:tr>
          </w:tbl>
          <w:p w14:paraId="697B49AB">
            <w:pPr>
              <w:pStyle w:val="62"/>
              <w:ind w:firstLine="480"/>
              <w:rPr>
                <w:rFonts w:hint="default" w:ascii="Times New Roman" w:hAnsi="Times New Roman" w:cs="Times New Roman"/>
                <w:color w:val="000000" w:themeColor="text1"/>
                <w:highlight w:val="none"/>
                <w14:textFill>
                  <w14:solidFill>
                    <w14:schemeClr w14:val="tx1"/>
                  </w14:solidFill>
                </w14:textFill>
              </w:rPr>
            </w:pPr>
          </w:p>
          <w:p w14:paraId="44689B08">
            <w:pPr>
              <w:pStyle w:val="68"/>
              <w:ind w:firstLine="48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由上述分析可知：</w:t>
            </w:r>
            <w:r>
              <w:rPr>
                <w:rFonts w:hint="eastAsia" w:cs="Times New Roman"/>
                <w:color w:val="000000" w:themeColor="text1"/>
                <w:highlight w:val="none"/>
                <w:lang w:val="en-US" w:eastAsia="zh-CN"/>
                <w14:textFill>
                  <w14:solidFill>
                    <w14:schemeClr w14:val="tx1"/>
                  </w14:solidFill>
                </w14:textFill>
              </w:rPr>
              <w:t>本溪</w:t>
            </w:r>
            <w:r>
              <w:rPr>
                <w:rFonts w:hint="default" w:ascii="Times New Roman" w:hAnsi="Times New Roman" w:cs="Times New Roman"/>
                <w:color w:val="000000" w:themeColor="text1"/>
                <w:highlight w:val="none"/>
                <w14:textFill>
                  <w14:solidFill>
                    <w14:schemeClr w14:val="tx1"/>
                  </w14:solidFill>
                </w14:textFill>
              </w:rPr>
              <w:t>市20</w:t>
            </w:r>
            <w:r>
              <w:rPr>
                <w:rFonts w:hint="eastAsia" w:cs="Times New Roman"/>
                <w:color w:val="000000" w:themeColor="text1"/>
                <w:highlight w:val="none"/>
                <w:lang w:val="en-US" w:eastAsia="zh-CN"/>
                <w14:textFill>
                  <w14:solidFill>
                    <w14:schemeClr w14:val="tx1"/>
                  </w14:solidFill>
                </w14:textFill>
              </w:rPr>
              <w:t>21</w:t>
            </w:r>
            <w:r>
              <w:rPr>
                <w:rFonts w:hint="default" w:ascii="Times New Roman" w:hAnsi="Times New Roman" w:cs="Times New Roman"/>
                <w:color w:val="000000" w:themeColor="text1"/>
                <w:highlight w:val="none"/>
                <w14:textFill>
                  <w14:solidFill>
                    <w14:schemeClr w14:val="tx1"/>
                  </w14:solidFill>
                </w14:textFill>
              </w:rPr>
              <w:t>年环境空气质量基本污染物</w:t>
            </w:r>
            <w:r>
              <w:rPr>
                <w:rFonts w:hint="eastAsia" w:cs="Times New Roman"/>
                <w:color w:val="000000" w:themeColor="text1"/>
                <w:highlight w:val="none"/>
                <w:lang w:val="en-US" w:eastAsia="zh-CN"/>
                <w14:textFill>
                  <w14:solidFill>
                    <w14:schemeClr w14:val="tx1"/>
                  </w14:solidFill>
                </w14:textFill>
              </w:rPr>
              <w:t>年均浓度均符合</w:t>
            </w:r>
            <w:r>
              <w:rPr>
                <w:rFonts w:hint="default" w:ascii="Times New Roman" w:hAnsi="Times New Roman" w:cs="Times New Roman"/>
                <w:color w:val="000000" w:themeColor="text1"/>
                <w:highlight w:val="none"/>
                <w14:textFill>
                  <w14:solidFill>
                    <w14:schemeClr w14:val="tx1"/>
                  </w14:solidFill>
                </w14:textFill>
              </w:rPr>
              <w:t>《环境空气质量标准》（GB3095-2012）及其修改单公告（2018年第29号）中二级标准限值，项目所在区域为达标区。</w:t>
            </w:r>
          </w:p>
          <w:p w14:paraId="4716233B">
            <w:pPr>
              <w:pStyle w:val="68"/>
              <w:ind w:firstLine="480"/>
              <w:rPr>
                <w:rFonts w:hint="default" w:ascii="Times New Roman" w:hAnsi="Times New Roman" w:cs="Times New Roman"/>
                <w:color w:val="000000" w:themeColor="text1"/>
                <w:highlight w:val="none"/>
                <w:lang w:val="en-GB"/>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（2）</w:t>
            </w:r>
            <w:r>
              <w:rPr>
                <w:rFonts w:hint="default" w:ascii="Times New Roman" w:hAnsi="Times New Roman" w:cs="Times New Roman"/>
                <w:color w:val="000000" w:themeColor="text1"/>
                <w:highlight w:val="none"/>
                <w:lang w:val="en-GB"/>
                <w14:textFill>
                  <w14:solidFill>
                    <w14:schemeClr w14:val="tx1"/>
                  </w14:solidFill>
                </w14:textFill>
              </w:rPr>
              <w:t>其他污染物大气环境质量现状监测</w:t>
            </w:r>
          </w:p>
          <w:p w14:paraId="78860EBD">
            <w:pPr>
              <w:pStyle w:val="68"/>
              <w:ind w:firstLine="480"/>
              <w:rPr>
                <w:rFonts w:hint="default" w:ascii="Times New Roman" w:hAnsi="Times New Roman" w:cs="Times New Roman"/>
                <w:color w:val="auto"/>
                <w:highlight w:val="none"/>
              </w:rPr>
            </w:pPr>
            <w:r>
              <w:rPr>
                <w:rFonts w:hint="default" w:ascii="Times New Roman" w:hAnsi="Times New Roman" w:cs="Times New Roman"/>
                <w:color w:val="auto"/>
                <w:highlight w:val="none"/>
              </w:rPr>
              <w:t>环境空气中NMHC监测结果引用</w:t>
            </w:r>
            <w:r>
              <w:rPr>
                <w:rFonts w:hint="eastAsia" w:cs="Times New Roman"/>
                <w:color w:val="auto"/>
                <w:highlight w:val="none"/>
                <w:lang w:val="en-US" w:eastAsia="zh-CN"/>
              </w:rPr>
              <w:t>沈阳市中正检测技术有限公司于</w:t>
            </w:r>
            <w:r>
              <w:rPr>
                <w:rFonts w:hint="default" w:ascii="Times New Roman" w:hAnsi="Times New Roman" w:cs="Times New Roman"/>
                <w:color w:val="auto"/>
                <w:highlight w:val="none"/>
              </w:rPr>
              <w:t>2021年</w:t>
            </w:r>
            <w:r>
              <w:rPr>
                <w:rFonts w:hint="eastAsia" w:cs="Times New Roman"/>
                <w:color w:val="auto"/>
                <w:highlight w:val="none"/>
                <w:lang w:val="en-US" w:eastAsia="zh-CN"/>
              </w:rPr>
              <w:t>12</w:t>
            </w:r>
            <w:r>
              <w:rPr>
                <w:rFonts w:hint="default" w:ascii="Times New Roman" w:hAnsi="Times New Roman" w:cs="Times New Roman"/>
                <w:color w:val="auto"/>
                <w:highlight w:val="none"/>
              </w:rPr>
              <w:t>月</w:t>
            </w:r>
            <w:r>
              <w:rPr>
                <w:rFonts w:hint="eastAsia" w:cs="Times New Roman"/>
                <w:color w:val="auto"/>
                <w:highlight w:val="none"/>
                <w:lang w:val="en-US" w:eastAsia="zh-CN"/>
              </w:rPr>
              <w:t>1</w:t>
            </w:r>
            <w:r>
              <w:rPr>
                <w:rFonts w:hint="default" w:ascii="Times New Roman" w:hAnsi="Times New Roman" w:cs="Times New Roman"/>
                <w:color w:val="auto"/>
                <w:highlight w:val="none"/>
              </w:rPr>
              <w:t>日至</w:t>
            </w:r>
            <w:r>
              <w:rPr>
                <w:rFonts w:hint="eastAsia" w:cs="Times New Roman"/>
                <w:color w:val="auto"/>
                <w:highlight w:val="none"/>
                <w:lang w:val="en-US" w:eastAsia="zh-CN"/>
              </w:rPr>
              <w:t>12</w:t>
            </w:r>
            <w:r>
              <w:rPr>
                <w:rFonts w:hint="default" w:ascii="Times New Roman" w:hAnsi="Times New Roman" w:cs="Times New Roman"/>
                <w:color w:val="auto"/>
                <w:highlight w:val="none"/>
              </w:rPr>
              <w:t>月</w:t>
            </w:r>
            <w:r>
              <w:rPr>
                <w:rFonts w:hint="eastAsia" w:cs="Times New Roman"/>
                <w:color w:val="auto"/>
                <w:highlight w:val="none"/>
                <w:lang w:val="en-US" w:eastAsia="zh-CN"/>
              </w:rPr>
              <w:t>3</w:t>
            </w:r>
            <w:r>
              <w:rPr>
                <w:rFonts w:hint="default" w:ascii="Times New Roman" w:hAnsi="Times New Roman" w:cs="Times New Roman"/>
                <w:color w:val="auto"/>
                <w:highlight w:val="none"/>
              </w:rPr>
              <w:t>日对《</w:t>
            </w:r>
            <w:r>
              <w:rPr>
                <w:rFonts w:hint="eastAsia" w:ascii="Times New Roman" w:hAnsi="Times New Roman" w:eastAsia="宋体" w:cs="Times New Roman"/>
                <w:color w:val="auto"/>
                <w:kern w:val="0"/>
                <w:sz w:val="24"/>
                <w:szCs w:val="24"/>
                <w:highlight w:val="none"/>
                <w:lang w:val="en-US" w:eastAsia="zh-CN" w:bidi="ar-SA"/>
              </w:rPr>
              <w:t>中国石油天然气股份有限公司辽宁本溪销售分公司郑家油气合建站项目</w:t>
            </w:r>
            <w:r>
              <w:rPr>
                <w:rFonts w:hint="default" w:ascii="Times New Roman" w:hAnsi="Times New Roman" w:cs="Times New Roman"/>
                <w:color w:val="auto"/>
                <w:highlight w:val="none"/>
              </w:rPr>
              <w:t>》所在地区环境空气质量进行的监测数据。该项目环境质量现状监测点位位于</w:t>
            </w:r>
            <w:r>
              <w:rPr>
                <w:rFonts w:hint="eastAsia" w:ascii="Times New Roman" w:hAnsi="Times New Roman" w:eastAsia="宋体" w:cs="Times New Roman"/>
                <w:color w:val="auto"/>
                <w:kern w:val="0"/>
                <w:sz w:val="24"/>
                <w:szCs w:val="24"/>
                <w:highlight w:val="none"/>
                <w:lang w:val="en-US" w:eastAsia="zh-CN" w:bidi="ar-SA"/>
              </w:rPr>
              <w:t>中国石油天然气股份有限公司辽宁本溪销售分公司郑家油气合建站</w:t>
            </w:r>
            <w:r>
              <w:rPr>
                <w:rFonts w:hint="eastAsia" w:cs="Times New Roman"/>
                <w:color w:val="auto"/>
                <w:highlight w:val="none"/>
                <w:lang w:val="en-US" w:eastAsia="zh-CN"/>
              </w:rPr>
              <w:t>西南侧</w:t>
            </w:r>
            <w:r>
              <w:rPr>
                <w:rFonts w:hint="default" w:ascii="Times New Roman" w:hAnsi="Times New Roman" w:cs="Times New Roman"/>
                <w:color w:val="auto"/>
                <w:highlight w:val="none"/>
              </w:rPr>
              <w:t>，距离本项目</w:t>
            </w:r>
            <w:r>
              <w:rPr>
                <w:rFonts w:hint="eastAsia" w:cs="Times New Roman"/>
                <w:color w:val="auto"/>
                <w:highlight w:val="none"/>
                <w:lang w:val="en-US" w:eastAsia="zh-CN"/>
              </w:rPr>
              <w:t>1.32k</w:t>
            </w:r>
            <w:r>
              <w:rPr>
                <w:rFonts w:hint="default" w:ascii="Times New Roman" w:hAnsi="Times New Roman" w:cs="Times New Roman"/>
                <w:color w:val="auto"/>
                <w:highlight w:val="none"/>
              </w:rPr>
              <w:t>m，在5km范围内，</w:t>
            </w:r>
            <w:r>
              <w:rPr>
                <w:rFonts w:hint="default" w:ascii="Times New Roman" w:hAnsi="Times New Roman" w:cs="Times New Roman"/>
                <w:color w:val="auto"/>
                <w:szCs w:val="32"/>
                <w:highlight w:val="none"/>
              </w:rPr>
              <w:t>故引用该监测结果合理，监测结果能够反映项目所在地其他污染物环境空气质量状况。</w:t>
            </w:r>
          </w:p>
          <w:p w14:paraId="74D88402">
            <w:pPr>
              <w:pStyle w:val="68"/>
              <w:ind w:firstLine="48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fldChar w:fldCharType="begin"/>
            </w:r>
            <w:r>
              <w:rPr>
                <w:rFonts w:hint="default" w:ascii="Times New Roman" w:hAnsi="Times New Roman" w:cs="Times New Roman"/>
                <w:color w:val="000000" w:themeColor="text1"/>
                <w:highlight w:val="none"/>
                <w14:textFill>
                  <w14:solidFill>
                    <w14:schemeClr w14:val="tx1"/>
                  </w14:solidFill>
                </w14:textFill>
              </w:rPr>
              <w:instrText xml:space="preserve"> = 1 \* GB3 \* MERGEFORMAT </w:instrText>
            </w:r>
            <w:r>
              <w:rPr>
                <w:rFonts w:hint="default" w:ascii="Times New Roman" w:hAnsi="Times New Roman" w:cs="Times New Roman"/>
                <w:color w:val="000000" w:themeColor="text1"/>
                <w:highlight w:val="none"/>
                <w14:textFill>
                  <w14:solidFill>
                    <w14:schemeClr w14:val="tx1"/>
                  </w14:solidFill>
                </w14:textFill>
              </w:rPr>
              <w:fldChar w:fldCharType="separate"/>
            </w:r>
            <w:r>
              <w:rPr>
                <w:rFonts w:hint="default" w:ascii="Times New Roman" w:hAnsi="Times New Roman" w:cs="Times New Roman"/>
                <w:color w:val="000000" w:themeColor="text1"/>
                <w:highlight w:val="none"/>
                <w14:textFill>
                  <w14:solidFill>
                    <w14:schemeClr w14:val="tx1"/>
                  </w14:solidFill>
                </w14:textFill>
              </w:rPr>
              <w:t>①</w:t>
            </w:r>
            <w:r>
              <w:rPr>
                <w:rFonts w:hint="default" w:ascii="Times New Roman" w:hAnsi="Times New Roman" w:cs="Times New Roman"/>
                <w:color w:val="000000" w:themeColor="text1"/>
                <w:highlight w:val="none"/>
                <w14:textFill>
                  <w14:solidFill>
                    <w14:schemeClr w14:val="tx1"/>
                  </w14:solidFill>
                </w14:textFill>
              </w:rPr>
              <w:fldChar w:fldCharType="end"/>
            </w:r>
            <w:r>
              <w:rPr>
                <w:rFonts w:hint="default" w:ascii="Times New Roman" w:hAnsi="Times New Roman" w:cs="Times New Roman"/>
                <w:color w:val="000000" w:themeColor="text1"/>
                <w:highlight w:val="none"/>
                <w14:textFill>
                  <w14:solidFill>
                    <w14:schemeClr w14:val="tx1"/>
                  </w14:solidFill>
                </w14:textFill>
              </w:rPr>
              <w:t>监测点位</w:t>
            </w:r>
          </w:p>
          <w:p w14:paraId="1087852D">
            <w:pPr>
              <w:pStyle w:val="68"/>
              <w:ind w:firstLine="48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监测内容如表3-2所示，监测点位图见附图3。</w:t>
            </w:r>
          </w:p>
          <w:p w14:paraId="40440E19">
            <w:pPr>
              <w:ind w:firstLine="422"/>
              <w:jc w:val="center"/>
              <w:rPr>
                <w:rFonts w:hint="default" w:ascii="Times New Roman" w:hAnsi="Times New Roman" w:cs="Times New Roman"/>
                <w:b/>
                <w:bCs/>
                <w:color w:val="000000" w:themeColor="text1"/>
                <w:szCs w:val="21"/>
                <w:highlight w:val="none"/>
                <w14:textFill>
                  <w14:solidFill>
                    <w14:schemeClr w14:val="tx1"/>
                  </w14:solidFill>
                </w14:textFill>
              </w:rPr>
            </w:pPr>
            <w:r>
              <w:rPr>
                <w:rFonts w:hint="default" w:ascii="Times New Roman" w:hAnsi="Times New Roman" w:cs="Times New Roman"/>
                <w:b/>
                <w:bCs/>
                <w:color w:val="000000" w:themeColor="text1"/>
                <w:szCs w:val="21"/>
                <w:highlight w:val="none"/>
                <w14:textFill>
                  <w14:solidFill>
                    <w14:schemeClr w14:val="tx1"/>
                  </w14:solidFill>
                </w14:textFill>
              </w:rPr>
              <w:t>表3-2    其他污染物补充监测点位基本信息</w:t>
            </w:r>
          </w:p>
          <w:tbl>
            <w:tblPr>
              <w:tblStyle w:val="27"/>
              <w:tblW w:w="0" w:type="auto"/>
              <w:tblInd w:w="0" w:type="dxa"/>
              <w:tblBorders>
                <w:top w:val="double" w:color="auto" w:sz="4" w:space="0"/>
                <w:left w:val="none" w:color="auto" w:sz="0" w:space="0"/>
                <w:bottom w:val="doub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315"/>
              <w:gridCol w:w="1494"/>
              <w:gridCol w:w="1351"/>
              <w:gridCol w:w="849"/>
              <w:gridCol w:w="1280"/>
              <w:gridCol w:w="835"/>
              <w:gridCol w:w="904"/>
            </w:tblGrid>
            <w:tr w14:paraId="2831473E">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1315" w:type="dxa"/>
                  <w:vMerge w:val="restart"/>
                  <w:vAlign w:val="center"/>
                </w:tcPr>
                <w:p w14:paraId="4C846CD5">
                  <w:pPr>
                    <w:pStyle w:val="69"/>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监测点名称</w:t>
                  </w:r>
                </w:p>
              </w:tc>
              <w:tc>
                <w:tcPr>
                  <w:tcW w:w="2845" w:type="dxa"/>
                  <w:gridSpan w:val="2"/>
                  <w:vAlign w:val="center"/>
                </w:tcPr>
                <w:p w14:paraId="759A4EDE">
                  <w:pPr>
                    <w:pStyle w:val="69"/>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监测点坐标/m</w:t>
                  </w:r>
                </w:p>
              </w:tc>
              <w:tc>
                <w:tcPr>
                  <w:tcW w:w="849" w:type="dxa"/>
                  <w:vMerge w:val="restart"/>
                  <w:vAlign w:val="center"/>
                </w:tcPr>
                <w:p w14:paraId="26F25BAF">
                  <w:pPr>
                    <w:pStyle w:val="69"/>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监测</w:t>
                  </w:r>
                </w:p>
                <w:p w14:paraId="79F2D27E">
                  <w:pPr>
                    <w:pStyle w:val="69"/>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因子</w:t>
                  </w:r>
                </w:p>
              </w:tc>
              <w:tc>
                <w:tcPr>
                  <w:tcW w:w="1280" w:type="dxa"/>
                  <w:vMerge w:val="restart"/>
                  <w:vAlign w:val="center"/>
                </w:tcPr>
                <w:p w14:paraId="03DCFEB4">
                  <w:pPr>
                    <w:pStyle w:val="69"/>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监测时段</w:t>
                  </w:r>
                </w:p>
              </w:tc>
              <w:tc>
                <w:tcPr>
                  <w:tcW w:w="835" w:type="dxa"/>
                  <w:vMerge w:val="restart"/>
                  <w:vAlign w:val="center"/>
                </w:tcPr>
                <w:p w14:paraId="4E95F39C">
                  <w:pPr>
                    <w:pStyle w:val="69"/>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相对厂址方位</w:t>
                  </w:r>
                </w:p>
              </w:tc>
              <w:tc>
                <w:tcPr>
                  <w:tcW w:w="904" w:type="dxa"/>
                  <w:vMerge w:val="restart"/>
                  <w:vAlign w:val="center"/>
                </w:tcPr>
                <w:p w14:paraId="1EA1971C">
                  <w:pPr>
                    <w:pStyle w:val="69"/>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相对厂址距离/</w:t>
                  </w:r>
                  <w:r>
                    <w:rPr>
                      <w:rFonts w:hint="eastAsia" w:cs="Times New Roman"/>
                      <w:color w:val="000000" w:themeColor="text1"/>
                      <w:highlight w:val="none"/>
                      <w:lang w:val="en-US" w:eastAsia="zh-CN"/>
                      <w14:textFill>
                        <w14:solidFill>
                          <w14:schemeClr w14:val="tx1"/>
                        </w14:solidFill>
                      </w14:textFill>
                    </w:rPr>
                    <w:t>k</w:t>
                  </w:r>
                  <w:r>
                    <w:rPr>
                      <w:rFonts w:hint="default" w:ascii="Times New Roman" w:hAnsi="Times New Roman" w:cs="Times New Roman"/>
                      <w:color w:val="000000" w:themeColor="text1"/>
                      <w:highlight w:val="none"/>
                      <w14:textFill>
                        <w14:solidFill>
                          <w14:schemeClr w14:val="tx1"/>
                        </w14:solidFill>
                      </w14:textFill>
                    </w:rPr>
                    <w:t>m</w:t>
                  </w:r>
                </w:p>
              </w:tc>
            </w:tr>
            <w:tr w14:paraId="15B39B6B">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1315" w:type="dxa"/>
                  <w:vMerge w:val="continue"/>
                  <w:vAlign w:val="center"/>
                </w:tcPr>
                <w:p w14:paraId="34CE9711">
                  <w:pPr>
                    <w:pStyle w:val="69"/>
                    <w:rPr>
                      <w:rFonts w:hint="default" w:ascii="Times New Roman" w:hAnsi="Times New Roman" w:cs="Times New Roman"/>
                      <w:color w:val="000000" w:themeColor="text1"/>
                      <w:highlight w:val="none"/>
                      <w14:textFill>
                        <w14:solidFill>
                          <w14:schemeClr w14:val="tx1"/>
                        </w14:solidFill>
                      </w14:textFill>
                    </w:rPr>
                  </w:pPr>
                </w:p>
              </w:tc>
              <w:tc>
                <w:tcPr>
                  <w:tcW w:w="1494" w:type="dxa"/>
                  <w:vAlign w:val="center"/>
                </w:tcPr>
                <w:p w14:paraId="662C98D9">
                  <w:pPr>
                    <w:pStyle w:val="69"/>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经度</w:t>
                  </w:r>
                </w:p>
              </w:tc>
              <w:tc>
                <w:tcPr>
                  <w:tcW w:w="1351" w:type="dxa"/>
                  <w:vAlign w:val="center"/>
                </w:tcPr>
                <w:p w14:paraId="2D2C550C">
                  <w:pPr>
                    <w:pStyle w:val="69"/>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纬度</w:t>
                  </w:r>
                </w:p>
              </w:tc>
              <w:tc>
                <w:tcPr>
                  <w:tcW w:w="849" w:type="dxa"/>
                  <w:vMerge w:val="continue"/>
                  <w:vAlign w:val="center"/>
                </w:tcPr>
                <w:p w14:paraId="7E6B84AF">
                  <w:pPr>
                    <w:pStyle w:val="69"/>
                    <w:rPr>
                      <w:rFonts w:hint="default" w:ascii="Times New Roman" w:hAnsi="Times New Roman" w:cs="Times New Roman"/>
                      <w:color w:val="000000" w:themeColor="text1"/>
                      <w:highlight w:val="none"/>
                      <w14:textFill>
                        <w14:solidFill>
                          <w14:schemeClr w14:val="tx1"/>
                        </w14:solidFill>
                      </w14:textFill>
                    </w:rPr>
                  </w:pPr>
                </w:p>
              </w:tc>
              <w:tc>
                <w:tcPr>
                  <w:tcW w:w="1280" w:type="dxa"/>
                  <w:vMerge w:val="continue"/>
                  <w:vAlign w:val="center"/>
                </w:tcPr>
                <w:p w14:paraId="3587322A">
                  <w:pPr>
                    <w:pStyle w:val="69"/>
                    <w:rPr>
                      <w:rFonts w:hint="default" w:ascii="Times New Roman" w:hAnsi="Times New Roman" w:cs="Times New Roman"/>
                      <w:color w:val="000000" w:themeColor="text1"/>
                      <w:highlight w:val="none"/>
                      <w14:textFill>
                        <w14:solidFill>
                          <w14:schemeClr w14:val="tx1"/>
                        </w14:solidFill>
                      </w14:textFill>
                    </w:rPr>
                  </w:pPr>
                </w:p>
              </w:tc>
              <w:tc>
                <w:tcPr>
                  <w:tcW w:w="835" w:type="dxa"/>
                  <w:vMerge w:val="continue"/>
                  <w:vAlign w:val="center"/>
                </w:tcPr>
                <w:p w14:paraId="5E40FFBA">
                  <w:pPr>
                    <w:pStyle w:val="69"/>
                    <w:rPr>
                      <w:rFonts w:hint="default" w:ascii="Times New Roman" w:hAnsi="Times New Roman" w:cs="Times New Roman"/>
                      <w:color w:val="000000" w:themeColor="text1"/>
                      <w:highlight w:val="none"/>
                      <w14:textFill>
                        <w14:solidFill>
                          <w14:schemeClr w14:val="tx1"/>
                        </w14:solidFill>
                      </w14:textFill>
                    </w:rPr>
                  </w:pPr>
                </w:p>
              </w:tc>
              <w:tc>
                <w:tcPr>
                  <w:tcW w:w="904" w:type="dxa"/>
                  <w:vMerge w:val="continue"/>
                  <w:vAlign w:val="center"/>
                </w:tcPr>
                <w:p w14:paraId="662CA728">
                  <w:pPr>
                    <w:pStyle w:val="69"/>
                    <w:rPr>
                      <w:rFonts w:hint="default" w:ascii="Times New Roman" w:hAnsi="Times New Roman" w:cs="Times New Roman"/>
                      <w:color w:val="000000" w:themeColor="text1"/>
                      <w:highlight w:val="none"/>
                      <w14:textFill>
                        <w14:solidFill>
                          <w14:schemeClr w14:val="tx1"/>
                        </w14:solidFill>
                      </w14:textFill>
                    </w:rPr>
                  </w:pPr>
                </w:p>
              </w:tc>
            </w:tr>
            <w:tr w14:paraId="6E47001B">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1315" w:type="dxa"/>
                  <w:vAlign w:val="center"/>
                </w:tcPr>
                <w:p w14:paraId="6364A754">
                  <w:pPr>
                    <w:pStyle w:val="69"/>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eastAsia" w:cs="Times New Roman"/>
                      <w:color w:val="000000" w:themeColor="text1"/>
                      <w:highlight w:val="none"/>
                      <w:lang w:val="en-US" w:eastAsia="zh-CN"/>
                      <w14:textFill>
                        <w14:solidFill>
                          <w14:schemeClr w14:val="tx1"/>
                        </w14:solidFill>
                      </w14:textFill>
                    </w:rPr>
                    <w:t>郑家油气合建站西南侧</w:t>
                  </w:r>
                </w:p>
              </w:tc>
              <w:tc>
                <w:tcPr>
                  <w:tcW w:w="1494" w:type="dxa"/>
                  <w:vAlign w:val="center"/>
                </w:tcPr>
                <w:p w14:paraId="7E79159F">
                  <w:pPr>
                    <w:pStyle w:val="69"/>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123°</w:t>
                  </w:r>
                  <w:r>
                    <w:rPr>
                      <w:rFonts w:hint="eastAsia" w:cs="Times New Roman"/>
                      <w:color w:val="000000" w:themeColor="text1"/>
                      <w:highlight w:val="none"/>
                      <w:lang w:val="en-US" w:eastAsia="zh-CN"/>
                      <w14:textFill>
                        <w14:solidFill>
                          <w14:schemeClr w14:val="tx1"/>
                        </w14:solidFill>
                      </w14:textFill>
                    </w:rPr>
                    <w:t>43</w:t>
                  </w:r>
                  <w:r>
                    <w:rPr>
                      <w:rFonts w:hint="default" w:ascii="Times New Roman" w:hAnsi="Times New Roman" w:cs="Times New Roman"/>
                      <w:color w:val="000000" w:themeColor="text1"/>
                      <w:highlight w:val="none"/>
                      <w14:textFill>
                        <w14:solidFill>
                          <w14:schemeClr w14:val="tx1"/>
                        </w14:solidFill>
                      </w14:textFill>
                    </w:rPr>
                    <w:t>′</w:t>
                  </w:r>
                  <w:r>
                    <w:rPr>
                      <w:rFonts w:hint="eastAsia" w:cs="Times New Roman"/>
                      <w:color w:val="000000" w:themeColor="text1"/>
                      <w:highlight w:val="none"/>
                      <w:lang w:val="en-US" w:eastAsia="zh-CN"/>
                      <w14:textFill>
                        <w14:solidFill>
                          <w14:schemeClr w14:val="tx1"/>
                        </w14:solidFill>
                      </w14:textFill>
                    </w:rPr>
                    <w:t>24.20</w:t>
                  </w:r>
                  <w:r>
                    <w:rPr>
                      <w:rFonts w:hint="default" w:ascii="Times New Roman" w:hAnsi="Times New Roman" w:cs="Times New Roman"/>
                      <w:color w:val="000000" w:themeColor="text1"/>
                      <w:highlight w:val="none"/>
                      <w14:textFill>
                        <w14:solidFill>
                          <w14:schemeClr w14:val="tx1"/>
                        </w14:solidFill>
                      </w14:textFill>
                    </w:rPr>
                    <w:t>″</w:t>
                  </w:r>
                </w:p>
              </w:tc>
              <w:tc>
                <w:tcPr>
                  <w:tcW w:w="1351" w:type="dxa"/>
                  <w:vAlign w:val="center"/>
                </w:tcPr>
                <w:p w14:paraId="55A2FB98">
                  <w:pPr>
                    <w:pStyle w:val="69"/>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41°1</w:t>
                  </w:r>
                  <w:r>
                    <w:rPr>
                      <w:rFonts w:hint="eastAsia" w:cs="Times New Roman"/>
                      <w:color w:val="000000" w:themeColor="text1"/>
                      <w:highlight w:val="none"/>
                      <w:lang w:val="en-US" w:eastAsia="zh-CN"/>
                      <w14:textFill>
                        <w14:solidFill>
                          <w14:schemeClr w14:val="tx1"/>
                        </w14:solidFill>
                      </w14:textFill>
                    </w:rPr>
                    <w:t>7</w:t>
                  </w:r>
                  <w:r>
                    <w:rPr>
                      <w:rFonts w:hint="default" w:ascii="Times New Roman" w:hAnsi="Times New Roman" w:cs="Times New Roman"/>
                      <w:color w:val="000000" w:themeColor="text1"/>
                      <w:highlight w:val="none"/>
                      <w14:textFill>
                        <w14:solidFill>
                          <w14:schemeClr w14:val="tx1"/>
                        </w14:solidFill>
                      </w14:textFill>
                    </w:rPr>
                    <w:t>′</w:t>
                  </w:r>
                  <w:r>
                    <w:rPr>
                      <w:rFonts w:hint="eastAsia" w:cs="Times New Roman"/>
                      <w:color w:val="000000" w:themeColor="text1"/>
                      <w:highlight w:val="none"/>
                      <w:lang w:val="en-US" w:eastAsia="zh-CN"/>
                      <w14:textFill>
                        <w14:solidFill>
                          <w14:schemeClr w14:val="tx1"/>
                        </w14:solidFill>
                      </w14:textFill>
                    </w:rPr>
                    <w:t>14.37</w:t>
                  </w:r>
                  <w:r>
                    <w:rPr>
                      <w:rFonts w:hint="default" w:ascii="Times New Roman" w:hAnsi="Times New Roman" w:cs="Times New Roman"/>
                      <w:color w:val="000000" w:themeColor="text1"/>
                      <w:highlight w:val="none"/>
                      <w14:textFill>
                        <w14:solidFill>
                          <w14:schemeClr w14:val="tx1"/>
                        </w14:solidFill>
                      </w14:textFill>
                    </w:rPr>
                    <w:t>″</w:t>
                  </w:r>
                </w:p>
              </w:tc>
              <w:tc>
                <w:tcPr>
                  <w:tcW w:w="849" w:type="dxa"/>
                  <w:vAlign w:val="center"/>
                </w:tcPr>
                <w:p w14:paraId="714A9745">
                  <w:pPr>
                    <w:pStyle w:val="69"/>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NMHC</w:t>
                  </w:r>
                </w:p>
              </w:tc>
              <w:tc>
                <w:tcPr>
                  <w:tcW w:w="1280" w:type="dxa"/>
                  <w:vAlign w:val="center"/>
                </w:tcPr>
                <w:p w14:paraId="5FB54712">
                  <w:pPr>
                    <w:pStyle w:val="69"/>
                    <w:rPr>
                      <w:rFonts w:hint="eastAsia" w:ascii="Times New Roman" w:hAnsi="Times New Roman" w:eastAsia="宋体" w:cs="Times New Roman"/>
                      <w:bCs/>
                      <w:color w:val="000000" w:themeColor="text1"/>
                      <w:highlight w:val="none"/>
                      <w:lang w:eastAsia="zh-CN"/>
                      <w14:textFill>
                        <w14:solidFill>
                          <w14:schemeClr w14:val="tx1"/>
                        </w14:solidFill>
                      </w14:textFill>
                    </w:rPr>
                  </w:pPr>
                  <w:r>
                    <w:rPr>
                      <w:rFonts w:hint="default" w:ascii="Times New Roman" w:hAnsi="Times New Roman" w:cs="Times New Roman"/>
                      <w:bCs/>
                      <w:color w:val="000000" w:themeColor="text1"/>
                      <w:highlight w:val="none"/>
                      <w14:textFill>
                        <w14:solidFill>
                          <w14:schemeClr w14:val="tx1"/>
                        </w14:solidFill>
                      </w14:textFill>
                    </w:rPr>
                    <w:t>2021.</w:t>
                  </w:r>
                  <w:r>
                    <w:rPr>
                      <w:rFonts w:hint="eastAsia" w:cs="Times New Roman"/>
                      <w:bCs/>
                      <w:color w:val="000000" w:themeColor="text1"/>
                      <w:highlight w:val="none"/>
                      <w:lang w:val="en-US" w:eastAsia="zh-CN"/>
                      <w14:textFill>
                        <w14:solidFill>
                          <w14:schemeClr w14:val="tx1"/>
                        </w14:solidFill>
                      </w14:textFill>
                    </w:rPr>
                    <w:t>12</w:t>
                  </w:r>
                  <w:r>
                    <w:rPr>
                      <w:rFonts w:hint="default" w:ascii="Times New Roman" w:hAnsi="Times New Roman" w:cs="Times New Roman"/>
                      <w:bCs/>
                      <w:color w:val="000000" w:themeColor="text1"/>
                      <w:highlight w:val="none"/>
                      <w14:textFill>
                        <w14:solidFill>
                          <w14:schemeClr w14:val="tx1"/>
                        </w14:solidFill>
                      </w14:textFill>
                    </w:rPr>
                    <w:t>.</w:t>
                  </w:r>
                  <w:r>
                    <w:rPr>
                      <w:rFonts w:hint="eastAsia" w:cs="Times New Roman"/>
                      <w:bCs/>
                      <w:color w:val="000000" w:themeColor="text1"/>
                      <w:highlight w:val="none"/>
                      <w:lang w:val="en-US" w:eastAsia="zh-CN"/>
                      <w14:textFill>
                        <w14:solidFill>
                          <w14:schemeClr w14:val="tx1"/>
                        </w14:solidFill>
                      </w14:textFill>
                    </w:rPr>
                    <w:t>1</w:t>
                  </w:r>
                  <w:r>
                    <w:rPr>
                      <w:rFonts w:hint="default" w:ascii="Times New Roman" w:hAnsi="Times New Roman" w:cs="Times New Roman"/>
                      <w:bCs/>
                      <w:color w:val="000000" w:themeColor="text1"/>
                      <w:highlight w:val="none"/>
                      <w14:textFill>
                        <w14:solidFill>
                          <w14:schemeClr w14:val="tx1"/>
                        </w14:solidFill>
                      </w14:textFill>
                    </w:rPr>
                    <w:t>~</w:t>
                  </w:r>
                  <w:r>
                    <w:rPr>
                      <w:rFonts w:hint="eastAsia" w:cs="Times New Roman"/>
                      <w:bCs/>
                      <w:color w:val="000000" w:themeColor="text1"/>
                      <w:highlight w:val="none"/>
                      <w:lang w:val="en-US" w:eastAsia="zh-CN"/>
                      <w14:textFill>
                        <w14:solidFill>
                          <w14:schemeClr w14:val="tx1"/>
                        </w14:solidFill>
                      </w14:textFill>
                    </w:rPr>
                    <w:t>3</w:t>
                  </w:r>
                </w:p>
              </w:tc>
              <w:tc>
                <w:tcPr>
                  <w:tcW w:w="835" w:type="dxa"/>
                  <w:vAlign w:val="center"/>
                </w:tcPr>
                <w:p w14:paraId="37E9E3B3">
                  <w:pPr>
                    <w:pStyle w:val="69"/>
                    <w:rPr>
                      <w:rFonts w:hint="eastAsia" w:ascii="Times New Roman" w:hAnsi="Times New Roman" w:eastAsia="宋体" w:cs="Times New Roman"/>
                      <w:color w:val="000000" w:themeColor="text1"/>
                      <w:highlight w:val="none"/>
                      <w:lang w:eastAsia="zh-CN"/>
                      <w14:textFill>
                        <w14:solidFill>
                          <w14:schemeClr w14:val="tx1"/>
                        </w14:solidFill>
                      </w14:textFill>
                    </w:rPr>
                  </w:pPr>
                  <w:r>
                    <w:rPr>
                      <w:rFonts w:hint="eastAsia" w:cs="Times New Roman"/>
                      <w:color w:val="000000" w:themeColor="text1"/>
                      <w:highlight w:val="none"/>
                      <w:lang w:val="en-US" w:eastAsia="zh-CN"/>
                      <w14:textFill>
                        <w14:solidFill>
                          <w14:schemeClr w14:val="tx1"/>
                        </w14:solidFill>
                      </w14:textFill>
                    </w:rPr>
                    <w:t>南</w:t>
                  </w:r>
                </w:p>
              </w:tc>
              <w:tc>
                <w:tcPr>
                  <w:tcW w:w="904" w:type="dxa"/>
                  <w:vAlign w:val="center"/>
                </w:tcPr>
                <w:p w14:paraId="28FABF5A">
                  <w:pPr>
                    <w:pStyle w:val="69"/>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eastAsia" w:cs="Times New Roman"/>
                      <w:color w:val="000000" w:themeColor="text1"/>
                      <w:highlight w:val="none"/>
                      <w:lang w:val="en-US" w:eastAsia="zh-CN"/>
                      <w14:textFill>
                        <w14:solidFill>
                          <w14:schemeClr w14:val="tx1"/>
                        </w14:solidFill>
                      </w14:textFill>
                    </w:rPr>
                    <w:t>1.32</w:t>
                  </w:r>
                </w:p>
              </w:tc>
            </w:tr>
          </w:tbl>
          <w:p w14:paraId="4422D770">
            <w:pPr>
              <w:pStyle w:val="34"/>
              <w:rPr>
                <w:rFonts w:hint="default" w:ascii="Times New Roman" w:hAnsi="Times New Roman" w:cs="Times New Roman"/>
                <w:color w:val="000000" w:themeColor="text1"/>
                <w:highlight w:val="none"/>
                <w14:textFill>
                  <w14:solidFill>
                    <w14:schemeClr w14:val="tx1"/>
                  </w14:solidFill>
                </w14:textFill>
              </w:rPr>
            </w:pPr>
          </w:p>
          <w:p w14:paraId="5607BE46">
            <w:pPr>
              <w:pStyle w:val="68"/>
              <w:ind w:firstLine="48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②监测频次</w:t>
            </w:r>
          </w:p>
          <w:p w14:paraId="7FBD709C">
            <w:pPr>
              <w:pStyle w:val="68"/>
              <w:ind w:firstLine="48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连续监测3天，NMHC监测</w:t>
            </w:r>
            <w:r>
              <w:rPr>
                <w:rFonts w:hint="eastAsia" w:cs="Times New Roman"/>
                <w:color w:val="000000" w:themeColor="text1"/>
                <w:highlight w:val="none"/>
                <w:lang w:val="en-US" w:eastAsia="zh-CN"/>
                <w14:textFill>
                  <w14:solidFill>
                    <w14:schemeClr w14:val="tx1"/>
                  </w14:solidFill>
                </w14:textFill>
              </w:rPr>
              <w:t>1次值</w:t>
            </w:r>
            <w:r>
              <w:rPr>
                <w:rFonts w:hint="default" w:ascii="Times New Roman" w:hAnsi="Times New Roman" w:cs="Times New Roman"/>
                <w:color w:val="000000" w:themeColor="text1"/>
                <w:highlight w:val="none"/>
                <w14:textFill>
                  <w14:solidFill>
                    <w14:schemeClr w14:val="tx1"/>
                  </w14:solidFill>
                </w14:textFill>
              </w:rPr>
              <w:t>。</w:t>
            </w:r>
          </w:p>
          <w:p w14:paraId="78425553">
            <w:pPr>
              <w:pStyle w:val="68"/>
              <w:ind w:firstLine="48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③监测结果</w:t>
            </w:r>
          </w:p>
          <w:p w14:paraId="70163708">
            <w:pPr>
              <w:pStyle w:val="68"/>
              <w:ind w:firstLine="48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监测结果见表3-3。</w:t>
            </w:r>
          </w:p>
          <w:p w14:paraId="4F0753BD">
            <w:pPr>
              <w:ind w:firstLine="422"/>
              <w:jc w:val="center"/>
              <w:rPr>
                <w:rFonts w:hint="default" w:ascii="Times New Roman" w:hAnsi="Times New Roman" w:cs="Times New Roman"/>
                <w:b/>
                <w:bCs/>
                <w:color w:val="000000" w:themeColor="text1"/>
                <w:szCs w:val="21"/>
                <w:highlight w:val="none"/>
                <w14:textFill>
                  <w14:solidFill>
                    <w14:schemeClr w14:val="tx1"/>
                  </w14:solidFill>
                </w14:textFill>
              </w:rPr>
            </w:pPr>
            <w:r>
              <w:rPr>
                <w:rFonts w:hint="default" w:ascii="Times New Roman" w:hAnsi="Times New Roman" w:cs="Times New Roman"/>
                <w:b/>
                <w:bCs/>
                <w:color w:val="000000" w:themeColor="text1"/>
                <w:szCs w:val="21"/>
                <w:highlight w:val="none"/>
                <w14:textFill>
                  <w14:solidFill>
                    <w14:schemeClr w14:val="tx1"/>
                  </w14:solidFill>
                </w14:textFill>
              </w:rPr>
              <w:t>表3-3    其他污染物现状监测统计结果    单位：mg/m</w:t>
            </w:r>
            <w:r>
              <w:rPr>
                <w:rFonts w:hint="default" w:ascii="Times New Roman" w:hAnsi="Times New Roman" w:cs="Times New Roman"/>
                <w:b/>
                <w:bCs/>
                <w:color w:val="000000" w:themeColor="text1"/>
                <w:szCs w:val="21"/>
                <w:highlight w:val="none"/>
                <w:vertAlign w:val="superscript"/>
                <w14:textFill>
                  <w14:solidFill>
                    <w14:schemeClr w14:val="tx1"/>
                  </w14:solidFill>
                </w14:textFill>
              </w:rPr>
              <w:t>3</w:t>
            </w:r>
          </w:p>
          <w:tbl>
            <w:tblPr>
              <w:tblStyle w:val="27"/>
              <w:tblW w:w="0" w:type="auto"/>
              <w:tblInd w:w="0" w:type="dxa"/>
              <w:tblBorders>
                <w:top w:val="double" w:color="auto" w:sz="4" w:space="0"/>
                <w:left w:val="none" w:color="auto" w:sz="0" w:space="0"/>
                <w:bottom w:val="doub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935"/>
              <w:gridCol w:w="1109"/>
              <w:gridCol w:w="1023"/>
              <w:gridCol w:w="1276"/>
              <w:gridCol w:w="758"/>
              <w:gridCol w:w="1276"/>
              <w:gridCol w:w="811"/>
              <w:gridCol w:w="840"/>
            </w:tblGrid>
            <w:tr w14:paraId="590B2AF3">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35" w:type="dxa"/>
                  <w:vAlign w:val="center"/>
                </w:tcPr>
                <w:p w14:paraId="2252A49F">
                  <w:pPr>
                    <w:pStyle w:val="34"/>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点位</w:t>
                  </w:r>
                </w:p>
              </w:tc>
              <w:tc>
                <w:tcPr>
                  <w:tcW w:w="1109" w:type="dxa"/>
                  <w:vAlign w:val="center"/>
                </w:tcPr>
                <w:p w14:paraId="3652699C">
                  <w:pPr>
                    <w:pStyle w:val="34"/>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平均时间</w:t>
                  </w:r>
                </w:p>
              </w:tc>
              <w:tc>
                <w:tcPr>
                  <w:tcW w:w="1023" w:type="dxa"/>
                  <w:vAlign w:val="center"/>
                </w:tcPr>
                <w:p w14:paraId="75EBE6B8">
                  <w:pPr>
                    <w:pStyle w:val="34"/>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项目</w:t>
                  </w:r>
                </w:p>
              </w:tc>
              <w:tc>
                <w:tcPr>
                  <w:tcW w:w="1276" w:type="dxa"/>
                  <w:vAlign w:val="center"/>
                </w:tcPr>
                <w:p w14:paraId="3F639A21">
                  <w:pPr>
                    <w:pStyle w:val="34"/>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浓度范围</w:t>
                  </w:r>
                </w:p>
              </w:tc>
              <w:tc>
                <w:tcPr>
                  <w:tcW w:w="758" w:type="dxa"/>
                  <w:vAlign w:val="center"/>
                </w:tcPr>
                <w:p w14:paraId="61F4AAA8">
                  <w:pPr>
                    <w:pStyle w:val="34"/>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标准</w:t>
                  </w:r>
                </w:p>
                <w:p w14:paraId="1BDD24C8">
                  <w:pPr>
                    <w:pStyle w:val="34"/>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限值</w:t>
                  </w:r>
                </w:p>
              </w:tc>
              <w:tc>
                <w:tcPr>
                  <w:tcW w:w="1276" w:type="dxa"/>
                  <w:vAlign w:val="center"/>
                </w:tcPr>
                <w:p w14:paraId="4ACA663E">
                  <w:pPr>
                    <w:pStyle w:val="34"/>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最大浓度占标率（%）</w:t>
                  </w:r>
                </w:p>
              </w:tc>
              <w:tc>
                <w:tcPr>
                  <w:tcW w:w="811" w:type="dxa"/>
                  <w:vAlign w:val="center"/>
                </w:tcPr>
                <w:p w14:paraId="3DFEB832">
                  <w:pPr>
                    <w:pStyle w:val="34"/>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检出率（%）</w:t>
                  </w:r>
                </w:p>
              </w:tc>
              <w:tc>
                <w:tcPr>
                  <w:tcW w:w="840" w:type="dxa"/>
                  <w:vAlign w:val="center"/>
                </w:tcPr>
                <w:p w14:paraId="02AC20A6">
                  <w:pPr>
                    <w:pStyle w:val="34"/>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超标率（%）</w:t>
                  </w:r>
                </w:p>
              </w:tc>
            </w:tr>
            <w:tr w14:paraId="792247F3">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35" w:type="dxa"/>
                  <w:vAlign w:val="center"/>
                </w:tcPr>
                <w:p w14:paraId="4E0D3443">
                  <w:pPr>
                    <w:pStyle w:val="69"/>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eastAsia" w:cs="Times New Roman"/>
                      <w:color w:val="000000" w:themeColor="text1"/>
                      <w:highlight w:val="none"/>
                      <w:lang w:val="en-US" w:eastAsia="zh-CN"/>
                      <w14:textFill>
                        <w14:solidFill>
                          <w14:schemeClr w14:val="tx1"/>
                        </w14:solidFill>
                      </w14:textFill>
                    </w:rPr>
                    <w:t>郑家油气合建站南侧</w:t>
                  </w:r>
                </w:p>
              </w:tc>
              <w:tc>
                <w:tcPr>
                  <w:tcW w:w="1109" w:type="dxa"/>
                  <w:vAlign w:val="center"/>
                </w:tcPr>
                <w:p w14:paraId="47B2114E">
                  <w:pPr>
                    <w:pStyle w:val="34"/>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eastAsia" w:cs="Times New Roman"/>
                      <w:color w:val="000000" w:themeColor="text1"/>
                      <w:highlight w:val="none"/>
                      <w:lang w:val="en-US" w:eastAsia="zh-CN"/>
                      <w14:textFill>
                        <w14:solidFill>
                          <w14:schemeClr w14:val="tx1"/>
                        </w14:solidFill>
                      </w14:textFill>
                    </w:rPr>
                    <w:t>1次值</w:t>
                  </w:r>
                </w:p>
              </w:tc>
              <w:tc>
                <w:tcPr>
                  <w:tcW w:w="1023" w:type="dxa"/>
                  <w:vAlign w:val="center"/>
                </w:tcPr>
                <w:p w14:paraId="7FB8D1A8">
                  <w:pPr>
                    <w:pStyle w:val="34"/>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NMHC</w:t>
                  </w:r>
                </w:p>
              </w:tc>
              <w:tc>
                <w:tcPr>
                  <w:tcW w:w="1276" w:type="dxa"/>
                  <w:vAlign w:val="center"/>
                </w:tcPr>
                <w:p w14:paraId="41611696">
                  <w:pPr>
                    <w:pStyle w:val="34"/>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eastAsia" w:cs="Times New Roman"/>
                      <w:color w:val="000000" w:themeColor="text1"/>
                      <w:szCs w:val="21"/>
                      <w:highlight w:val="none"/>
                      <w:lang w:val="en-US" w:eastAsia="zh-CN"/>
                      <w14:textFill>
                        <w14:solidFill>
                          <w14:schemeClr w14:val="tx1"/>
                        </w14:solidFill>
                      </w14:textFill>
                    </w:rPr>
                    <w:t>0.86~0.95</w:t>
                  </w:r>
                </w:p>
              </w:tc>
              <w:tc>
                <w:tcPr>
                  <w:tcW w:w="758" w:type="dxa"/>
                  <w:vAlign w:val="center"/>
                </w:tcPr>
                <w:p w14:paraId="04884E82">
                  <w:pPr>
                    <w:pStyle w:val="34"/>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2.0</w:t>
                  </w:r>
                </w:p>
              </w:tc>
              <w:tc>
                <w:tcPr>
                  <w:tcW w:w="1276" w:type="dxa"/>
                  <w:vAlign w:val="center"/>
                </w:tcPr>
                <w:p w14:paraId="0FB0025C">
                  <w:pPr>
                    <w:pStyle w:val="34"/>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eastAsia" w:cs="Times New Roman"/>
                      <w:color w:val="000000" w:themeColor="text1"/>
                      <w:highlight w:val="none"/>
                      <w:lang w:val="en-US" w:eastAsia="zh-CN"/>
                      <w14:textFill>
                        <w14:solidFill>
                          <w14:schemeClr w14:val="tx1"/>
                        </w14:solidFill>
                      </w14:textFill>
                    </w:rPr>
                    <w:t>47.5</w:t>
                  </w:r>
                </w:p>
              </w:tc>
              <w:tc>
                <w:tcPr>
                  <w:tcW w:w="811" w:type="dxa"/>
                  <w:vAlign w:val="center"/>
                </w:tcPr>
                <w:p w14:paraId="2676AA48">
                  <w:pPr>
                    <w:pStyle w:val="34"/>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100</w:t>
                  </w:r>
                </w:p>
              </w:tc>
              <w:tc>
                <w:tcPr>
                  <w:tcW w:w="840" w:type="dxa"/>
                  <w:vAlign w:val="center"/>
                </w:tcPr>
                <w:p w14:paraId="61959E7E">
                  <w:pPr>
                    <w:pStyle w:val="34"/>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0</w:t>
                  </w:r>
                </w:p>
              </w:tc>
            </w:tr>
          </w:tbl>
          <w:p w14:paraId="33B1A82F">
            <w:pPr>
              <w:pStyle w:val="69"/>
              <w:rPr>
                <w:rFonts w:hint="default" w:ascii="Times New Roman" w:hAnsi="Times New Roman" w:cs="Times New Roman"/>
                <w:color w:val="000000" w:themeColor="text1"/>
                <w:highlight w:val="none"/>
                <w14:textFill>
                  <w14:solidFill>
                    <w14:schemeClr w14:val="tx1"/>
                  </w14:solidFill>
                </w14:textFill>
              </w:rPr>
            </w:pPr>
          </w:p>
          <w:p w14:paraId="1D41A399">
            <w:pPr>
              <w:pStyle w:val="68"/>
              <w:ind w:firstLine="48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 xml:space="preserve">由上表可以看出，项目所在区域的环境空气中NMHC </w:t>
            </w:r>
            <w:r>
              <w:rPr>
                <w:rFonts w:hint="eastAsia" w:cs="Times New Roman"/>
                <w:color w:val="000000" w:themeColor="text1"/>
                <w:highlight w:val="none"/>
                <w:lang w:val="en-US" w:eastAsia="zh-CN"/>
                <w14:textFill>
                  <w14:solidFill>
                    <w14:schemeClr w14:val="tx1"/>
                  </w14:solidFill>
                </w14:textFill>
              </w:rPr>
              <w:t>1次值</w:t>
            </w:r>
            <w:r>
              <w:rPr>
                <w:rFonts w:hint="default" w:ascii="Times New Roman" w:hAnsi="Times New Roman" w:cs="Times New Roman"/>
                <w:color w:val="000000" w:themeColor="text1"/>
                <w:highlight w:val="none"/>
                <w14:textFill>
                  <w14:solidFill>
                    <w14:schemeClr w14:val="tx1"/>
                  </w14:solidFill>
                </w14:textFill>
              </w:rPr>
              <w:t>浓度满足《大气污染物综合排放标准详解》要求，项目所在区域的环境空气质量良好。</w:t>
            </w:r>
          </w:p>
          <w:p w14:paraId="3D062373">
            <w:pPr>
              <w:pStyle w:val="68"/>
              <w:ind w:firstLine="482"/>
              <w:rPr>
                <w:rFonts w:hint="default" w:ascii="Times New Roman" w:hAnsi="Times New Roman" w:cs="Times New Roman"/>
                <w:b/>
                <w:color w:val="000000" w:themeColor="text1"/>
                <w:kern w:val="0"/>
                <w:highlight w:val="none"/>
                <w14:textFill>
                  <w14:solidFill>
                    <w14:schemeClr w14:val="tx1"/>
                  </w14:solidFill>
                </w14:textFill>
              </w:rPr>
            </w:pPr>
            <w:r>
              <w:rPr>
                <w:rFonts w:hint="default" w:ascii="Times New Roman" w:hAnsi="Times New Roman" w:cs="Times New Roman"/>
                <w:b/>
                <w:color w:val="000000" w:themeColor="text1"/>
                <w:kern w:val="0"/>
                <w:highlight w:val="none"/>
                <w14:textFill>
                  <w14:solidFill>
                    <w14:schemeClr w14:val="tx1"/>
                  </w14:solidFill>
                </w14:textFill>
              </w:rPr>
              <w:t>2.声环境</w:t>
            </w:r>
          </w:p>
          <w:p w14:paraId="5B29580C">
            <w:pPr>
              <w:pStyle w:val="68"/>
              <w:ind w:firstLine="480"/>
              <w:rPr>
                <w:rFonts w:hint="default" w:ascii="Times New Roman" w:hAnsi="Times New Roman" w:cs="Times New Roman"/>
                <w:color w:val="000000" w:themeColor="text1"/>
                <w:highlight w:val="none"/>
                <w14:textFill>
                  <w14:solidFill>
                    <w14:schemeClr w14:val="tx1"/>
                  </w14:solidFill>
                </w14:textFill>
              </w:rPr>
            </w:pPr>
            <w:r>
              <w:rPr>
                <w:rFonts w:hint="eastAsia" w:cs="Times New Roman"/>
                <w:color w:val="000000" w:themeColor="text1"/>
                <w:highlight w:val="none"/>
                <w:lang w:val="en-US" w:eastAsia="zh-CN"/>
                <w14:textFill>
                  <w14:solidFill>
                    <w14:schemeClr w14:val="tx1"/>
                  </w14:solidFill>
                </w14:textFill>
              </w:rPr>
              <w:t>本溪申源生态环保工程有限公司</w:t>
            </w:r>
            <w:r>
              <w:rPr>
                <w:rFonts w:hint="default" w:ascii="Times New Roman" w:hAnsi="Times New Roman" w:cs="Times New Roman"/>
                <w:color w:val="000000" w:themeColor="text1"/>
                <w:highlight w:val="none"/>
                <w14:textFill>
                  <w14:solidFill>
                    <w14:schemeClr w14:val="tx1"/>
                  </w14:solidFill>
                </w14:textFill>
              </w:rPr>
              <w:t>厂界外周边50m范围内无声环境保护目标，根据《建设项目环境影响报告表编制技术指南（污染影响类）（试行）》要求，无需对声环境保护目标进行补充监测。</w:t>
            </w:r>
          </w:p>
          <w:p w14:paraId="370261A1">
            <w:pPr>
              <w:pStyle w:val="68"/>
              <w:ind w:firstLine="482"/>
              <w:rPr>
                <w:rFonts w:hint="default" w:ascii="Times New Roman" w:hAnsi="Times New Roman" w:cs="Times New Roman"/>
                <w:b/>
                <w:color w:val="000000" w:themeColor="text1"/>
                <w:highlight w:val="none"/>
                <w14:textFill>
                  <w14:solidFill>
                    <w14:schemeClr w14:val="tx1"/>
                  </w14:solidFill>
                </w14:textFill>
              </w:rPr>
            </w:pPr>
            <w:r>
              <w:rPr>
                <w:rFonts w:hint="default" w:ascii="Times New Roman" w:hAnsi="Times New Roman" w:cs="Times New Roman"/>
                <w:b/>
                <w:color w:val="000000" w:themeColor="text1"/>
                <w:highlight w:val="none"/>
                <w14:textFill>
                  <w14:solidFill>
                    <w14:schemeClr w14:val="tx1"/>
                  </w14:solidFill>
                </w14:textFill>
              </w:rPr>
              <w:t>3.地表水环境</w:t>
            </w:r>
          </w:p>
          <w:p w14:paraId="0B7FB52A">
            <w:pPr>
              <w:pStyle w:val="71"/>
              <w:spacing w:before="24" w:after="24"/>
              <w:ind w:firstLine="480" w:firstLineChars="200"/>
              <w:rPr>
                <w:rFonts w:hint="default" w:ascii="Times New Roman" w:hAnsi="Times New Roman" w:cs="Times New Roman"/>
                <w:color w:val="000000" w:themeColor="text1"/>
                <w:kern w:val="2"/>
                <w:szCs w:val="24"/>
                <w:highlight w:val="none"/>
                <w14:textFill>
                  <w14:solidFill>
                    <w14:schemeClr w14:val="tx1"/>
                  </w14:solidFill>
                </w14:textFill>
              </w:rPr>
            </w:pPr>
            <w:r>
              <w:rPr>
                <w:rFonts w:hint="eastAsia" w:cs="Times New Roman"/>
                <w:color w:val="000000" w:themeColor="text1"/>
                <w:kern w:val="2"/>
                <w:szCs w:val="24"/>
                <w:highlight w:val="none"/>
                <w:lang w:val="en-US" w:eastAsia="zh-CN"/>
                <w14:textFill>
                  <w14:solidFill>
                    <w14:schemeClr w14:val="tx1"/>
                  </w14:solidFill>
                </w14:textFill>
              </w:rPr>
              <w:t>根据《本溪湖经济开发区总体规划环境影响报告书》（2020年12月），2020年7月19-21日，辽宁中天理化分析检测有限公司对太子河进行监测。监测断面污水处理厂排口下游2000m处。</w:t>
            </w:r>
          </w:p>
          <w:p w14:paraId="7558C67D">
            <w:pPr>
              <w:pStyle w:val="71"/>
              <w:spacing w:before="24" w:after="24"/>
              <w:ind w:firstLine="480" w:firstLineChars="200"/>
              <w:rPr>
                <w:rFonts w:hint="default" w:ascii="Times New Roman" w:hAnsi="Times New Roman" w:cs="Times New Roman"/>
                <w:color w:val="000000" w:themeColor="text1"/>
                <w:kern w:val="2"/>
                <w:szCs w:val="24"/>
                <w:highlight w:val="none"/>
                <w14:textFill>
                  <w14:solidFill>
                    <w14:schemeClr w14:val="tx1"/>
                  </w14:solidFill>
                </w14:textFill>
              </w:rPr>
            </w:pPr>
            <w:r>
              <w:rPr>
                <w:rFonts w:hint="default" w:ascii="Times New Roman" w:hAnsi="Times New Roman" w:cs="Times New Roman"/>
                <w:color w:val="000000" w:themeColor="text1"/>
                <w:kern w:val="2"/>
                <w:szCs w:val="24"/>
                <w:highlight w:val="none"/>
                <w14:textFill>
                  <w14:solidFill>
                    <w14:schemeClr w14:val="tx1"/>
                  </w14:solidFill>
                </w14:textFill>
              </w:rPr>
              <w:t>（1）评价标准</w:t>
            </w:r>
          </w:p>
          <w:p w14:paraId="2808884B">
            <w:pPr>
              <w:pStyle w:val="71"/>
              <w:spacing w:before="24" w:after="24"/>
              <w:ind w:firstLine="480" w:firstLineChars="200"/>
              <w:rPr>
                <w:rFonts w:hint="default" w:ascii="Times New Roman" w:hAnsi="Times New Roman" w:cs="Times New Roman"/>
                <w:color w:val="000000" w:themeColor="text1"/>
                <w:kern w:val="2"/>
                <w:szCs w:val="24"/>
                <w:highlight w:val="none"/>
                <w14:textFill>
                  <w14:solidFill>
                    <w14:schemeClr w14:val="tx1"/>
                  </w14:solidFill>
                </w14:textFill>
              </w:rPr>
            </w:pPr>
            <w:r>
              <w:rPr>
                <w:rFonts w:hint="default" w:ascii="Times New Roman" w:hAnsi="Times New Roman" w:cs="Times New Roman"/>
                <w:color w:val="000000" w:themeColor="text1"/>
                <w:kern w:val="2"/>
                <w:szCs w:val="24"/>
                <w:highlight w:val="none"/>
                <w14:textFill>
                  <w14:solidFill>
                    <w14:schemeClr w14:val="tx1"/>
                  </w14:solidFill>
                </w14:textFill>
              </w:rPr>
              <w:t>根据《地表水环境质量标准》（GB3838-2002）中Ⅳ类标准的相关内容进行评价。</w:t>
            </w:r>
          </w:p>
          <w:p w14:paraId="2C0876CF">
            <w:pPr>
              <w:pStyle w:val="71"/>
              <w:spacing w:before="24" w:after="24"/>
              <w:ind w:firstLine="480" w:firstLineChars="200"/>
              <w:rPr>
                <w:rFonts w:hint="default" w:ascii="Times New Roman" w:hAnsi="Times New Roman" w:cs="Times New Roman"/>
                <w:color w:val="000000" w:themeColor="text1"/>
                <w:kern w:val="2"/>
                <w:szCs w:val="24"/>
                <w:highlight w:val="none"/>
                <w14:textFill>
                  <w14:solidFill>
                    <w14:schemeClr w14:val="tx1"/>
                  </w14:solidFill>
                </w14:textFill>
              </w:rPr>
            </w:pPr>
            <w:r>
              <w:rPr>
                <w:rFonts w:hint="default" w:ascii="Times New Roman" w:hAnsi="Times New Roman" w:cs="Times New Roman"/>
                <w:color w:val="000000" w:themeColor="text1"/>
                <w:kern w:val="2"/>
                <w:szCs w:val="24"/>
                <w:highlight w:val="none"/>
                <w14:textFill>
                  <w14:solidFill>
                    <w14:schemeClr w14:val="tx1"/>
                  </w14:solidFill>
                </w14:textFill>
              </w:rPr>
              <w:t>（2）评价方法</w:t>
            </w:r>
          </w:p>
          <w:p w14:paraId="56B8E6FE">
            <w:pPr>
              <w:pStyle w:val="71"/>
              <w:spacing w:before="24" w:after="24"/>
              <w:ind w:firstLine="480" w:firstLineChars="200"/>
              <w:rPr>
                <w:rFonts w:hint="default" w:ascii="Times New Roman" w:hAnsi="Times New Roman" w:cs="Times New Roman"/>
                <w:color w:val="000000" w:themeColor="text1"/>
                <w:kern w:val="2"/>
                <w:szCs w:val="24"/>
                <w:highlight w:val="none"/>
                <w14:textFill>
                  <w14:solidFill>
                    <w14:schemeClr w14:val="tx1"/>
                  </w14:solidFill>
                </w14:textFill>
              </w:rPr>
            </w:pPr>
            <w:r>
              <w:rPr>
                <w:rFonts w:hint="default" w:ascii="Times New Roman" w:hAnsi="Times New Roman" w:cs="Times New Roman"/>
                <w:color w:val="000000" w:themeColor="text1"/>
                <w:kern w:val="2"/>
                <w:szCs w:val="24"/>
                <w:highlight w:val="none"/>
                <w14:textFill>
                  <w14:solidFill>
                    <w14:schemeClr w14:val="tx1"/>
                  </w14:solidFill>
                </w14:textFill>
              </w:rPr>
              <w:t>一般水质因子采用水质指数法进行评价：</w:t>
            </w:r>
          </w:p>
          <w:p w14:paraId="363532C4">
            <w:pPr>
              <w:pStyle w:val="71"/>
              <w:spacing w:before="24" w:after="24"/>
              <w:ind w:firstLine="480" w:firstLineChars="200"/>
              <w:rPr>
                <w:rFonts w:hint="default" w:ascii="Times New Roman" w:hAnsi="Times New Roman" w:cs="Times New Roman"/>
                <w:color w:val="000000" w:themeColor="text1"/>
                <w:kern w:val="2"/>
                <w:szCs w:val="24"/>
                <w:highlight w:val="none"/>
                <w14:textFill>
                  <w14:solidFill>
                    <w14:schemeClr w14:val="tx1"/>
                  </w14:solidFill>
                </w14:textFill>
              </w:rPr>
            </w:pPr>
            <w:r>
              <w:rPr>
                <w:rFonts w:hint="default" w:ascii="Times New Roman" w:hAnsi="Times New Roman" w:cs="Times New Roman"/>
                <w:color w:val="000000" w:themeColor="text1"/>
                <w:kern w:val="2"/>
                <w:szCs w:val="24"/>
                <w:highlight w:val="none"/>
                <w14:textFill>
                  <w14:solidFill>
                    <w14:schemeClr w14:val="tx1"/>
                  </w14:solidFill>
                </w14:textFill>
              </w:rPr>
              <w:object>
                <v:shape id="_x0000_i1025" o:spt="75" type="#_x0000_t75" style="height:16pt;width:74pt;" o:ole="t" filled="f" o:preferrelative="t" stroked="f" coordsize="21600,21600">
                  <v:path/>
                  <v:fill on="f" focussize="0,0"/>
                  <v:stroke on="f"/>
                  <v:imagedata r:id="rId10" o:title=""/>
                  <o:lock v:ext="edit" grouping="f" rotation="f" text="f" aspectratio="t"/>
                  <w10:wrap type="none"/>
                  <w10:anchorlock/>
                </v:shape>
                <o:OLEObject Type="Embed" ProgID="Equation.KSEE3" ShapeID="_x0000_i1025" DrawAspect="Content" ObjectID="_1468075725" r:id="rId9">
                  <o:LockedField>false</o:LockedField>
                </o:OLEObject>
              </w:object>
            </w:r>
          </w:p>
          <w:p w14:paraId="7DDFB1F4">
            <w:pPr>
              <w:pStyle w:val="71"/>
              <w:spacing w:before="24" w:after="24"/>
              <w:ind w:firstLine="480" w:firstLineChars="200"/>
              <w:rPr>
                <w:rFonts w:hint="default" w:ascii="Times New Roman" w:hAnsi="Times New Roman" w:cs="Times New Roman"/>
                <w:color w:val="000000" w:themeColor="text1"/>
                <w:kern w:val="2"/>
                <w:szCs w:val="24"/>
                <w:highlight w:val="none"/>
                <w14:textFill>
                  <w14:solidFill>
                    <w14:schemeClr w14:val="tx1"/>
                  </w14:solidFill>
                </w14:textFill>
              </w:rPr>
            </w:pPr>
            <w:r>
              <w:rPr>
                <w:rFonts w:hint="default" w:ascii="Times New Roman" w:hAnsi="Times New Roman" w:cs="Times New Roman"/>
                <w:color w:val="000000" w:themeColor="text1"/>
                <w:kern w:val="2"/>
                <w:szCs w:val="24"/>
                <w:highlight w:val="none"/>
                <w14:textFill>
                  <w14:solidFill>
                    <w14:schemeClr w14:val="tx1"/>
                  </w14:solidFill>
                </w14:textFill>
              </w:rPr>
              <w:t>式中：Si.j—评价因子i的水质指数，大于1表明该水质因子超标；      </w:t>
            </w:r>
          </w:p>
          <w:p w14:paraId="617F1E98">
            <w:pPr>
              <w:pStyle w:val="71"/>
              <w:spacing w:before="24" w:after="24"/>
              <w:ind w:firstLine="480" w:firstLineChars="200"/>
              <w:rPr>
                <w:rFonts w:hint="default" w:ascii="Times New Roman" w:hAnsi="Times New Roman" w:cs="Times New Roman"/>
                <w:color w:val="000000" w:themeColor="text1"/>
                <w:kern w:val="2"/>
                <w:szCs w:val="24"/>
                <w:highlight w:val="none"/>
                <w14:textFill>
                  <w14:solidFill>
                    <w14:schemeClr w14:val="tx1"/>
                  </w14:solidFill>
                </w14:textFill>
              </w:rPr>
            </w:pPr>
            <w:r>
              <w:rPr>
                <w:rFonts w:hint="default" w:ascii="Times New Roman" w:hAnsi="Times New Roman" w:cs="Times New Roman"/>
                <w:color w:val="000000" w:themeColor="text1"/>
                <w:kern w:val="2"/>
                <w:szCs w:val="24"/>
                <w:highlight w:val="none"/>
                <w14:textFill>
                  <w14:solidFill>
                    <w14:schemeClr w14:val="tx1"/>
                  </w14:solidFill>
                </w14:textFill>
              </w:rPr>
              <w:t>Ci.j－评价因子i在j点的实测统计代表值，mg/L；      </w:t>
            </w:r>
          </w:p>
          <w:p w14:paraId="349DB493">
            <w:pPr>
              <w:pStyle w:val="71"/>
              <w:spacing w:before="24" w:after="24"/>
              <w:ind w:firstLine="480" w:firstLineChars="200"/>
              <w:rPr>
                <w:rFonts w:hint="default" w:ascii="Times New Roman" w:hAnsi="Times New Roman" w:cs="Times New Roman"/>
                <w:color w:val="000000" w:themeColor="text1"/>
                <w:kern w:val="2"/>
                <w:szCs w:val="24"/>
                <w:highlight w:val="none"/>
                <w14:textFill>
                  <w14:solidFill>
                    <w14:schemeClr w14:val="tx1"/>
                  </w14:solidFill>
                </w14:textFill>
              </w:rPr>
            </w:pPr>
            <w:r>
              <w:rPr>
                <w:rFonts w:hint="default" w:ascii="Times New Roman" w:hAnsi="Times New Roman" w:cs="Times New Roman"/>
                <w:color w:val="000000" w:themeColor="text1"/>
                <w:kern w:val="2"/>
                <w:szCs w:val="24"/>
                <w:highlight w:val="none"/>
                <w14:textFill>
                  <w14:solidFill>
                    <w14:schemeClr w14:val="tx1"/>
                  </w14:solidFill>
                </w14:textFill>
              </w:rPr>
              <w:t>Csi－评价因子i的水质评价标准限制，mg/L。</w:t>
            </w:r>
          </w:p>
          <w:p w14:paraId="2EEC8171">
            <w:pPr>
              <w:pStyle w:val="71"/>
              <w:spacing w:before="24" w:after="24"/>
              <w:ind w:firstLine="480" w:firstLineChars="200"/>
              <w:rPr>
                <w:rFonts w:hint="default" w:ascii="Times New Roman" w:hAnsi="Times New Roman" w:cs="Times New Roman"/>
                <w:color w:val="000000" w:themeColor="text1"/>
                <w:kern w:val="2"/>
                <w:szCs w:val="24"/>
                <w:highlight w:val="none"/>
                <w14:textFill>
                  <w14:solidFill>
                    <w14:schemeClr w14:val="tx1"/>
                  </w14:solidFill>
                </w14:textFill>
              </w:rPr>
            </w:pPr>
            <w:r>
              <w:rPr>
                <w:rFonts w:hint="default" w:ascii="Times New Roman" w:hAnsi="Times New Roman" w:cs="Times New Roman"/>
                <w:color w:val="000000" w:themeColor="text1"/>
                <w:kern w:val="2"/>
                <w:szCs w:val="24"/>
                <w:highlight w:val="none"/>
                <w14:textFill>
                  <w14:solidFill>
                    <w14:schemeClr w14:val="tx1"/>
                  </w14:solidFill>
                </w14:textFill>
              </w:rPr>
              <w:t>（3）评价结果</w:t>
            </w:r>
          </w:p>
          <w:p w14:paraId="476A7AD5">
            <w:pPr>
              <w:pStyle w:val="71"/>
              <w:spacing w:before="24" w:after="24"/>
              <w:ind w:firstLine="480" w:firstLineChars="200"/>
              <w:rPr>
                <w:rFonts w:hint="default" w:ascii="Times New Roman" w:hAnsi="Times New Roman" w:cs="Times New Roman"/>
                <w:color w:val="000000" w:themeColor="text1"/>
                <w:kern w:val="2"/>
                <w:szCs w:val="24"/>
                <w:highlight w:val="none"/>
                <w14:textFill>
                  <w14:solidFill>
                    <w14:schemeClr w14:val="tx1"/>
                  </w14:solidFill>
                </w14:textFill>
              </w:rPr>
            </w:pPr>
            <w:r>
              <w:rPr>
                <w:rFonts w:hint="default" w:ascii="Times New Roman" w:hAnsi="Times New Roman" w:cs="Times New Roman"/>
                <w:color w:val="000000" w:themeColor="text1"/>
                <w:kern w:val="2"/>
                <w:szCs w:val="24"/>
                <w:highlight w:val="none"/>
                <w14:textFill>
                  <w14:solidFill>
                    <w14:schemeClr w14:val="tx1"/>
                  </w14:solidFill>
                </w14:textFill>
              </w:rPr>
              <w:t>地表水环境现状监测结果和地表水监测结果统计情况见下表。</w:t>
            </w:r>
          </w:p>
          <w:p w14:paraId="26A50070">
            <w:pPr>
              <w:pStyle w:val="71"/>
              <w:spacing w:before="24" w:after="24" w:line="240" w:lineRule="auto"/>
              <w:jc w:val="center"/>
              <w:rPr>
                <w:rFonts w:hint="default" w:ascii="Times New Roman" w:hAnsi="Times New Roman" w:cs="Times New Roman"/>
                <w:b/>
                <w:bCs/>
                <w:color w:val="000000" w:themeColor="text1"/>
                <w:kern w:val="2"/>
                <w:sz w:val="21"/>
                <w:szCs w:val="21"/>
                <w:highlight w:val="none"/>
                <w14:textFill>
                  <w14:solidFill>
                    <w14:schemeClr w14:val="tx1"/>
                  </w14:solidFill>
                </w14:textFill>
              </w:rPr>
            </w:pPr>
            <w:r>
              <w:rPr>
                <w:rFonts w:hint="default" w:ascii="Times New Roman" w:hAnsi="Times New Roman" w:cs="Times New Roman"/>
                <w:b/>
                <w:bCs/>
                <w:color w:val="000000" w:themeColor="text1"/>
                <w:kern w:val="2"/>
                <w:sz w:val="21"/>
                <w:szCs w:val="21"/>
                <w:highlight w:val="none"/>
                <w14:textFill>
                  <w14:solidFill>
                    <w14:schemeClr w14:val="tx1"/>
                  </w14:solidFill>
                </w14:textFill>
              </w:rPr>
              <w:t>表</w:t>
            </w:r>
            <w:r>
              <w:rPr>
                <w:rFonts w:hint="eastAsia" w:cs="Times New Roman"/>
                <w:b/>
                <w:bCs/>
                <w:color w:val="000000" w:themeColor="text1"/>
                <w:kern w:val="2"/>
                <w:sz w:val="21"/>
                <w:szCs w:val="21"/>
                <w:highlight w:val="none"/>
                <w:lang w:val="en-US" w:eastAsia="zh-CN"/>
                <w14:textFill>
                  <w14:solidFill>
                    <w14:schemeClr w14:val="tx1"/>
                  </w14:solidFill>
                </w14:textFill>
              </w:rPr>
              <w:t>3-4</w:t>
            </w:r>
            <w:r>
              <w:rPr>
                <w:rFonts w:hint="default" w:ascii="Times New Roman" w:hAnsi="Times New Roman" w:cs="Times New Roman"/>
                <w:b/>
                <w:bCs/>
                <w:color w:val="000000" w:themeColor="text1"/>
                <w:kern w:val="2"/>
                <w:sz w:val="21"/>
                <w:szCs w:val="21"/>
                <w:highlight w:val="none"/>
                <w14:textFill>
                  <w14:solidFill>
                    <w14:schemeClr w14:val="tx1"/>
                  </w14:solidFill>
                </w14:textFill>
              </w:rPr>
              <w:t xml:space="preserve">    地表水环境监测结果</w:t>
            </w:r>
          </w:p>
          <w:tbl>
            <w:tblPr>
              <w:tblStyle w:val="28"/>
              <w:tblW w:w="4998" w:type="pct"/>
              <w:tblInd w:w="0" w:type="dxa"/>
              <w:tblBorders>
                <w:top w:val="double" w:color="auto" w:sz="4" w:space="0"/>
                <w:left w:val="none" w:color="auto" w:sz="0" w:space="0"/>
                <w:bottom w:val="doub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654"/>
              <w:gridCol w:w="1782"/>
              <w:gridCol w:w="1525"/>
              <w:gridCol w:w="1376"/>
              <w:gridCol w:w="1688"/>
            </w:tblGrid>
            <w:tr w14:paraId="0D4AABB3">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1030" w:type="pct"/>
                  <w:tcBorders>
                    <w:tl2br w:val="nil"/>
                    <w:tr2bl w:val="nil"/>
                  </w:tcBorders>
                  <w:noWrap w:val="0"/>
                  <w:vAlign w:val="center"/>
                </w:tcPr>
                <w:p w14:paraId="7ADDC3AF">
                  <w:pPr>
                    <w:jc w:val="center"/>
                    <w:rPr>
                      <w:rFonts w:ascii="Times New Roman" w:hAnsi="Times New Roman" w:eastAsia="宋体" w:cs="Times New Roman"/>
                      <w:kern w:val="0"/>
                      <w:sz w:val="21"/>
                      <w:szCs w:val="21"/>
                      <w:lang w:val="en-US" w:eastAsia="zh-CN" w:bidi="ar-SA"/>
                    </w:rPr>
                  </w:pPr>
                  <w:r>
                    <w:rPr>
                      <w:rFonts w:ascii="Times New Roman" w:hAnsi="Times New Roman" w:eastAsia="宋体"/>
                      <w:kern w:val="0"/>
                      <w:sz w:val="21"/>
                      <w:szCs w:val="21"/>
                    </w:rPr>
                    <w:t>污染因子</w:t>
                  </w:r>
                </w:p>
              </w:tc>
              <w:tc>
                <w:tcPr>
                  <w:tcW w:w="1110" w:type="pct"/>
                  <w:tcBorders>
                    <w:tl2br w:val="nil"/>
                    <w:tr2bl w:val="nil"/>
                  </w:tcBorders>
                  <w:noWrap w:val="0"/>
                  <w:vAlign w:val="center"/>
                </w:tcPr>
                <w:p w14:paraId="6B9EA0D7">
                  <w:pPr>
                    <w:jc w:val="center"/>
                    <w:rPr>
                      <w:rFonts w:ascii="Times New Roman" w:hAnsi="Times New Roman" w:eastAsia="宋体" w:cs="Times New Roman"/>
                      <w:kern w:val="0"/>
                      <w:sz w:val="21"/>
                      <w:szCs w:val="21"/>
                      <w:lang w:val="en-US" w:eastAsia="zh-CN" w:bidi="ar-SA"/>
                    </w:rPr>
                  </w:pPr>
                  <w:r>
                    <w:rPr>
                      <w:rFonts w:ascii="Times New Roman" w:hAnsi="Times New Roman" w:eastAsia="宋体"/>
                      <w:kern w:val="0"/>
                      <w:sz w:val="21"/>
                      <w:szCs w:val="21"/>
                    </w:rPr>
                    <w:t>评价标准/mg/L</w:t>
                  </w:r>
                </w:p>
              </w:tc>
              <w:tc>
                <w:tcPr>
                  <w:tcW w:w="950" w:type="pct"/>
                  <w:tcBorders>
                    <w:tl2br w:val="nil"/>
                    <w:tr2bl w:val="nil"/>
                  </w:tcBorders>
                  <w:noWrap w:val="0"/>
                  <w:vAlign w:val="center"/>
                </w:tcPr>
                <w:p w14:paraId="3FD6579E">
                  <w:pPr>
                    <w:jc w:val="center"/>
                    <w:rPr>
                      <w:rFonts w:ascii="Times New Roman" w:hAnsi="Times New Roman" w:eastAsia="宋体"/>
                      <w:kern w:val="0"/>
                      <w:sz w:val="21"/>
                      <w:szCs w:val="21"/>
                    </w:rPr>
                  </w:pPr>
                  <w:r>
                    <w:rPr>
                      <w:rFonts w:hint="eastAsia"/>
                      <w:kern w:val="0"/>
                      <w:sz w:val="21"/>
                      <w:szCs w:val="21"/>
                      <w:lang w:val="en-US" w:eastAsia="zh-CN"/>
                    </w:rPr>
                    <w:t>监测</w:t>
                  </w:r>
                  <w:r>
                    <w:rPr>
                      <w:rFonts w:ascii="Times New Roman" w:hAnsi="Times New Roman" w:eastAsia="宋体"/>
                      <w:kern w:val="0"/>
                      <w:sz w:val="21"/>
                      <w:szCs w:val="21"/>
                    </w:rPr>
                    <w:t>/mg/L</w:t>
                  </w:r>
                </w:p>
              </w:tc>
              <w:tc>
                <w:tcPr>
                  <w:tcW w:w="857" w:type="pct"/>
                  <w:tcBorders>
                    <w:tl2br w:val="nil"/>
                    <w:tr2bl w:val="nil"/>
                  </w:tcBorders>
                  <w:noWrap w:val="0"/>
                  <w:vAlign w:val="center"/>
                </w:tcPr>
                <w:p w14:paraId="01DBB3F0">
                  <w:pPr>
                    <w:jc w:val="center"/>
                    <w:rPr>
                      <w:rFonts w:ascii="Times New Roman" w:hAnsi="Times New Roman" w:eastAsia="宋体"/>
                      <w:kern w:val="0"/>
                      <w:sz w:val="21"/>
                      <w:szCs w:val="21"/>
                    </w:rPr>
                  </w:pPr>
                  <w:r>
                    <w:rPr>
                      <w:rFonts w:ascii="Times New Roman" w:hAnsi="Times New Roman" w:eastAsia="宋体"/>
                      <w:kern w:val="0"/>
                      <w:sz w:val="21"/>
                      <w:szCs w:val="21"/>
                    </w:rPr>
                    <w:t>指数</w:t>
                  </w:r>
                </w:p>
              </w:tc>
              <w:tc>
                <w:tcPr>
                  <w:tcW w:w="1051" w:type="pct"/>
                  <w:tcBorders>
                    <w:tl2br w:val="nil"/>
                    <w:tr2bl w:val="nil"/>
                  </w:tcBorders>
                  <w:noWrap w:val="0"/>
                  <w:vAlign w:val="center"/>
                </w:tcPr>
                <w:p w14:paraId="41E1B7BF">
                  <w:pPr>
                    <w:jc w:val="center"/>
                    <w:rPr>
                      <w:rFonts w:ascii="Times New Roman" w:hAnsi="Times New Roman" w:eastAsia="宋体"/>
                      <w:kern w:val="0"/>
                      <w:sz w:val="21"/>
                      <w:szCs w:val="21"/>
                    </w:rPr>
                  </w:pPr>
                  <w:r>
                    <w:rPr>
                      <w:rFonts w:ascii="Times New Roman" w:hAnsi="Times New Roman" w:eastAsia="宋体"/>
                      <w:kern w:val="0"/>
                      <w:sz w:val="21"/>
                      <w:szCs w:val="21"/>
                    </w:rPr>
                    <w:t>超标情况</w:t>
                  </w:r>
                </w:p>
              </w:tc>
            </w:tr>
            <w:tr w14:paraId="4A248355">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1030" w:type="pct"/>
                  <w:tcBorders>
                    <w:tl2br w:val="nil"/>
                    <w:tr2bl w:val="nil"/>
                  </w:tcBorders>
                  <w:noWrap w:val="0"/>
                  <w:vAlign w:val="center"/>
                </w:tcPr>
                <w:p w14:paraId="5EEBF25E">
                  <w:pPr>
                    <w:jc w:val="center"/>
                    <w:rPr>
                      <w:rFonts w:ascii="Times New Roman" w:hAnsi="Times New Roman" w:eastAsia="宋体"/>
                      <w:kern w:val="0"/>
                      <w:sz w:val="21"/>
                      <w:szCs w:val="21"/>
                    </w:rPr>
                  </w:pPr>
                  <w:r>
                    <w:rPr>
                      <w:rFonts w:ascii="Times New Roman" w:hAnsi="Times New Roman" w:eastAsia="宋体"/>
                      <w:kern w:val="0"/>
                      <w:sz w:val="21"/>
                      <w:szCs w:val="21"/>
                    </w:rPr>
                    <w:t>pH</w:t>
                  </w:r>
                  <w:r>
                    <w:rPr>
                      <w:rFonts w:hint="eastAsia"/>
                      <w:kern w:val="0"/>
                      <w:sz w:val="21"/>
                      <w:szCs w:val="21"/>
                      <w:lang w:eastAsia="zh-CN"/>
                    </w:rPr>
                    <w:t>（</w:t>
                  </w:r>
                  <w:r>
                    <w:rPr>
                      <w:rFonts w:ascii="Times New Roman" w:hAnsi="Times New Roman" w:eastAsia="宋体"/>
                      <w:kern w:val="0"/>
                      <w:sz w:val="21"/>
                      <w:szCs w:val="21"/>
                    </w:rPr>
                    <w:t>无量纲</w:t>
                  </w:r>
                  <w:r>
                    <w:rPr>
                      <w:rFonts w:hint="eastAsia"/>
                      <w:kern w:val="0"/>
                      <w:sz w:val="21"/>
                      <w:szCs w:val="21"/>
                      <w:lang w:eastAsia="zh-CN"/>
                    </w:rPr>
                    <w:t>）</w:t>
                  </w:r>
                </w:p>
              </w:tc>
              <w:tc>
                <w:tcPr>
                  <w:tcW w:w="1110" w:type="pct"/>
                  <w:tcBorders>
                    <w:tl2br w:val="nil"/>
                    <w:tr2bl w:val="nil"/>
                  </w:tcBorders>
                  <w:noWrap w:val="0"/>
                  <w:vAlign w:val="center"/>
                </w:tcPr>
                <w:p w14:paraId="51A2D2B2">
                  <w:pPr>
                    <w:jc w:val="center"/>
                    <w:rPr>
                      <w:rFonts w:ascii="Times New Roman" w:hAnsi="Times New Roman" w:eastAsia="宋体"/>
                      <w:kern w:val="0"/>
                      <w:sz w:val="21"/>
                      <w:szCs w:val="21"/>
                    </w:rPr>
                  </w:pPr>
                  <w:r>
                    <w:rPr>
                      <w:rFonts w:ascii="Times New Roman" w:hAnsi="Times New Roman" w:eastAsia="宋体"/>
                      <w:kern w:val="0"/>
                      <w:sz w:val="21"/>
                      <w:szCs w:val="21"/>
                    </w:rPr>
                    <w:t>6~9</w:t>
                  </w:r>
                </w:p>
              </w:tc>
              <w:tc>
                <w:tcPr>
                  <w:tcW w:w="950" w:type="pct"/>
                  <w:tcBorders>
                    <w:tl2br w:val="nil"/>
                    <w:tr2bl w:val="nil"/>
                  </w:tcBorders>
                  <w:noWrap w:val="0"/>
                  <w:vAlign w:val="center"/>
                </w:tcPr>
                <w:p w14:paraId="5CCC560A">
                  <w:pPr>
                    <w:jc w:val="center"/>
                    <w:rPr>
                      <w:rFonts w:hint="default" w:ascii="Times New Roman" w:hAnsi="Times New Roman" w:eastAsia="宋体"/>
                      <w:kern w:val="0"/>
                      <w:sz w:val="21"/>
                      <w:szCs w:val="21"/>
                      <w:lang w:val="en-US" w:eastAsia="zh-CN"/>
                    </w:rPr>
                  </w:pPr>
                  <w:r>
                    <w:rPr>
                      <w:rFonts w:hint="eastAsia"/>
                      <w:kern w:val="0"/>
                      <w:sz w:val="21"/>
                      <w:szCs w:val="21"/>
                      <w:lang w:val="en-US" w:eastAsia="zh-CN"/>
                    </w:rPr>
                    <w:t>7.21~7.32</w:t>
                  </w:r>
                </w:p>
              </w:tc>
              <w:tc>
                <w:tcPr>
                  <w:tcW w:w="857" w:type="pct"/>
                  <w:tcBorders>
                    <w:tl2br w:val="nil"/>
                    <w:tr2bl w:val="nil"/>
                  </w:tcBorders>
                  <w:noWrap w:val="0"/>
                  <w:vAlign w:val="center"/>
                </w:tcPr>
                <w:p w14:paraId="53CC1D71">
                  <w:pPr>
                    <w:jc w:val="center"/>
                    <w:rPr>
                      <w:rFonts w:ascii="Times New Roman" w:hAnsi="Times New Roman" w:eastAsia="宋体"/>
                      <w:kern w:val="0"/>
                      <w:sz w:val="21"/>
                      <w:szCs w:val="21"/>
                    </w:rPr>
                  </w:pPr>
                  <w:r>
                    <w:rPr>
                      <w:rFonts w:ascii="Times New Roman" w:hAnsi="Times New Roman" w:eastAsia="宋体"/>
                      <w:kern w:val="0"/>
                      <w:sz w:val="21"/>
                      <w:szCs w:val="21"/>
                    </w:rPr>
                    <w:t>0.29</w:t>
                  </w:r>
                </w:p>
              </w:tc>
              <w:tc>
                <w:tcPr>
                  <w:tcW w:w="1051" w:type="pct"/>
                  <w:tcBorders>
                    <w:tl2br w:val="nil"/>
                    <w:tr2bl w:val="nil"/>
                  </w:tcBorders>
                  <w:noWrap w:val="0"/>
                  <w:vAlign w:val="center"/>
                </w:tcPr>
                <w:p w14:paraId="1AFC5C9E">
                  <w:pPr>
                    <w:jc w:val="center"/>
                    <w:rPr>
                      <w:rFonts w:ascii="Times New Roman" w:hAnsi="Times New Roman" w:eastAsia="宋体"/>
                      <w:kern w:val="0"/>
                      <w:sz w:val="21"/>
                      <w:szCs w:val="21"/>
                    </w:rPr>
                  </w:pPr>
                  <w:r>
                    <w:rPr>
                      <w:rFonts w:ascii="Times New Roman" w:hAnsi="Times New Roman" w:eastAsia="宋体"/>
                      <w:kern w:val="0"/>
                      <w:sz w:val="21"/>
                      <w:szCs w:val="21"/>
                    </w:rPr>
                    <w:t>未超标</w:t>
                  </w:r>
                </w:p>
              </w:tc>
            </w:tr>
            <w:tr w14:paraId="4DC7C568">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1030" w:type="pct"/>
                  <w:tcBorders>
                    <w:tl2br w:val="nil"/>
                    <w:tr2bl w:val="nil"/>
                  </w:tcBorders>
                  <w:noWrap w:val="0"/>
                  <w:vAlign w:val="center"/>
                </w:tcPr>
                <w:p w14:paraId="0F9508AE">
                  <w:pPr>
                    <w:jc w:val="center"/>
                    <w:rPr>
                      <w:rFonts w:ascii="Times New Roman" w:hAnsi="Times New Roman" w:eastAsia="宋体"/>
                      <w:kern w:val="0"/>
                      <w:sz w:val="21"/>
                      <w:szCs w:val="21"/>
                    </w:rPr>
                  </w:pPr>
                  <w:r>
                    <w:rPr>
                      <w:rFonts w:ascii="Times New Roman" w:hAnsi="Times New Roman" w:eastAsia="宋体"/>
                      <w:kern w:val="0"/>
                      <w:sz w:val="21"/>
                      <w:szCs w:val="21"/>
                    </w:rPr>
                    <w:t>化学需氧量</w:t>
                  </w:r>
                </w:p>
              </w:tc>
              <w:tc>
                <w:tcPr>
                  <w:tcW w:w="1110" w:type="pct"/>
                  <w:tcBorders>
                    <w:tl2br w:val="nil"/>
                    <w:tr2bl w:val="nil"/>
                  </w:tcBorders>
                  <w:noWrap w:val="0"/>
                  <w:vAlign w:val="center"/>
                </w:tcPr>
                <w:p w14:paraId="43573FCC">
                  <w:pPr>
                    <w:jc w:val="center"/>
                    <w:rPr>
                      <w:rFonts w:ascii="Times New Roman" w:hAnsi="Times New Roman" w:eastAsia="宋体"/>
                      <w:kern w:val="0"/>
                      <w:sz w:val="21"/>
                      <w:szCs w:val="21"/>
                    </w:rPr>
                  </w:pPr>
                  <w:r>
                    <w:rPr>
                      <w:rFonts w:ascii="Times New Roman" w:hAnsi="Times New Roman" w:eastAsia="宋体"/>
                      <w:kern w:val="0"/>
                      <w:sz w:val="21"/>
                      <w:szCs w:val="21"/>
                    </w:rPr>
                    <w:t>≤30</w:t>
                  </w:r>
                </w:p>
              </w:tc>
              <w:tc>
                <w:tcPr>
                  <w:tcW w:w="950" w:type="pct"/>
                  <w:tcBorders>
                    <w:tl2br w:val="nil"/>
                    <w:tr2bl w:val="nil"/>
                  </w:tcBorders>
                  <w:noWrap w:val="0"/>
                  <w:vAlign w:val="center"/>
                </w:tcPr>
                <w:p w14:paraId="3EC497EA">
                  <w:pPr>
                    <w:jc w:val="center"/>
                    <w:rPr>
                      <w:rFonts w:hint="default" w:ascii="Times New Roman" w:hAnsi="Times New Roman" w:eastAsia="宋体"/>
                      <w:kern w:val="0"/>
                      <w:sz w:val="21"/>
                      <w:szCs w:val="21"/>
                      <w:lang w:val="en-US" w:eastAsia="zh-CN"/>
                    </w:rPr>
                  </w:pPr>
                  <w:r>
                    <w:rPr>
                      <w:rFonts w:hint="eastAsia"/>
                      <w:kern w:val="0"/>
                      <w:sz w:val="21"/>
                      <w:szCs w:val="21"/>
                      <w:lang w:val="en-US" w:eastAsia="zh-CN"/>
                    </w:rPr>
                    <w:t>8~10</w:t>
                  </w:r>
                </w:p>
              </w:tc>
              <w:tc>
                <w:tcPr>
                  <w:tcW w:w="857" w:type="pct"/>
                  <w:tcBorders>
                    <w:tl2br w:val="nil"/>
                    <w:tr2bl w:val="nil"/>
                  </w:tcBorders>
                  <w:noWrap w:val="0"/>
                  <w:vAlign w:val="center"/>
                </w:tcPr>
                <w:p w14:paraId="1367741A">
                  <w:pPr>
                    <w:jc w:val="center"/>
                    <w:rPr>
                      <w:rFonts w:hint="default" w:ascii="Times New Roman" w:hAnsi="Times New Roman" w:eastAsia="宋体"/>
                      <w:kern w:val="0"/>
                      <w:sz w:val="21"/>
                      <w:szCs w:val="21"/>
                      <w:lang w:val="en-US" w:eastAsia="zh-CN"/>
                    </w:rPr>
                  </w:pPr>
                  <w:r>
                    <w:rPr>
                      <w:rFonts w:hint="eastAsia"/>
                      <w:kern w:val="0"/>
                      <w:sz w:val="21"/>
                      <w:szCs w:val="21"/>
                      <w:lang w:val="en-US" w:eastAsia="zh-CN"/>
                    </w:rPr>
                    <w:t>0.33</w:t>
                  </w:r>
                </w:p>
              </w:tc>
              <w:tc>
                <w:tcPr>
                  <w:tcW w:w="1051" w:type="pct"/>
                  <w:tcBorders>
                    <w:tl2br w:val="nil"/>
                    <w:tr2bl w:val="nil"/>
                  </w:tcBorders>
                  <w:noWrap w:val="0"/>
                  <w:vAlign w:val="center"/>
                </w:tcPr>
                <w:p w14:paraId="70FAF931">
                  <w:pPr>
                    <w:jc w:val="center"/>
                    <w:rPr>
                      <w:rFonts w:ascii="Times New Roman" w:hAnsi="Times New Roman" w:eastAsia="宋体"/>
                      <w:kern w:val="0"/>
                      <w:sz w:val="21"/>
                      <w:szCs w:val="21"/>
                    </w:rPr>
                  </w:pPr>
                  <w:r>
                    <w:rPr>
                      <w:rFonts w:ascii="Times New Roman" w:hAnsi="Times New Roman" w:eastAsia="宋体"/>
                      <w:kern w:val="0"/>
                      <w:sz w:val="21"/>
                      <w:szCs w:val="21"/>
                    </w:rPr>
                    <w:t>未超标</w:t>
                  </w:r>
                </w:p>
              </w:tc>
            </w:tr>
            <w:tr w14:paraId="3F4CA01F">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1030" w:type="pct"/>
                  <w:tcBorders>
                    <w:tl2br w:val="nil"/>
                    <w:tr2bl w:val="nil"/>
                  </w:tcBorders>
                  <w:noWrap w:val="0"/>
                  <w:vAlign w:val="center"/>
                </w:tcPr>
                <w:p w14:paraId="5FE1031A">
                  <w:pPr>
                    <w:jc w:val="center"/>
                    <w:rPr>
                      <w:rFonts w:hint="default" w:ascii="Times New Roman" w:hAnsi="Times New Roman" w:eastAsia="宋体"/>
                      <w:kern w:val="0"/>
                      <w:sz w:val="21"/>
                      <w:szCs w:val="21"/>
                      <w:lang w:val="en-US" w:eastAsia="zh-CN"/>
                    </w:rPr>
                  </w:pPr>
                  <w:r>
                    <w:rPr>
                      <w:rFonts w:hint="eastAsia"/>
                      <w:kern w:val="0"/>
                      <w:sz w:val="21"/>
                      <w:szCs w:val="21"/>
                      <w:lang w:val="en-US" w:eastAsia="zh-CN"/>
                    </w:rPr>
                    <w:t>生化需氧量</w:t>
                  </w:r>
                </w:p>
              </w:tc>
              <w:tc>
                <w:tcPr>
                  <w:tcW w:w="1110" w:type="pct"/>
                  <w:tcBorders>
                    <w:tl2br w:val="nil"/>
                    <w:tr2bl w:val="nil"/>
                  </w:tcBorders>
                  <w:noWrap w:val="0"/>
                  <w:vAlign w:val="center"/>
                </w:tcPr>
                <w:p w14:paraId="513E142F">
                  <w:pPr>
                    <w:jc w:val="center"/>
                    <w:rPr>
                      <w:rFonts w:ascii="Times New Roman" w:hAnsi="Times New Roman" w:eastAsia="宋体"/>
                      <w:kern w:val="0"/>
                      <w:sz w:val="21"/>
                      <w:szCs w:val="21"/>
                    </w:rPr>
                  </w:pPr>
                  <w:r>
                    <w:rPr>
                      <w:rFonts w:ascii="Times New Roman" w:hAnsi="Times New Roman" w:eastAsia="宋体"/>
                      <w:kern w:val="0"/>
                      <w:sz w:val="21"/>
                      <w:szCs w:val="21"/>
                    </w:rPr>
                    <w:t>≤6</w:t>
                  </w:r>
                </w:p>
              </w:tc>
              <w:tc>
                <w:tcPr>
                  <w:tcW w:w="950" w:type="pct"/>
                  <w:tcBorders>
                    <w:tl2br w:val="nil"/>
                    <w:tr2bl w:val="nil"/>
                  </w:tcBorders>
                  <w:noWrap w:val="0"/>
                  <w:vAlign w:val="center"/>
                </w:tcPr>
                <w:p w14:paraId="56D4314B">
                  <w:pPr>
                    <w:jc w:val="center"/>
                    <w:rPr>
                      <w:rFonts w:hint="default" w:ascii="Times New Roman" w:hAnsi="Times New Roman" w:eastAsia="宋体"/>
                      <w:kern w:val="0"/>
                      <w:sz w:val="21"/>
                      <w:szCs w:val="21"/>
                      <w:lang w:val="en-US" w:eastAsia="zh-CN"/>
                    </w:rPr>
                  </w:pPr>
                  <w:r>
                    <w:rPr>
                      <w:rFonts w:hint="eastAsia"/>
                      <w:kern w:val="0"/>
                      <w:sz w:val="21"/>
                      <w:szCs w:val="21"/>
                      <w:lang w:val="en-US" w:eastAsia="zh-CN"/>
                    </w:rPr>
                    <w:t>1.6~1.7</w:t>
                  </w:r>
                </w:p>
              </w:tc>
              <w:tc>
                <w:tcPr>
                  <w:tcW w:w="857" w:type="pct"/>
                  <w:tcBorders>
                    <w:tl2br w:val="nil"/>
                    <w:tr2bl w:val="nil"/>
                  </w:tcBorders>
                  <w:noWrap w:val="0"/>
                  <w:vAlign w:val="center"/>
                </w:tcPr>
                <w:p w14:paraId="4A43B4E8">
                  <w:pPr>
                    <w:jc w:val="center"/>
                    <w:rPr>
                      <w:rFonts w:hint="default" w:ascii="Times New Roman" w:hAnsi="Times New Roman" w:eastAsia="宋体"/>
                      <w:kern w:val="0"/>
                      <w:sz w:val="21"/>
                      <w:szCs w:val="21"/>
                      <w:lang w:val="en-US" w:eastAsia="zh-CN"/>
                    </w:rPr>
                  </w:pPr>
                  <w:r>
                    <w:rPr>
                      <w:rFonts w:hint="eastAsia"/>
                      <w:kern w:val="0"/>
                      <w:sz w:val="21"/>
                      <w:szCs w:val="21"/>
                      <w:lang w:val="en-US" w:eastAsia="zh-CN"/>
                    </w:rPr>
                    <w:t>0.283</w:t>
                  </w:r>
                </w:p>
              </w:tc>
              <w:tc>
                <w:tcPr>
                  <w:tcW w:w="1051" w:type="pct"/>
                  <w:tcBorders>
                    <w:tl2br w:val="nil"/>
                    <w:tr2bl w:val="nil"/>
                  </w:tcBorders>
                  <w:noWrap w:val="0"/>
                  <w:vAlign w:val="center"/>
                </w:tcPr>
                <w:p w14:paraId="23188AA6">
                  <w:pPr>
                    <w:jc w:val="center"/>
                    <w:rPr>
                      <w:rFonts w:ascii="Times New Roman" w:hAnsi="Times New Roman" w:eastAsia="宋体"/>
                      <w:kern w:val="0"/>
                      <w:sz w:val="21"/>
                      <w:szCs w:val="21"/>
                    </w:rPr>
                  </w:pPr>
                  <w:r>
                    <w:rPr>
                      <w:rFonts w:ascii="Times New Roman" w:hAnsi="Times New Roman" w:eastAsia="宋体"/>
                      <w:kern w:val="0"/>
                      <w:sz w:val="21"/>
                      <w:szCs w:val="21"/>
                    </w:rPr>
                    <w:t>未超标</w:t>
                  </w:r>
                </w:p>
              </w:tc>
            </w:tr>
            <w:tr w14:paraId="60F51EB4">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1030" w:type="pct"/>
                  <w:tcBorders>
                    <w:tl2br w:val="nil"/>
                    <w:tr2bl w:val="nil"/>
                  </w:tcBorders>
                  <w:noWrap w:val="0"/>
                  <w:vAlign w:val="center"/>
                </w:tcPr>
                <w:p w14:paraId="31643834">
                  <w:pPr>
                    <w:jc w:val="center"/>
                    <w:rPr>
                      <w:rFonts w:hint="eastAsia" w:ascii="Times New Roman" w:hAnsi="Times New Roman" w:eastAsia="宋体"/>
                      <w:kern w:val="0"/>
                      <w:sz w:val="21"/>
                      <w:szCs w:val="21"/>
                      <w:lang w:val="en-US" w:eastAsia="zh-CN"/>
                    </w:rPr>
                  </w:pPr>
                  <w:r>
                    <w:rPr>
                      <w:rFonts w:hint="eastAsia"/>
                      <w:kern w:val="0"/>
                      <w:sz w:val="21"/>
                      <w:szCs w:val="21"/>
                      <w:lang w:val="en-US" w:eastAsia="zh-CN"/>
                    </w:rPr>
                    <w:t>挥发酚</w:t>
                  </w:r>
                </w:p>
              </w:tc>
              <w:tc>
                <w:tcPr>
                  <w:tcW w:w="1110" w:type="pct"/>
                  <w:tcBorders>
                    <w:tl2br w:val="nil"/>
                    <w:tr2bl w:val="nil"/>
                  </w:tcBorders>
                  <w:noWrap w:val="0"/>
                  <w:vAlign w:val="center"/>
                </w:tcPr>
                <w:p w14:paraId="4C385B61">
                  <w:pPr>
                    <w:jc w:val="center"/>
                    <w:rPr>
                      <w:rFonts w:hint="default" w:ascii="Times New Roman" w:hAnsi="Times New Roman" w:eastAsia="宋体"/>
                      <w:kern w:val="0"/>
                      <w:sz w:val="21"/>
                      <w:szCs w:val="21"/>
                      <w:lang w:val="en-US" w:eastAsia="zh-CN"/>
                    </w:rPr>
                  </w:pPr>
                  <w:r>
                    <w:rPr>
                      <w:rFonts w:ascii="Times New Roman" w:hAnsi="Times New Roman" w:eastAsia="宋体"/>
                      <w:kern w:val="0"/>
                      <w:sz w:val="21"/>
                      <w:szCs w:val="21"/>
                    </w:rPr>
                    <w:t>≤</w:t>
                  </w:r>
                  <w:r>
                    <w:rPr>
                      <w:rFonts w:hint="eastAsia"/>
                      <w:kern w:val="0"/>
                      <w:sz w:val="21"/>
                      <w:szCs w:val="21"/>
                      <w:lang w:val="en-US" w:eastAsia="zh-CN"/>
                    </w:rPr>
                    <w:t>0.01</w:t>
                  </w:r>
                </w:p>
              </w:tc>
              <w:tc>
                <w:tcPr>
                  <w:tcW w:w="950" w:type="pct"/>
                  <w:tcBorders>
                    <w:tl2br w:val="nil"/>
                    <w:tr2bl w:val="nil"/>
                  </w:tcBorders>
                  <w:noWrap w:val="0"/>
                  <w:vAlign w:val="center"/>
                </w:tcPr>
                <w:p w14:paraId="424721C7">
                  <w:pPr>
                    <w:jc w:val="center"/>
                    <w:rPr>
                      <w:rFonts w:hint="default" w:ascii="Times New Roman" w:hAnsi="Times New Roman" w:eastAsia="宋体"/>
                      <w:kern w:val="0"/>
                      <w:sz w:val="21"/>
                      <w:szCs w:val="21"/>
                      <w:lang w:val="en-US" w:eastAsia="zh-CN"/>
                    </w:rPr>
                  </w:pPr>
                  <w:r>
                    <w:rPr>
                      <w:rFonts w:hint="eastAsia"/>
                      <w:kern w:val="0"/>
                      <w:sz w:val="21"/>
                      <w:szCs w:val="21"/>
                      <w:lang w:val="en-US" w:eastAsia="zh-CN"/>
                    </w:rPr>
                    <w:t>0.0004~0.0005</w:t>
                  </w:r>
                </w:p>
              </w:tc>
              <w:tc>
                <w:tcPr>
                  <w:tcW w:w="857" w:type="pct"/>
                  <w:tcBorders>
                    <w:tl2br w:val="nil"/>
                    <w:tr2bl w:val="nil"/>
                  </w:tcBorders>
                  <w:noWrap w:val="0"/>
                  <w:vAlign w:val="center"/>
                </w:tcPr>
                <w:p w14:paraId="4D33D827">
                  <w:pPr>
                    <w:jc w:val="center"/>
                    <w:rPr>
                      <w:rFonts w:hint="default" w:ascii="Times New Roman" w:hAnsi="Times New Roman" w:eastAsia="宋体"/>
                      <w:kern w:val="0"/>
                      <w:sz w:val="21"/>
                      <w:szCs w:val="21"/>
                      <w:lang w:val="en-US" w:eastAsia="zh-CN"/>
                    </w:rPr>
                  </w:pPr>
                  <w:r>
                    <w:rPr>
                      <w:rFonts w:hint="eastAsia"/>
                      <w:kern w:val="0"/>
                      <w:sz w:val="21"/>
                      <w:szCs w:val="21"/>
                      <w:lang w:val="en-US" w:eastAsia="zh-CN"/>
                    </w:rPr>
                    <w:t>0.05</w:t>
                  </w:r>
                </w:p>
              </w:tc>
              <w:tc>
                <w:tcPr>
                  <w:tcW w:w="1051" w:type="pct"/>
                  <w:tcBorders>
                    <w:tl2br w:val="nil"/>
                    <w:tr2bl w:val="nil"/>
                  </w:tcBorders>
                  <w:noWrap w:val="0"/>
                  <w:vAlign w:val="center"/>
                </w:tcPr>
                <w:p w14:paraId="7E2392AD">
                  <w:pPr>
                    <w:jc w:val="center"/>
                    <w:rPr>
                      <w:rFonts w:ascii="Times New Roman" w:hAnsi="Times New Roman" w:eastAsia="宋体"/>
                      <w:kern w:val="0"/>
                      <w:sz w:val="21"/>
                      <w:szCs w:val="21"/>
                    </w:rPr>
                  </w:pPr>
                  <w:r>
                    <w:rPr>
                      <w:rFonts w:ascii="Times New Roman" w:hAnsi="Times New Roman" w:eastAsia="宋体"/>
                      <w:kern w:val="0"/>
                      <w:sz w:val="21"/>
                      <w:szCs w:val="21"/>
                    </w:rPr>
                    <w:t>未超标</w:t>
                  </w:r>
                </w:p>
              </w:tc>
            </w:tr>
            <w:tr w14:paraId="57A33167">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1030" w:type="pct"/>
                  <w:tcBorders>
                    <w:tl2br w:val="nil"/>
                    <w:tr2bl w:val="nil"/>
                  </w:tcBorders>
                  <w:noWrap w:val="0"/>
                  <w:vAlign w:val="center"/>
                </w:tcPr>
                <w:p w14:paraId="37D55610">
                  <w:pPr>
                    <w:jc w:val="center"/>
                    <w:rPr>
                      <w:rFonts w:hint="eastAsia" w:ascii="Times New Roman" w:hAnsi="Times New Roman" w:eastAsia="宋体"/>
                      <w:kern w:val="0"/>
                      <w:sz w:val="21"/>
                      <w:szCs w:val="21"/>
                      <w:lang w:val="en-US" w:eastAsia="zh-CN"/>
                    </w:rPr>
                  </w:pPr>
                  <w:r>
                    <w:rPr>
                      <w:rFonts w:hint="eastAsia"/>
                      <w:kern w:val="0"/>
                      <w:sz w:val="21"/>
                      <w:szCs w:val="21"/>
                      <w:lang w:val="en-US" w:eastAsia="zh-CN"/>
                    </w:rPr>
                    <w:t>氟化物</w:t>
                  </w:r>
                </w:p>
              </w:tc>
              <w:tc>
                <w:tcPr>
                  <w:tcW w:w="1110" w:type="pct"/>
                  <w:tcBorders>
                    <w:tl2br w:val="nil"/>
                    <w:tr2bl w:val="nil"/>
                  </w:tcBorders>
                  <w:noWrap w:val="0"/>
                  <w:vAlign w:val="center"/>
                </w:tcPr>
                <w:p w14:paraId="21F736C4">
                  <w:pPr>
                    <w:jc w:val="center"/>
                    <w:rPr>
                      <w:rFonts w:hint="default" w:ascii="Times New Roman" w:hAnsi="Times New Roman" w:eastAsia="宋体"/>
                      <w:kern w:val="0"/>
                      <w:sz w:val="21"/>
                      <w:szCs w:val="21"/>
                      <w:lang w:val="en-US" w:eastAsia="zh-CN"/>
                    </w:rPr>
                  </w:pPr>
                  <w:r>
                    <w:rPr>
                      <w:rFonts w:ascii="Times New Roman" w:hAnsi="Times New Roman" w:eastAsia="宋体"/>
                      <w:kern w:val="0"/>
                      <w:sz w:val="21"/>
                      <w:szCs w:val="21"/>
                    </w:rPr>
                    <w:t>≤</w:t>
                  </w:r>
                  <w:r>
                    <w:rPr>
                      <w:rFonts w:hint="eastAsia"/>
                      <w:kern w:val="0"/>
                      <w:sz w:val="21"/>
                      <w:szCs w:val="21"/>
                      <w:lang w:val="en-US" w:eastAsia="zh-CN"/>
                    </w:rPr>
                    <w:t>1.5</w:t>
                  </w:r>
                </w:p>
              </w:tc>
              <w:tc>
                <w:tcPr>
                  <w:tcW w:w="950" w:type="pct"/>
                  <w:tcBorders>
                    <w:tl2br w:val="nil"/>
                    <w:tr2bl w:val="nil"/>
                  </w:tcBorders>
                  <w:noWrap w:val="0"/>
                  <w:vAlign w:val="center"/>
                </w:tcPr>
                <w:p w14:paraId="574F7506">
                  <w:pPr>
                    <w:jc w:val="center"/>
                    <w:rPr>
                      <w:rFonts w:hint="default" w:ascii="Times New Roman" w:hAnsi="Times New Roman" w:eastAsia="宋体"/>
                      <w:kern w:val="0"/>
                      <w:sz w:val="21"/>
                      <w:szCs w:val="21"/>
                      <w:lang w:val="en-US" w:eastAsia="zh-CN"/>
                    </w:rPr>
                  </w:pPr>
                  <w:r>
                    <w:rPr>
                      <w:rFonts w:hint="eastAsia"/>
                      <w:kern w:val="0"/>
                      <w:sz w:val="21"/>
                      <w:szCs w:val="21"/>
                      <w:lang w:val="en-US" w:eastAsia="zh-CN"/>
                    </w:rPr>
                    <w:t>0.12~0.15</w:t>
                  </w:r>
                </w:p>
              </w:tc>
              <w:tc>
                <w:tcPr>
                  <w:tcW w:w="857" w:type="pct"/>
                  <w:tcBorders>
                    <w:tl2br w:val="nil"/>
                    <w:tr2bl w:val="nil"/>
                  </w:tcBorders>
                  <w:noWrap w:val="0"/>
                  <w:vAlign w:val="center"/>
                </w:tcPr>
                <w:p w14:paraId="202C7D03">
                  <w:pPr>
                    <w:jc w:val="center"/>
                    <w:rPr>
                      <w:rFonts w:hint="default" w:ascii="Times New Roman" w:hAnsi="Times New Roman" w:eastAsia="宋体"/>
                      <w:kern w:val="0"/>
                      <w:sz w:val="21"/>
                      <w:szCs w:val="21"/>
                      <w:lang w:val="en-US" w:eastAsia="zh-CN"/>
                    </w:rPr>
                  </w:pPr>
                  <w:r>
                    <w:rPr>
                      <w:rFonts w:hint="eastAsia"/>
                      <w:kern w:val="0"/>
                      <w:sz w:val="21"/>
                      <w:szCs w:val="21"/>
                      <w:lang w:val="en-US" w:eastAsia="zh-CN"/>
                    </w:rPr>
                    <w:t>0.1</w:t>
                  </w:r>
                </w:p>
              </w:tc>
              <w:tc>
                <w:tcPr>
                  <w:tcW w:w="1051" w:type="pct"/>
                  <w:tcBorders>
                    <w:tl2br w:val="nil"/>
                    <w:tr2bl w:val="nil"/>
                  </w:tcBorders>
                  <w:noWrap w:val="0"/>
                  <w:vAlign w:val="center"/>
                </w:tcPr>
                <w:p w14:paraId="7716C67D">
                  <w:pPr>
                    <w:jc w:val="center"/>
                    <w:rPr>
                      <w:rFonts w:ascii="Times New Roman" w:hAnsi="Times New Roman" w:eastAsia="宋体"/>
                      <w:kern w:val="0"/>
                      <w:sz w:val="21"/>
                      <w:szCs w:val="21"/>
                    </w:rPr>
                  </w:pPr>
                  <w:r>
                    <w:rPr>
                      <w:rFonts w:ascii="Times New Roman" w:hAnsi="Times New Roman" w:eastAsia="宋体"/>
                      <w:kern w:val="0"/>
                      <w:sz w:val="21"/>
                      <w:szCs w:val="21"/>
                    </w:rPr>
                    <w:t>未超标</w:t>
                  </w:r>
                </w:p>
              </w:tc>
            </w:tr>
            <w:tr w14:paraId="355EB0DD">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1030" w:type="pct"/>
                  <w:tcBorders>
                    <w:tl2br w:val="nil"/>
                    <w:tr2bl w:val="nil"/>
                  </w:tcBorders>
                  <w:noWrap w:val="0"/>
                  <w:vAlign w:val="center"/>
                </w:tcPr>
                <w:p w14:paraId="0B538065">
                  <w:pPr>
                    <w:jc w:val="center"/>
                    <w:rPr>
                      <w:rFonts w:hint="eastAsia" w:ascii="Times New Roman" w:hAnsi="Times New Roman" w:eastAsia="宋体"/>
                      <w:kern w:val="0"/>
                      <w:sz w:val="21"/>
                      <w:szCs w:val="21"/>
                      <w:lang w:val="en-US" w:eastAsia="zh-CN"/>
                    </w:rPr>
                  </w:pPr>
                  <w:r>
                    <w:rPr>
                      <w:rFonts w:hint="eastAsia"/>
                      <w:kern w:val="0"/>
                      <w:sz w:val="21"/>
                      <w:szCs w:val="21"/>
                      <w:lang w:val="en-US" w:eastAsia="zh-CN"/>
                    </w:rPr>
                    <w:t>氨氮</w:t>
                  </w:r>
                </w:p>
              </w:tc>
              <w:tc>
                <w:tcPr>
                  <w:tcW w:w="1110" w:type="pct"/>
                  <w:tcBorders>
                    <w:tl2br w:val="nil"/>
                    <w:tr2bl w:val="nil"/>
                  </w:tcBorders>
                  <w:noWrap w:val="0"/>
                  <w:vAlign w:val="center"/>
                </w:tcPr>
                <w:p w14:paraId="441EE0C1">
                  <w:pPr>
                    <w:jc w:val="center"/>
                    <w:rPr>
                      <w:rFonts w:hint="default" w:ascii="Times New Roman" w:hAnsi="Times New Roman" w:eastAsia="宋体"/>
                      <w:kern w:val="0"/>
                      <w:sz w:val="21"/>
                      <w:szCs w:val="21"/>
                      <w:lang w:val="en-US" w:eastAsia="zh-CN"/>
                    </w:rPr>
                  </w:pPr>
                  <w:r>
                    <w:rPr>
                      <w:rFonts w:ascii="Times New Roman" w:hAnsi="Times New Roman" w:eastAsia="宋体"/>
                      <w:kern w:val="0"/>
                      <w:sz w:val="21"/>
                      <w:szCs w:val="21"/>
                    </w:rPr>
                    <w:t>≤</w:t>
                  </w:r>
                  <w:r>
                    <w:rPr>
                      <w:rFonts w:hint="eastAsia"/>
                      <w:kern w:val="0"/>
                      <w:sz w:val="21"/>
                      <w:szCs w:val="21"/>
                      <w:lang w:val="en-US" w:eastAsia="zh-CN"/>
                    </w:rPr>
                    <w:t>1.5</w:t>
                  </w:r>
                </w:p>
              </w:tc>
              <w:tc>
                <w:tcPr>
                  <w:tcW w:w="950" w:type="pct"/>
                  <w:tcBorders>
                    <w:tl2br w:val="nil"/>
                    <w:tr2bl w:val="nil"/>
                  </w:tcBorders>
                  <w:noWrap w:val="0"/>
                  <w:vAlign w:val="center"/>
                </w:tcPr>
                <w:p w14:paraId="2AC5ECC4">
                  <w:pPr>
                    <w:jc w:val="center"/>
                    <w:rPr>
                      <w:rFonts w:hint="default" w:ascii="Times New Roman" w:hAnsi="Times New Roman" w:eastAsia="宋体"/>
                      <w:kern w:val="0"/>
                      <w:sz w:val="21"/>
                      <w:szCs w:val="21"/>
                      <w:lang w:val="en-US" w:eastAsia="zh-CN"/>
                    </w:rPr>
                  </w:pPr>
                  <w:r>
                    <w:rPr>
                      <w:rFonts w:hint="eastAsia"/>
                      <w:kern w:val="0"/>
                      <w:sz w:val="21"/>
                      <w:szCs w:val="21"/>
                      <w:lang w:val="en-US" w:eastAsia="zh-CN"/>
                    </w:rPr>
                    <w:t>0.095~0.118</w:t>
                  </w:r>
                </w:p>
              </w:tc>
              <w:tc>
                <w:tcPr>
                  <w:tcW w:w="857" w:type="pct"/>
                  <w:tcBorders>
                    <w:tl2br w:val="nil"/>
                    <w:tr2bl w:val="nil"/>
                  </w:tcBorders>
                  <w:noWrap w:val="0"/>
                  <w:vAlign w:val="center"/>
                </w:tcPr>
                <w:p w14:paraId="4931B349">
                  <w:pPr>
                    <w:jc w:val="center"/>
                    <w:rPr>
                      <w:rFonts w:hint="default" w:ascii="Times New Roman" w:hAnsi="Times New Roman" w:eastAsia="宋体"/>
                      <w:kern w:val="0"/>
                      <w:sz w:val="21"/>
                      <w:szCs w:val="21"/>
                      <w:lang w:val="en-US" w:eastAsia="zh-CN"/>
                    </w:rPr>
                  </w:pPr>
                  <w:r>
                    <w:rPr>
                      <w:rFonts w:hint="eastAsia"/>
                      <w:kern w:val="0"/>
                      <w:sz w:val="21"/>
                      <w:szCs w:val="21"/>
                      <w:lang w:val="en-US" w:eastAsia="zh-CN"/>
                    </w:rPr>
                    <w:t>0.079</w:t>
                  </w:r>
                </w:p>
              </w:tc>
              <w:tc>
                <w:tcPr>
                  <w:tcW w:w="1051" w:type="pct"/>
                  <w:tcBorders>
                    <w:tl2br w:val="nil"/>
                    <w:tr2bl w:val="nil"/>
                  </w:tcBorders>
                  <w:noWrap w:val="0"/>
                  <w:vAlign w:val="center"/>
                </w:tcPr>
                <w:p w14:paraId="2A51399A">
                  <w:pPr>
                    <w:jc w:val="center"/>
                    <w:rPr>
                      <w:rFonts w:ascii="Times New Roman" w:hAnsi="Times New Roman" w:eastAsia="宋体"/>
                      <w:kern w:val="0"/>
                      <w:sz w:val="21"/>
                      <w:szCs w:val="21"/>
                    </w:rPr>
                  </w:pPr>
                  <w:r>
                    <w:rPr>
                      <w:rFonts w:ascii="Times New Roman" w:hAnsi="Times New Roman" w:eastAsia="宋体"/>
                      <w:kern w:val="0"/>
                      <w:sz w:val="21"/>
                      <w:szCs w:val="21"/>
                    </w:rPr>
                    <w:t>未超标</w:t>
                  </w:r>
                </w:p>
              </w:tc>
            </w:tr>
            <w:tr w14:paraId="28EC2FB2">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1030" w:type="pct"/>
                  <w:tcBorders>
                    <w:tl2br w:val="nil"/>
                    <w:tr2bl w:val="nil"/>
                  </w:tcBorders>
                  <w:noWrap w:val="0"/>
                  <w:vAlign w:val="center"/>
                </w:tcPr>
                <w:p w14:paraId="51F47C88">
                  <w:pPr>
                    <w:jc w:val="center"/>
                    <w:rPr>
                      <w:rFonts w:hint="eastAsia" w:ascii="Times New Roman" w:hAnsi="Times New Roman" w:eastAsia="宋体"/>
                      <w:kern w:val="0"/>
                      <w:sz w:val="21"/>
                      <w:szCs w:val="21"/>
                      <w:lang w:val="en-US" w:eastAsia="zh-CN"/>
                    </w:rPr>
                  </w:pPr>
                  <w:r>
                    <w:rPr>
                      <w:rFonts w:hint="eastAsia"/>
                      <w:kern w:val="0"/>
                      <w:sz w:val="21"/>
                      <w:szCs w:val="21"/>
                      <w:lang w:val="en-US" w:eastAsia="zh-CN"/>
                    </w:rPr>
                    <w:t>铁</w:t>
                  </w:r>
                </w:p>
              </w:tc>
              <w:tc>
                <w:tcPr>
                  <w:tcW w:w="1110" w:type="pct"/>
                  <w:tcBorders>
                    <w:tl2br w:val="nil"/>
                    <w:tr2bl w:val="nil"/>
                  </w:tcBorders>
                  <w:noWrap w:val="0"/>
                  <w:vAlign w:val="center"/>
                </w:tcPr>
                <w:p w14:paraId="4ED62E05">
                  <w:pPr>
                    <w:jc w:val="center"/>
                    <w:rPr>
                      <w:rFonts w:hint="default" w:ascii="Times New Roman" w:hAnsi="Times New Roman" w:eastAsia="宋体"/>
                      <w:kern w:val="0"/>
                      <w:sz w:val="21"/>
                      <w:szCs w:val="21"/>
                      <w:lang w:val="en-US" w:eastAsia="zh-CN"/>
                    </w:rPr>
                  </w:pPr>
                  <w:r>
                    <w:rPr>
                      <w:rFonts w:ascii="Times New Roman" w:hAnsi="Times New Roman" w:eastAsia="宋体"/>
                      <w:kern w:val="0"/>
                      <w:sz w:val="21"/>
                      <w:szCs w:val="21"/>
                    </w:rPr>
                    <w:t>≤</w:t>
                  </w:r>
                  <w:r>
                    <w:rPr>
                      <w:rFonts w:hint="eastAsia"/>
                      <w:kern w:val="0"/>
                      <w:sz w:val="21"/>
                      <w:szCs w:val="21"/>
                      <w:lang w:val="en-US" w:eastAsia="zh-CN"/>
                    </w:rPr>
                    <w:t>0.3</w:t>
                  </w:r>
                </w:p>
              </w:tc>
              <w:tc>
                <w:tcPr>
                  <w:tcW w:w="950" w:type="pct"/>
                  <w:tcBorders>
                    <w:tl2br w:val="nil"/>
                    <w:tr2bl w:val="nil"/>
                  </w:tcBorders>
                  <w:noWrap w:val="0"/>
                  <w:vAlign w:val="center"/>
                </w:tcPr>
                <w:p w14:paraId="140BA2F8">
                  <w:pPr>
                    <w:jc w:val="center"/>
                    <w:rPr>
                      <w:rFonts w:hint="default" w:ascii="Times New Roman" w:hAnsi="Times New Roman" w:eastAsia="宋体"/>
                      <w:kern w:val="0"/>
                      <w:sz w:val="21"/>
                      <w:szCs w:val="21"/>
                      <w:lang w:val="en-US" w:eastAsia="zh-CN"/>
                    </w:rPr>
                  </w:pPr>
                  <w:r>
                    <w:rPr>
                      <w:rFonts w:hint="eastAsia"/>
                      <w:kern w:val="0"/>
                      <w:sz w:val="21"/>
                      <w:szCs w:val="21"/>
                      <w:lang w:val="en-US" w:eastAsia="zh-CN"/>
                    </w:rPr>
                    <w:t>0.03L</w:t>
                  </w:r>
                </w:p>
              </w:tc>
              <w:tc>
                <w:tcPr>
                  <w:tcW w:w="857" w:type="pct"/>
                  <w:tcBorders>
                    <w:tl2br w:val="nil"/>
                    <w:tr2bl w:val="nil"/>
                  </w:tcBorders>
                  <w:noWrap w:val="0"/>
                  <w:vAlign w:val="center"/>
                </w:tcPr>
                <w:p w14:paraId="432EB15C">
                  <w:pPr>
                    <w:jc w:val="center"/>
                    <w:rPr>
                      <w:rFonts w:hint="eastAsia" w:ascii="Times New Roman" w:hAnsi="Times New Roman" w:eastAsia="宋体"/>
                      <w:kern w:val="0"/>
                      <w:sz w:val="21"/>
                      <w:szCs w:val="21"/>
                      <w:lang w:val="en-US" w:eastAsia="zh-CN"/>
                    </w:rPr>
                  </w:pPr>
                  <w:r>
                    <w:rPr>
                      <w:rFonts w:hint="eastAsia"/>
                      <w:kern w:val="0"/>
                      <w:sz w:val="21"/>
                      <w:szCs w:val="21"/>
                      <w:lang w:val="en-US" w:eastAsia="zh-CN"/>
                    </w:rPr>
                    <w:t>/</w:t>
                  </w:r>
                </w:p>
              </w:tc>
              <w:tc>
                <w:tcPr>
                  <w:tcW w:w="1051" w:type="pct"/>
                  <w:tcBorders>
                    <w:tl2br w:val="nil"/>
                    <w:tr2bl w:val="nil"/>
                  </w:tcBorders>
                  <w:noWrap w:val="0"/>
                  <w:vAlign w:val="center"/>
                </w:tcPr>
                <w:p w14:paraId="2F6BDFC8">
                  <w:pPr>
                    <w:jc w:val="center"/>
                    <w:rPr>
                      <w:rFonts w:ascii="Times New Roman" w:hAnsi="Times New Roman" w:eastAsia="宋体"/>
                      <w:kern w:val="0"/>
                      <w:sz w:val="21"/>
                      <w:szCs w:val="21"/>
                    </w:rPr>
                  </w:pPr>
                  <w:r>
                    <w:rPr>
                      <w:rFonts w:hint="eastAsia"/>
                      <w:kern w:val="0"/>
                      <w:sz w:val="21"/>
                      <w:szCs w:val="21"/>
                      <w:lang w:val="en-US" w:eastAsia="zh-CN"/>
                    </w:rPr>
                    <w:t>未</w:t>
                  </w:r>
                  <w:r>
                    <w:rPr>
                      <w:rFonts w:ascii="Times New Roman" w:hAnsi="Times New Roman" w:eastAsia="宋体"/>
                      <w:kern w:val="0"/>
                      <w:sz w:val="21"/>
                      <w:szCs w:val="21"/>
                    </w:rPr>
                    <w:t>超标</w:t>
                  </w:r>
                </w:p>
              </w:tc>
            </w:tr>
            <w:tr w14:paraId="1DBA7F32">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1030" w:type="pct"/>
                  <w:tcBorders>
                    <w:tl2br w:val="nil"/>
                    <w:tr2bl w:val="nil"/>
                  </w:tcBorders>
                  <w:noWrap w:val="0"/>
                  <w:vAlign w:val="center"/>
                </w:tcPr>
                <w:p w14:paraId="6B3EAC91">
                  <w:pPr>
                    <w:jc w:val="center"/>
                    <w:rPr>
                      <w:rFonts w:hint="eastAsia" w:ascii="Times New Roman" w:hAnsi="Times New Roman" w:eastAsia="宋体"/>
                      <w:kern w:val="0"/>
                      <w:sz w:val="21"/>
                      <w:szCs w:val="21"/>
                      <w:lang w:val="en-US" w:eastAsia="zh-CN"/>
                    </w:rPr>
                  </w:pPr>
                  <w:r>
                    <w:rPr>
                      <w:rFonts w:hint="eastAsia"/>
                      <w:kern w:val="0"/>
                      <w:sz w:val="21"/>
                      <w:szCs w:val="21"/>
                      <w:lang w:val="en-US" w:eastAsia="zh-CN"/>
                    </w:rPr>
                    <w:t>锰</w:t>
                  </w:r>
                </w:p>
              </w:tc>
              <w:tc>
                <w:tcPr>
                  <w:tcW w:w="1110" w:type="pct"/>
                  <w:tcBorders>
                    <w:tl2br w:val="nil"/>
                    <w:tr2bl w:val="nil"/>
                  </w:tcBorders>
                  <w:noWrap w:val="0"/>
                  <w:vAlign w:val="center"/>
                </w:tcPr>
                <w:p w14:paraId="6615E733">
                  <w:pPr>
                    <w:jc w:val="center"/>
                    <w:rPr>
                      <w:rFonts w:hint="default" w:ascii="Times New Roman" w:hAnsi="Times New Roman" w:eastAsia="宋体"/>
                      <w:kern w:val="0"/>
                      <w:sz w:val="21"/>
                      <w:szCs w:val="21"/>
                      <w:lang w:val="en-US" w:eastAsia="zh-CN"/>
                    </w:rPr>
                  </w:pPr>
                  <w:r>
                    <w:rPr>
                      <w:rFonts w:ascii="Times New Roman" w:hAnsi="Times New Roman" w:eastAsia="宋体"/>
                      <w:kern w:val="0"/>
                      <w:sz w:val="21"/>
                      <w:szCs w:val="21"/>
                    </w:rPr>
                    <w:t>≤</w:t>
                  </w:r>
                  <w:r>
                    <w:rPr>
                      <w:rFonts w:hint="eastAsia"/>
                      <w:kern w:val="0"/>
                      <w:sz w:val="21"/>
                      <w:szCs w:val="21"/>
                      <w:lang w:val="en-US" w:eastAsia="zh-CN"/>
                    </w:rPr>
                    <w:t>0.1</w:t>
                  </w:r>
                </w:p>
              </w:tc>
              <w:tc>
                <w:tcPr>
                  <w:tcW w:w="950" w:type="pct"/>
                  <w:tcBorders>
                    <w:tl2br w:val="nil"/>
                    <w:tr2bl w:val="nil"/>
                  </w:tcBorders>
                  <w:noWrap w:val="0"/>
                  <w:vAlign w:val="center"/>
                </w:tcPr>
                <w:p w14:paraId="103971B4">
                  <w:pPr>
                    <w:jc w:val="center"/>
                    <w:rPr>
                      <w:rFonts w:hint="default" w:ascii="Times New Roman" w:hAnsi="Times New Roman" w:eastAsia="宋体"/>
                      <w:kern w:val="0"/>
                      <w:sz w:val="21"/>
                      <w:szCs w:val="21"/>
                      <w:lang w:val="en-US" w:eastAsia="zh-CN"/>
                    </w:rPr>
                  </w:pPr>
                  <w:r>
                    <w:rPr>
                      <w:rFonts w:hint="eastAsia"/>
                      <w:kern w:val="0"/>
                      <w:sz w:val="21"/>
                      <w:szCs w:val="21"/>
                      <w:lang w:val="en-US" w:eastAsia="zh-CN"/>
                    </w:rPr>
                    <w:t>0.01L</w:t>
                  </w:r>
                </w:p>
              </w:tc>
              <w:tc>
                <w:tcPr>
                  <w:tcW w:w="857" w:type="pct"/>
                  <w:tcBorders>
                    <w:tl2br w:val="nil"/>
                    <w:tr2bl w:val="nil"/>
                  </w:tcBorders>
                  <w:noWrap w:val="0"/>
                  <w:vAlign w:val="center"/>
                </w:tcPr>
                <w:p w14:paraId="49ACAE53">
                  <w:pPr>
                    <w:jc w:val="center"/>
                    <w:rPr>
                      <w:rFonts w:hint="eastAsia" w:ascii="Times New Roman" w:hAnsi="Times New Roman" w:eastAsia="宋体"/>
                      <w:kern w:val="0"/>
                      <w:sz w:val="21"/>
                      <w:szCs w:val="21"/>
                      <w:lang w:val="en-US" w:eastAsia="zh-CN"/>
                    </w:rPr>
                  </w:pPr>
                  <w:r>
                    <w:rPr>
                      <w:rFonts w:hint="eastAsia"/>
                      <w:kern w:val="0"/>
                      <w:sz w:val="21"/>
                      <w:szCs w:val="21"/>
                      <w:lang w:val="en-US" w:eastAsia="zh-CN"/>
                    </w:rPr>
                    <w:t>/</w:t>
                  </w:r>
                </w:p>
              </w:tc>
              <w:tc>
                <w:tcPr>
                  <w:tcW w:w="1051" w:type="pct"/>
                  <w:tcBorders>
                    <w:tl2br w:val="nil"/>
                    <w:tr2bl w:val="nil"/>
                  </w:tcBorders>
                  <w:noWrap w:val="0"/>
                  <w:vAlign w:val="center"/>
                </w:tcPr>
                <w:p w14:paraId="24E3356B">
                  <w:pPr>
                    <w:jc w:val="center"/>
                    <w:rPr>
                      <w:rFonts w:ascii="Times New Roman" w:hAnsi="Times New Roman" w:eastAsia="宋体"/>
                      <w:kern w:val="0"/>
                      <w:sz w:val="21"/>
                      <w:szCs w:val="21"/>
                    </w:rPr>
                  </w:pPr>
                  <w:r>
                    <w:rPr>
                      <w:rFonts w:ascii="Times New Roman" w:hAnsi="Times New Roman" w:eastAsia="宋体"/>
                      <w:kern w:val="0"/>
                      <w:sz w:val="21"/>
                      <w:szCs w:val="21"/>
                    </w:rPr>
                    <w:t>未超标</w:t>
                  </w:r>
                </w:p>
              </w:tc>
            </w:tr>
            <w:tr w14:paraId="282C4A79">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1030" w:type="pct"/>
                  <w:tcBorders>
                    <w:tl2br w:val="nil"/>
                    <w:tr2bl w:val="nil"/>
                  </w:tcBorders>
                  <w:noWrap w:val="0"/>
                  <w:vAlign w:val="center"/>
                </w:tcPr>
                <w:p w14:paraId="3AFC2307">
                  <w:pPr>
                    <w:jc w:val="center"/>
                    <w:rPr>
                      <w:rFonts w:hint="eastAsia" w:ascii="Times New Roman" w:hAnsi="Times New Roman" w:eastAsia="宋体"/>
                      <w:kern w:val="0"/>
                      <w:sz w:val="21"/>
                      <w:szCs w:val="21"/>
                      <w:lang w:val="en-US" w:eastAsia="zh-CN"/>
                    </w:rPr>
                  </w:pPr>
                  <w:r>
                    <w:rPr>
                      <w:rFonts w:hint="eastAsia"/>
                      <w:kern w:val="0"/>
                      <w:sz w:val="21"/>
                      <w:szCs w:val="21"/>
                      <w:lang w:val="en-US" w:eastAsia="zh-CN"/>
                    </w:rPr>
                    <w:t>汞</w:t>
                  </w:r>
                </w:p>
              </w:tc>
              <w:tc>
                <w:tcPr>
                  <w:tcW w:w="1110" w:type="pct"/>
                  <w:tcBorders>
                    <w:tl2br w:val="nil"/>
                    <w:tr2bl w:val="nil"/>
                  </w:tcBorders>
                  <w:noWrap w:val="0"/>
                  <w:vAlign w:val="center"/>
                </w:tcPr>
                <w:p w14:paraId="5AD8F19D">
                  <w:pPr>
                    <w:jc w:val="center"/>
                    <w:rPr>
                      <w:rFonts w:hint="default" w:ascii="Times New Roman" w:hAnsi="Times New Roman" w:eastAsia="宋体"/>
                      <w:kern w:val="0"/>
                      <w:sz w:val="21"/>
                      <w:szCs w:val="21"/>
                      <w:lang w:val="en-US" w:eastAsia="zh-CN"/>
                    </w:rPr>
                  </w:pPr>
                  <w:r>
                    <w:rPr>
                      <w:rFonts w:ascii="Times New Roman" w:hAnsi="Times New Roman" w:eastAsia="宋体"/>
                      <w:kern w:val="0"/>
                      <w:sz w:val="21"/>
                      <w:szCs w:val="21"/>
                    </w:rPr>
                    <w:t>≤</w:t>
                  </w:r>
                  <w:r>
                    <w:rPr>
                      <w:rFonts w:hint="eastAsia"/>
                      <w:kern w:val="0"/>
                      <w:sz w:val="21"/>
                      <w:szCs w:val="21"/>
                      <w:lang w:val="en-US" w:eastAsia="zh-CN"/>
                    </w:rPr>
                    <w:t>0.001</w:t>
                  </w:r>
                </w:p>
              </w:tc>
              <w:tc>
                <w:tcPr>
                  <w:tcW w:w="950" w:type="pct"/>
                  <w:tcBorders>
                    <w:tl2br w:val="nil"/>
                    <w:tr2bl w:val="nil"/>
                  </w:tcBorders>
                  <w:noWrap w:val="0"/>
                  <w:vAlign w:val="center"/>
                </w:tcPr>
                <w:p w14:paraId="10DAC464">
                  <w:pPr>
                    <w:jc w:val="center"/>
                    <w:rPr>
                      <w:rFonts w:hint="default" w:ascii="Times New Roman" w:hAnsi="Times New Roman" w:eastAsia="宋体"/>
                      <w:kern w:val="0"/>
                      <w:sz w:val="21"/>
                      <w:szCs w:val="21"/>
                      <w:lang w:val="en-US" w:eastAsia="zh-CN"/>
                    </w:rPr>
                  </w:pPr>
                  <w:r>
                    <w:rPr>
                      <w:rFonts w:hint="eastAsia"/>
                      <w:kern w:val="0"/>
                      <w:sz w:val="21"/>
                      <w:szCs w:val="21"/>
                      <w:lang w:val="en-US" w:eastAsia="zh-CN"/>
                    </w:rPr>
                    <w:t>0.00004L</w:t>
                  </w:r>
                </w:p>
              </w:tc>
              <w:tc>
                <w:tcPr>
                  <w:tcW w:w="857" w:type="pct"/>
                  <w:tcBorders>
                    <w:tl2br w:val="nil"/>
                    <w:tr2bl w:val="nil"/>
                  </w:tcBorders>
                  <w:noWrap w:val="0"/>
                  <w:vAlign w:val="center"/>
                </w:tcPr>
                <w:p w14:paraId="1A124A16">
                  <w:pPr>
                    <w:jc w:val="center"/>
                    <w:rPr>
                      <w:rFonts w:hint="eastAsia" w:ascii="Times New Roman" w:hAnsi="Times New Roman" w:eastAsia="宋体"/>
                      <w:kern w:val="0"/>
                      <w:sz w:val="21"/>
                      <w:szCs w:val="21"/>
                      <w:lang w:val="en-US" w:eastAsia="zh-CN"/>
                    </w:rPr>
                  </w:pPr>
                  <w:r>
                    <w:rPr>
                      <w:rFonts w:hint="eastAsia"/>
                      <w:kern w:val="0"/>
                      <w:sz w:val="21"/>
                      <w:szCs w:val="21"/>
                      <w:lang w:val="en-US" w:eastAsia="zh-CN"/>
                    </w:rPr>
                    <w:t>/</w:t>
                  </w:r>
                </w:p>
              </w:tc>
              <w:tc>
                <w:tcPr>
                  <w:tcW w:w="1051" w:type="pct"/>
                  <w:tcBorders>
                    <w:tl2br w:val="nil"/>
                    <w:tr2bl w:val="nil"/>
                  </w:tcBorders>
                  <w:noWrap w:val="0"/>
                  <w:vAlign w:val="center"/>
                </w:tcPr>
                <w:p w14:paraId="633BCBA6">
                  <w:pPr>
                    <w:jc w:val="center"/>
                    <w:rPr>
                      <w:rFonts w:ascii="Times New Roman" w:hAnsi="Times New Roman" w:eastAsia="宋体"/>
                      <w:kern w:val="0"/>
                      <w:sz w:val="21"/>
                      <w:szCs w:val="21"/>
                    </w:rPr>
                  </w:pPr>
                  <w:r>
                    <w:rPr>
                      <w:rFonts w:ascii="Times New Roman" w:hAnsi="Times New Roman" w:eastAsia="宋体"/>
                      <w:kern w:val="0"/>
                      <w:sz w:val="21"/>
                      <w:szCs w:val="21"/>
                    </w:rPr>
                    <w:t>未超标</w:t>
                  </w:r>
                </w:p>
              </w:tc>
            </w:tr>
            <w:tr w14:paraId="0D0AA94B">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1030" w:type="pct"/>
                  <w:tcBorders>
                    <w:tl2br w:val="nil"/>
                    <w:tr2bl w:val="nil"/>
                  </w:tcBorders>
                  <w:noWrap w:val="0"/>
                  <w:vAlign w:val="center"/>
                </w:tcPr>
                <w:p w14:paraId="427EE93B">
                  <w:pPr>
                    <w:jc w:val="center"/>
                    <w:rPr>
                      <w:rFonts w:hint="eastAsia" w:ascii="Times New Roman" w:hAnsi="Times New Roman" w:eastAsia="宋体"/>
                      <w:kern w:val="0"/>
                      <w:sz w:val="21"/>
                      <w:szCs w:val="21"/>
                      <w:lang w:val="en-US" w:eastAsia="zh-CN"/>
                    </w:rPr>
                  </w:pPr>
                  <w:r>
                    <w:rPr>
                      <w:rFonts w:hint="eastAsia"/>
                      <w:kern w:val="0"/>
                      <w:sz w:val="21"/>
                      <w:szCs w:val="21"/>
                      <w:lang w:val="en-US" w:eastAsia="zh-CN"/>
                    </w:rPr>
                    <w:t>铅</w:t>
                  </w:r>
                </w:p>
              </w:tc>
              <w:tc>
                <w:tcPr>
                  <w:tcW w:w="1110" w:type="pct"/>
                  <w:tcBorders>
                    <w:tl2br w:val="nil"/>
                    <w:tr2bl w:val="nil"/>
                  </w:tcBorders>
                  <w:noWrap w:val="0"/>
                  <w:vAlign w:val="center"/>
                </w:tcPr>
                <w:p w14:paraId="2BD3AFBF">
                  <w:pPr>
                    <w:jc w:val="center"/>
                    <w:rPr>
                      <w:rFonts w:hint="default" w:ascii="Times New Roman" w:hAnsi="Times New Roman" w:eastAsia="宋体"/>
                      <w:kern w:val="0"/>
                      <w:sz w:val="21"/>
                      <w:szCs w:val="21"/>
                      <w:lang w:val="en-US" w:eastAsia="zh-CN"/>
                    </w:rPr>
                  </w:pPr>
                  <w:r>
                    <w:rPr>
                      <w:rFonts w:ascii="Times New Roman" w:hAnsi="Times New Roman" w:eastAsia="宋体"/>
                      <w:kern w:val="0"/>
                      <w:sz w:val="21"/>
                      <w:szCs w:val="21"/>
                    </w:rPr>
                    <w:t>≤</w:t>
                  </w:r>
                  <w:r>
                    <w:rPr>
                      <w:rFonts w:hint="eastAsia"/>
                      <w:kern w:val="0"/>
                      <w:sz w:val="21"/>
                      <w:szCs w:val="21"/>
                      <w:lang w:val="en-US" w:eastAsia="zh-CN"/>
                    </w:rPr>
                    <w:t>0.05</w:t>
                  </w:r>
                </w:p>
              </w:tc>
              <w:tc>
                <w:tcPr>
                  <w:tcW w:w="950" w:type="pct"/>
                  <w:tcBorders>
                    <w:tl2br w:val="nil"/>
                    <w:tr2bl w:val="nil"/>
                  </w:tcBorders>
                  <w:noWrap w:val="0"/>
                  <w:vAlign w:val="center"/>
                </w:tcPr>
                <w:p w14:paraId="32E38405">
                  <w:pPr>
                    <w:jc w:val="center"/>
                    <w:rPr>
                      <w:rFonts w:hint="default" w:ascii="Times New Roman" w:hAnsi="Times New Roman" w:eastAsia="宋体"/>
                      <w:kern w:val="0"/>
                      <w:sz w:val="21"/>
                      <w:szCs w:val="21"/>
                      <w:lang w:val="en-US" w:eastAsia="zh-CN"/>
                    </w:rPr>
                  </w:pPr>
                  <w:r>
                    <w:rPr>
                      <w:rFonts w:hint="eastAsia"/>
                      <w:kern w:val="0"/>
                      <w:sz w:val="21"/>
                      <w:szCs w:val="21"/>
                      <w:lang w:val="en-US" w:eastAsia="zh-CN"/>
                    </w:rPr>
                    <w:t>0.001L</w:t>
                  </w:r>
                </w:p>
              </w:tc>
              <w:tc>
                <w:tcPr>
                  <w:tcW w:w="857" w:type="pct"/>
                  <w:tcBorders>
                    <w:tl2br w:val="nil"/>
                    <w:tr2bl w:val="nil"/>
                  </w:tcBorders>
                  <w:noWrap w:val="0"/>
                  <w:vAlign w:val="center"/>
                </w:tcPr>
                <w:p w14:paraId="0265404A">
                  <w:pPr>
                    <w:jc w:val="center"/>
                    <w:rPr>
                      <w:rFonts w:ascii="Times New Roman" w:hAnsi="Times New Roman" w:eastAsia="宋体"/>
                      <w:kern w:val="0"/>
                      <w:sz w:val="21"/>
                      <w:szCs w:val="21"/>
                    </w:rPr>
                  </w:pPr>
                  <w:r>
                    <w:rPr>
                      <w:rFonts w:ascii="Times New Roman" w:hAnsi="Times New Roman" w:eastAsia="宋体"/>
                      <w:kern w:val="0"/>
                      <w:sz w:val="21"/>
                      <w:szCs w:val="21"/>
                    </w:rPr>
                    <w:t>/</w:t>
                  </w:r>
                </w:p>
              </w:tc>
              <w:tc>
                <w:tcPr>
                  <w:tcW w:w="1051" w:type="pct"/>
                  <w:tcBorders>
                    <w:tl2br w:val="nil"/>
                    <w:tr2bl w:val="nil"/>
                  </w:tcBorders>
                  <w:noWrap w:val="0"/>
                  <w:vAlign w:val="center"/>
                </w:tcPr>
                <w:p w14:paraId="5FB43054">
                  <w:pPr>
                    <w:jc w:val="center"/>
                    <w:rPr>
                      <w:rFonts w:ascii="Times New Roman" w:hAnsi="Times New Roman" w:eastAsia="宋体"/>
                      <w:kern w:val="0"/>
                      <w:sz w:val="21"/>
                      <w:szCs w:val="21"/>
                    </w:rPr>
                  </w:pPr>
                  <w:r>
                    <w:rPr>
                      <w:rFonts w:ascii="Times New Roman" w:hAnsi="Times New Roman" w:eastAsia="宋体"/>
                      <w:kern w:val="0"/>
                      <w:sz w:val="21"/>
                      <w:szCs w:val="21"/>
                    </w:rPr>
                    <w:t>未超标</w:t>
                  </w:r>
                </w:p>
              </w:tc>
            </w:tr>
            <w:tr w14:paraId="7E81A808">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1030" w:type="pct"/>
                  <w:tcBorders>
                    <w:tl2br w:val="nil"/>
                    <w:tr2bl w:val="nil"/>
                  </w:tcBorders>
                  <w:noWrap w:val="0"/>
                  <w:vAlign w:val="center"/>
                </w:tcPr>
                <w:p w14:paraId="38153E74">
                  <w:pPr>
                    <w:jc w:val="center"/>
                    <w:rPr>
                      <w:rFonts w:hint="eastAsia" w:ascii="Times New Roman" w:hAnsi="Times New Roman" w:eastAsia="宋体"/>
                      <w:kern w:val="0"/>
                      <w:sz w:val="21"/>
                      <w:szCs w:val="21"/>
                      <w:lang w:val="en-US" w:eastAsia="zh-CN"/>
                    </w:rPr>
                  </w:pPr>
                  <w:r>
                    <w:rPr>
                      <w:rFonts w:hint="eastAsia"/>
                      <w:kern w:val="0"/>
                      <w:sz w:val="21"/>
                      <w:szCs w:val="21"/>
                      <w:lang w:val="en-US" w:eastAsia="zh-CN"/>
                    </w:rPr>
                    <w:t>镉</w:t>
                  </w:r>
                </w:p>
              </w:tc>
              <w:tc>
                <w:tcPr>
                  <w:tcW w:w="1110" w:type="pct"/>
                  <w:tcBorders>
                    <w:tl2br w:val="nil"/>
                    <w:tr2bl w:val="nil"/>
                  </w:tcBorders>
                  <w:noWrap w:val="0"/>
                  <w:vAlign w:val="center"/>
                </w:tcPr>
                <w:p w14:paraId="0AAC3B63">
                  <w:pPr>
                    <w:jc w:val="center"/>
                    <w:rPr>
                      <w:rFonts w:hint="default" w:ascii="Times New Roman" w:hAnsi="Times New Roman" w:eastAsia="宋体"/>
                      <w:kern w:val="0"/>
                      <w:sz w:val="21"/>
                      <w:szCs w:val="21"/>
                      <w:lang w:val="en-US" w:eastAsia="zh-CN"/>
                    </w:rPr>
                  </w:pPr>
                  <w:r>
                    <w:rPr>
                      <w:rFonts w:ascii="Times New Roman" w:hAnsi="Times New Roman" w:eastAsia="宋体"/>
                      <w:kern w:val="0"/>
                      <w:sz w:val="21"/>
                      <w:szCs w:val="21"/>
                    </w:rPr>
                    <w:t>≤</w:t>
                  </w:r>
                  <w:r>
                    <w:rPr>
                      <w:rFonts w:hint="eastAsia"/>
                      <w:kern w:val="0"/>
                      <w:sz w:val="21"/>
                      <w:szCs w:val="21"/>
                      <w:lang w:val="en-US" w:eastAsia="zh-CN"/>
                    </w:rPr>
                    <w:t>0.005</w:t>
                  </w:r>
                </w:p>
              </w:tc>
              <w:tc>
                <w:tcPr>
                  <w:tcW w:w="950" w:type="pct"/>
                  <w:tcBorders>
                    <w:tl2br w:val="nil"/>
                    <w:tr2bl w:val="nil"/>
                  </w:tcBorders>
                  <w:noWrap w:val="0"/>
                  <w:vAlign w:val="center"/>
                </w:tcPr>
                <w:p w14:paraId="7259B0C6">
                  <w:pPr>
                    <w:jc w:val="center"/>
                    <w:rPr>
                      <w:rFonts w:hint="default" w:ascii="Times New Roman" w:hAnsi="Times New Roman" w:eastAsia="宋体"/>
                      <w:kern w:val="0"/>
                      <w:sz w:val="21"/>
                      <w:szCs w:val="21"/>
                      <w:lang w:val="en-US" w:eastAsia="zh-CN"/>
                    </w:rPr>
                  </w:pPr>
                  <w:r>
                    <w:rPr>
                      <w:rFonts w:hint="eastAsia"/>
                      <w:kern w:val="0"/>
                      <w:sz w:val="21"/>
                      <w:szCs w:val="21"/>
                      <w:lang w:val="en-US" w:eastAsia="zh-CN"/>
                    </w:rPr>
                    <w:t>0.001L</w:t>
                  </w:r>
                </w:p>
              </w:tc>
              <w:tc>
                <w:tcPr>
                  <w:tcW w:w="857" w:type="pct"/>
                  <w:tcBorders>
                    <w:tl2br w:val="nil"/>
                    <w:tr2bl w:val="nil"/>
                  </w:tcBorders>
                  <w:noWrap w:val="0"/>
                  <w:vAlign w:val="center"/>
                </w:tcPr>
                <w:p w14:paraId="0E6658F4">
                  <w:pPr>
                    <w:jc w:val="center"/>
                    <w:rPr>
                      <w:rFonts w:hint="eastAsia" w:ascii="Times New Roman" w:hAnsi="Times New Roman" w:eastAsia="宋体"/>
                      <w:kern w:val="0"/>
                      <w:sz w:val="21"/>
                      <w:szCs w:val="21"/>
                      <w:lang w:val="en-US" w:eastAsia="zh-CN"/>
                    </w:rPr>
                  </w:pPr>
                  <w:r>
                    <w:rPr>
                      <w:rFonts w:hint="eastAsia"/>
                      <w:kern w:val="0"/>
                      <w:sz w:val="21"/>
                      <w:szCs w:val="21"/>
                      <w:lang w:val="en-US" w:eastAsia="zh-CN"/>
                    </w:rPr>
                    <w:t>/</w:t>
                  </w:r>
                </w:p>
              </w:tc>
              <w:tc>
                <w:tcPr>
                  <w:tcW w:w="1051" w:type="pct"/>
                  <w:tcBorders>
                    <w:tl2br w:val="nil"/>
                    <w:tr2bl w:val="nil"/>
                  </w:tcBorders>
                  <w:noWrap w:val="0"/>
                  <w:vAlign w:val="center"/>
                </w:tcPr>
                <w:p w14:paraId="50BA564B">
                  <w:pPr>
                    <w:jc w:val="center"/>
                    <w:rPr>
                      <w:rFonts w:ascii="Times New Roman" w:hAnsi="Times New Roman" w:eastAsia="宋体" w:cs="Times New Roman"/>
                      <w:kern w:val="0"/>
                      <w:sz w:val="21"/>
                      <w:szCs w:val="21"/>
                      <w:lang w:val="en-US" w:eastAsia="zh-CN" w:bidi="ar-SA"/>
                    </w:rPr>
                  </w:pPr>
                  <w:r>
                    <w:rPr>
                      <w:rFonts w:ascii="Times New Roman" w:hAnsi="Times New Roman" w:eastAsia="宋体"/>
                      <w:kern w:val="0"/>
                      <w:sz w:val="21"/>
                      <w:szCs w:val="21"/>
                    </w:rPr>
                    <w:t>未超标</w:t>
                  </w:r>
                </w:p>
              </w:tc>
            </w:tr>
            <w:tr w14:paraId="2FC568DB">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1030" w:type="pct"/>
                  <w:tcBorders>
                    <w:tl2br w:val="nil"/>
                    <w:tr2bl w:val="nil"/>
                  </w:tcBorders>
                  <w:noWrap w:val="0"/>
                  <w:vAlign w:val="center"/>
                </w:tcPr>
                <w:p w14:paraId="2103B5E9">
                  <w:pPr>
                    <w:jc w:val="center"/>
                    <w:rPr>
                      <w:rFonts w:hint="default"/>
                      <w:kern w:val="0"/>
                      <w:sz w:val="21"/>
                      <w:szCs w:val="21"/>
                      <w:lang w:val="en-US" w:eastAsia="zh-CN"/>
                    </w:rPr>
                  </w:pPr>
                  <w:r>
                    <w:rPr>
                      <w:rFonts w:hint="eastAsia"/>
                      <w:kern w:val="0"/>
                      <w:sz w:val="21"/>
                      <w:szCs w:val="21"/>
                      <w:lang w:val="en-US" w:eastAsia="zh-CN"/>
                    </w:rPr>
                    <w:t>砷</w:t>
                  </w:r>
                </w:p>
              </w:tc>
              <w:tc>
                <w:tcPr>
                  <w:tcW w:w="1110" w:type="pct"/>
                  <w:tcBorders>
                    <w:tl2br w:val="nil"/>
                    <w:tr2bl w:val="nil"/>
                  </w:tcBorders>
                  <w:noWrap w:val="0"/>
                  <w:vAlign w:val="center"/>
                </w:tcPr>
                <w:p w14:paraId="115F97B2">
                  <w:pPr>
                    <w:jc w:val="center"/>
                    <w:rPr>
                      <w:rFonts w:hint="default" w:ascii="Times New Roman" w:hAnsi="Times New Roman" w:eastAsia="宋体"/>
                      <w:kern w:val="0"/>
                      <w:sz w:val="21"/>
                      <w:szCs w:val="21"/>
                      <w:lang w:val="en-US" w:eastAsia="zh-CN"/>
                    </w:rPr>
                  </w:pPr>
                  <w:r>
                    <w:rPr>
                      <w:rFonts w:ascii="Times New Roman" w:hAnsi="Times New Roman" w:eastAsia="宋体"/>
                      <w:kern w:val="0"/>
                      <w:sz w:val="21"/>
                      <w:szCs w:val="21"/>
                    </w:rPr>
                    <w:t>≤</w:t>
                  </w:r>
                  <w:r>
                    <w:rPr>
                      <w:rFonts w:hint="eastAsia"/>
                      <w:kern w:val="0"/>
                      <w:sz w:val="21"/>
                      <w:szCs w:val="21"/>
                      <w:lang w:val="en-US" w:eastAsia="zh-CN"/>
                    </w:rPr>
                    <w:t>0.1</w:t>
                  </w:r>
                </w:p>
              </w:tc>
              <w:tc>
                <w:tcPr>
                  <w:tcW w:w="950" w:type="pct"/>
                  <w:tcBorders>
                    <w:tl2br w:val="nil"/>
                    <w:tr2bl w:val="nil"/>
                  </w:tcBorders>
                  <w:noWrap w:val="0"/>
                  <w:vAlign w:val="center"/>
                </w:tcPr>
                <w:p w14:paraId="15320014">
                  <w:pPr>
                    <w:jc w:val="center"/>
                    <w:rPr>
                      <w:rFonts w:hint="default" w:ascii="Times New Roman" w:hAnsi="Times New Roman" w:eastAsia="宋体"/>
                      <w:kern w:val="0"/>
                      <w:sz w:val="21"/>
                      <w:szCs w:val="21"/>
                      <w:lang w:val="en-US" w:eastAsia="zh-CN"/>
                    </w:rPr>
                  </w:pPr>
                  <w:r>
                    <w:rPr>
                      <w:rFonts w:hint="eastAsia"/>
                      <w:kern w:val="0"/>
                      <w:sz w:val="21"/>
                      <w:szCs w:val="21"/>
                      <w:lang w:val="en-US" w:eastAsia="zh-CN"/>
                    </w:rPr>
                    <w:t>0.0003L</w:t>
                  </w:r>
                </w:p>
              </w:tc>
              <w:tc>
                <w:tcPr>
                  <w:tcW w:w="857" w:type="pct"/>
                  <w:tcBorders>
                    <w:tl2br w:val="nil"/>
                    <w:tr2bl w:val="nil"/>
                  </w:tcBorders>
                  <w:noWrap w:val="0"/>
                  <w:vAlign w:val="center"/>
                </w:tcPr>
                <w:p w14:paraId="668D9395">
                  <w:pPr>
                    <w:jc w:val="center"/>
                    <w:rPr>
                      <w:rFonts w:hint="eastAsia" w:ascii="Times New Roman" w:hAnsi="Times New Roman" w:eastAsia="宋体"/>
                      <w:kern w:val="0"/>
                      <w:sz w:val="21"/>
                      <w:szCs w:val="21"/>
                      <w:lang w:val="en-US" w:eastAsia="zh-CN"/>
                    </w:rPr>
                  </w:pPr>
                  <w:r>
                    <w:rPr>
                      <w:rFonts w:hint="eastAsia"/>
                      <w:kern w:val="0"/>
                      <w:sz w:val="21"/>
                      <w:szCs w:val="21"/>
                      <w:lang w:val="en-US" w:eastAsia="zh-CN"/>
                    </w:rPr>
                    <w:t>/</w:t>
                  </w:r>
                </w:p>
              </w:tc>
              <w:tc>
                <w:tcPr>
                  <w:tcW w:w="1051" w:type="pct"/>
                  <w:tcBorders>
                    <w:tl2br w:val="nil"/>
                    <w:tr2bl w:val="nil"/>
                  </w:tcBorders>
                  <w:noWrap w:val="0"/>
                  <w:vAlign w:val="center"/>
                </w:tcPr>
                <w:p w14:paraId="76F49E6A">
                  <w:pPr>
                    <w:jc w:val="center"/>
                    <w:rPr>
                      <w:rFonts w:ascii="Times New Roman" w:hAnsi="Times New Roman" w:eastAsia="宋体" w:cs="Times New Roman"/>
                      <w:kern w:val="0"/>
                      <w:sz w:val="21"/>
                      <w:szCs w:val="21"/>
                      <w:lang w:val="en-US" w:eastAsia="zh-CN" w:bidi="ar-SA"/>
                    </w:rPr>
                  </w:pPr>
                  <w:r>
                    <w:rPr>
                      <w:rFonts w:hint="eastAsia"/>
                      <w:kern w:val="0"/>
                      <w:sz w:val="21"/>
                      <w:szCs w:val="21"/>
                      <w:lang w:val="en-US" w:eastAsia="zh-CN"/>
                    </w:rPr>
                    <w:t>未</w:t>
                  </w:r>
                  <w:r>
                    <w:rPr>
                      <w:rFonts w:ascii="Times New Roman" w:hAnsi="Times New Roman" w:eastAsia="宋体"/>
                      <w:kern w:val="0"/>
                      <w:sz w:val="21"/>
                      <w:szCs w:val="21"/>
                    </w:rPr>
                    <w:t>超标</w:t>
                  </w:r>
                </w:p>
              </w:tc>
            </w:tr>
            <w:tr w14:paraId="489B485B">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1030" w:type="pct"/>
                  <w:tcBorders>
                    <w:tl2br w:val="nil"/>
                    <w:tr2bl w:val="nil"/>
                  </w:tcBorders>
                  <w:noWrap w:val="0"/>
                  <w:vAlign w:val="center"/>
                </w:tcPr>
                <w:p w14:paraId="567C0008">
                  <w:pPr>
                    <w:jc w:val="center"/>
                    <w:rPr>
                      <w:rFonts w:hint="default"/>
                      <w:kern w:val="0"/>
                      <w:sz w:val="21"/>
                      <w:szCs w:val="21"/>
                      <w:lang w:val="en-US" w:eastAsia="zh-CN"/>
                    </w:rPr>
                  </w:pPr>
                  <w:r>
                    <w:rPr>
                      <w:rFonts w:hint="eastAsia"/>
                      <w:kern w:val="0"/>
                      <w:sz w:val="21"/>
                      <w:szCs w:val="21"/>
                      <w:lang w:val="en-US" w:eastAsia="zh-CN"/>
                    </w:rPr>
                    <w:t>六价铬</w:t>
                  </w:r>
                </w:p>
              </w:tc>
              <w:tc>
                <w:tcPr>
                  <w:tcW w:w="1110" w:type="pct"/>
                  <w:tcBorders>
                    <w:tl2br w:val="nil"/>
                    <w:tr2bl w:val="nil"/>
                  </w:tcBorders>
                  <w:noWrap w:val="0"/>
                  <w:vAlign w:val="center"/>
                </w:tcPr>
                <w:p w14:paraId="719E727B">
                  <w:pPr>
                    <w:jc w:val="center"/>
                    <w:rPr>
                      <w:rFonts w:hint="default" w:ascii="Times New Roman" w:hAnsi="Times New Roman" w:eastAsia="宋体"/>
                      <w:kern w:val="0"/>
                      <w:sz w:val="21"/>
                      <w:szCs w:val="21"/>
                      <w:lang w:val="en-US" w:eastAsia="zh-CN"/>
                    </w:rPr>
                  </w:pPr>
                  <w:r>
                    <w:rPr>
                      <w:rFonts w:ascii="Times New Roman" w:hAnsi="Times New Roman" w:eastAsia="宋体"/>
                      <w:kern w:val="0"/>
                      <w:sz w:val="21"/>
                      <w:szCs w:val="21"/>
                    </w:rPr>
                    <w:t>≤</w:t>
                  </w:r>
                  <w:r>
                    <w:rPr>
                      <w:rFonts w:hint="eastAsia"/>
                      <w:kern w:val="0"/>
                      <w:sz w:val="21"/>
                      <w:szCs w:val="21"/>
                      <w:lang w:val="en-US" w:eastAsia="zh-CN"/>
                    </w:rPr>
                    <w:t>0.05</w:t>
                  </w:r>
                </w:p>
              </w:tc>
              <w:tc>
                <w:tcPr>
                  <w:tcW w:w="950" w:type="pct"/>
                  <w:tcBorders>
                    <w:tl2br w:val="nil"/>
                    <w:tr2bl w:val="nil"/>
                  </w:tcBorders>
                  <w:noWrap w:val="0"/>
                  <w:vAlign w:val="center"/>
                </w:tcPr>
                <w:p w14:paraId="1E347638">
                  <w:pPr>
                    <w:jc w:val="center"/>
                    <w:rPr>
                      <w:rFonts w:hint="default" w:ascii="Times New Roman" w:hAnsi="Times New Roman" w:eastAsia="宋体"/>
                      <w:kern w:val="0"/>
                      <w:sz w:val="21"/>
                      <w:szCs w:val="21"/>
                      <w:lang w:val="en-US" w:eastAsia="zh-CN"/>
                    </w:rPr>
                  </w:pPr>
                  <w:r>
                    <w:rPr>
                      <w:rFonts w:hint="eastAsia"/>
                      <w:kern w:val="0"/>
                      <w:sz w:val="21"/>
                      <w:szCs w:val="21"/>
                      <w:lang w:val="en-US" w:eastAsia="zh-CN"/>
                    </w:rPr>
                    <w:t>0.004L</w:t>
                  </w:r>
                </w:p>
              </w:tc>
              <w:tc>
                <w:tcPr>
                  <w:tcW w:w="857" w:type="pct"/>
                  <w:tcBorders>
                    <w:tl2br w:val="nil"/>
                    <w:tr2bl w:val="nil"/>
                  </w:tcBorders>
                  <w:noWrap w:val="0"/>
                  <w:vAlign w:val="center"/>
                </w:tcPr>
                <w:p w14:paraId="7D8F2680">
                  <w:pPr>
                    <w:jc w:val="center"/>
                    <w:rPr>
                      <w:rFonts w:hint="eastAsia" w:ascii="Times New Roman" w:hAnsi="Times New Roman" w:eastAsia="宋体"/>
                      <w:kern w:val="0"/>
                      <w:sz w:val="21"/>
                      <w:szCs w:val="21"/>
                      <w:lang w:val="en-US" w:eastAsia="zh-CN"/>
                    </w:rPr>
                  </w:pPr>
                  <w:r>
                    <w:rPr>
                      <w:rFonts w:hint="eastAsia"/>
                      <w:kern w:val="0"/>
                      <w:sz w:val="21"/>
                      <w:szCs w:val="21"/>
                      <w:lang w:val="en-US" w:eastAsia="zh-CN"/>
                    </w:rPr>
                    <w:t>/</w:t>
                  </w:r>
                </w:p>
              </w:tc>
              <w:tc>
                <w:tcPr>
                  <w:tcW w:w="1051" w:type="pct"/>
                  <w:tcBorders>
                    <w:tl2br w:val="nil"/>
                    <w:tr2bl w:val="nil"/>
                  </w:tcBorders>
                  <w:noWrap w:val="0"/>
                  <w:vAlign w:val="center"/>
                </w:tcPr>
                <w:p w14:paraId="44769841">
                  <w:pPr>
                    <w:jc w:val="center"/>
                    <w:rPr>
                      <w:rFonts w:ascii="Times New Roman" w:hAnsi="Times New Roman" w:eastAsia="宋体" w:cs="Times New Roman"/>
                      <w:kern w:val="0"/>
                      <w:sz w:val="21"/>
                      <w:szCs w:val="21"/>
                      <w:lang w:val="en-US" w:eastAsia="zh-CN" w:bidi="ar-SA"/>
                    </w:rPr>
                  </w:pPr>
                  <w:r>
                    <w:rPr>
                      <w:rFonts w:ascii="Times New Roman" w:hAnsi="Times New Roman" w:eastAsia="宋体"/>
                      <w:kern w:val="0"/>
                      <w:sz w:val="21"/>
                      <w:szCs w:val="21"/>
                    </w:rPr>
                    <w:t>未超标</w:t>
                  </w:r>
                </w:p>
              </w:tc>
            </w:tr>
            <w:tr w14:paraId="1356911D">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1030" w:type="pct"/>
                  <w:tcBorders>
                    <w:tl2br w:val="nil"/>
                    <w:tr2bl w:val="nil"/>
                  </w:tcBorders>
                  <w:noWrap w:val="0"/>
                  <w:vAlign w:val="center"/>
                </w:tcPr>
                <w:p w14:paraId="5A3F42DD">
                  <w:pPr>
                    <w:jc w:val="center"/>
                    <w:rPr>
                      <w:rFonts w:hint="default"/>
                      <w:kern w:val="0"/>
                      <w:sz w:val="21"/>
                      <w:szCs w:val="21"/>
                      <w:lang w:val="en-US" w:eastAsia="zh-CN"/>
                    </w:rPr>
                  </w:pPr>
                  <w:r>
                    <w:rPr>
                      <w:rFonts w:hint="eastAsia"/>
                      <w:kern w:val="0"/>
                      <w:sz w:val="21"/>
                      <w:szCs w:val="21"/>
                      <w:lang w:val="en-US" w:eastAsia="zh-CN"/>
                    </w:rPr>
                    <w:t>石油类</w:t>
                  </w:r>
                </w:p>
              </w:tc>
              <w:tc>
                <w:tcPr>
                  <w:tcW w:w="1110" w:type="pct"/>
                  <w:tcBorders>
                    <w:tl2br w:val="nil"/>
                    <w:tr2bl w:val="nil"/>
                  </w:tcBorders>
                  <w:noWrap w:val="0"/>
                  <w:vAlign w:val="center"/>
                </w:tcPr>
                <w:p w14:paraId="5A870395">
                  <w:pPr>
                    <w:jc w:val="center"/>
                    <w:rPr>
                      <w:rFonts w:hint="default" w:ascii="Times New Roman" w:hAnsi="Times New Roman" w:eastAsia="宋体"/>
                      <w:kern w:val="0"/>
                      <w:sz w:val="21"/>
                      <w:szCs w:val="21"/>
                      <w:lang w:val="en-US" w:eastAsia="zh-CN"/>
                    </w:rPr>
                  </w:pPr>
                  <w:r>
                    <w:rPr>
                      <w:rFonts w:ascii="Times New Roman" w:hAnsi="Times New Roman" w:eastAsia="宋体"/>
                      <w:kern w:val="0"/>
                      <w:sz w:val="21"/>
                      <w:szCs w:val="21"/>
                    </w:rPr>
                    <w:t>≤</w:t>
                  </w:r>
                  <w:r>
                    <w:rPr>
                      <w:rFonts w:hint="eastAsia"/>
                      <w:kern w:val="0"/>
                      <w:sz w:val="21"/>
                      <w:szCs w:val="21"/>
                      <w:lang w:val="en-US" w:eastAsia="zh-CN"/>
                    </w:rPr>
                    <w:t>0.5</w:t>
                  </w:r>
                </w:p>
              </w:tc>
              <w:tc>
                <w:tcPr>
                  <w:tcW w:w="950" w:type="pct"/>
                  <w:tcBorders>
                    <w:tl2br w:val="nil"/>
                    <w:tr2bl w:val="nil"/>
                  </w:tcBorders>
                  <w:noWrap w:val="0"/>
                  <w:vAlign w:val="center"/>
                </w:tcPr>
                <w:p w14:paraId="5EAE28C1">
                  <w:pPr>
                    <w:jc w:val="center"/>
                    <w:rPr>
                      <w:rFonts w:hint="default" w:ascii="Times New Roman" w:hAnsi="Times New Roman" w:eastAsia="宋体"/>
                      <w:kern w:val="0"/>
                      <w:sz w:val="21"/>
                      <w:szCs w:val="21"/>
                      <w:lang w:val="en-US" w:eastAsia="zh-CN"/>
                    </w:rPr>
                  </w:pPr>
                  <w:r>
                    <w:rPr>
                      <w:rFonts w:hint="eastAsia"/>
                      <w:kern w:val="0"/>
                      <w:sz w:val="21"/>
                      <w:szCs w:val="21"/>
                      <w:lang w:val="en-US" w:eastAsia="zh-CN"/>
                    </w:rPr>
                    <w:t>0.01L~0.02</w:t>
                  </w:r>
                </w:p>
              </w:tc>
              <w:tc>
                <w:tcPr>
                  <w:tcW w:w="857" w:type="pct"/>
                  <w:tcBorders>
                    <w:tl2br w:val="nil"/>
                    <w:tr2bl w:val="nil"/>
                  </w:tcBorders>
                  <w:noWrap w:val="0"/>
                  <w:vAlign w:val="center"/>
                </w:tcPr>
                <w:p w14:paraId="4CA82089">
                  <w:pPr>
                    <w:jc w:val="center"/>
                    <w:rPr>
                      <w:rFonts w:hint="default" w:ascii="Times New Roman" w:hAnsi="Times New Roman" w:eastAsia="宋体"/>
                      <w:kern w:val="0"/>
                      <w:sz w:val="21"/>
                      <w:szCs w:val="21"/>
                      <w:lang w:val="en-US" w:eastAsia="zh-CN"/>
                    </w:rPr>
                  </w:pPr>
                  <w:r>
                    <w:rPr>
                      <w:rFonts w:hint="eastAsia"/>
                      <w:kern w:val="0"/>
                      <w:sz w:val="21"/>
                      <w:szCs w:val="21"/>
                      <w:lang w:val="en-US" w:eastAsia="zh-CN"/>
                    </w:rPr>
                    <w:t>0.04</w:t>
                  </w:r>
                </w:p>
              </w:tc>
              <w:tc>
                <w:tcPr>
                  <w:tcW w:w="1051" w:type="pct"/>
                  <w:tcBorders>
                    <w:tl2br w:val="nil"/>
                    <w:tr2bl w:val="nil"/>
                  </w:tcBorders>
                  <w:noWrap w:val="0"/>
                  <w:vAlign w:val="center"/>
                </w:tcPr>
                <w:p w14:paraId="7C4CF11F">
                  <w:pPr>
                    <w:jc w:val="center"/>
                    <w:rPr>
                      <w:rFonts w:ascii="Times New Roman" w:hAnsi="Times New Roman" w:eastAsia="宋体" w:cs="Times New Roman"/>
                      <w:kern w:val="0"/>
                      <w:sz w:val="21"/>
                      <w:szCs w:val="21"/>
                      <w:lang w:val="en-US" w:eastAsia="zh-CN" w:bidi="ar-SA"/>
                    </w:rPr>
                  </w:pPr>
                  <w:r>
                    <w:rPr>
                      <w:rFonts w:ascii="Times New Roman" w:hAnsi="Times New Roman" w:eastAsia="宋体"/>
                      <w:kern w:val="0"/>
                      <w:sz w:val="21"/>
                      <w:szCs w:val="21"/>
                    </w:rPr>
                    <w:t>未超标</w:t>
                  </w:r>
                </w:p>
              </w:tc>
            </w:tr>
            <w:tr w14:paraId="01DA6296">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1030" w:type="pct"/>
                  <w:tcBorders>
                    <w:tl2br w:val="nil"/>
                    <w:tr2bl w:val="nil"/>
                  </w:tcBorders>
                  <w:noWrap w:val="0"/>
                  <w:vAlign w:val="center"/>
                </w:tcPr>
                <w:p w14:paraId="2F230111">
                  <w:pPr>
                    <w:jc w:val="center"/>
                    <w:rPr>
                      <w:rFonts w:hint="default"/>
                      <w:kern w:val="0"/>
                      <w:sz w:val="21"/>
                      <w:szCs w:val="21"/>
                      <w:lang w:val="en-US" w:eastAsia="zh-CN"/>
                    </w:rPr>
                  </w:pPr>
                  <w:r>
                    <w:rPr>
                      <w:rFonts w:hint="eastAsia"/>
                      <w:kern w:val="0"/>
                      <w:sz w:val="21"/>
                      <w:szCs w:val="21"/>
                      <w:lang w:val="en-US" w:eastAsia="zh-CN"/>
                    </w:rPr>
                    <w:t>氰化物</w:t>
                  </w:r>
                </w:p>
              </w:tc>
              <w:tc>
                <w:tcPr>
                  <w:tcW w:w="1110" w:type="pct"/>
                  <w:tcBorders>
                    <w:tl2br w:val="nil"/>
                    <w:tr2bl w:val="nil"/>
                  </w:tcBorders>
                  <w:noWrap w:val="0"/>
                  <w:vAlign w:val="center"/>
                </w:tcPr>
                <w:p w14:paraId="7BA9E787">
                  <w:pPr>
                    <w:jc w:val="center"/>
                    <w:rPr>
                      <w:rFonts w:hint="default" w:ascii="Times New Roman" w:hAnsi="Times New Roman" w:eastAsia="宋体"/>
                      <w:kern w:val="0"/>
                      <w:sz w:val="21"/>
                      <w:szCs w:val="21"/>
                      <w:lang w:val="en-US" w:eastAsia="zh-CN"/>
                    </w:rPr>
                  </w:pPr>
                  <w:r>
                    <w:rPr>
                      <w:rFonts w:ascii="Times New Roman" w:hAnsi="Times New Roman" w:eastAsia="宋体"/>
                      <w:kern w:val="0"/>
                      <w:sz w:val="21"/>
                      <w:szCs w:val="21"/>
                    </w:rPr>
                    <w:t>≤</w:t>
                  </w:r>
                  <w:r>
                    <w:rPr>
                      <w:rFonts w:hint="eastAsia"/>
                      <w:kern w:val="0"/>
                      <w:sz w:val="21"/>
                      <w:szCs w:val="21"/>
                      <w:lang w:val="en-US" w:eastAsia="zh-CN"/>
                    </w:rPr>
                    <w:t>0.2</w:t>
                  </w:r>
                </w:p>
              </w:tc>
              <w:tc>
                <w:tcPr>
                  <w:tcW w:w="950" w:type="pct"/>
                  <w:tcBorders>
                    <w:tl2br w:val="nil"/>
                    <w:tr2bl w:val="nil"/>
                  </w:tcBorders>
                  <w:noWrap w:val="0"/>
                  <w:vAlign w:val="center"/>
                </w:tcPr>
                <w:p w14:paraId="7629D518">
                  <w:pPr>
                    <w:jc w:val="center"/>
                    <w:rPr>
                      <w:rFonts w:hint="default" w:ascii="Times New Roman" w:hAnsi="Times New Roman" w:eastAsia="宋体"/>
                      <w:kern w:val="0"/>
                      <w:sz w:val="21"/>
                      <w:szCs w:val="21"/>
                      <w:lang w:val="en-US" w:eastAsia="zh-CN"/>
                    </w:rPr>
                  </w:pPr>
                  <w:r>
                    <w:rPr>
                      <w:rFonts w:hint="eastAsia"/>
                      <w:kern w:val="0"/>
                      <w:sz w:val="21"/>
                      <w:szCs w:val="21"/>
                      <w:lang w:val="en-US" w:eastAsia="zh-CN"/>
                    </w:rPr>
                    <w:t>0.004L</w:t>
                  </w:r>
                </w:p>
              </w:tc>
              <w:tc>
                <w:tcPr>
                  <w:tcW w:w="857" w:type="pct"/>
                  <w:tcBorders>
                    <w:tl2br w:val="nil"/>
                    <w:tr2bl w:val="nil"/>
                  </w:tcBorders>
                  <w:noWrap w:val="0"/>
                  <w:vAlign w:val="center"/>
                </w:tcPr>
                <w:p w14:paraId="3A865CB4">
                  <w:pPr>
                    <w:jc w:val="center"/>
                    <w:rPr>
                      <w:rFonts w:hint="eastAsia" w:ascii="Times New Roman" w:hAnsi="Times New Roman" w:eastAsia="宋体"/>
                      <w:kern w:val="0"/>
                      <w:sz w:val="21"/>
                      <w:szCs w:val="21"/>
                      <w:lang w:val="en-US" w:eastAsia="zh-CN"/>
                    </w:rPr>
                  </w:pPr>
                  <w:r>
                    <w:rPr>
                      <w:rFonts w:hint="eastAsia"/>
                      <w:kern w:val="0"/>
                      <w:sz w:val="21"/>
                      <w:szCs w:val="21"/>
                      <w:lang w:val="en-US" w:eastAsia="zh-CN"/>
                    </w:rPr>
                    <w:t>/</w:t>
                  </w:r>
                </w:p>
              </w:tc>
              <w:tc>
                <w:tcPr>
                  <w:tcW w:w="1051" w:type="pct"/>
                  <w:tcBorders>
                    <w:tl2br w:val="nil"/>
                    <w:tr2bl w:val="nil"/>
                  </w:tcBorders>
                  <w:noWrap w:val="0"/>
                  <w:vAlign w:val="center"/>
                </w:tcPr>
                <w:p w14:paraId="616C2551">
                  <w:pPr>
                    <w:jc w:val="center"/>
                    <w:rPr>
                      <w:rFonts w:ascii="Times New Roman" w:hAnsi="Times New Roman" w:eastAsia="宋体" w:cs="Times New Roman"/>
                      <w:kern w:val="0"/>
                      <w:sz w:val="21"/>
                      <w:szCs w:val="21"/>
                      <w:lang w:val="en-US" w:eastAsia="zh-CN" w:bidi="ar-SA"/>
                    </w:rPr>
                  </w:pPr>
                  <w:r>
                    <w:rPr>
                      <w:rFonts w:ascii="Times New Roman" w:hAnsi="Times New Roman" w:eastAsia="宋体"/>
                      <w:kern w:val="0"/>
                      <w:sz w:val="21"/>
                      <w:szCs w:val="21"/>
                    </w:rPr>
                    <w:t>未超标</w:t>
                  </w:r>
                </w:p>
              </w:tc>
            </w:tr>
          </w:tbl>
          <w:p w14:paraId="1671C043">
            <w:pPr>
              <w:keepNext w:val="0"/>
              <w:keepLines w:val="0"/>
              <w:widowControl/>
              <w:suppressLineNumbers w:val="0"/>
              <w:spacing w:line="360" w:lineRule="auto"/>
              <w:ind w:firstLine="480" w:firstLineChars="200"/>
              <w:jc w:val="left"/>
              <w:rPr>
                <w:rFonts w:hint="default" w:ascii="Times New Roman" w:hAnsi="Times New Roman" w:cs="Times New Roman"/>
              </w:rPr>
            </w:pPr>
            <w:r>
              <w:rPr>
                <w:rFonts w:hint="default" w:ascii="Times New Roman" w:hAnsi="Times New Roman" w:eastAsia="宋体" w:cs="Times New Roman"/>
                <w:color w:val="000000"/>
                <w:kern w:val="0"/>
                <w:sz w:val="24"/>
                <w:szCs w:val="24"/>
                <w:lang w:val="en-US" w:eastAsia="zh-CN" w:bidi="ar"/>
              </w:rPr>
              <w:t>由上表结果可知，太子河水质监测指标均符合《地表水环境质量标准》（GB3838-2002）Ⅳ类标准。</w:t>
            </w:r>
          </w:p>
          <w:p w14:paraId="4FCC82B7">
            <w:pPr>
              <w:pStyle w:val="68"/>
              <w:ind w:firstLine="482"/>
              <w:rPr>
                <w:rFonts w:hint="default" w:ascii="Times New Roman" w:hAnsi="Times New Roman" w:cs="Times New Roman"/>
                <w:b/>
                <w:bCs w:val="0"/>
                <w:color w:val="000000" w:themeColor="text1"/>
                <w:highlight w:val="none"/>
                <w14:textFill>
                  <w14:solidFill>
                    <w14:schemeClr w14:val="tx1"/>
                  </w14:solidFill>
                </w14:textFill>
              </w:rPr>
            </w:pPr>
            <w:r>
              <w:rPr>
                <w:rFonts w:hint="default" w:ascii="Times New Roman" w:hAnsi="Times New Roman" w:cs="Times New Roman"/>
                <w:b/>
                <w:bCs w:val="0"/>
                <w:color w:val="000000" w:themeColor="text1"/>
                <w:highlight w:val="none"/>
                <w14:textFill>
                  <w14:solidFill>
                    <w14:schemeClr w14:val="tx1"/>
                  </w14:solidFill>
                </w14:textFill>
              </w:rPr>
              <w:t>4.地下水、土壤环境</w:t>
            </w:r>
          </w:p>
          <w:p w14:paraId="0EE55926">
            <w:pPr>
              <w:widowControl/>
              <w:spacing w:line="360" w:lineRule="auto"/>
              <w:ind w:firstLine="480" w:firstLineChars="200"/>
              <w:jc w:val="left"/>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kern w:val="0"/>
                <w:sz w:val="24"/>
                <w:highlight w:val="none"/>
                <w14:textFill>
                  <w14:solidFill>
                    <w14:schemeClr w14:val="tx1"/>
                  </w14:solidFill>
                </w14:textFill>
              </w:rPr>
              <w:t xml:space="preserve">根据《建设项目环境影响报告表编制技术指南（污染影响类）（试行）》 </w:t>
            </w:r>
          </w:p>
          <w:p w14:paraId="10035CD3">
            <w:pPr>
              <w:widowControl/>
              <w:spacing w:line="360" w:lineRule="auto"/>
              <w:jc w:val="left"/>
              <w:rPr>
                <w:rFonts w:hint="default" w:ascii="Times New Roman" w:hAnsi="Times New Roman" w:cs="Times New Roman"/>
                <w:color w:val="000000" w:themeColor="text1"/>
                <w:kern w:val="0"/>
                <w:sz w:val="24"/>
                <w:highlight w:val="none"/>
                <w14:textFill>
                  <w14:solidFill>
                    <w14:schemeClr w14:val="tx1"/>
                  </w14:solidFill>
                </w14:textFill>
              </w:rPr>
            </w:pPr>
            <w:r>
              <w:rPr>
                <w:rFonts w:hint="default" w:ascii="Times New Roman" w:hAnsi="Times New Roman" w:cs="Times New Roman"/>
                <w:color w:val="000000" w:themeColor="text1"/>
                <w:kern w:val="0"/>
                <w:sz w:val="24"/>
                <w:highlight w:val="none"/>
                <w14:textFill>
                  <w14:solidFill>
                    <w14:schemeClr w14:val="tx1"/>
                  </w14:solidFill>
                </w14:textFill>
              </w:rPr>
              <w:t>要求，建设项目存在土壤、地下水污染途径的，应结合污染源、保护目标分布情况开展现状调查以留作背景值。项目所在位置目前为闲置空地，项目地下水环境影响评价类别为IV类、土壤环境影响评价类别为IV类，且本项目</w:t>
            </w:r>
            <w:r>
              <w:rPr>
                <w:rFonts w:hint="eastAsia" w:cs="Times New Roman"/>
                <w:color w:val="000000" w:themeColor="text1"/>
                <w:kern w:val="0"/>
                <w:sz w:val="24"/>
                <w:highlight w:val="none"/>
                <w:lang w:val="en-US" w:eastAsia="zh-CN"/>
                <w14:textFill>
                  <w14:solidFill>
                    <w14:schemeClr w14:val="tx1"/>
                  </w14:solidFill>
                </w14:textFill>
              </w:rPr>
              <w:t>废矿物油罐区</w:t>
            </w:r>
            <w:r>
              <w:rPr>
                <w:rFonts w:hint="default" w:ascii="Times New Roman" w:hAnsi="Times New Roman" w:cs="Times New Roman"/>
                <w:color w:val="000000" w:themeColor="text1"/>
                <w:kern w:val="0"/>
                <w:sz w:val="24"/>
                <w:highlight w:val="none"/>
                <w14:textFill>
                  <w14:solidFill>
                    <w14:schemeClr w14:val="tx1"/>
                  </w14:solidFill>
                </w14:textFill>
              </w:rPr>
              <w:t>采取防渗措施，</w:t>
            </w:r>
            <w:r>
              <w:rPr>
                <w:rFonts w:hint="default" w:ascii="Times New Roman" w:hAnsi="Times New Roman" w:cs="Times New Roman"/>
                <w:color w:val="auto"/>
                <w:kern w:val="0"/>
                <w:sz w:val="24"/>
                <w:highlight w:val="none"/>
              </w:rPr>
              <w:t>设置导流沟和</w:t>
            </w:r>
            <w:r>
              <w:rPr>
                <w:rFonts w:hint="eastAsia" w:cs="Times New Roman"/>
                <w:color w:val="auto"/>
                <w:kern w:val="0"/>
                <w:sz w:val="24"/>
                <w:highlight w:val="none"/>
                <w:lang w:eastAsia="zh-CN"/>
              </w:rPr>
              <w:t>集液池</w:t>
            </w:r>
            <w:r>
              <w:rPr>
                <w:rFonts w:hint="default" w:ascii="Times New Roman" w:hAnsi="Times New Roman" w:cs="Times New Roman"/>
                <w:color w:val="000000" w:themeColor="text1"/>
                <w:kern w:val="0"/>
                <w:sz w:val="24"/>
                <w:highlight w:val="none"/>
                <w14:textFill>
                  <w14:solidFill>
                    <w14:schemeClr w14:val="tx1"/>
                  </w14:solidFill>
                </w14:textFill>
              </w:rPr>
              <w:t>，本项目不存在污染途径，无需开展地下水及土壤调查。</w:t>
            </w:r>
          </w:p>
          <w:p w14:paraId="05E0EC79">
            <w:pPr>
              <w:pStyle w:val="68"/>
              <w:ind w:firstLine="482"/>
              <w:rPr>
                <w:rFonts w:hint="default" w:ascii="Times New Roman" w:hAnsi="Times New Roman" w:cs="Times New Roman"/>
                <w:b/>
                <w:color w:val="000000" w:themeColor="text1"/>
                <w:highlight w:val="none"/>
                <w14:textFill>
                  <w14:solidFill>
                    <w14:schemeClr w14:val="tx1"/>
                  </w14:solidFill>
                </w14:textFill>
              </w:rPr>
            </w:pPr>
            <w:r>
              <w:rPr>
                <w:rFonts w:hint="default" w:ascii="Times New Roman" w:hAnsi="Times New Roman" w:cs="Times New Roman"/>
                <w:b/>
                <w:color w:val="000000" w:themeColor="text1"/>
                <w:highlight w:val="none"/>
                <w14:textFill>
                  <w14:solidFill>
                    <w14:schemeClr w14:val="tx1"/>
                  </w14:solidFill>
                </w14:textFill>
              </w:rPr>
              <w:t>5.生态环境</w:t>
            </w:r>
          </w:p>
          <w:p w14:paraId="366C4460">
            <w:pPr>
              <w:pStyle w:val="68"/>
              <w:ind w:firstLine="48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本项目为污染影响类项目，占地为工业用地，项目不涉及生态环境保护目标。</w:t>
            </w:r>
          </w:p>
        </w:tc>
      </w:tr>
      <w:tr w14:paraId="1234F00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400" w:hRule="atLeast"/>
          <w:jc w:val="center"/>
        </w:trPr>
        <w:tc>
          <w:tcPr>
            <w:tcW w:w="817" w:type="dxa"/>
            <w:vAlign w:val="center"/>
          </w:tcPr>
          <w:p w14:paraId="267173B4">
            <w:pPr>
              <w:adjustRightInd w:val="0"/>
              <w:snapToGrid w:val="0"/>
              <w:jc w:val="center"/>
              <w:rPr>
                <w:rFonts w:hint="default" w:ascii="Times New Roman" w:hAnsi="Times New Roman" w:cs="Times New Roman"/>
                <w:color w:val="000000" w:themeColor="text1"/>
                <w:kern w:val="0"/>
                <w:szCs w:val="21"/>
                <w:highlight w:val="none"/>
                <w14:textFill>
                  <w14:solidFill>
                    <w14:schemeClr w14:val="tx1"/>
                  </w14:solidFill>
                </w14:textFill>
              </w:rPr>
            </w:pPr>
            <w:r>
              <w:rPr>
                <w:rFonts w:hint="default" w:ascii="Times New Roman" w:hAnsi="Times New Roman" w:cs="Times New Roman"/>
                <w:color w:val="000000" w:themeColor="text1"/>
                <w:kern w:val="0"/>
                <w:szCs w:val="21"/>
                <w:highlight w:val="none"/>
                <w14:textFill>
                  <w14:solidFill>
                    <w14:schemeClr w14:val="tx1"/>
                  </w14:solidFill>
                </w14:textFill>
              </w:rPr>
              <w:t>环境</w:t>
            </w:r>
          </w:p>
          <w:p w14:paraId="563C458A">
            <w:pPr>
              <w:adjustRightInd w:val="0"/>
              <w:snapToGrid w:val="0"/>
              <w:jc w:val="center"/>
              <w:rPr>
                <w:rFonts w:hint="default" w:ascii="Times New Roman" w:hAnsi="Times New Roman" w:cs="Times New Roman"/>
                <w:color w:val="000000" w:themeColor="text1"/>
                <w:kern w:val="0"/>
                <w:szCs w:val="21"/>
                <w:highlight w:val="none"/>
                <w14:textFill>
                  <w14:solidFill>
                    <w14:schemeClr w14:val="tx1"/>
                  </w14:solidFill>
                </w14:textFill>
              </w:rPr>
            </w:pPr>
            <w:r>
              <w:rPr>
                <w:rFonts w:hint="default" w:ascii="Times New Roman" w:hAnsi="Times New Roman" w:cs="Times New Roman"/>
                <w:color w:val="000000" w:themeColor="text1"/>
                <w:kern w:val="0"/>
                <w:szCs w:val="21"/>
                <w:highlight w:val="none"/>
                <w14:textFill>
                  <w14:solidFill>
                    <w14:schemeClr w14:val="tx1"/>
                  </w14:solidFill>
                </w14:textFill>
              </w:rPr>
              <w:t>保护</w:t>
            </w:r>
          </w:p>
          <w:p w14:paraId="78284FE3">
            <w:pPr>
              <w:adjustRightInd w:val="0"/>
              <w:snapToGrid w:val="0"/>
              <w:jc w:val="center"/>
              <w:rPr>
                <w:rFonts w:hint="default" w:ascii="Times New Roman" w:hAnsi="Times New Roman" w:cs="Times New Roman"/>
                <w:color w:val="000000" w:themeColor="text1"/>
                <w:kern w:val="0"/>
                <w:szCs w:val="21"/>
                <w:highlight w:val="none"/>
                <w14:textFill>
                  <w14:solidFill>
                    <w14:schemeClr w14:val="tx1"/>
                  </w14:solidFill>
                </w14:textFill>
              </w:rPr>
            </w:pPr>
            <w:r>
              <w:rPr>
                <w:rFonts w:hint="default" w:ascii="Times New Roman" w:hAnsi="Times New Roman" w:cs="Times New Roman"/>
                <w:color w:val="000000" w:themeColor="text1"/>
                <w:kern w:val="0"/>
                <w:szCs w:val="21"/>
                <w:highlight w:val="none"/>
                <w14:textFill>
                  <w14:solidFill>
                    <w14:schemeClr w14:val="tx1"/>
                  </w14:solidFill>
                </w14:textFill>
              </w:rPr>
              <w:t>目标</w:t>
            </w:r>
          </w:p>
        </w:tc>
        <w:tc>
          <w:tcPr>
            <w:tcW w:w="8244" w:type="dxa"/>
            <w:vAlign w:val="center"/>
          </w:tcPr>
          <w:p w14:paraId="7A632D78">
            <w:pPr>
              <w:pStyle w:val="68"/>
              <w:numPr>
                <w:ilvl w:val="0"/>
                <w:numId w:val="9"/>
              </w:numPr>
              <w:ind w:left="0" w:firstLine="482"/>
              <w:rPr>
                <w:rFonts w:hint="default" w:ascii="Times New Roman" w:hAnsi="Times New Roman" w:cs="Times New Roman"/>
                <w:b/>
                <w:color w:val="000000" w:themeColor="text1"/>
                <w:highlight w:val="none"/>
                <w14:textFill>
                  <w14:solidFill>
                    <w14:schemeClr w14:val="tx1"/>
                  </w14:solidFill>
                </w14:textFill>
              </w:rPr>
            </w:pPr>
            <w:r>
              <w:rPr>
                <w:rFonts w:hint="default" w:ascii="Times New Roman" w:hAnsi="Times New Roman" w:cs="Times New Roman"/>
                <w:b/>
                <w:color w:val="000000" w:themeColor="text1"/>
                <w:highlight w:val="none"/>
                <w14:textFill>
                  <w14:solidFill>
                    <w14:schemeClr w14:val="tx1"/>
                  </w14:solidFill>
                </w14:textFill>
              </w:rPr>
              <w:t>大气环境</w:t>
            </w:r>
          </w:p>
          <w:p w14:paraId="0FEA41E8">
            <w:pPr>
              <w:pStyle w:val="68"/>
              <w:ind w:firstLine="480"/>
              <w:rPr>
                <w:rFonts w:hint="default" w:ascii="Times New Roman" w:hAnsi="Times New Roman" w:cs="Times New Roman"/>
                <w:color w:val="auto"/>
                <w:highlight w:val="none"/>
              </w:rPr>
            </w:pPr>
            <w:r>
              <w:rPr>
                <w:rFonts w:hint="default" w:ascii="Times New Roman" w:hAnsi="Times New Roman" w:cs="Times New Roman"/>
                <w:color w:val="auto"/>
                <w:highlight w:val="none"/>
              </w:rPr>
              <w:t>本项目厂界外</w:t>
            </w:r>
            <w:r>
              <w:rPr>
                <w:rFonts w:hint="default" w:ascii="Times New Roman" w:hAnsi="Times New Roman" w:eastAsia="Times New Roman" w:cs="Times New Roman"/>
                <w:color w:val="auto"/>
                <w:highlight w:val="none"/>
              </w:rPr>
              <w:t>500</w:t>
            </w:r>
            <w:r>
              <w:rPr>
                <w:rFonts w:hint="default" w:ascii="Times New Roman" w:hAnsi="Times New Roman" w:cs="Times New Roman"/>
                <w:color w:val="auto"/>
                <w:highlight w:val="none"/>
              </w:rPr>
              <w:t>米范围内</w:t>
            </w:r>
            <w:r>
              <w:rPr>
                <w:rFonts w:hint="eastAsia" w:cs="Times New Roman"/>
                <w:color w:val="auto"/>
                <w:highlight w:val="none"/>
                <w:lang w:val="en-US" w:eastAsia="zh-CN"/>
              </w:rPr>
              <w:t>无</w:t>
            </w:r>
            <w:r>
              <w:rPr>
                <w:rFonts w:hint="default" w:ascii="Times New Roman" w:hAnsi="Times New Roman" w:cs="Times New Roman"/>
                <w:color w:val="auto"/>
                <w:highlight w:val="none"/>
              </w:rPr>
              <w:t>大气环境保护，无自然保护区、风景名胜区等保护目标。</w:t>
            </w:r>
          </w:p>
          <w:p w14:paraId="5A4E04F3">
            <w:pPr>
              <w:pStyle w:val="68"/>
              <w:numPr>
                <w:ilvl w:val="0"/>
                <w:numId w:val="9"/>
              </w:numPr>
              <w:ind w:left="0" w:firstLine="482"/>
              <w:rPr>
                <w:rFonts w:hint="default" w:ascii="Times New Roman" w:hAnsi="Times New Roman" w:cs="Times New Roman"/>
                <w:b/>
                <w:color w:val="000000" w:themeColor="text1"/>
                <w:highlight w:val="none"/>
                <w14:textFill>
                  <w14:solidFill>
                    <w14:schemeClr w14:val="tx1"/>
                  </w14:solidFill>
                </w14:textFill>
              </w:rPr>
            </w:pPr>
            <w:r>
              <w:rPr>
                <w:rFonts w:hint="default" w:ascii="Times New Roman" w:hAnsi="Times New Roman" w:cs="Times New Roman"/>
                <w:b/>
                <w:color w:val="000000" w:themeColor="text1"/>
                <w:highlight w:val="none"/>
                <w14:textFill>
                  <w14:solidFill>
                    <w14:schemeClr w14:val="tx1"/>
                  </w14:solidFill>
                </w14:textFill>
              </w:rPr>
              <w:t>声环境</w:t>
            </w:r>
          </w:p>
          <w:p w14:paraId="47074001">
            <w:pPr>
              <w:pStyle w:val="68"/>
              <w:ind w:firstLine="48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本项目厂界外50米范围内无声环境保护目标。</w:t>
            </w:r>
          </w:p>
          <w:p w14:paraId="4169D1FD">
            <w:pPr>
              <w:pStyle w:val="68"/>
              <w:numPr>
                <w:ilvl w:val="0"/>
                <w:numId w:val="9"/>
              </w:numPr>
              <w:ind w:left="0" w:firstLine="482"/>
              <w:rPr>
                <w:rFonts w:hint="default" w:ascii="Times New Roman" w:hAnsi="Times New Roman" w:cs="Times New Roman"/>
                <w:b/>
                <w:color w:val="000000" w:themeColor="text1"/>
                <w:highlight w:val="none"/>
                <w14:textFill>
                  <w14:solidFill>
                    <w14:schemeClr w14:val="tx1"/>
                  </w14:solidFill>
                </w14:textFill>
              </w:rPr>
            </w:pPr>
            <w:r>
              <w:rPr>
                <w:rFonts w:hint="default" w:ascii="Times New Roman" w:hAnsi="Times New Roman" w:cs="Times New Roman"/>
                <w:b/>
                <w:color w:val="000000" w:themeColor="text1"/>
                <w:highlight w:val="none"/>
                <w14:textFill>
                  <w14:solidFill>
                    <w14:schemeClr w14:val="tx1"/>
                  </w14:solidFill>
                </w14:textFill>
              </w:rPr>
              <w:t>地下水环境</w:t>
            </w:r>
          </w:p>
          <w:p w14:paraId="1FAE72E6">
            <w:pPr>
              <w:pStyle w:val="68"/>
              <w:ind w:firstLine="48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本项目厂界外500米范围内无地下水集中式饮用水水源和热水、矿泉水、温泉等特殊地下水资源。</w:t>
            </w:r>
          </w:p>
          <w:p w14:paraId="3F0B8FB4">
            <w:pPr>
              <w:pStyle w:val="68"/>
              <w:numPr>
                <w:ilvl w:val="0"/>
                <w:numId w:val="9"/>
              </w:numPr>
              <w:ind w:left="0" w:firstLine="482"/>
              <w:rPr>
                <w:rFonts w:hint="default" w:ascii="Times New Roman" w:hAnsi="Times New Roman" w:cs="Times New Roman"/>
                <w:b/>
                <w:color w:val="000000" w:themeColor="text1"/>
                <w:highlight w:val="none"/>
                <w14:textFill>
                  <w14:solidFill>
                    <w14:schemeClr w14:val="tx1"/>
                  </w14:solidFill>
                </w14:textFill>
              </w:rPr>
            </w:pPr>
            <w:r>
              <w:rPr>
                <w:rFonts w:hint="default" w:ascii="Times New Roman" w:hAnsi="Times New Roman" w:cs="Times New Roman"/>
                <w:b/>
                <w:color w:val="000000" w:themeColor="text1"/>
                <w:highlight w:val="none"/>
                <w14:textFill>
                  <w14:solidFill>
                    <w14:schemeClr w14:val="tx1"/>
                  </w14:solidFill>
                </w14:textFill>
              </w:rPr>
              <w:t>生态环境</w:t>
            </w:r>
          </w:p>
          <w:p w14:paraId="4810BBD6">
            <w:pPr>
              <w:pStyle w:val="68"/>
              <w:ind w:firstLine="48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本项目为污染影响类项目，占地为工业用地，项目不涉及生态环境保护目标。</w:t>
            </w:r>
          </w:p>
        </w:tc>
      </w:tr>
      <w:tr w14:paraId="467B6DA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62" w:hRule="atLeast"/>
          <w:jc w:val="center"/>
        </w:trPr>
        <w:tc>
          <w:tcPr>
            <w:tcW w:w="817" w:type="dxa"/>
            <w:tcMar>
              <w:left w:w="28" w:type="dxa"/>
              <w:right w:w="28" w:type="dxa"/>
            </w:tcMar>
            <w:vAlign w:val="center"/>
          </w:tcPr>
          <w:p w14:paraId="75AB7C56">
            <w:pPr>
              <w:adjustRightInd w:val="0"/>
              <w:snapToGrid w:val="0"/>
              <w:jc w:val="center"/>
              <w:rPr>
                <w:rFonts w:hint="default" w:ascii="Times New Roman" w:hAnsi="Times New Roman" w:cs="Times New Roman"/>
                <w:color w:val="000000" w:themeColor="text1"/>
                <w:kern w:val="0"/>
                <w:szCs w:val="21"/>
                <w:highlight w:val="none"/>
                <w14:textFill>
                  <w14:solidFill>
                    <w14:schemeClr w14:val="tx1"/>
                  </w14:solidFill>
                </w14:textFill>
              </w:rPr>
            </w:pPr>
            <w:r>
              <w:rPr>
                <w:rFonts w:hint="default" w:ascii="Times New Roman" w:hAnsi="Times New Roman" w:cs="Times New Roman"/>
                <w:color w:val="000000" w:themeColor="text1"/>
                <w:kern w:val="0"/>
                <w:szCs w:val="21"/>
                <w:highlight w:val="none"/>
                <w14:textFill>
                  <w14:solidFill>
                    <w14:schemeClr w14:val="tx1"/>
                  </w14:solidFill>
                </w14:textFill>
              </w:rPr>
              <w:t>污染</w:t>
            </w:r>
          </w:p>
          <w:p w14:paraId="4E2DD78F">
            <w:pPr>
              <w:adjustRightInd w:val="0"/>
              <w:snapToGrid w:val="0"/>
              <w:jc w:val="center"/>
              <w:rPr>
                <w:rFonts w:hint="default" w:ascii="Times New Roman" w:hAnsi="Times New Roman" w:cs="Times New Roman"/>
                <w:color w:val="000000" w:themeColor="text1"/>
                <w:kern w:val="0"/>
                <w:szCs w:val="21"/>
                <w:highlight w:val="none"/>
                <w14:textFill>
                  <w14:solidFill>
                    <w14:schemeClr w14:val="tx1"/>
                  </w14:solidFill>
                </w14:textFill>
              </w:rPr>
            </w:pPr>
            <w:r>
              <w:rPr>
                <w:rFonts w:hint="default" w:ascii="Times New Roman" w:hAnsi="Times New Roman" w:cs="Times New Roman"/>
                <w:color w:val="000000" w:themeColor="text1"/>
                <w:kern w:val="0"/>
                <w:szCs w:val="21"/>
                <w:highlight w:val="none"/>
                <w14:textFill>
                  <w14:solidFill>
                    <w14:schemeClr w14:val="tx1"/>
                  </w14:solidFill>
                </w14:textFill>
              </w:rPr>
              <w:t>物排</w:t>
            </w:r>
          </w:p>
          <w:p w14:paraId="1657C582">
            <w:pPr>
              <w:adjustRightInd w:val="0"/>
              <w:snapToGrid w:val="0"/>
              <w:jc w:val="center"/>
              <w:rPr>
                <w:rFonts w:hint="default" w:ascii="Times New Roman" w:hAnsi="Times New Roman" w:cs="Times New Roman"/>
                <w:color w:val="000000" w:themeColor="text1"/>
                <w:kern w:val="0"/>
                <w:szCs w:val="21"/>
                <w:highlight w:val="none"/>
                <w14:textFill>
                  <w14:solidFill>
                    <w14:schemeClr w14:val="tx1"/>
                  </w14:solidFill>
                </w14:textFill>
              </w:rPr>
            </w:pPr>
            <w:r>
              <w:rPr>
                <w:rFonts w:hint="default" w:ascii="Times New Roman" w:hAnsi="Times New Roman" w:cs="Times New Roman"/>
                <w:color w:val="000000" w:themeColor="text1"/>
                <w:kern w:val="0"/>
                <w:szCs w:val="21"/>
                <w:highlight w:val="none"/>
                <w14:textFill>
                  <w14:solidFill>
                    <w14:schemeClr w14:val="tx1"/>
                  </w14:solidFill>
                </w14:textFill>
              </w:rPr>
              <w:t>放控</w:t>
            </w:r>
          </w:p>
          <w:p w14:paraId="37021E36">
            <w:pPr>
              <w:adjustRightInd w:val="0"/>
              <w:snapToGrid w:val="0"/>
              <w:jc w:val="center"/>
              <w:rPr>
                <w:rFonts w:hint="default" w:ascii="Times New Roman" w:hAnsi="Times New Roman" w:cs="Times New Roman"/>
                <w:color w:val="000000" w:themeColor="text1"/>
                <w:kern w:val="0"/>
                <w:szCs w:val="21"/>
                <w:highlight w:val="none"/>
                <w14:textFill>
                  <w14:solidFill>
                    <w14:schemeClr w14:val="tx1"/>
                  </w14:solidFill>
                </w14:textFill>
              </w:rPr>
            </w:pPr>
            <w:r>
              <w:rPr>
                <w:rFonts w:hint="default" w:ascii="Times New Roman" w:hAnsi="Times New Roman" w:cs="Times New Roman"/>
                <w:color w:val="000000" w:themeColor="text1"/>
                <w:kern w:val="0"/>
                <w:szCs w:val="21"/>
                <w:highlight w:val="none"/>
                <w14:textFill>
                  <w14:solidFill>
                    <w14:schemeClr w14:val="tx1"/>
                  </w14:solidFill>
                </w14:textFill>
              </w:rPr>
              <w:t>制标</w:t>
            </w:r>
          </w:p>
          <w:p w14:paraId="07E9A5B2">
            <w:pPr>
              <w:adjustRightInd w:val="0"/>
              <w:snapToGrid w:val="0"/>
              <w:jc w:val="center"/>
              <w:rPr>
                <w:rFonts w:hint="default" w:ascii="Times New Roman" w:hAnsi="Times New Roman" w:cs="Times New Roman"/>
                <w:color w:val="000000" w:themeColor="text1"/>
                <w:kern w:val="0"/>
                <w:szCs w:val="21"/>
                <w:highlight w:val="none"/>
                <w14:textFill>
                  <w14:solidFill>
                    <w14:schemeClr w14:val="tx1"/>
                  </w14:solidFill>
                </w14:textFill>
              </w:rPr>
            </w:pPr>
            <w:r>
              <w:rPr>
                <w:rFonts w:hint="default" w:ascii="Times New Roman" w:hAnsi="Times New Roman" w:cs="Times New Roman"/>
                <w:color w:val="000000" w:themeColor="text1"/>
                <w:kern w:val="0"/>
                <w:szCs w:val="21"/>
                <w:highlight w:val="none"/>
                <w14:textFill>
                  <w14:solidFill>
                    <w14:schemeClr w14:val="tx1"/>
                  </w14:solidFill>
                </w14:textFill>
              </w:rPr>
              <w:t>准</w:t>
            </w:r>
          </w:p>
        </w:tc>
        <w:tc>
          <w:tcPr>
            <w:tcW w:w="8244" w:type="dxa"/>
            <w:vAlign w:val="center"/>
          </w:tcPr>
          <w:p w14:paraId="0F49B461">
            <w:pPr>
              <w:pStyle w:val="68"/>
              <w:ind w:firstLine="48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（1）废气排放标准</w:t>
            </w:r>
          </w:p>
          <w:p w14:paraId="712155AA">
            <w:pPr>
              <w:pStyle w:val="68"/>
              <w:ind w:firstLine="482"/>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施工期废气执行《施工及堆料场地扬尘排放标准》（DB21/2642-2016）表1扬尘排放监控浓度限值，见表3-5。</w:t>
            </w:r>
          </w:p>
          <w:p w14:paraId="528FEA6D">
            <w:pPr>
              <w:pStyle w:val="62"/>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表3-5    扬尘排放标准限值    单位：mg/m</w:t>
            </w:r>
            <w:r>
              <w:rPr>
                <w:rFonts w:hint="default" w:ascii="Times New Roman" w:hAnsi="Times New Roman" w:cs="Times New Roman"/>
                <w:color w:val="000000" w:themeColor="text1"/>
                <w:highlight w:val="none"/>
                <w:vertAlign w:val="superscript"/>
                <w14:textFill>
                  <w14:solidFill>
                    <w14:schemeClr w14:val="tx1"/>
                  </w14:solidFill>
                </w14:textFill>
              </w:rPr>
              <w:t>3</w:t>
            </w:r>
          </w:p>
          <w:tbl>
            <w:tblPr>
              <w:tblStyle w:val="27"/>
              <w:tblW w:w="0" w:type="auto"/>
              <w:jc w:val="center"/>
              <w:tblBorders>
                <w:top w:val="double" w:color="auto" w:sz="4" w:space="0"/>
                <w:left w:val="none" w:color="auto" w:sz="0" w:space="0"/>
                <w:bottom w:val="double" w:color="auto" w:sz="4"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2297"/>
              <w:gridCol w:w="3197"/>
              <w:gridCol w:w="2534"/>
            </w:tblGrid>
            <w:tr w14:paraId="0CE3C582">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97" w:type="dxa"/>
                  <w:vMerge w:val="restart"/>
                  <w:vAlign w:val="center"/>
                </w:tcPr>
                <w:p w14:paraId="490DED75">
                  <w:pPr>
                    <w:pStyle w:val="69"/>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污染物名称</w:t>
                  </w:r>
                </w:p>
              </w:tc>
              <w:tc>
                <w:tcPr>
                  <w:tcW w:w="5731" w:type="dxa"/>
                  <w:gridSpan w:val="2"/>
                  <w:vAlign w:val="center"/>
                </w:tcPr>
                <w:p w14:paraId="5D34CBA9">
                  <w:pPr>
                    <w:pStyle w:val="69"/>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连续5min平均浓度</w:t>
                  </w:r>
                </w:p>
              </w:tc>
            </w:tr>
            <w:tr w14:paraId="6144D8EA">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97" w:type="dxa"/>
                  <w:vMerge w:val="continue"/>
                  <w:vAlign w:val="center"/>
                </w:tcPr>
                <w:p w14:paraId="69323B52">
                  <w:pPr>
                    <w:pStyle w:val="69"/>
                    <w:rPr>
                      <w:rFonts w:hint="default" w:ascii="Times New Roman" w:hAnsi="Times New Roman" w:cs="Times New Roman"/>
                      <w:color w:val="000000" w:themeColor="text1"/>
                      <w:highlight w:val="none"/>
                      <w14:textFill>
                        <w14:solidFill>
                          <w14:schemeClr w14:val="tx1"/>
                        </w14:solidFill>
                      </w14:textFill>
                    </w:rPr>
                  </w:pPr>
                </w:p>
              </w:tc>
              <w:tc>
                <w:tcPr>
                  <w:tcW w:w="3197" w:type="dxa"/>
                  <w:vAlign w:val="center"/>
                </w:tcPr>
                <w:p w14:paraId="6C25715C">
                  <w:pPr>
                    <w:pStyle w:val="69"/>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区域</w:t>
                  </w:r>
                </w:p>
              </w:tc>
              <w:tc>
                <w:tcPr>
                  <w:tcW w:w="2534" w:type="dxa"/>
                  <w:vAlign w:val="center"/>
                </w:tcPr>
                <w:p w14:paraId="0186CA4F">
                  <w:pPr>
                    <w:pStyle w:val="69"/>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浓度限值（mg/m</w:t>
                  </w:r>
                  <w:r>
                    <w:rPr>
                      <w:rFonts w:hint="default" w:ascii="Times New Roman" w:hAnsi="Times New Roman" w:cs="Times New Roman"/>
                      <w:color w:val="000000" w:themeColor="text1"/>
                      <w:highlight w:val="none"/>
                      <w:vertAlign w:val="superscript"/>
                      <w14:textFill>
                        <w14:solidFill>
                          <w14:schemeClr w14:val="tx1"/>
                        </w14:solidFill>
                      </w14:textFill>
                    </w:rPr>
                    <w:t>3</w:t>
                  </w:r>
                  <w:r>
                    <w:rPr>
                      <w:rFonts w:hint="default" w:ascii="Times New Roman" w:hAnsi="Times New Roman" w:cs="Times New Roman"/>
                      <w:color w:val="000000" w:themeColor="text1"/>
                      <w:highlight w:val="none"/>
                      <w14:textFill>
                        <w14:solidFill>
                          <w14:schemeClr w14:val="tx1"/>
                        </w14:solidFill>
                      </w14:textFill>
                    </w:rPr>
                    <w:t>）</w:t>
                  </w:r>
                </w:p>
              </w:tc>
            </w:tr>
            <w:tr w14:paraId="08141294">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97" w:type="dxa"/>
                  <w:vAlign w:val="center"/>
                </w:tcPr>
                <w:p w14:paraId="1F92D9A9">
                  <w:pPr>
                    <w:pStyle w:val="69"/>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颗粒物</w:t>
                  </w:r>
                </w:p>
              </w:tc>
              <w:tc>
                <w:tcPr>
                  <w:tcW w:w="3197" w:type="dxa"/>
                  <w:vAlign w:val="center"/>
                </w:tcPr>
                <w:p w14:paraId="5CC6268F">
                  <w:pPr>
                    <w:pStyle w:val="69"/>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城镇建成区</w:t>
                  </w:r>
                </w:p>
              </w:tc>
              <w:tc>
                <w:tcPr>
                  <w:tcW w:w="2534" w:type="dxa"/>
                  <w:vAlign w:val="center"/>
                </w:tcPr>
                <w:p w14:paraId="16B78B81">
                  <w:pPr>
                    <w:pStyle w:val="69"/>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0.8</w:t>
                  </w:r>
                </w:p>
              </w:tc>
            </w:tr>
          </w:tbl>
          <w:p w14:paraId="374A6AB7">
            <w:pPr>
              <w:spacing w:line="360" w:lineRule="auto"/>
              <w:ind w:firstLine="480" w:firstLineChars="200"/>
              <w:rPr>
                <w:rFonts w:hint="default" w:ascii="Times New Roman" w:hAnsi="Times New Roman" w:cs="Times New Roman"/>
                <w:color w:val="000000" w:themeColor="text1"/>
                <w:sz w:val="24"/>
                <w:szCs w:val="32"/>
                <w:highlight w:val="none"/>
                <w14:textFill>
                  <w14:solidFill>
                    <w14:schemeClr w14:val="tx1"/>
                  </w14:solidFill>
                </w14:textFill>
              </w:rPr>
            </w:pPr>
          </w:p>
          <w:p w14:paraId="6ED3E89E">
            <w:pPr>
              <w:spacing w:line="360" w:lineRule="auto"/>
              <w:ind w:firstLine="480" w:firstLineChars="200"/>
              <w:rPr>
                <w:rFonts w:hint="default" w:ascii="Times New Roman" w:hAnsi="Times New Roman" w:cs="Times New Roman"/>
                <w:color w:val="000000" w:themeColor="text1"/>
                <w:sz w:val="24"/>
                <w:szCs w:val="32"/>
                <w:highlight w:val="none"/>
                <w14:textFill>
                  <w14:solidFill>
                    <w14:schemeClr w14:val="tx1"/>
                  </w14:solidFill>
                </w14:textFill>
              </w:rPr>
            </w:pPr>
            <w:r>
              <w:rPr>
                <w:rFonts w:hint="default" w:ascii="Times New Roman" w:hAnsi="Times New Roman" w:cs="Times New Roman"/>
                <w:color w:val="000000" w:themeColor="text1"/>
                <w:sz w:val="24"/>
                <w:szCs w:val="32"/>
                <w:highlight w:val="none"/>
                <w14:textFill>
                  <w14:solidFill>
                    <w14:schemeClr w14:val="tx1"/>
                  </w14:solidFill>
                </w14:textFill>
              </w:rPr>
              <w:t>有组织非甲烷总烃排放执行《大气污染物综合排放标准》（GB16297-1996）表2中二级限值要求；</w:t>
            </w:r>
          </w:p>
          <w:p w14:paraId="060BE76C">
            <w:pPr>
              <w:spacing w:line="360" w:lineRule="auto"/>
              <w:ind w:firstLine="480" w:firstLineChars="200"/>
              <w:rPr>
                <w:rFonts w:hint="default" w:ascii="Times New Roman" w:hAnsi="Times New Roman" w:cs="Times New Roman"/>
                <w:color w:val="000000" w:themeColor="text1"/>
                <w:sz w:val="24"/>
                <w:szCs w:val="32"/>
                <w:highlight w:val="none"/>
                <w14:textFill>
                  <w14:solidFill>
                    <w14:schemeClr w14:val="tx1"/>
                  </w14:solidFill>
                </w14:textFill>
              </w:rPr>
            </w:pPr>
            <w:r>
              <w:rPr>
                <w:rFonts w:hint="default" w:ascii="Times New Roman" w:hAnsi="Times New Roman" w:cs="Times New Roman"/>
                <w:color w:val="000000" w:themeColor="text1"/>
                <w:sz w:val="24"/>
                <w:szCs w:val="32"/>
                <w:highlight w:val="none"/>
                <w14:textFill>
                  <w14:solidFill>
                    <w14:schemeClr w14:val="tx1"/>
                  </w14:solidFill>
                </w14:textFill>
              </w:rPr>
              <w:t>厂界无组织非甲烷总烃排放执行《大气污染物综合排放标准》（GB16297-1996）中表2中NMHC无组织排放监控浓度限值（周界外浓度最高点）4.0mg/ m</w:t>
            </w:r>
            <w:r>
              <w:rPr>
                <w:rFonts w:hint="default" w:ascii="Times New Roman" w:hAnsi="Times New Roman" w:cs="Times New Roman"/>
                <w:color w:val="000000" w:themeColor="text1"/>
                <w:sz w:val="24"/>
                <w:szCs w:val="32"/>
                <w:highlight w:val="none"/>
                <w:vertAlign w:val="superscript"/>
                <w14:textFill>
                  <w14:solidFill>
                    <w14:schemeClr w14:val="tx1"/>
                  </w14:solidFill>
                </w14:textFill>
              </w:rPr>
              <w:t>3</w:t>
            </w:r>
            <w:r>
              <w:rPr>
                <w:rFonts w:hint="default" w:ascii="Times New Roman" w:hAnsi="Times New Roman" w:cs="Times New Roman"/>
                <w:color w:val="000000" w:themeColor="text1"/>
                <w:sz w:val="24"/>
                <w:szCs w:val="32"/>
                <w:highlight w:val="none"/>
                <w14:textFill>
                  <w14:solidFill>
                    <w14:schemeClr w14:val="tx1"/>
                  </w14:solidFill>
                </w14:textFill>
              </w:rPr>
              <w:t>；</w:t>
            </w:r>
          </w:p>
          <w:p w14:paraId="073AD85E">
            <w:pPr>
              <w:spacing w:line="360" w:lineRule="auto"/>
              <w:ind w:firstLine="480" w:firstLineChars="200"/>
              <w:rPr>
                <w:rFonts w:hint="default" w:ascii="Times New Roman" w:hAnsi="Times New Roman" w:cs="Times New Roman"/>
                <w:color w:val="000000" w:themeColor="text1"/>
                <w:sz w:val="24"/>
                <w:szCs w:val="32"/>
                <w:highlight w:val="none"/>
                <w14:textFill>
                  <w14:solidFill>
                    <w14:schemeClr w14:val="tx1"/>
                  </w14:solidFill>
                </w14:textFill>
              </w:rPr>
            </w:pPr>
            <w:r>
              <w:rPr>
                <w:rFonts w:hint="default" w:ascii="Times New Roman" w:hAnsi="Times New Roman" w:cs="Times New Roman"/>
                <w:color w:val="000000" w:themeColor="text1"/>
                <w:sz w:val="24"/>
                <w:szCs w:val="32"/>
                <w:highlight w:val="none"/>
                <w14:textFill>
                  <w14:solidFill>
                    <w14:schemeClr w14:val="tx1"/>
                  </w14:solidFill>
                </w14:textFill>
              </w:rPr>
              <w:t>厂区内无组织非甲烷总烃排放监控点浓度应符合《挥发性有机物无组织排放控制标准》（GB37822-2019）表A.1规定的特别排放限值。</w:t>
            </w:r>
          </w:p>
          <w:p w14:paraId="513050CE">
            <w:pPr>
              <w:pStyle w:val="62"/>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表3-6    大气污染物排放标准（单位：mg/m</w:t>
            </w:r>
            <w:r>
              <w:rPr>
                <w:rFonts w:hint="default" w:ascii="Times New Roman" w:hAnsi="Times New Roman" w:cs="Times New Roman"/>
                <w:color w:val="000000" w:themeColor="text1"/>
                <w:highlight w:val="none"/>
                <w:vertAlign w:val="superscript"/>
                <w14:textFill>
                  <w14:solidFill>
                    <w14:schemeClr w14:val="tx1"/>
                  </w14:solidFill>
                </w14:textFill>
              </w:rPr>
              <w:t>3</w:t>
            </w:r>
            <w:r>
              <w:rPr>
                <w:rFonts w:hint="default" w:ascii="Times New Roman" w:hAnsi="Times New Roman" w:cs="Times New Roman"/>
                <w:color w:val="000000" w:themeColor="text1"/>
                <w:highlight w:val="none"/>
                <w14:textFill>
                  <w14:solidFill>
                    <w14:schemeClr w14:val="tx1"/>
                  </w14:solidFill>
                </w14:textFill>
              </w:rPr>
              <w:t>）</w:t>
            </w:r>
          </w:p>
          <w:tbl>
            <w:tblPr>
              <w:tblStyle w:val="28"/>
              <w:tblW w:w="8028" w:type="dxa"/>
              <w:tblInd w:w="5" w:type="dxa"/>
              <w:tblBorders>
                <w:top w:val="double" w:color="auto" w:sz="4" w:space="0"/>
                <w:left w:val="none" w:color="auto" w:sz="0" w:space="0"/>
                <w:bottom w:val="doub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595"/>
              <w:gridCol w:w="1195"/>
              <w:gridCol w:w="852"/>
              <w:gridCol w:w="1010"/>
              <w:gridCol w:w="1223"/>
              <w:gridCol w:w="2022"/>
              <w:gridCol w:w="1131"/>
            </w:tblGrid>
            <w:tr w14:paraId="4FB8B450">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595" w:type="dxa"/>
                  <w:vMerge w:val="restart"/>
                  <w:tcBorders>
                    <w:tl2br w:val="nil"/>
                    <w:tr2bl w:val="nil"/>
                  </w:tcBorders>
                  <w:vAlign w:val="center"/>
                </w:tcPr>
                <w:p w14:paraId="377A32E6">
                  <w:pPr>
                    <w:pStyle w:val="62"/>
                    <w:rPr>
                      <w:rFonts w:hint="default" w:ascii="Times New Roman" w:hAnsi="Times New Roman" w:cs="Times New Roman"/>
                      <w:b w:val="0"/>
                      <w:bCs/>
                      <w:color w:val="000000" w:themeColor="text1"/>
                      <w:szCs w:val="21"/>
                      <w:highlight w:val="none"/>
                      <w14:textFill>
                        <w14:solidFill>
                          <w14:schemeClr w14:val="tx1"/>
                        </w14:solidFill>
                      </w14:textFill>
                    </w:rPr>
                  </w:pPr>
                  <w:r>
                    <w:rPr>
                      <w:rFonts w:hint="default" w:ascii="Times New Roman" w:hAnsi="Times New Roman" w:cs="Times New Roman"/>
                      <w:b w:val="0"/>
                      <w:bCs/>
                      <w:color w:val="000000" w:themeColor="text1"/>
                      <w:szCs w:val="21"/>
                      <w:highlight w:val="none"/>
                      <w14:textFill>
                        <w14:solidFill>
                          <w14:schemeClr w14:val="tx1"/>
                        </w14:solidFill>
                      </w14:textFill>
                    </w:rPr>
                    <w:t>项目</w:t>
                  </w:r>
                </w:p>
              </w:tc>
              <w:tc>
                <w:tcPr>
                  <w:tcW w:w="3057" w:type="dxa"/>
                  <w:gridSpan w:val="3"/>
                  <w:tcBorders>
                    <w:tl2br w:val="nil"/>
                    <w:tr2bl w:val="nil"/>
                  </w:tcBorders>
                  <w:vAlign w:val="center"/>
                </w:tcPr>
                <w:p w14:paraId="2E93FF16">
                  <w:pPr>
                    <w:pStyle w:val="62"/>
                    <w:rPr>
                      <w:rFonts w:hint="default" w:ascii="Times New Roman" w:hAnsi="Times New Roman" w:cs="Times New Roman"/>
                      <w:b w:val="0"/>
                      <w:bCs/>
                      <w:color w:val="000000" w:themeColor="text1"/>
                      <w:szCs w:val="21"/>
                      <w:highlight w:val="none"/>
                      <w14:textFill>
                        <w14:solidFill>
                          <w14:schemeClr w14:val="tx1"/>
                        </w14:solidFill>
                      </w14:textFill>
                    </w:rPr>
                  </w:pPr>
                  <w:r>
                    <w:rPr>
                      <w:rFonts w:hint="default" w:ascii="Times New Roman" w:hAnsi="Times New Roman" w:cs="Times New Roman"/>
                      <w:b w:val="0"/>
                      <w:bCs/>
                      <w:color w:val="000000" w:themeColor="text1"/>
                      <w:szCs w:val="21"/>
                      <w:highlight w:val="none"/>
                      <w14:textFill>
                        <w14:solidFill>
                          <w14:schemeClr w14:val="tx1"/>
                        </w14:solidFill>
                      </w14:textFill>
                    </w:rPr>
                    <w:t>有组织</w:t>
                  </w:r>
                </w:p>
              </w:tc>
              <w:tc>
                <w:tcPr>
                  <w:tcW w:w="3245" w:type="dxa"/>
                  <w:gridSpan w:val="2"/>
                  <w:tcBorders>
                    <w:tl2br w:val="nil"/>
                    <w:tr2bl w:val="nil"/>
                  </w:tcBorders>
                  <w:vAlign w:val="center"/>
                </w:tcPr>
                <w:p w14:paraId="485E4BB5">
                  <w:pPr>
                    <w:pStyle w:val="62"/>
                    <w:rPr>
                      <w:rFonts w:hint="default" w:ascii="Times New Roman" w:hAnsi="Times New Roman" w:cs="Times New Roman"/>
                      <w:b w:val="0"/>
                      <w:bCs/>
                      <w:color w:val="000000" w:themeColor="text1"/>
                      <w:szCs w:val="21"/>
                      <w:highlight w:val="none"/>
                      <w14:textFill>
                        <w14:solidFill>
                          <w14:schemeClr w14:val="tx1"/>
                        </w14:solidFill>
                      </w14:textFill>
                    </w:rPr>
                  </w:pPr>
                  <w:r>
                    <w:rPr>
                      <w:rFonts w:hint="default" w:ascii="Times New Roman" w:hAnsi="Times New Roman" w:cs="Times New Roman"/>
                      <w:b w:val="0"/>
                      <w:bCs/>
                      <w:color w:val="000000" w:themeColor="text1"/>
                      <w:szCs w:val="21"/>
                      <w:highlight w:val="none"/>
                      <w14:textFill>
                        <w14:solidFill>
                          <w14:schemeClr w14:val="tx1"/>
                        </w14:solidFill>
                      </w14:textFill>
                    </w:rPr>
                    <w:t>无组织</w:t>
                  </w:r>
                </w:p>
              </w:tc>
              <w:tc>
                <w:tcPr>
                  <w:tcW w:w="1131" w:type="dxa"/>
                  <w:vMerge w:val="restart"/>
                  <w:tcBorders>
                    <w:tl2br w:val="nil"/>
                    <w:tr2bl w:val="nil"/>
                  </w:tcBorders>
                  <w:vAlign w:val="center"/>
                </w:tcPr>
                <w:p w14:paraId="1AC053A0">
                  <w:pPr>
                    <w:pStyle w:val="62"/>
                    <w:rPr>
                      <w:rFonts w:hint="default" w:ascii="Times New Roman" w:hAnsi="Times New Roman" w:cs="Times New Roman"/>
                      <w:b w:val="0"/>
                      <w:bCs/>
                      <w:color w:val="000000" w:themeColor="text1"/>
                      <w:szCs w:val="21"/>
                      <w:highlight w:val="none"/>
                      <w14:textFill>
                        <w14:solidFill>
                          <w14:schemeClr w14:val="tx1"/>
                        </w14:solidFill>
                      </w14:textFill>
                    </w:rPr>
                  </w:pPr>
                  <w:r>
                    <w:rPr>
                      <w:rFonts w:hint="default" w:ascii="Times New Roman" w:hAnsi="Times New Roman" w:cs="Times New Roman"/>
                      <w:b w:val="0"/>
                      <w:bCs/>
                      <w:color w:val="000000" w:themeColor="text1"/>
                      <w:szCs w:val="21"/>
                      <w:highlight w:val="none"/>
                      <w14:textFill>
                        <w14:solidFill>
                          <w14:schemeClr w14:val="tx1"/>
                        </w14:solidFill>
                      </w14:textFill>
                    </w:rPr>
                    <w:t>标准来源</w:t>
                  </w:r>
                </w:p>
              </w:tc>
            </w:tr>
            <w:tr w14:paraId="190111EA">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595" w:type="dxa"/>
                  <w:vMerge w:val="continue"/>
                  <w:tcBorders>
                    <w:tl2br w:val="nil"/>
                    <w:tr2bl w:val="nil"/>
                  </w:tcBorders>
                  <w:vAlign w:val="center"/>
                </w:tcPr>
                <w:p w14:paraId="374ED10C">
                  <w:pPr>
                    <w:pStyle w:val="62"/>
                    <w:rPr>
                      <w:rFonts w:hint="default" w:ascii="Times New Roman" w:hAnsi="Times New Roman" w:cs="Times New Roman"/>
                      <w:b w:val="0"/>
                      <w:bCs/>
                      <w:color w:val="000000" w:themeColor="text1"/>
                      <w:szCs w:val="21"/>
                      <w:highlight w:val="none"/>
                      <w14:textFill>
                        <w14:solidFill>
                          <w14:schemeClr w14:val="tx1"/>
                        </w14:solidFill>
                      </w14:textFill>
                    </w:rPr>
                  </w:pPr>
                </w:p>
              </w:tc>
              <w:tc>
                <w:tcPr>
                  <w:tcW w:w="1195" w:type="dxa"/>
                  <w:vMerge w:val="restart"/>
                  <w:tcBorders>
                    <w:tl2br w:val="nil"/>
                    <w:tr2bl w:val="nil"/>
                  </w:tcBorders>
                  <w:vAlign w:val="center"/>
                </w:tcPr>
                <w:p w14:paraId="3F5B953B">
                  <w:pPr>
                    <w:pStyle w:val="62"/>
                    <w:rPr>
                      <w:rFonts w:hint="default" w:ascii="Times New Roman" w:hAnsi="Times New Roman" w:cs="Times New Roman"/>
                      <w:b w:val="0"/>
                      <w:bCs/>
                      <w:color w:val="000000" w:themeColor="text1"/>
                      <w:szCs w:val="21"/>
                      <w:highlight w:val="none"/>
                      <w14:textFill>
                        <w14:solidFill>
                          <w14:schemeClr w14:val="tx1"/>
                        </w14:solidFill>
                      </w14:textFill>
                    </w:rPr>
                  </w:pPr>
                  <w:r>
                    <w:rPr>
                      <w:rFonts w:hint="default" w:ascii="Times New Roman" w:hAnsi="Times New Roman" w:cs="Times New Roman"/>
                      <w:b w:val="0"/>
                      <w:bCs/>
                      <w:color w:val="000000" w:themeColor="text1"/>
                      <w:szCs w:val="21"/>
                      <w:highlight w:val="none"/>
                      <w14:textFill>
                        <w14:solidFill>
                          <w14:schemeClr w14:val="tx1"/>
                        </w14:solidFill>
                      </w14:textFill>
                    </w:rPr>
                    <w:t>最高允许排放浓度（mg/m</w:t>
                  </w:r>
                  <w:r>
                    <w:rPr>
                      <w:rFonts w:hint="default" w:ascii="Times New Roman" w:hAnsi="Times New Roman" w:cs="Times New Roman"/>
                      <w:b w:val="0"/>
                      <w:bCs/>
                      <w:color w:val="000000" w:themeColor="text1"/>
                      <w:szCs w:val="21"/>
                      <w:highlight w:val="none"/>
                      <w:vertAlign w:val="superscript"/>
                      <w14:textFill>
                        <w14:solidFill>
                          <w14:schemeClr w14:val="tx1"/>
                        </w14:solidFill>
                      </w14:textFill>
                    </w:rPr>
                    <w:t>3</w:t>
                  </w:r>
                  <w:r>
                    <w:rPr>
                      <w:rFonts w:hint="default" w:ascii="Times New Roman" w:hAnsi="Times New Roman" w:cs="Times New Roman"/>
                      <w:b w:val="0"/>
                      <w:bCs/>
                      <w:color w:val="000000" w:themeColor="text1"/>
                      <w:szCs w:val="21"/>
                      <w:highlight w:val="none"/>
                      <w14:textFill>
                        <w14:solidFill>
                          <w14:schemeClr w14:val="tx1"/>
                        </w14:solidFill>
                      </w14:textFill>
                    </w:rPr>
                    <w:t>）</w:t>
                  </w:r>
                </w:p>
              </w:tc>
              <w:tc>
                <w:tcPr>
                  <w:tcW w:w="1862" w:type="dxa"/>
                  <w:gridSpan w:val="2"/>
                  <w:tcBorders>
                    <w:tl2br w:val="nil"/>
                    <w:tr2bl w:val="nil"/>
                  </w:tcBorders>
                  <w:vAlign w:val="center"/>
                </w:tcPr>
                <w:p w14:paraId="1420D14F">
                  <w:pPr>
                    <w:pStyle w:val="62"/>
                    <w:rPr>
                      <w:rFonts w:hint="default" w:ascii="Times New Roman" w:hAnsi="Times New Roman" w:cs="Times New Roman"/>
                      <w:b w:val="0"/>
                      <w:bCs/>
                      <w:color w:val="000000" w:themeColor="text1"/>
                      <w:szCs w:val="21"/>
                      <w:highlight w:val="none"/>
                      <w14:textFill>
                        <w14:solidFill>
                          <w14:schemeClr w14:val="tx1"/>
                        </w14:solidFill>
                      </w14:textFill>
                    </w:rPr>
                  </w:pPr>
                  <w:r>
                    <w:rPr>
                      <w:rFonts w:hint="default" w:ascii="Times New Roman" w:hAnsi="Times New Roman" w:cs="Times New Roman"/>
                      <w:b w:val="0"/>
                      <w:bCs/>
                      <w:color w:val="000000" w:themeColor="text1"/>
                      <w:szCs w:val="21"/>
                      <w:highlight w:val="none"/>
                      <w14:textFill>
                        <w14:solidFill>
                          <w14:schemeClr w14:val="tx1"/>
                        </w14:solidFill>
                      </w14:textFill>
                    </w:rPr>
                    <w:t>最高允许速率</w:t>
                  </w:r>
                </w:p>
              </w:tc>
              <w:tc>
                <w:tcPr>
                  <w:tcW w:w="1223" w:type="dxa"/>
                  <w:vMerge w:val="restart"/>
                  <w:tcBorders>
                    <w:tl2br w:val="nil"/>
                    <w:tr2bl w:val="nil"/>
                  </w:tcBorders>
                  <w:vAlign w:val="center"/>
                </w:tcPr>
                <w:p w14:paraId="22093394">
                  <w:pPr>
                    <w:pStyle w:val="62"/>
                    <w:rPr>
                      <w:rFonts w:hint="default" w:ascii="Times New Roman" w:hAnsi="Times New Roman" w:cs="Times New Roman"/>
                      <w:b w:val="0"/>
                      <w:bCs/>
                      <w:color w:val="000000" w:themeColor="text1"/>
                      <w:szCs w:val="21"/>
                      <w:highlight w:val="none"/>
                      <w14:textFill>
                        <w14:solidFill>
                          <w14:schemeClr w14:val="tx1"/>
                        </w14:solidFill>
                      </w14:textFill>
                    </w:rPr>
                  </w:pPr>
                  <w:r>
                    <w:rPr>
                      <w:rFonts w:hint="default" w:ascii="Times New Roman" w:hAnsi="Times New Roman" w:cs="Times New Roman"/>
                      <w:b w:val="0"/>
                      <w:bCs/>
                      <w:color w:val="000000" w:themeColor="text1"/>
                      <w:szCs w:val="21"/>
                      <w:highlight w:val="none"/>
                      <w14:textFill>
                        <w14:solidFill>
                          <w14:schemeClr w14:val="tx1"/>
                        </w14:solidFill>
                      </w14:textFill>
                    </w:rPr>
                    <w:t>无组织排放监控浓度限值</w:t>
                  </w:r>
                </w:p>
                <w:p w14:paraId="7F31F063">
                  <w:pPr>
                    <w:pStyle w:val="62"/>
                    <w:rPr>
                      <w:rFonts w:hint="default" w:ascii="Times New Roman" w:hAnsi="Times New Roman" w:cs="Times New Roman"/>
                      <w:b w:val="0"/>
                      <w:bCs/>
                      <w:color w:val="000000" w:themeColor="text1"/>
                      <w:szCs w:val="21"/>
                      <w:highlight w:val="none"/>
                      <w14:textFill>
                        <w14:solidFill>
                          <w14:schemeClr w14:val="tx1"/>
                        </w14:solidFill>
                      </w14:textFill>
                    </w:rPr>
                  </w:pPr>
                  <w:r>
                    <w:rPr>
                      <w:rFonts w:hint="default" w:ascii="Times New Roman" w:hAnsi="Times New Roman" w:cs="Times New Roman"/>
                      <w:b w:val="0"/>
                      <w:bCs/>
                      <w:color w:val="000000" w:themeColor="text1"/>
                      <w:szCs w:val="21"/>
                      <w:highlight w:val="none"/>
                      <w14:textFill>
                        <w14:solidFill>
                          <w14:schemeClr w14:val="tx1"/>
                        </w14:solidFill>
                      </w14:textFill>
                    </w:rPr>
                    <w:t>（mg/m</w:t>
                  </w:r>
                  <w:r>
                    <w:rPr>
                      <w:rFonts w:hint="default" w:ascii="Times New Roman" w:hAnsi="Times New Roman" w:cs="Times New Roman"/>
                      <w:b w:val="0"/>
                      <w:bCs/>
                      <w:color w:val="000000" w:themeColor="text1"/>
                      <w:szCs w:val="21"/>
                      <w:highlight w:val="none"/>
                      <w:vertAlign w:val="superscript"/>
                      <w14:textFill>
                        <w14:solidFill>
                          <w14:schemeClr w14:val="tx1"/>
                        </w14:solidFill>
                      </w14:textFill>
                    </w:rPr>
                    <w:t>3</w:t>
                  </w:r>
                  <w:r>
                    <w:rPr>
                      <w:rFonts w:hint="default" w:ascii="Times New Roman" w:hAnsi="Times New Roman" w:cs="Times New Roman"/>
                      <w:b w:val="0"/>
                      <w:bCs/>
                      <w:color w:val="000000" w:themeColor="text1"/>
                      <w:szCs w:val="21"/>
                      <w:highlight w:val="none"/>
                      <w14:textFill>
                        <w14:solidFill>
                          <w14:schemeClr w14:val="tx1"/>
                        </w14:solidFill>
                      </w14:textFill>
                    </w:rPr>
                    <w:t>）</w:t>
                  </w:r>
                </w:p>
              </w:tc>
              <w:tc>
                <w:tcPr>
                  <w:tcW w:w="2022" w:type="dxa"/>
                  <w:vMerge w:val="restart"/>
                  <w:tcBorders>
                    <w:tl2br w:val="nil"/>
                    <w:tr2bl w:val="nil"/>
                  </w:tcBorders>
                  <w:vAlign w:val="center"/>
                </w:tcPr>
                <w:p w14:paraId="4393825C">
                  <w:pPr>
                    <w:pStyle w:val="62"/>
                    <w:rPr>
                      <w:rFonts w:hint="default" w:ascii="Times New Roman" w:hAnsi="Times New Roman" w:cs="Times New Roman"/>
                      <w:b w:val="0"/>
                      <w:bCs/>
                      <w:color w:val="000000" w:themeColor="text1"/>
                      <w:szCs w:val="21"/>
                      <w:highlight w:val="none"/>
                      <w14:textFill>
                        <w14:solidFill>
                          <w14:schemeClr w14:val="tx1"/>
                        </w14:solidFill>
                      </w14:textFill>
                    </w:rPr>
                  </w:pPr>
                  <w:r>
                    <w:rPr>
                      <w:rFonts w:hint="default" w:ascii="Times New Roman" w:hAnsi="Times New Roman" w:cs="Times New Roman"/>
                      <w:b w:val="0"/>
                      <w:bCs/>
                      <w:color w:val="000000" w:themeColor="text1"/>
                      <w:szCs w:val="21"/>
                      <w:highlight w:val="none"/>
                      <w14:textFill>
                        <w14:solidFill>
                          <w14:schemeClr w14:val="tx1"/>
                        </w14:solidFill>
                      </w14:textFill>
                    </w:rPr>
                    <w:t>监控点</w:t>
                  </w:r>
                </w:p>
              </w:tc>
              <w:tc>
                <w:tcPr>
                  <w:tcW w:w="1131" w:type="dxa"/>
                  <w:vMerge w:val="continue"/>
                  <w:tcBorders>
                    <w:tl2br w:val="nil"/>
                    <w:tr2bl w:val="nil"/>
                  </w:tcBorders>
                  <w:vAlign w:val="center"/>
                </w:tcPr>
                <w:p w14:paraId="76FA3C19">
                  <w:pPr>
                    <w:pStyle w:val="62"/>
                    <w:rPr>
                      <w:rFonts w:hint="default" w:ascii="Times New Roman" w:hAnsi="Times New Roman" w:cs="Times New Roman"/>
                      <w:b w:val="0"/>
                      <w:bCs/>
                      <w:color w:val="000000" w:themeColor="text1"/>
                      <w:szCs w:val="21"/>
                      <w:highlight w:val="none"/>
                      <w14:textFill>
                        <w14:solidFill>
                          <w14:schemeClr w14:val="tx1"/>
                        </w14:solidFill>
                      </w14:textFill>
                    </w:rPr>
                  </w:pPr>
                </w:p>
              </w:tc>
            </w:tr>
            <w:tr w14:paraId="3806E646">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595" w:type="dxa"/>
                  <w:vMerge w:val="continue"/>
                  <w:tcBorders>
                    <w:tl2br w:val="nil"/>
                    <w:tr2bl w:val="nil"/>
                  </w:tcBorders>
                  <w:vAlign w:val="center"/>
                </w:tcPr>
                <w:p w14:paraId="471F147E">
                  <w:pPr>
                    <w:pStyle w:val="62"/>
                    <w:rPr>
                      <w:rFonts w:hint="default" w:ascii="Times New Roman" w:hAnsi="Times New Roman" w:cs="Times New Roman"/>
                      <w:b w:val="0"/>
                      <w:bCs/>
                      <w:color w:val="000000" w:themeColor="text1"/>
                      <w:szCs w:val="21"/>
                      <w:highlight w:val="none"/>
                      <w14:textFill>
                        <w14:solidFill>
                          <w14:schemeClr w14:val="tx1"/>
                        </w14:solidFill>
                      </w14:textFill>
                    </w:rPr>
                  </w:pPr>
                </w:p>
              </w:tc>
              <w:tc>
                <w:tcPr>
                  <w:tcW w:w="1195" w:type="dxa"/>
                  <w:vMerge w:val="continue"/>
                  <w:tcBorders>
                    <w:tl2br w:val="nil"/>
                    <w:tr2bl w:val="nil"/>
                  </w:tcBorders>
                  <w:vAlign w:val="center"/>
                </w:tcPr>
                <w:p w14:paraId="3ED073F0">
                  <w:pPr>
                    <w:pStyle w:val="62"/>
                    <w:rPr>
                      <w:rFonts w:hint="default" w:ascii="Times New Roman" w:hAnsi="Times New Roman" w:cs="Times New Roman"/>
                      <w:b w:val="0"/>
                      <w:bCs/>
                      <w:color w:val="000000" w:themeColor="text1"/>
                      <w:szCs w:val="21"/>
                      <w:highlight w:val="none"/>
                      <w14:textFill>
                        <w14:solidFill>
                          <w14:schemeClr w14:val="tx1"/>
                        </w14:solidFill>
                      </w14:textFill>
                    </w:rPr>
                  </w:pPr>
                </w:p>
              </w:tc>
              <w:tc>
                <w:tcPr>
                  <w:tcW w:w="852" w:type="dxa"/>
                  <w:tcBorders>
                    <w:tl2br w:val="nil"/>
                    <w:tr2bl w:val="nil"/>
                  </w:tcBorders>
                  <w:vAlign w:val="center"/>
                </w:tcPr>
                <w:p w14:paraId="0428B4A9">
                  <w:pPr>
                    <w:pStyle w:val="62"/>
                    <w:rPr>
                      <w:rFonts w:hint="default" w:ascii="Times New Roman" w:hAnsi="Times New Roman" w:cs="Times New Roman"/>
                      <w:b w:val="0"/>
                      <w:bCs/>
                      <w:color w:val="000000" w:themeColor="text1"/>
                      <w:szCs w:val="21"/>
                      <w:highlight w:val="none"/>
                      <w14:textFill>
                        <w14:solidFill>
                          <w14:schemeClr w14:val="tx1"/>
                        </w14:solidFill>
                      </w14:textFill>
                    </w:rPr>
                  </w:pPr>
                  <w:r>
                    <w:rPr>
                      <w:rFonts w:hint="default" w:ascii="Times New Roman" w:hAnsi="Times New Roman" w:cs="Times New Roman"/>
                      <w:b w:val="0"/>
                      <w:bCs/>
                      <w:color w:val="000000" w:themeColor="text1"/>
                      <w:szCs w:val="21"/>
                      <w:highlight w:val="none"/>
                      <w14:textFill>
                        <w14:solidFill>
                          <w14:schemeClr w14:val="tx1"/>
                        </w14:solidFill>
                      </w14:textFill>
                    </w:rPr>
                    <w:t>排气筒高度（m）</w:t>
                  </w:r>
                </w:p>
              </w:tc>
              <w:tc>
                <w:tcPr>
                  <w:tcW w:w="1010" w:type="dxa"/>
                  <w:tcBorders>
                    <w:tl2br w:val="nil"/>
                    <w:tr2bl w:val="nil"/>
                  </w:tcBorders>
                  <w:vAlign w:val="center"/>
                </w:tcPr>
                <w:p w14:paraId="356D12D5">
                  <w:pPr>
                    <w:pStyle w:val="62"/>
                    <w:rPr>
                      <w:rFonts w:hint="default" w:ascii="Times New Roman" w:hAnsi="Times New Roman" w:cs="Times New Roman"/>
                      <w:b w:val="0"/>
                      <w:bCs/>
                      <w:color w:val="000000" w:themeColor="text1"/>
                      <w:szCs w:val="21"/>
                      <w:highlight w:val="none"/>
                      <w14:textFill>
                        <w14:solidFill>
                          <w14:schemeClr w14:val="tx1"/>
                        </w14:solidFill>
                      </w14:textFill>
                    </w:rPr>
                  </w:pPr>
                  <w:r>
                    <w:rPr>
                      <w:rFonts w:hint="default" w:ascii="Times New Roman" w:hAnsi="Times New Roman" w:cs="Times New Roman"/>
                      <w:b w:val="0"/>
                      <w:bCs/>
                      <w:color w:val="000000" w:themeColor="text1"/>
                      <w:szCs w:val="21"/>
                      <w:highlight w:val="none"/>
                      <w14:textFill>
                        <w14:solidFill>
                          <w14:schemeClr w14:val="tx1"/>
                        </w14:solidFill>
                      </w14:textFill>
                    </w:rPr>
                    <w:t>二级</w:t>
                  </w:r>
                </w:p>
                <w:p w14:paraId="07689CBE">
                  <w:pPr>
                    <w:pStyle w:val="62"/>
                    <w:rPr>
                      <w:rFonts w:hint="default" w:ascii="Times New Roman" w:hAnsi="Times New Roman" w:cs="Times New Roman"/>
                      <w:b w:val="0"/>
                      <w:bCs/>
                      <w:color w:val="000000" w:themeColor="text1"/>
                      <w:szCs w:val="21"/>
                      <w:highlight w:val="none"/>
                      <w14:textFill>
                        <w14:solidFill>
                          <w14:schemeClr w14:val="tx1"/>
                        </w14:solidFill>
                      </w14:textFill>
                    </w:rPr>
                  </w:pPr>
                  <w:r>
                    <w:rPr>
                      <w:rFonts w:hint="default" w:ascii="Times New Roman" w:hAnsi="Times New Roman" w:cs="Times New Roman"/>
                      <w:b w:val="0"/>
                      <w:bCs/>
                      <w:color w:val="000000" w:themeColor="text1"/>
                      <w:szCs w:val="21"/>
                      <w:highlight w:val="none"/>
                      <w14:textFill>
                        <w14:solidFill>
                          <w14:schemeClr w14:val="tx1"/>
                        </w14:solidFill>
                      </w14:textFill>
                    </w:rPr>
                    <w:t>（kg/h）</w:t>
                  </w:r>
                </w:p>
              </w:tc>
              <w:tc>
                <w:tcPr>
                  <w:tcW w:w="1223" w:type="dxa"/>
                  <w:vMerge w:val="continue"/>
                  <w:tcBorders>
                    <w:tl2br w:val="nil"/>
                    <w:tr2bl w:val="nil"/>
                  </w:tcBorders>
                  <w:vAlign w:val="center"/>
                </w:tcPr>
                <w:p w14:paraId="04EA7C9C">
                  <w:pPr>
                    <w:pStyle w:val="62"/>
                    <w:rPr>
                      <w:rFonts w:hint="default" w:ascii="Times New Roman" w:hAnsi="Times New Roman" w:cs="Times New Roman"/>
                      <w:b w:val="0"/>
                      <w:bCs/>
                      <w:color w:val="000000" w:themeColor="text1"/>
                      <w:szCs w:val="21"/>
                      <w:highlight w:val="none"/>
                      <w14:textFill>
                        <w14:solidFill>
                          <w14:schemeClr w14:val="tx1"/>
                        </w14:solidFill>
                      </w14:textFill>
                    </w:rPr>
                  </w:pPr>
                </w:p>
              </w:tc>
              <w:tc>
                <w:tcPr>
                  <w:tcW w:w="2022" w:type="dxa"/>
                  <w:vMerge w:val="continue"/>
                  <w:tcBorders>
                    <w:tl2br w:val="nil"/>
                    <w:tr2bl w:val="nil"/>
                  </w:tcBorders>
                  <w:vAlign w:val="center"/>
                </w:tcPr>
                <w:p w14:paraId="4BEB9D0A">
                  <w:pPr>
                    <w:pStyle w:val="62"/>
                    <w:rPr>
                      <w:rFonts w:hint="default" w:ascii="Times New Roman" w:hAnsi="Times New Roman" w:cs="Times New Roman"/>
                      <w:b w:val="0"/>
                      <w:bCs/>
                      <w:color w:val="000000" w:themeColor="text1"/>
                      <w:szCs w:val="21"/>
                      <w:highlight w:val="none"/>
                      <w14:textFill>
                        <w14:solidFill>
                          <w14:schemeClr w14:val="tx1"/>
                        </w14:solidFill>
                      </w14:textFill>
                    </w:rPr>
                  </w:pPr>
                </w:p>
              </w:tc>
              <w:tc>
                <w:tcPr>
                  <w:tcW w:w="1131" w:type="dxa"/>
                  <w:vMerge w:val="continue"/>
                  <w:tcBorders>
                    <w:tl2br w:val="nil"/>
                    <w:tr2bl w:val="nil"/>
                  </w:tcBorders>
                  <w:vAlign w:val="center"/>
                </w:tcPr>
                <w:p w14:paraId="10ED75FF">
                  <w:pPr>
                    <w:pStyle w:val="62"/>
                    <w:rPr>
                      <w:rFonts w:hint="default" w:ascii="Times New Roman" w:hAnsi="Times New Roman" w:cs="Times New Roman"/>
                      <w:b w:val="0"/>
                      <w:bCs/>
                      <w:color w:val="000000" w:themeColor="text1"/>
                      <w:szCs w:val="21"/>
                      <w:highlight w:val="none"/>
                      <w14:textFill>
                        <w14:solidFill>
                          <w14:schemeClr w14:val="tx1"/>
                        </w14:solidFill>
                      </w14:textFill>
                    </w:rPr>
                  </w:pPr>
                </w:p>
              </w:tc>
            </w:tr>
            <w:tr w14:paraId="027AB253">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595" w:type="dxa"/>
                  <w:vMerge w:val="restart"/>
                  <w:tcBorders>
                    <w:tl2br w:val="nil"/>
                    <w:tr2bl w:val="nil"/>
                  </w:tcBorders>
                  <w:vAlign w:val="center"/>
                </w:tcPr>
                <w:p w14:paraId="4A3D5829">
                  <w:pPr>
                    <w:pStyle w:val="62"/>
                    <w:rPr>
                      <w:rFonts w:hint="default" w:ascii="Times New Roman" w:hAnsi="Times New Roman" w:cs="Times New Roman"/>
                      <w:b w:val="0"/>
                      <w:bCs/>
                      <w:color w:val="000000" w:themeColor="text1"/>
                      <w:szCs w:val="21"/>
                      <w:highlight w:val="none"/>
                      <w14:textFill>
                        <w14:solidFill>
                          <w14:schemeClr w14:val="tx1"/>
                        </w14:solidFill>
                      </w14:textFill>
                    </w:rPr>
                  </w:pPr>
                  <w:r>
                    <w:rPr>
                      <w:rFonts w:hint="default" w:ascii="Times New Roman" w:hAnsi="Times New Roman" w:cs="Times New Roman"/>
                      <w:b w:val="0"/>
                      <w:bCs/>
                      <w:color w:val="000000" w:themeColor="text1"/>
                      <w:szCs w:val="21"/>
                      <w:highlight w:val="none"/>
                      <w14:textFill>
                        <w14:solidFill>
                          <w14:schemeClr w14:val="tx1"/>
                        </w14:solidFill>
                      </w14:textFill>
                    </w:rPr>
                    <w:t>非甲烷总烃</w:t>
                  </w:r>
                </w:p>
              </w:tc>
              <w:tc>
                <w:tcPr>
                  <w:tcW w:w="1195" w:type="dxa"/>
                  <w:tcBorders>
                    <w:tl2br w:val="nil"/>
                    <w:tr2bl w:val="nil"/>
                  </w:tcBorders>
                  <w:vAlign w:val="center"/>
                </w:tcPr>
                <w:p w14:paraId="29444C67">
                  <w:pPr>
                    <w:pStyle w:val="62"/>
                    <w:rPr>
                      <w:rFonts w:hint="default" w:ascii="Times New Roman" w:hAnsi="Times New Roman" w:cs="Times New Roman"/>
                      <w:b w:val="0"/>
                      <w:bCs/>
                      <w:color w:val="000000" w:themeColor="text1"/>
                      <w:szCs w:val="21"/>
                      <w:highlight w:val="none"/>
                      <w14:textFill>
                        <w14:solidFill>
                          <w14:schemeClr w14:val="tx1"/>
                        </w14:solidFill>
                      </w14:textFill>
                    </w:rPr>
                  </w:pPr>
                  <w:r>
                    <w:rPr>
                      <w:rFonts w:hint="default" w:ascii="Times New Roman" w:hAnsi="Times New Roman" w:cs="Times New Roman"/>
                      <w:b w:val="0"/>
                      <w:bCs/>
                      <w:color w:val="000000" w:themeColor="text1"/>
                      <w:szCs w:val="21"/>
                      <w:highlight w:val="none"/>
                      <w14:textFill>
                        <w14:solidFill>
                          <w14:schemeClr w14:val="tx1"/>
                        </w14:solidFill>
                      </w14:textFill>
                    </w:rPr>
                    <w:t>120</w:t>
                  </w:r>
                </w:p>
              </w:tc>
              <w:tc>
                <w:tcPr>
                  <w:tcW w:w="852" w:type="dxa"/>
                  <w:tcBorders>
                    <w:tl2br w:val="nil"/>
                    <w:tr2bl w:val="nil"/>
                  </w:tcBorders>
                  <w:vAlign w:val="center"/>
                </w:tcPr>
                <w:p w14:paraId="447E81E3">
                  <w:pPr>
                    <w:pStyle w:val="62"/>
                    <w:rPr>
                      <w:rFonts w:hint="default" w:ascii="Times New Roman" w:hAnsi="Times New Roman" w:cs="Times New Roman"/>
                      <w:b w:val="0"/>
                      <w:bCs/>
                      <w:color w:val="000000" w:themeColor="text1"/>
                      <w:szCs w:val="21"/>
                      <w:highlight w:val="none"/>
                      <w14:textFill>
                        <w14:solidFill>
                          <w14:schemeClr w14:val="tx1"/>
                        </w14:solidFill>
                      </w14:textFill>
                    </w:rPr>
                  </w:pPr>
                  <w:r>
                    <w:rPr>
                      <w:rFonts w:hint="default" w:ascii="Times New Roman" w:hAnsi="Times New Roman" w:cs="Times New Roman"/>
                      <w:b w:val="0"/>
                      <w:bCs/>
                      <w:color w:val="000000" w:themeColor="text1"/>
                      <w:szCs w:val="21"/>
                      <w:highlight w:val="none"/>
                      <w14:textFill>
                        <w14:solidFill>
                          <w14:schemeClr w14:val="tx1"/>
                        </w14:solidFill>
                      </w14:textFill>
                    </w:rPr>
                    <w:t>15</w:t>
                  </w:r>
                </w:p>
              </w:tc>
              <w:tc>
                <w:tcPr>
                  <w:tcW w:w="1010" w:type="dxa"/>
                  <w:tcBorders>
                    <w:tl2br w:val="nil"/>
                    <w:tr2bl w:val="nil"/>
                  </w:tcBorders>
                  <w:vAlign w:val="center"/>
                </w:tcPr>
                <w:p w14:paraId="4F7321A3">
                  <w:pPr>
                    <w:pStyle w:val="62"/>
                    <w:rPr>
                      <w:rFonts w:hint="default" w:ascii="Times New Roman" w:hAnsi="Times New Roman" w:cs="Times New Roman"/>
                      <w:b w:val="0"/>
                      <w:bCs/>
                      <w:color w:val="000000" w:themeColor="text1"/>
                      <w:szCs w:val="21"/>
                      <w:highlight w:val="none"/>
                      <w14:textFill>
                        <w14:solidFill>
                          <w14:schemeClr w14:val="tx1"/>
                        </w14:solidFill>
                      </w14:textFill>
                    </w:rPr>
                  </w:pPr>
                  <w:r>
                    <w:rPr>
                      <w:rFonts w:hint="default" w:ascii="Times New Roman" w:hAnsi="Times New Roman" w:cs="Times New Roman"/>
                      <w:b w:val="0"/>
                      <w:bCs/>
                      <w:color w:val="000000" w:themeColor="text1"/>
                      <w:szCs w:val="21"/>
                      <w:highlight w:val="none"/>
                      <w14:textFill>
                        <w14:solidFill>
                          <w14:schemeClr w14:val="tx1"/>
                        </w14:solidFill>
                      </w14:textFill>
                    </w:rPr>
                    <w:t>10</w:t>
                  </w:r>
                </w:p>
              </w:tc>
              <w:tc>
                <w:tcPr>
                  <w:tcW w:w="1223" w:type="dxa"/>
                  <w:tcBorders>
                    <w:tl2br w:val="nil"/>
                    <w:tr2bl w:val="nil"/>
                  </w:tcBorders>
                  <w:vAlign w:val="center"/>
                </w:tcPr>
                <w:p w14:paraId="6236BE3D">
                  <w:pPr>
                    <w:pStyle w:val="62"/>
                    <w:rPr>
                      <w:rFonts w:hint="default" w:ascii="Times New Roman" w:hAnsi="Times New Roman" w:cs="Times New Roman"/>
                      <w:b w:val="0"/>
                      <w:bCs/>
                      <w:color w:val="000000" w:themeColor="text1"/>
                      <w:szCs w:val="21"/>
                      <w:highlight w:val="none"/>
                      <w14:textFill>
                        <w14:solidFill>
                          <w14:schemeClr w14:val="tx1"/>
                        </w14:solidFill>
                      </w14:textFill>
                    </w:rPr>
                  </w:pPr>
                  <w:r>
                    <w:rPr>
                      <w:rFonts w:hint="default" w:ascii="Times New Roman" w:hAnsi="Times New Roman" w:cs="Times New Roman"/>
                      <w:b w:val="0"/>
                      <w:bCs/>
                      <w:color w:val="000000" w:themeColor="text1"/>
                      <w:szCs w:val="21"/>
                      <w:highlight w:val="none"/>
                      <w14:textFill>
                        <w14:solidFill>
                          <w14:schemeClr w14:val="tx1"/>
                        </w14:solidFill>
                      </w14:textFill>
                    </w:rPr>
                    <w:t>4.0</w:t>
                  </w:r>
                </w:p>
              </w:tc>
              <w:tc>
                <w:tcPr>
                  <w:tcW w:w="2022" w:type="dxa"/>
                  <w:tcBorders>
                    <w:tl2br w:val="nil"/>
                    <w:tr2bl w:val="nil"/>
                  </w:tcBorders>
                  <w:vAlign w:val="center"/>
                </w:tcPr>
                <w:p w14:paraId="0BEB0DCA">
                  <w:pPr>
                    <w:pStyle w:val="62"/>
                    <w:rPr>
                      <w:rFonts w:hint="default" w:ascii="Times New Roman" w:hAnsi="Times New Roman" w:cs="Times New Roman"/>
                      <w:b w:val="0"/>
                      <w:bCs/>
                      <w:color w:val="000000" w:themeColor="text1"/>
                      <w:szCs w:val="21"/>
                      <w:highlight w:val="none"/>
                      <w14:textFill>
                        <w14:solidFill>
                          <w14:schemeClr w14:val="tx1"/>
                        </w14:solidFill>
                      </w14:textFill>
                    </w:rPr>
                  </w:pPr>
                  <w:r>
                    <w:rPr>
                      <w:rFonts w:hint="default" w:ascii="Times New Roman" w:hAnsi="Times New Roman" w:cs="Times New Roman"/>
                      <w:b w:val="0"/>
                      <w:bCs/>
                      <w:color w:val="000000" w:themeColor="text1"/>
                      <w:szCs w:val="21"/>
                      <w:highlight w:val="none"/>
                      <w14:textFill>
                        <w14:solidFill>
                          <w14:schemeClr w14:val="tx1"/>
                        </w14:solidFill>
                      </w14:textFill>
                    </w:rPr>
                    <w:t>周界外浓度最高点</w:t>
                  </w:r>
                </w:p>
              </w:tc>
              <w:tc>
                <w:tcPr>
                  <w:tcW w:w="1131" w:type="dxa"/>
                  <w:tcBorders>
                    <w:tl2br w:val="nil"/>
                    <w:tr2bl w:val="nil"/>
                  </w:tcBorders>
                  <w:vAlign w:val="center"/>
                </w:tcPr>
                <w:p w14:paraId="096DB4CC">
                  <w:pPr>
                    <w:pStyle w:val="62"/>
                    <w:rPr>
                      <w:rFonts w:hint="default" w:ascii="Times New Roman" w:hAnsi="Times New Roman" w:cs="Times New Roman"/>
                      <w:b w:val="0"/>
                      <w:bCs/>
                      <w:color w:val="000000" w:themeColor="text1"/>
                      <w:szCs w:val="21"/>
                      <w:highlight w:val="none"/>
                      <w14:textFill>
                        <w14:solidFill>
                          <w14:schemeClr w14:val="tx1"/>
                        </w14:solidFill>
                      </w14:textFill>
                    </w:rPr>
                  </w:pPr>
                  <w:r>
                    <w:rPr>
                      <w:rFonts w:hint="default" w:ascii="Times New Roman" w:hAnsi="Times New Roman" w:cs="Times New Roman"/>
                      <w:b w:val="0"/>
                      <w:bCs/>
                      <w:color w:val="000000" w:themeColor="text1"/>
                      <w:szCs w:val="21"/>
                      <w:highlight w:val="none"/>
                      <w14:textFill>
                        <w14:solidFill>
                          <w14:schemeClr w14:val="tx1"/>
                        </w14:solidFill>
                      </w14:textFill>
                    </w:rPr>
                    <w:t>GB16297-1996</w:t>
                  </w:r>
                </w:p>
              </w:tc>
            </w:tr>
            <w:tr w14:paraId="33FC3FFA">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595" w:type="dxa"/>
                  <w:vMerge w:val="continue"/>
                  <w:tcBorders>
                    <w:tl2br w:val="nil"/>
                    <w:tr2bl w:val="nil"/>
                  </w:tcBorders>
                  <w:vAlign w:val="center"/>
                </w:tcPr>
                <w:p w14:paraId="7BDAC478">
                  <w:pPr>
                    <w:pStyle w:val="62"/>
                    <w:rPr>
                      <w:rFonts w:hint="default" w:ascii="Times New Roman" w:hAnsi="Times New Roman" w:cs="Times New Roman"/>
                      <w:b w:val="0"/>
                      <w:bCs/>
                      <w:color w:val="000000" w:themeColor="text1"/>
                      <w:szCs w:val="21"/>
                      <w:highlight w:val="none"/>
                      <w14:textFill>
                        <w14:solidFill>
                          <w14:schemeClr w14:val="tx1"/>
                        </w14:solidFill>
                      </w14:textFill>
                    </w:rPr>
                  </w:pPr>
                </w:p>
              </w:tc>
              <w:tc>
                <w:tcPr>
                  <w:tcW w:w="1195" w:type="dxa"/>
                  <w:tcBorders>
                    <w:tl2br w:val="nil"/>
                    <w:tr2bl w:val="nil"/>
                  </w:tcBorders>
                  <w:vAlign w:val="center"/>
                </w:tcPr>
                <w:p w14:paraId="0F7A34CD">
                  <w:pPr>
                    <w:pStyle w:val="62"/>
                    <w:rPr>
                      <w:rFonts w:hint="default" w:ascii="Times New Roman" w:hAnsi="Times New Roman" w:cs="Times New Roman"/>
                      <w:b w:val="0"/>
                      <w:bCs/>
                      <w:color w:val="000000" w:themeColor="text1"/>
                      <w:szCs w:val="21"/>
                      <w:highlight w:val="none"/>
                      <w14:textFill>
                        <w14:solidFill>
                          <w14:schemeClr w14:val="tx1"/>
                        </w14:solidFill>
                      </w14:textFill>
                    </w:rPr>
                  </w:pPr>
                  <w:r>
                    <w:rPr>
                      <w:rFonts w:hint="default" w:ascii="Times New Roman" w:hAnsi="Times New Roman" w:cs="Times New Roman"/>
                      <w:b w:val="0"/>
                      <w:bCs/>
                      <w:color w:val="000000" w:themeColor="text1"/>
                      <w:szCs w:val="21"/>
                      <w:highlight w:val="none"/>
                      <w14:textFill>
                        <w14:solidFill>
                          <w14:schemeClr w14:val="tx1"/>
                        </w14:solidFill>
                      </w14:textFill>
                    </w:rPr>
                    <w:t>-</w:t>
                  </w:r>
                </w:p>
              </w:tc>
              <w:tc>
                <w:tcPr>
                  <w:tcW w:w="852" w:type="dxa"/>
                  <w:tcBorders>
                    <w:tl2br w:val="nil"/>
                    <w:tr2bl w:val="nil"/>
                  </w:tcBorders>
                  <w:vAlign w:val="center"/>
                </w:tcPr>
                <w:p w14:paraId="1648C7A3">
                  <w:pPr>
                    <w:pStyle w:val="62"/>
                    <w:rPr>
                      <w:rFonts w:hint="default" w:ascii="Times New Roman" w:hAnsi="Times New Roman" w:cs="Times New Roman"/>
                      <w:b w:val="0"/>
                      <w:bCs/>
                      <w:color w:val="000000" w:themeColor="text1"/>
                      <w:szCs w:val="21"/>
                      <w:highlight w:val="none"/>
                      <w14:textFill>
                        <w14:solidFill>
                          <w14:schemeClr w14:val="tx1"/>
                        </w14:solidFill>
                      </w14:textFill>
                    </w:rPr>
                  </w:pPr>
                  <w:r>
                    <w:rPr>
                      <w:rFonts w:hint="default" w:ascii="Times New Roman" w:hAnsi="Times New Roman" w:cs="Times New Roman"/>
                      <w:b w:val="0"/>
                      <w:bCs/>
                      <w:color w:val="000000" w:themeColor="text1"/>
                      <w:szCs w:val="21"/>
                      <w:highlight w:val="none"/>
                      <w14:textFill>
                        <w14:solidFill>
                          <w14:schemeClr w14:val="tx1"/>
                        </w14:solidFill>
                      </w14:textFill>
                    </w:rPr>
                    <w:t>-</w:t>
                  </w:r>
                </w:p>
              </w:tc>
              <w:tc>
                <w:tcPr>
                  <w:tcW w:w="1010" w:type="dxa"/>
                  <w:tcBorders>
                    <w:tl2br w:val="nil"/>
                    <w:tr2bl w:val="nil"/>
                  </w:tcBorders>
                  <w:vAlign w:val="center"/>
                </w:tcPr>
                <w:p w14:paraId="16D5D42E">
                  <w:pPr>
                    <w:pStyle w:val="62"/>
                    <w:rPr>
                      <w:rFonts w:hint="default" w:ascii="Times New Roman" w:hAnsi="Times New Roman" w:cs="Times New Roman"/>
                      <w:b w:val="0"/>
                      <w:bCs/>
                      <w:color w:val="000000" w:themeColor="text1"/>
                      <w:szCs w:val="21"/>
                      <w:highlight w:val="none"/>
                      <w14:textFill>
                        <w14:solidFill>
                          <w14:schemeClr w14:val="tx1"/>
                        </w14:solidFill>
                      </w14:textFill>
                    </w:rPr>
                  </w:pPr>
                  <w:r>
                    <w:rPr>
                      <w:rFonts w:hint="default" w:ascii="Times New Roman" w:hAnsi="Times New Roman" w:cs="Times New Roman"/>
                      <w:b w:val="0"/>
                      <w:bCs/>
                      <w:color w:val="000000" w:themeColor="text1"/>
                      <w:szCs w:val="21"/>
                      <w:highlight w:val="none"/>
                      <w14:textFill>
                        <w14:solidFill>
                          <w14:schemeClr w14:val="tx1"/>
                        </w14:solidFill>
                      </w14:textFill>
                    </w:rPr>
                    <w:t>-</w:t>
                  </w:r>
                </w:p>
              </w:tc>
              <w:tc>
                <w:tcPr>
                  <w:tcW w:w="1223" w:type="dxa"/>
                  <w:tcBorders>
                    <w:tl2br w:val="nil"/>
                    <w:tr2bl w:val="nil"/>
                  </w:tcBorders>
                  <w:vAlign w:val="center"/>
                </w:tcPr>
                <w:p w14:paraId="03B77012">
                  <w:pPr>
                    <w:pStyle w:val="62"/>
                    <w:rPr>
                      <w:rFonts w:hint="default" w:ascii="Times New Roman" w:hAnsi="Times New Roman" w:cs="Times New Roman"/>
                      <w:b w:val="0"/>
                      <w:bCs/>
                      <w:color w:val="000000" w:themeColor="text1"/>
                      <w:szCs w:val="21"/>
                      <w:highlight w:val="none"/>
                      <w14:textFill>
                        <w14:solidFill>
                          <w14:schemeClr w14:val="tx1"/>
                        </w14:solidFill>
                      </w14:textFill>
                    </w:rPr>
                  </w:pPr>
                  <w:r>
                    <w:rPr>
                      <w:rFonts w:hint="default" w:ascii="Times New Roman" w:hAnsi="Times New Roman" w:cs="Times New Roman"/>
                      <w:b w:val="0"/>
                      <w:bCs/>
                      <w:color w:val="000000" w:themeColor="text1"/>
                      <w:szCs w:val="21"/>
                      <w:highlight w:val="none"/>
                      <w14:textFill>
                        <w14:solidFill>
                          <w14:schemeClr w14:val="tx1"/>
                        </w14:solidFill>
                      </w14:textFill>
                    </w:rPr>
                    <w:t>6</w:t>
                  </w:r>
                </w:p>
              </w:tc>
              <w:tc>
                <w:tcPr>
                  <w:tcW w:w="2022" w:type="dxa"/>
                  <w:tcBorders>
                    <w:tl2br w:val="nil"/>
                    <w:tr2bl w:val="nil"/>
                  </w:tcBorders>
                  <w:vAlign w:val="center"/>
                </w:tcPr>
                <w:p w14:paraId="10F0D142">
                  <w:pPr>
                    <w:pStyle w:val="62"/>
                    <w:rPr>
                      <w:rFonts w:hint="default" w:ascii="Times New Roman" w:hAnsi="Times New Roman" w:cs="Times New Roman"/>
                      <w:b w:val="0"/>
                      <w:bCs/>
                      <w:color w:val="000000" w:themeColor="text1"/>
                      <w:szCs w:val="21"/>
                      <w:highlight w:val="none"/>
                      <w14:textFill>
                        <w14:solidFill>
                          <w14:schemeClr w14:val="tx1"/>
                        </w14:solidFill>
                      </w14:textFill>
                    </w:rPr>
                  </w:pPr>
                  <w:r>
                    <w:rPr>
                      <w:rFonts w:hint="default" w:ascii="Times New Roman" w:hAnsi="Times New Roman" w:cs="Times New Roman"/>
                      <w:b w:val="0"/>
                      <w:bCs/>
                      <w:color w:val="000000" w:themeColor="text1"/>
                      <w:szCs w:val="21"/>
                      <w:highlight w:val="none"/>
                      <w14:textFill>
                        <w14:solidFill>
                          <w14:schemeClr w14:val="tx1"/>
                        </w14:solidFill>
                      </w14:textFill>
                    </w:rPr>
                    <w:t>在厂房外设置监控点，监控点处1h平均浓度值</w:t>
                  </w:r>
                </w:p>
              </w:tc>
              <w:tc>
                <w:tcPr>
                  <w:tcW w:w="1131" w:type="dxa"/>
                  <w:vMerge w:val="restart"/>
                  <w:tcBorders>
                    <w:tl2br w:val="nil"/>
                    <w:tr2bl w:val="nil"/>
                  </w:tcBorders>
                  <w:vAlign w:val="center"/>
                </w:tcPr>
                <w:p w14:paraId="5B340467">
                  <w:pPr>
                    <w:pStyle w:val="62"/>
                    <w:rPr>
                      <w:rFonts w:hint="default" w:ascii="Times New Roman" w:hAnsi="Times New Roman" w:cs="Times New Roman"/>
                      <w:b w:val="0"/>
                      <w:bCs/>
                      <w:color w:val="000000" w:themeColor="text1"/>
                      <w:szCs w:val="21"/>
                      <w:highlight w:val="none"/>
                      <w14:textFill>
                        <w14:solidFill>
                          <w14:schemeClr w14:val="tx1"/>
                        </w14:solidFill>
                      </w14:textFill>
                    </w:rPr>
                  </w:pPr>
                  <w:r>
                    <w:rPr>
                      <w:rFonts w:hint="default" w:ascii="Times New Roman" w:hAnsi="Times New Roman" w:cs="Times New Roman"/>
                      <w:b w:val="0"/>
                      <w:bCs/>
                      <w:color w:val="000000" w:themeColor="text1"/>
                      <w:szCs w:val="21"/>
                      <w:highlight w:val="none"/>
                      <w14:textFill>
                        <w14:solidFill>
                          <w14:schemeClr w14:val="tx1"/>
                        </w14:solidFill>
                      </w14:textFill>
                    </w:rPr>
                    <w:t>GB37822-2019</w:t>
                  </w:r>
                </w:p>
              </w:tc>
            </w:tr>
            <w:tr w14:paraId="5E878E94">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595" w:type="dxa"/>
                  <w:vMerge w:val="continue"/>
                  <w:tcBorders>
                    <w:tl2br w:val="nil"/>
                    <w:tr2bl w:val="nil"/>
                  </w:tcBorders>
                  <w:vAlign w:val="center"/>
                </w:tcPr>
                <w:p w14:paraId="6F285D6A">
                  <w:pPr>
                    <w:pStyle w:val="62"/>
                    <w:rPr>
                      <w:rFonts w:hint="default" w:ascii="Times New Roman" w:hAnsi="Times New Roman" w:cs="Times New Roman"/>
                      <w:b w:val="0"/>
                      <w:bCs/>
                      <w:color w:val="000000" w:themeColor="text1"/>
                      <w:szCs w:val="21"/>
                      <w:highlight w:val="none"/>
                      <w14:textFill>
                        <w14:solidFill>
                          <w14:schemeClr w14:val="tx1"/>
                        </w14:solidFill>
                      </w14:textFill>
                    </w:rPr>
                  </w:pPr>
                </w:p>
              </w:tc>
              <w:tc>
                <w:tcPr>
                  <w:tcW w:w="1195" w:type="dxa"/>
                  <w:tcBorders>
                    <w:tl2br w:val="nil"/>
                    <w:tr2bl w:val="nil"/>
                  </w:tcBorders>
                  <w:vAlign w:val="center"/>
                </w:tcPr>
                <w:p w14:paraId="6C3C6803">
                  <w:pPr>
                    <w:pStyle w:val="62"/>
                    <w:rPr>
                      <w:rFonts w:hint="default" w:ascii="Times New Roman" w:hAnsi="Times New Roman" w:cs="Times New Roman"/>
                      <w:b w:val="0"/>
                      <w:bCs/>
                      <w:color w:val="000000" w:themeColor="text1"/>
                      <w:szCs w:val="21"/>
                      <w:highlight w:val="none"/>
                      <w14:textFill>
                        <w14:solidFill>
                          <w14:schemeClr w14:val="tx1"/>
                        </w14:solidFill>
                      </w14:textFill>
                    </w:rPr>
                  </w:pPr>
                  <w:r>
                    <w:rPr>
                      <w:rFonts w:hint="default" w:ascii="Times New Roman" w:hAnsi="Times New Roman" w:cs="Times New Roman"/>
                      <w:b w:val="0"/>
                      <w:bCs/>
                      <w:color w:val="000000" w:themeColor="text1"/>
                      <w:szCs w:val="21"/>
                      <w:highlight w:val="none"/>
                      <w14:textFill>
                        <w14:solidFill>
                          <w14:schemeClr w14:val="tx1"/>
                        </w14:solidFill>
                      </w14:textFill>
                    </w:rPr>
                    <w:t>-</w:t>
                  </w:r>
                </w:p>
              </w:tc>
              <w:tc>
                <w:tcPr>
                  <w:tcW w:w="852" w:type="dxa"/>
                  <w:tcBorders>
                    <w:tl2br w:val="nil"/>
                    <w:tr2bl w:val="nil"/>
                  </w:tcBorders>
                  <w:vAlign w:val="center"/>
                </w:tcPr>
                <w:p w14:paraId="3438B45D">
                  <w:pPr>
                    <w:pStyle w:val="62"/>
                    <w:rPr>
                      <w:rFonts w:hint="default" w:ascii="Times New Roman" w:hAnsi="Times New Roman" w:cs="Times New Roman"/>
                      <w:b w:val="0"/>
                      <w:bCs/>
                      <w:color w:val="000000" w:themeColor="text1"/>
                      <w:szCs w:val="21"/>
                      <w:highlight w:val="none"/>
                      <w14:textFill>
                        <w14:solidFill>
                          <w14:schemeClr w14:val="tx1"/>
                        </w14:solidFill>
                      </w14:textFill>
                    </w:rPr>
                  </w:pPr>
                  <w:r>
                    <w:rPr>
                      <w:rFonts w:hint="default" w:ascii="Times New Roman" w:hAnsi="Times New Roman" w:cs="Times New Roman"/>
                      <w:b w:val="0"/>
                      <w:bCs/>
                      <w:color w:val="000000" w:themeColor="text1"/>
                      <w:szCs w:val="21"/>
                      <w:highlight w:val="none"/>
                      <w14:textFill>
                        <w14:solidFill>
                          <w14:schemeClr w14:val="tx1"/>
                        </w14:solidFill>
                      </w14:textFill>
                    </w:rPr>
                    <w:t>-</w:t>
                  </w:r>
                </w:p>
              </w:tc>
              <w:tc>
                <w:tcPr>
                  <w:tcW w:w="1010" w:type="dxa"/>
                  <w:tcBorders>
                    <w:tl2br w:val="nil"/>
                    <w:tr2bl w:val="nil"/>
                  </w:tcBorders>
                  <w:vAlign w:val="center"/>
                </w:tcPr>
                <w:p w14:paraId="69AE61D8">
                  <w:pPr>
                    <w:pStyle w:val="62"/>
                    <w:rPr>
                      <w:rFonts w:hint="default" w:ascii="Times New Roman" w:hAnsi="Times New Roman" w:cs="Times New Roman"/>
                      <w:b w:val="0"/>
                      <w:bCs/>
                      <w:color w:val="000000" w:themeColor="text1"/>
                      <w:szCs w:val="21"/>
                      <w:highlight w:val="none"/>
                      <w14:textFill>
                        <w14:solidFill>
                          <w14:schemeClr w14:val="tx1"/>
                        </w14:solidFill>
                      </w14:textFill>
                    </w:rPr>
                  </w:pPr>
                  <w:r>
                    <w:rPr>
                      <w:rFonts w:hint="default" w:ascii="Times New Roman" w:hAnsi="Times New Roman" w:cs="Times New Roman"/>
                      <w:b w:val="0"/>
                      <w:bCs/>
                      <w:color w:val="000000" w:themeColor="text1"/>
                      <w:szCs w:val="21"/>
                      <w:highlight w:val="none"/>
                      <w14:textFill>
                        <w14:solidFill>
                          <w14:schemeClr w14:val="tx1"/>
                        </w14:solidFill>
                      </w14:textFill>
                    </w:rPr>
                    <w:t>-</w:t>
                  </w:r>
                </w:p>
              </w:tc>
              <w:tc>
                <w:tcPr>
                  <w:tcW w:w="1223" w:type="dxa"/>
                  <w:tcBorders>
                    <w:tl2br w:val="nil"/>
                    <w:tr2bl w:val="nil"/>
                  </w:tcBorders>
                  <w:vAlign w:val="center"/>
                </w:tcPr>
                <w:p w14:paraId="23577A90">
                  <w:pPr>
                    <w:pStyle w:val="62"/>
                    <w:rPr>
                      <w:rFonts w:hint="default" w:ascii="Times New Roman" w:hAnsi="Times New Roman" w:cs="Times New Roman"/>
                      <w:b w:val="0"/>
                      <w:bCs/>
                      <w:color w:val="000000" w:themeColor="text1"/>
                      <w:szCs w:val="21"/>
                      <w:highlight w:val="none"/>
                      <w14:textFill>
                        <w14:solidFill>
                          <w14:schemeClr w14:val="tx1"/>
                        </w14:solidFill>
                      </w14:textFill>
                    </w:rPr>
                  </w:pPr>
                  <w:r>
                    <w:rPr>
                      <w:rFonts w:hint="default" w:ascii="Times New Roman" w:hAnsi="Times New Roman" w:cs="Times New Roman"/>
                      <w:b w:val="0"/>
                      <w:bCs/>
                      <w:color w:val="000000" w:themeColor="text1"/>
                      <w:szCs w:val="21"/>
                      <w:highlight w:val="none"/>
                      <w14:textFill>
                        <w14:solidFill>
                          <w14:schemeClr w14:val="tx1"/>
                        </w14:solidFill>
                      </w14:textFill>
                    </w:rPr>
                    <w:t>20</w:t>
                  </w:r>
                </w:p>
              </w:tc>
              <w:tc>
                <w:tcPr>
                  <w:tcW w:w="2022" w:type="dxa"/>
                  <w:tcBorders>
                    <w:tl2br w:val="nil"/>
                    <w:tr2bl w:val="nil"/>
                  </w:tcBorders>
                  <w:vAlign w:val="center"/>
                </w:tcPr>
                <w:p w14:paraId="34B8C761">
                  <w:pPr>
                    <w:pStyle w:val="62"/>
                    <w:rPr>
                      <w:rFonts w:hint="default" w:ascii="Times New Roman" w:hAnsi="Times New Roman" w:cs="Times New Roman"/>
                      <w:b w:val="0"/>
                      <w:bCs/>
                      <w:color w:val="000000" w:themeColor="text1"/>
                      <w:szCs w:val="21"/>
                      <w:highlight w:val="none"/>
                      <w14:textFill>
                        <w14:solidFill>
                          <w14:schemeClr w14:val="tx1"/>
                        </w14:solidFill>
                      </w14:textFill>
                    </w:rPr>
                  </w:pPr>
                  <w:r>
                    <w:rPr>
                      <w:rFonts w:hint="default" w:ascii="Times New Roman" w:hAnsi="Times New Roman" w:cs="Times New Roman"/>
                      <w:b w:val="0"/>
                      <w:bCs/>
                      <w:color w:val="000000" w:themeColor="text1"/>
                      <w:szCs w:val="21"/>
                      <w:highlight w:val="none"/>
                      <w14:textFill>
                        <w14:solidFill>
                          <w14:schemeClr w14:val="tx1"/>
                        </w14:solidFill>
                      </w14:textFill>
                    </w:rPr>
                    <w:t>在厂房外设置监控点，监控点处任意一次浓度值</w:t>
                  </w:r>
                </w:p>
              </w:tc>
              <w:tc>
                <w:tcPr>
                  <w:tcW w:w="1131" w:type="dxa"/>
                  <w:vMerge w:val="continue"/>
                  <w:tcBorders>
                    <w:tl2br w:val="nil"/>
                    <w:tr2bl w:val="nil"/>
                  </w:tcBorders>
                  <w:vAlign w:val="center"/>
                </w:tcPr>
                <w:p w14:paraId="0270ECB2">
                  <w:pPr>
                    <w:pStyle w:val="62"/>
                    <w:rPr>
                      <w:rFonts w:hint="default" w:ascii="Times New Roman" w:hAnsi="Times New Roman" w:cs="Times New Roman"/>
                      <w:b w:val="0"/>
                      <w:bCs/>
                      <w:color w:val="000000" w:themeColor="text1"/>
                      <w:szCs w:val="21"/>
                      <w:highlight w:val="none"/>
                      <w14:textFill>
                        <w14:solidFill>
                          <w14:schemeClr w14:val="tx1"/>
                        </w14:solidFill>
                      </w14:textFill>
                    </w:rPr>
                  </w:pPr>
                </w:p>
              </w:tc>
            </w:tr>
          </w:tbl>
          <w:p w14:paraId="6FE59115">
            <w:pPr>
              <w:pStyle w:val="62"/>
              <w:rPr>
                <w:rFonts w:hint="default" w:ascii="Times New Roman" w:hAnsi="Times New Roman" w:cs="Times New Roman"/>
                <w:color w:val="000000" w:themeColor="text1"/>
                <w:highlight w:val="none"/>
                <w14:textFill>
                  <w14:solidFill>
                    <w14:schemeClr w14:val="tx1"/>
                  </w14:solidFill>
                </w14:textFill>
              </w:rPr>
            </w:pPr>
          </w:p>
          <w:p w14:paraId="60A85525">
            <w:pPr>
              <w:pStyle w:val="68"/>
              <w:ind w:firstLine="48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（2）噪声排放标准</w:t>
            </w:r>
          </w:p>
          <w:p w14:paraId="1447C26E">
            <w:pPr>
              <w:pStyle w:val="68"/>
              <w:ind w:firstLine="482"/>
              <w:rPr>
                <w:rFonts w:hint="default" w:ascii="Times New Roman" w:hAnsi="Times New Roman" w:cs="Times New Roman"/>
                <w:b/>
                <w:color w:val="000000" w:themeColor="text1"/>
                <w:highlight w:val="none"/>
                <w14:textFill>
                  <w14:solidFill>
                    <w14:schemeClr w14:val="tx1"/>
                  </w14:solidFill>
                </w14:textFill>
              </w:rPr>
            </w:pPr>
            <w:r>
              <w:rPr>
                <w:rFonts w:hint="default" w:ascii="Times New Roman" w:hAnsi="Times New Roman" w:cs="Times New Roman"/>
                <w:b/>
                <w:color w:val="000000" w:themeColor="text1"/>
                <w:highlight w:val="none"/>
                <w14:textFill>
                  <w14:solidFill>
                    <w14:schemeClr w14:val="tx1"/>
                  </w14:solidFill>
                </w14:textFill>
              </w:rPr>
              <w:t>施工期：</w:t>
            </w:r>
            <w:r>
              <w:rPr>
                <w:rFonts w:hint="default" w:ascii="Times New Roman" w:hAnsi="Times New Roman" w:cs="Times New Roman"/>
                <w:color w:val="000000" w:themeColor="text1"/>
                <w:highlight w:val="none"/>
                <w14:textFill>
                  <w14:solidFill>
                    <w14:schemeClr w14:val="tx1"/>
                  </w14:solidFill>
                </w14:textFill>
              </w:rPr>
              <w:t>施工噪声执行《建筑施工场界环境噪声排放标准》(GB12523-2011) 标准中要求：昼间70 dB（A）、夜间55 dB（A）。</w:t>
            </w:r>
          </w:p>
          <w:p w14:paraId="5FBF55E6">
            <w:pPr>
              <w:pStyle w:val="68"/>
              <w:ind w:firstLine="482"/>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b/>
                <w:color w:val="000000" w:themeColor="text1"/>
                <w:highlight w:val="none"/>
                <w14:textFill>
                  <w14:solidFill>
                    <w14:schemeClr w14:val="tx1"/>
                  </w14:solidFill>
                </w14:textFill>
              </w:rPr>
              <w:t>运营期</w:t>
            </w:r>
            <w:r>
              <w:rPr>
                <w:rFonts w:hint="default" w:ascii="Times New Roman" w:hAnsi="Times New Roman" w:cs="Times New Roman"/>
                <w:color w:val="000000" w:themeColor="text1"/>
                <w:highlight w:val="none"/>
                <w14:textFill>
                  <w14:solidFill>
                    <w14:schemeClr w14:val="tx1"/>
                  </w14:solidFill>
                </w14:textFill>
              </w:rPr>
              <w:t>厂界噪声排放标准执行《工业企业厂界环境噪声排放标准》（GB12348-2008）</w:t>
            </w:r>
            <w:r>
              <w:rPr>
                <w:rFonts w:hint="eastAsia" w:cs="Times New Roman"/>
                <w:color w:val="000000" w:themeColor="text1"/>
                <w:highlight w:val="none"/>
                <w:lang w:val="en-US" w:eastAsia="zh-CN"/>
                <w14:textFill>
                  <w14:solidFill>
                    <w14:schemeClr w14:val="tx1"/>
                  </w14:solidFill>
                </w14:textFill>
              </w:rPr>
              <w:t>3</w:t>
            </w:r>
            <w:r>
              <w:rPr>
                <w:rFonts w:hint="default" w:ascii="Times New Roman" w:hAnsi="Times New Roman" w:cs="Times New Roman"/>
                <w:color w:val="000000" w:themeColor="text1"/>
                <w:highlight w:val="none"/>
                <w14:textFill>
                  <w14:solidFill>
                    <w14:schemeClr w14:val="tx1"/>
                  </w14:solidFill>
                </w14:textFill>
              </w:rPr>
              <w:t>类标准限值，具体标准限值见表3-7。</w:t>
            </w:r>
          </w:p>
          <w:p w14:paraId="77587AD6">
            <w:pPr>
              <w:pStyle w:val="62"/>
              <w:ind w:left="48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表3-7    工业企业厂界环境噪声排放限值    单位：dB（A）</w:t>
            </w:r>
          </w:p>
          <w:tbl>
            <w:tblPr>
              <w:tblStyle w:val="27"/>
              <w:tblW w:w="0" w:type="auto"/>
              <w:tblInd w:w="0" w:type="dxa"/>
              <w:tblBorders>
                <w:top w:val="double" w:color="auto" w:sz="4" w:space="0"/>
                <w:left w:val="none" w:color="auto" w:sz="0" w:space="0"/>
                <w:bottom w:val="doub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569"/>
              <w:gridCol w:w="1732"/>
              <w:gridCol w:w="1748"/>
              <w:gridCol w:w="2979"/>
            </w:tblGrid>
            <w:tr w14:paraId="56861447">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569" w:type="dxa"/>
                  <w:vMerge w:val="restart"/>
                  <w:vAlign w:val="center"/>
                </w:tcPr>
                <w:p w14:paraId="0376908C">
                  <w:pPr>
                    <w:pStyle w:val="24"/>
                    <w:rPr>
                      <w:rFonts w:hint="default" w:ascii="Times New Roman" w:hAnsi="Times New Roman" w:cs="Times New Roman"/>
                      <w:color w:val="000000" w:themeColor="text1"/>
                      <w:highlight w:val="none"/>
                      <w14:textFill>
                        <w14:solidFill>
                          <w14:schemeClr w14:val="tx1"/>
                        </w14:solidFill>
                      </w14:textFill>
                    </w:rPr>
                  </w:pPr>
                  <w:bookmarkStart w:id="2" w:name="_Toc505078927"/>
                  <w:bookmarkStart w:id="3" w:name="_Toc513711767"/>
                  <w:bookmarkStart w:id="4" w:name="_Toc8109395"/>
                  <w:bookmarkStart w:id="5" w:name="_Toc513816750"/>
                  <w:r>
                    <w:rPr>
                      <w:rFonts w:hint="default" w:ascii="Times New Roman" w:hAnsi="Times New Roman" w:cs="Times New Roman"/>
                      <w:color w:val="000000" w:themeColor="text1"/>
                      <w:highlight w:val="none"/>
                      <w14:textFill>
                        <w14:solidFill>
                          <w14:schemeClr w14:val="tx1"/>
                        </w14:solidFill>
                      </w14:textFill>
                    </w:rPr>
                    <w:t>厂界外声环境功能区类别</w:t>
                  </w:r>
                  <w:bookmarkEnd w:id="2"/>
                  <w:bookmarkEnd w:id="3"/>
                  <w:bookmarkEnd w:id="4"/>
                  <w:bookmarkEnd w:id="5"/>
                </w:p>
              </w:tc>
              <w:tc>
                <w:tcPr>
                  <w:tcW w:w="3480" w:type="dxa"/>
                  <w:gridSpan w:val="2"/>
                  <w:vAlign w:val="center"/>
                </w:tcPr>
                <w:p w14:paraId="13AB7B3C">
                  <w:pPr>
                    <w:pStyle w:val="24"/>
                    <w:rPr>
                      <w:rFonts w:hint="default" w:ascii="Times New Roman" w:hAnsi="Times New Roman" w:cs="Times New Roman"/>
                      <w:color w:val="000000" w:themeColor="text1"/>
                      <w:highlight w:val="none"/>
                      <w14:textFill>
                        <w14:solidFill>
                          <w14:schemeClr w14:val="tx1"/>
                        </w14:solidFill>
                      </w14:textFill>
                    </w:rPr>
                  </w:pPr>
                  <w:bookmarkStart w:id="6" w:name="_Toc513711768"/>
                  <w:bookmarkStart w:id="7" w:name="_Toc513816751"/>
                  <w:bookmarkStart w:id="8" w:name="_Toc505078928"/>
                  <w:bookmarkStart w:id="9" w:name="_Toc8109396"/>
                  <w:r>
                    <w:rPr>
                      <w:rFonts w:hint="default" w:ascii="Times New Roman" w:hAnsi="Times New Roman" w:cs="Times New Roman"/>
                      <w:color w:val="000000" w:themeColor="text1"/>
                      <w:highlight w:val="none"/>
                      <w14:textFill>
                        <w14:solidFill>
                          <w14:schemeClr w14:val="tx1"/>
                        </w14:solidFill>
                      </w14:textFill>
                    </w:rPr>
                    <w:t>时段</w:t>
                  </w:r>
                  <w:bookmarkEnd w:id="6"/>
                  <w:bookmarkEnd w:id="7"/>
                  <w:bookmarkEnd w:id="8"/>
                  <w:bookmarkEnd w:id="9"/>
                </w:p>
              </w:tc>
              <w:tc>
                <w:tcPr>
                  <w:tcW w:w="2979" w:type="dxa"/>
                  <w:vMerge w:val="restart"/>
                  <w:vAlign w:val="center"/>
                </w:tcPr>
                <w:p w14:paraId="67EDCFBB">
                  <w:pPr>
                    <w:pStyle w:val="24"/>
                    <w:rPr>
                      <w:rFonts w:hint="default" w:ascii="Times New Roman" w:hAnsi="Times New Roman" w:cs="Times New Roman"/>
                      <w:color w:val="000000" w:themeColor="text1"/>
                      <w:highlight w:val="none"/>
                      <w14:textFill>
                        <w14:solidFill>
                          <w14:schemeClr w14:val="tx1"/>
                        </w14:solidFill>
                      </w14:textFill>
                    </w:rPr>
                  </w:pPr>
                  <w:bookmarkStart w:id="10" w:name="_Toc8109397"/>
                  <w:r>
                    <w:rPr>
                      <w:rFonts w:hint="default" w:ascii="Times New Roman" w:hAnsi="Times New Roman" w:cs="Times New Roman"/>
                      <w:color w:val="000000" w:themeColor="text1"/>
                      <w:highlight w:val="none"/>
                      <w14:textFill>
                        <w14:solidFill>
                          <w14:schemeClr w14:val="tx1"/>
                        </w14:solidFill>
                      </w14:textFill>
                    </w:rPr>
                    <w:t>标准来源</w:t>
                  </w:r>
                  <w:bookmarkEnd w:id="10"/>
                </w:p>
              </w:tc>
            </w:tr>
            <w:tr w14:paraId="595F27E1">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569" w:type="dxa"/>
                  <w:vMerge w:val="continue"/>
                  <w:vAlign w:val="center"/>
                </w:tcPr>
                <w:p w14:paraId="636A318F">
                  <w:pPr>
                    <w:pStyle w:val="24"/>
                    <w:rPr>
                      <w:rFonts w:hint="default" w:ascii="Times New Roman" w:hAnsi="Times New Roman" w:cs="Times New Roman"/>
                      <w:color w:val="000000" w:themeColor="text1"/>
                      <w:highlight w:val="none"/>
                      <w14:textFill>
                        <w14:solidFill>
                          <w14:schemeClr w14:val="tx1"/>
                        </w14:solidFill>
                      </w14:textFill>
                    </w:rPr>
                  </w:pPr>
                </w:p>
              </w:tc>
              <w:tc>
                <w:tcPr>
                  <w:tcW w:w="1732" w:type="dxa"/>
                  <w:vAlign w:val="center"/>
                </w:tcPr>
                <w:p w14:paraId="3D0C57E9">
                  <w:pPr>
                    <w:pStyle w:val="24"/>
                    <w:rPr>
                      <w:rFonts w:hint="default" w:ascii="Times New Roman" w:hAnsi="Times New Roman" w:cs="Times New Roman"/>
                      <w:color w:val="000000" w:themeColor="text1"/>
                      <w:highlight w:val="none"/>
                      <w14:textFill>
                        <w14:solidFill>
                          <w14:schemeClr w14:val="tx1"/>
                        </w14:solidFill>
                      </w14:textFill>
                    </w:rPr>
                  </w:pPr>
                  <w:bookmarkStart w:id="11" w:name="_Toc513816753"/>
                  <w:bookmarkStart w:id="12" w:name="_Toc513711770"/>
                  <w:bookmarkStart w:id="13" w:name="_Toc505078930"/>
                  <w:bookmarkStart w:id="14" w:name="_Toc8109398"/>
                  <w:r>
                    <w:rPr>
                      <w:rFonts w:hint="default" w:ascii="Times New Roman" w:hAnsi="Times New Roman" w:cs="Times New Roman"/>
                      <w:color w:val="000000" w:themeColor="text1"/>
                      <w:highlight w:val="none"/>
                      <w14:textFill>
                        <w14:solidFill>
                          <w14:schemeClr w14:val="tx1"/>
                        </w14:solidFill>
                      </w14:textFill>
                    </w:rPr>
                    <w:t>昼间</w:t>
                  </w:r>
                  <w:bookmarkEnd w:id="11"/>
                  <w:bookmarkEnd w:id="12"/>
                  <w:bookmarkEnd w:id="13"/>
                  <w:bookmarkEnd w:id="14"/>
                </w:p>
              </w:tc>
              <w:tc>
                <w:tcPr>
                  <w:tcW w:w="1748" w:type="dxa"/>
                  <w:vAlign w:val="center"/>
                </w:tcPr>
                <w:p w14:paraId="7F4D05A4">
                  <w:pPr>
                    <w:pStyle w:val="24"/>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夜间</w:t>
                  </w:r>
                </w:p>
              </w:tc>
              <w:tc>
                <w:tcPr>
                  <w:tcW w:w="2979" w:type="dxa"/>
                  <w:vMerge w:val="continue"/>
                  <w:vAlign w:val="center"/>
                </w:tcPr>
                <w:p w14:paraId="41714F67">
                  <w:pPr>
                    <w:pStyle w:val="24"/>
                    <w:rPr>
                      <w:rFonts w:hint="default" w:ascii="Times New Roman" w:hAnsi="Times New Roman" w:cs="Times New Roman"/>
                      <w:color w:val="000000" w:themeColor="text1"/>
                      <w:highlight w:val="none"/>
                      <w14:textFill>
                        <w14:solidFill>
                          <w14:schemeClr w14:val="tx1"/>
                        </w14:solidFill>
                      </w14:textFill>
                    </w:rPr>
                  </w:pPr>
                </w:p>
              </w:tc>
            </w:tr>
            <w:tr w14:paraId="08DA9F14">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569" w:type="dxa"/>
                  <w:vAlign w:val="center"/>
                </w:tcPr>
                <w:p w14:paraId="1A867411">
                  <w:pPr>
                    <w:pStyle w:val="24"/>
                    <w:rPr>
                      <w:rFonts w:hint="eastAsia" w:ascii="Times New Roman" w:hAnsi="Times New Roman" w:eastAsia="宋体" w:cs="Times New Roman"/>
                      <w:color w:val="000000" w:themeColor="text1"/>
                      <w:highlight w:val="none"/>
                      <w:lang w:eastAsia="zh-CN"/>
                      <w14:textFill>
                        <w14:solidFill>
                          <w14:schemeClr w14:val="tx1"/>
                        </w14:solidFill>
                      </w14:textFill>
                    </w:rPr>
                  </w:pPr>
                  <w:r>
                    <w:rPr>
                      <w:rFonts w:hint="eastAsia" w:cs="Times New Roman"/>
                      <w:color w:val="000000" w:themeColor="text1"/>
                      <w:highlight w:val="none"/>
                      <w:lang w:val="en-US" w:eastAsia="zh-CN"/>
                      <w14:textFill>
                        <w14:solidFill>
                          <w14:schemeClr w14:val="tx1"/>
                        </w14:solidFill>
                      </w14:textFill>
                    </w:rPr>
                    <w:t>3</w:t>
                  </w:r>
                </w:p>
              </w:tc>
              <w:tc>
                <w:tcPr>
                  <w:tcW w:w="1732" w:type="dxa"/>
                  <w:vAlign w:val="center"/>
                </w:tcPr>
                <w:p w14:paraId="78062DAE">
                  <w:pPr>
                    <w:pStyle w:val="24"/>
                    <w:rPr>
                      <w:rFonts w:hint="eastAsia" w:ascii="Times New Roman" w:hAnsi="Times New Roman" w:eastAsia="宋体" w:cs="Times New Roman"/>
                      <w:color w:val="000000" w:themeColor="text1"/>
                      <w:highlight w:val="none"/>
                      <w:lang w:eastAsia="zh-CN"/>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6</w:t>
                  </w:r>
                  <w:r>
                    <w:rPr>
                      <w:rFonts w:hint="eastAsia" w:cs="Times New Roman"/>
                      <w:color w:val="000000" w:themeColor="text1"/>
                      <w:highlight w:val="none"/>
                      <w:lang w:val="en-US" w:eastAsia="zh-CN"/>
                      <w14:textFill>
                        <w14:solidFill>
                          <w14:schemeClr w14:val="tx1"/>
                        </w14:solidFill>
                      </w14:textFill>
                    </w:rPr>
                    <w:t>5</w:t>
                  </w:r>
                </w:p>
              </w:tc>
              <w:tc>
                <w:tcPr>
                  <w:tcW w:w="1748" w:type="dxa"/>
                  <w:vAlign w:val="center"/>
                </w:tcPr>
                <w:p w14:paraId="6592DECF">
                  <w:pPr>
                    <w:pStyle w:val="24"/>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eastAsia" w:cs="Times New Roman"/>
                      <w:color w:val="000000" w:themeColor="text1"/>
                      <w:highlight w:val="none"/>
                      <w:lang w:val="en-US" w:eastAsia="zh-CN"/>
                      <w14:textFill>
                        <w14:solidFill>
                          <w14:schemeClr w14:val="tx1"/>
                        </w14:solidFill>
                      </w14:textFill>
                    </w:rPr>
                    <w:t>55</w:t>
                  </w:r>
                </w:p>
              </w:tc>
              <w:tc>
                <w:tcPr>
                  <w:tcW w:w="2979" w:type="dxa"/>
                  <w:vAlign w:val="center"/>
                </w:tcPr>
                <w:p w14:paraId="62FFA783">
                  <w:pPr>
                    <w:pStyle w:val="24"/>
                    <w:rPr>
                      <w:rFonts w:hint="default" w:ascii="Times New Roman" w:hAnsi="Times New Roman" w:cs="Times New Roman"/>
                      <w:color w:val="000000" w:themeColor="text1"/>
                      <w:highlight w:val="none"/>
                      <w14:textFill>
                        <w14:solidFill>
                          <w14:schemeClr w14:val="tx1"/>
                        </w14:solidFill>
                      </w14:textFill>
                    </w:rPr>
                  </w:pPr>
                  <w:bookmarkStart w:id="15" w:name="_Toc505078935"/>
                  <w:bookmarkStart w:id="16" w:name="_Toc513816758"/>
                  <w:bookmarkStart w:id="17" w:name="_Toc8109403"/>
                  <w:bookmarkStart w:id="18" w:name="_Toc513711775"/>
                  <w:r>
                    <w:rPr>
                      <w:rFonts w:hint="default" w:ascii="Times New Roman" w:hAnsi="Times New Roman" w:cs="Times New Roman"/>
                      <w:color w:val="000000" w:themeColor="text1"/>
                      <w:highlight w:val="none"/>
                      <w14:textFill>
                        <w14:solidFill>
                          <w14:schemeClr w14:val="tx1"/>
                        </w14:solidFill>
                      </w14:textFill>
                    </w:rPr>
                    <w:t>《工业企业厂界环境噪声排放标准》（GB12348-2008）</w:t>
                  </w:r>
                  <w:bookmarkEnd w:id="15"/>
                  <w:bookmarkEnd w:id="16"/>
                  <w:bookmarkEnd w:id="17"/>
                  <w:bookmarkEnd w:id="18"/>
                </w:p>
              </w:tc>
            </w:tr>
          </w:tbl>
          <w:p w14:paraId="65981EAB">
            <w:pPr>
              <w:pStyle w:val="68"/>
              <w:ind w:firstLine="48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（3）固废排放标准</w:t>
            </w:r>
          </w:p>
          <w:p w14:paraId="67BFBC49">
            <w:pPr>
              <w:pStyle w:val="68"/>
              <w:ind w:left="0" w:leftChars="0" w:firstLine="480" w:firstLineChars="200"/>
              <w:rPr>
                <w:rFonts w:hint="eastAsia" w:ascii="Times New Roman" w:hAnsi="Times New Roman" w:eastAsia="宋体" w:cs="Times New Roman"/>
                <w:color w:val="000000" w:themeColor="text1"/>
                <w:kern w:val="28"/>
                <w:highlight w:val="none"/>
                <w:lang w:val="en-US" w:eastAsia="zh-CN"/>
                <w14:textFill>
                  <w14:solidFill>
                    <w14:schemeClr w14:val="tx1"/>
                  </w14:solidFill>
                </w14:textFill>
              </w:rPr>
            </w:pPr>
            <w:r>
              <w:rPr>
                <w:rFonts w:hint="eastAsia" w:cs="Times New Roman"/>
                <w:color w:val="000000" w:themeColor="text1"/>
                <w:kern w:val="28"/>
                <w:highlight w:val="none"/>
                <w:lang w:val="en-US" w:eastAsia="zh-CN"/>
                <w14:textFill>
                  <w14:solidFill>
                    <w14:schemeClr w14:val="tx1"/>
                  </w14:solidFill>
                </w14:textFill>
              </w:rPr>
              <w:t>一般工业固废：《一般工业固体废物贮存和填埋污染控制标准》 （GB18599-2020）要求</w:t>
            </w:r>
          </w:p>
          <w:p w14:paraId="1CCA9C6A">
            <w:pPr>
              <w:pStyle w:val="68"/>
              <w:ind w:firstLine="480"/>
              <w:rPr>
                <w:rFonts w:hint="default" w:ascii="Times New Roman" w:hAnsi="Times New Roman" w:cs="Times New Roman"/>
                <w:color w:val="000000" w:themeColor="text1"/>
                <w:kern w:val="28"/>
                <w:highlight w:val="none"/>
                <w14:textFill>
                  <w14:solidFill>
                    <w14:schemeClr w14:val="tx1"/>
                  </w14:solidFill>
                </w14:textFill>
              </w:rPr>
            </w:pPr>
            <w:r>
              <w:rPr>
                <w:rFonts w:hint="default" w:ascii="Times New Roman" w:hAnsi="Times New Roman" w:cs="Times New Roman"/>
                <w:color w:val="000000" w:themeColor="text1"/>
                <w:kern w:val="28"/>
                <w:highlight w:val="none"/>
                <w14:textFill>
                  <w14:solidFill>
                    <w14:schemeClr w14:val="tx1"/>
                  </w14:solidFill>
                </w14:textFill>
              </w:rPr>
              <w:t>危险废物：《危险废物贮存污染控制标准》（GB18597-2001）及其修改单中的相关规定。</w:t>
            </w:r>
          </w:p>
        </w:tc>
      </w:tr>
      <w:tr w14:paraId="6B50709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330" w:hRule="atLeast"/>
          <w:jc w:val="center"/>
        </w:trPr>
        <w:tc>
          <w:tcPr>
            <w:tcW w:w="817" w:type="dxa"/>
            <w:vAlign w:val="center"/>
          </w:tcPr>
          <w:p w14:paraId="5F8F361C">
            <w:pPr>
              <w:adjustRightInd w:val="0"/>
              <w:snapToGrid w:val="0"/>
              <w:jc w:val="center"/>
              <w:rPr>
                <w:rFonts w:hint="default" w:ascii="Times New Roman" w:hAnsi="Times New Roman" w:cs="Times New Roman"/>
                <w:color w:val="000000" w:themeColor="text1"/>
                <w:kern w:val="0"/>
                <w:szCs w:val="21"/>
                <w:highlight w:val="none"/>
                <w14:textFill>
                  <w14:solidFill>
                    <w14:schemeClr w14:val="tx1"/>
                  </w14:solidFill>
                </w14:textFill>
              </w:rPr>
            </w:pPr>
            <w:r>
              <w:rPr>
                <w:rFonts w:hint="default" w:ascii="Times New Roman" w:hAnsi="Times New Roman" w:cs="Times New Roman"/>
                <w:color w:val="000000" w:themeColor="text1"/>
                <w:kern w:val="0"/>
                <w:szCs w:val="21"/>
                <w:highlight w:val="none"/>
                <w14:textFill>
                  <w14:solidFill>
                    <w14:schemeClr w14:val="tx1"/>
                  </w14:solidFill>
                </w14:textFill>
              </w:rPr>
              <w:t>总量</w:t>
            </w:r>
          </w:p>
          <w:p w14:paraId="001FFE63">
            <w:pPr>
              <w:adjustRightInd w:val="0"/>
              <w:snapToGrid w:val="0"/>
              <w:jc w:val="center"/>
              <w:rPr>
                <w:rFonts w:hint="default" w:ascii="Times New Roman" w:hAnsi="Times New Roman" w:cs="Times New Roman"/>
                <w:color w:val="000000" w:themeColor="text1"/>
                <w:kern w:val="0"/>
                <w:szCs w:val="21"/>
                <w:highlight w:val="none"/>
                <w14:textFill>
                  <w14:solidFill>
                    <w14:schemeClr w14:val="tx1"/>
                  </w14:solidFill>
                </w14:textFill>
              </w:rPr>
            </w:pPr>
            <w:r>
              <w:rPr>
                <w:rFonts w:hint="default" w:ascii="Times New Roman" w:hAnsi="Times New Roman" w:cs="Times New Roman"/>
                <w:color w:val="000000" w:themeColor="text1"/>
                <w:kern w:val="0"/>
                <w:szCs w:val="21"/>
                <w:highlight w:val="none"/>
                <w14:textFill>
                  <w14:solidFill>
                    <w14:schemeClr w14:val="tx1"/>
                  </w14:solidFill>
                </w14:textFill>
              </w:rPr>
              <w:t>控制</w:t>
            </w:r>
          </w:p>
          <w:p w14:paraId="27EA0BEA">
            <w:pPr>
              <w:adjustRightInd w:val="0"/>
              <w:snapToGrid w:val="0"/>
              <w:jc w:val="center"/>
              <w:rPr>
                <w:rFonts w:hint="default" w:ascii="Times New Roman" w:hAnsi="Times New Roman" w:cs="Times New Roman"/>
                <w:color w:val="000000" w:themeColor="text1"/>
                <w:kern w:val="0"/>
                <w:szCs w:val="21"/>
                <w:highlight w:val="none"/>
                <w14:textFill>
                  <w14:solidFill>
                    <w14:schemeClr w14:val="tx1"/>
                  </w14:solidFill>
                </w14:textFill>
              </w:rPr>
            </w:pPr>
            <w:r>
              <w:rPr>
                <w:rFonts w:hint="default" w:ascii="Times New Roman" w:hAnsi="Times New Roman" w:cs="Times New Roman"/>
                <w:color w:val="000000" w:themeColor="text1"/>
                <w:kern w:val="0"/>
                <w:szCs w:val="21"/>
                <w:highlight w:val="none"/>
                <w14:textFill>
                  <w14:solidFill>
                    <w14:schemeClr w14:val="tx1"/>
                  </w14:solidFill>
                </w14:textFill>
              </w:rPr>
              <w:t>指标</w:t>
            </w:r>
          </w:p>
        </w:tc>
        <w:tc>
          <w:tcPr>
            <w:tcW w:w="8244" w:type="dxa"/>
            <w:vAlign w:val="center"/>
          </w:tcPr>
          <w:p w14:paraId="152B8C23">
            <w:pPr>
              <w:pStyle w:val="68"/>
              <w:ind w:firstLine="48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根据《辽宁省生态环境厅关于进一步加强建设项目主要污染物排放总量指标审核和管理的通知》（辽环综函[2020]380号），《辽宁省环境保护厅关于贯彻执行环保部建设项目主要污染物排放总量指标审核及管理暂行办法的通知》（辽环发[2015]17号），《建设项目主要污染物排放总量指标审核及管理暂行办法》（环发[2014]197号）并综合考虑本项目的工艺和排污特点，结合所在区域环境质量现状以及当地环境管理部门的要求，确定项目污染物排放总量控制因子为挥发性有机物，总量控制指标为0.015t/a。</w:t>
            </w:r>
          </w:p>
          <w:p w14:paraId="010EC37C">
            <w:pPr>
              <w:spacing w:line="360" w:lineRule="auto"/>
              <w:ind w:firstLine="480" w:firstLineChars="200"/>
              <w:rPr>
                <w:rFonts w:hint="default" w:ascii="Times New Roman" w:hAnsi="Times New Roman" w:cs="Times New Roman"/>
                <w:color w:val="auto"/>
                <w:sz w:val="24"/>
                <w:szCs w:val="32"/>
                <w:highlight w:val="none"/>
              </w:rPr>
            </w:pPr>
            <w:r>
              <w:rPr>
                <w:rFonts w:hint="default" w:ascii="Times New Roman" w:hAnsi="Times New Roman" w:cs="Times New Roman"/>
                <w:color w:val="auto"/>
                <w:sz w:val="24"/>
                <w:szCs w:val="32"/>
                <w:highlight w:val="none"/>
              </w:rPr>
              <w:t>本项目建成后，涉及的主要废气为</w:t>
            </w:r>
            <w:r>
              <w:rPr>
                <w:rFonts w:hint="eastAsia" w:cs="Times New Roman"/>
                <w:color w:val="auto"/>
                <w:sz w:val="24"/>
                <w:szCs w:val="32"/>
                <w:highlight w:val="none"/>
                <w:lang w:val="en-US" w:eastAsia="zh-CN"/>
              </w:rPr>
              <w:t>废矿物油储罐大小呼吸废气，主要污染因为挥发性有机物（以NMHC计），经公式计算，储罐大小呼吸废气产生量为0.102t/a</w:t>
            </w:r>
            <w:r>
              <w:rPr>
                <w:rFonts w:hint="default" w:ascii="Times New Roman" w:hAnsi="Times New Roman" w:cs="Times New Roman"/>
                <w:color w:val="auto"/>
                <w:sz w:val="24"/>
                <w:szCs w:val="32"/>
                <w:highlight w:val="none"/>
              </w:rPr>
              <w:t>。</w:t>
            </w:r>
            <w:r>
              <w:rPr>
                <w:rFonts w:hint="eastAsia" w:cs="Times New Roman"/>
                <w:color w:val="auto"/>
                <w:sz w:val="24"/>
                <w:szCs w:val="32"/>
                <w:highlight w:val="none"/>
                <w:lang w:val="en-US" w:eastAsia="zh-CN"/>
              </w:rPr>
              <w:t>呼吸</w:t>
            </w:r>
            <w:r>
              <w:rPr>
                <w:rFonts w:hint="default" w:ascii="Times New Roman" w:hAnsi="Times New Roman" w:cs="Times New Roman"/>
                <w:color w:val="auto"/>
                <w:sz w:val="24"/>
                <w:szCs w:val="32"/>
                <w:highlight w:val="none"/>
              </w:rPr>
              <w:t>废气经</w:t>
            </w:r>
            <w:r>
              <w:rPr>
                <w:rFonts w:hint="eastAsia" w:cs="Times New Roman"/>
                <w:color w:val="auto"/>
                <w:sz w:val="24"/>
                <w:szCs w:val="32"/>
                <w:highlight w:val="none"/>
                <w:lang w:val="en-US" w:eastAsia="zh-CN"/>
              </w:rPr>
              <w:t>管道</w:t>
            </w:r>
            <w:r>
              <w:rPr>
                <w:rFonts w:hint="default" w:ascii="Times New Roman" w:hAnsi="Times New Roman" w:cs="Times New Roman"/>
                <w:color w:val="auto"/>
                <w:sz w:val="24"/>
                <w:szCs w:val="32"/>
                <w:highlight w:val="none"/>
              </w:rPr>
              <w:t>收集+活性炭吸附装置集中处理后，通过1根15m高排气筒排放，活性炭吸附装置处理效率为80%，风机风量为</w:t>
            </w:r>
            <w:r>
              <w:rPr>
                <w:rFonts w:hint="eastAsia" w:cs="Times New Roman"/>
                <w:color w:val="auto"/>
                <w:sz w:val="24"/>
                <w:szCs w:val="32"/>
                <w:highlight w:val="none"/>
                <w:lang w:val="en-US" w:eastAsia="zh-CN"/>
              </w:rPr>
              <w:t>2</w:t>
            </w:r>
            <w:r>
              <w:rPr>
                <w:rFonts w:hint="default" w:ascii="Times New Roman" w:hAnsi="Times New Roman" w:cs="Times New Roman"/>
                <w:color w:val="auto"/>
                <w:sz w:val="24"/>
                <w:szCs w:val="32"/>
                <w:highlight w:val="none"/>
              </w:rPr>
              <w:t>000m</w:t>
            </w:r>
            <w:r>
              <w:rPr>
                <w:rFonts w:hint="default" w:ascii="Times New Roman" w:hAnsi="Times New Roman" w:cs="Times New Roman"/>
                <w:color w:val="auto"/>
                <w:sz w:val="24"/>
                <w:szCs w:val="32"/>
                <w:highlight w:val="none"/>
                <w:vertAlign w:val="superscript"/>
              </w:rPr>
              <w:t>3</w:t>
            </w:r>
            <w:r>
              <w:rPr>
                <w:rFonts w:hint="default" w:ascii="Times New Roman" w:hAnsi="Times New Roman" w:cs="Times New Roman"/>
                <w:color w:val="auto"/>
                <w:sz w:val="24"/>
                <w:szCs w:val="32"/>
                <w:highlight w:val="none"/>
              </w:rPr>
              <w:t>/h。</w:t>
            </w:r>
          </w:p>
          <w:p w14:paraId="3B96B707">
            <w:pPr>
              <w:spacing w:line="360" w:lineRule="auto"/>
              <w:ind w:firstLine="480" w:firstLineChars="200"/>
              <w:rPr>
                <w:rFonts w:hint="default" w:ascii="Times New Roman" w:hAnsi="Times New Roman" w:cs="Times New Roman"/>
                <w:color w:val="auto"/>
                <w:sz w:val="24"/>
                <w:szCs w:val="32"/>
                <w:highlight w:val="none"/>
              </w:rPr>
            </w:pPr>
            <w:r>
              <w:rPr>
                <w:rFonts w:hint="default" w:ascii="Times New Roman" w:hAnsi="Times New Roman" w:cs="Times New Roman"/>
                <w:color w:val="auto"/>
                <w:sz w:val="24"/>
                <w:szCs w:val="32"/>
                <w:highlight w:val="none"/>
              </w:rPr>
              <w:t>VOCs（以非甲烷总烃计）排放量=</w:t>
            </w:r>
            <w:r>
              <w:rPr>
                <w:rFonts w:hint="eastAsia" w:cs="Times New Roman"/>
                <w:color w:val="auto"/>
                <w:sz w:val="24"/>
                <w:szCs w:val="32"/>
                <w:highlight w:val="none"/>
                <w:lang w:val="en-US" w:eastAsia="zh-CN"/>
              </w:rPr>
              <w:t>0.102</w:t>
            </w:r>
            <w:r>
              <w:rPr>
                <w:rFonts w:hint="default" w:ascii="Times New Roman" w:hAnsi="Times New Roman" w:cs="Times New Roman"/>
                <w:color w:val="auto"/>
                <w:sz w:val="24"/>
                <w:szCs w:val="32"/>
                <w:highlight w:val="none"/>
              </w:rPr>
              <w:t>t/a×（1-80%）=0.0</w:t>
            </w:r>
            <w:r>
              <w:rPr>
                <w:rFonts w:hint="eastAsia" w:cs="Times New Roman"/>
                <w:color w:val="auto"/>
                <w:sz w:val="24"/>
                <w:szCs w:val="32"/>
                <w:highlight w:val="none"/>
                <w:lang w:val="en-US" w:eastAsia="zh-CN"/>
              </w:rPr>
              <w:t>20</w:t>
            </w:r>
            <w:r>
              <w:rPr>
                <w:rFonts w:hint="default" w:ascii="Times New Roman" w:hAnsi="Times New Roman" w:cs="Times New Roman"/>
                <w:color w:val="auto"/>
                <w:sz w:val="24"/>
                <w:szCs w:val="32"/>
                <w:highlight w:val="none"/>
              </w:rPr>
              <w:t>t/a</w:t>
            </w:r>
          </w:p>
          <w:p w14:paraId="5EE05157">
            <w:pPr>
              <w:pStyle w:val="2"/>
              <w:ind w:left="0" w:leftChars="0" w:firstLine="480"/>
              <w:rPr>
                <w:rFonts w:hint="default" w:ascii="Times New Roman" w:hAnsi="Times New Roman" w:cs="Times New Roman"/>
                <w:color w:val="auto"/>
                <w:highlight w:val="none"/>
              </w:rPr>
            </w:pPr>
            <w:r>
              <w:rPr>
                <w:rFonts w:hint="default" w:ascii="Times New Roman" w:hAnsi="Times New Roman" w:cs="Times New Roman"/>
                <w:color w:val="auto"/>
                <w:sz w:val="24"/>
                <w:szCs w:val="32"/>
                <w:highlight w:val="none"/>
              </w:rPr>
              <w:t>则该项目需要申请的VOCs（以非甲烷总烃计）总量为0.0</w:t>
            </w:r>
            <w:r>
              <w:rPr>
                <w:rFonts w:hint="eastAsia" w:cs="Times New Roman"/>
                <w:color w:val="auto"/>
                <w:sz w:val="24"/>
                <w:szCs w:val="32"/>
                <w:highlight w:val="none"/>
                <w:lang w:val="en-US" w:eastAsia="zh-CN"/>
              </w:rPr>
              <w:t>20</w:t>
            </w:r>
            <w:r>
              <w:rPr>
                <w:rFonts w:hint="default" w:ascii="Times New Roman" w:hAnsi="Times New Roman" w:cs="Times New Roman"/>
                <w:color w:val="auto"/>
                <w:sz w:val="24"/>
                <w:szCs w:val="32"/>
                <w:highlight w:val="none"/>
              </w:rPr>
              <w:t>t/a。</w:t>
            </w:r>
          </w:p>
          <w:p w14:paraId="2A75FC89">
            <w:pPr>
              <w:pStyle w:val="68"/>
              <w:spacing w:line="240" w:lineRule="auto"/>
              <w:ind w:firstLine="480"/>
              <w:rPr>
                <w:rFonts w:hint="default" w:ascii="Times New Roman" w:hAnsi="Times New Roman" w:cs="Times New Roman"/>
                <w:color w:val="000000" w:themeColor="text1"/>
                <w:highlight w:val="none"/>
                <w14:textFill>
                  <w14:solidFill>
                    <w14:schemeClr w14:val="tx1"/>
                  </w14:solidFill>
                </w14:textFill>
              </w:rPr>
            </w:pPr>
          </w:p>
          <w:p w14:paraId="590A1DCB">
            <w:pPr>
              <w:pStyle w:val="69"/>
              <w:jc w:val="both"/>
              <w:rPr>
                <w:rFonts w:hint="default" w:ascii="Times New Roman" w:hAnsi="Times New Roman" w:cs="Times New Roman"/>
                <w:color w:val="000000" w:themeColor="text1"/>
                <w:highlight w:val="none"/>
                <w14:textFill>
                  <w14:solidFill>
                    <w14:schemeClr w14:val="tx1"/>
                  </w14:solidFill>
                </w14:textFill>
              </w:rPr>
            </w:pPr>
          </w:p>
        </w:tc>
      </w:tr>
    </w:tbl>
    <w:p w14:paraId="3BAAE2BC">
      <w:pPr>
        <w:pStyle w:val="23"/>
        <w:jc w:val="center"/>
        <w:outlineLvl w:val="0"/>
        <w:rPr>
          <w:rFonts w:hint="default" w:ascii="Times New Roman" w:hAnsi="Times New Roman" w:eastAsia="黑体" w:cs="Times New Roman"/>
          <w:snapToGrid w:val="0"/>
          <w:color w:val="000000" w:themeColor="text1"/>
          <w:sz w:val="30"/>
          <w:szCs w:val="30"/>
          <w:highlight w:val="none"/>
          <w14:textFill>
            <w14:solidFill>
              <w14:schemeClr w14:val="tx1"/>
            </w14:solidFill>
          </w14:textFill>
        </w:rPr>
      </w:pPr>
      <w:r>
        <w:rPr>
          <w:rFonts w:hint="default" w:ascii="Times New Roman" w:hAnsi="Times New Roman" w:eastAsia="黑体" w:cs="Times New Roman"/>
          <w:snapToGrid w:val="0"/>
          <w:color w:val="000000" w:themeColor="text1"/>
          <w:sz w:val="36"/>
          <w:szCs w:val="36"/>
          <w:highlight w:val="none"/>
          <w14:textFill>
            <w14:solidFill>
              <w14:schemeClr w14:val="tx1"/>
            </w14:solidFill>
          </w14:textFill>
        </w:rPr>
        <w:br w:type="page"/>
      </w:r>
      <w:r>
        <w:rPr>
          <w:rFonts w:hint="default" w:ascii="Times New Roman" w:hAnsi="Times New Roman" w:eastAsia="黑体" w:cs="Times New Roman"/>
          <w:snapToGrid w:val="0"/>
          <w:color w:val="000000" w:themeColor="text1"/>
          <w:sz w:val="30"/>
          <w:szCs w:val="30"/>
          <w:highlight w:val="none"/>
          <w14:textFill>
            <w14:solidFill>
              <w14:schemeClr w14:val="tx1"/>
            </w14:solidFill>
          </w14:textFill>
        </w:rPr>
        <w:t>四、主要环境影响和保护措施</w:t>
      </w:r>
    </w:p>
    <w:tbl>
      <w:tblPr>
        <w:tblStyle w:val="27"/>
        <w:tblW w:w="898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488"/>
        <w:gridCol w:w="8493"/>
      </w:tblGrid>
      <w:tr w14:paraId="18F5743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263" w:hRule="atLeast"/>
          <w:jc w:val="center"/>
        </w:trPr>
        <w:tc>
          <w:tcPr>
            <w:tcW w:w="488" w:type="dxa"/>
            <w:tcMar>
              <w:left w:w="28" w:type="dxa"/>
              <w:right w:w="28" w:type="dxa"/>
            </w:tcMar>
            <w:vAlign w:val="center"/>
          </w:tcPr>
          <w:p w14:paraId="75B49BB7">
            <w:pPr>
              <w:pStyle w:val="23"/>
              <w:adjustRightInd w:val="0"/>
              <w:snapToGrid w:val="0"/>
              <w:spacing w:beforeAutospacing="0" w:afterAutospacing="0"/>
              <w:jc w:val="center"/>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施工</w:t>
            </w:r>
          </w:p>
          <w:p w14:paraId="757AD1FF">
            <w:pPr>
              <w:pStyle w:val="23"/>
              <w:adjustRightInd w:val="0"/>
              <w:snapToGrid w:val="0"/>
              <w:spacing w:beforeAutospacing="0" w:afterAutospacing="0"/>
              <w:jc w:val="center"/>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期环</w:t>
            </w:r>
          </w:p>
          <w:p w14:paraId="1DF83100">
            <w:pPr>
              <w:pStyle w:val="23"/>
              <w:adjustRightInd w:val="0"/>
              <w:snapToGrid w:val="0"/>
              <w:spacing w:beforeAutospacing="0" w:afterAutospacing="0"/>
              <w:jc w:val="center"/>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境保</w:t>
            </w:r>
          </w:p>
          <w:p w14:paraId="28907F3C">
            <w:pPr>
              <w:pStyle w:val="23"/>
              <w:adjustRightInd w:val="0"/>
              <w:snapToGrid w:val="0"/>
              <w:spacing w:beforeAutospacing="0" w:afterAutospacing="0"/>
              <w:jc w:val="center"/>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护措</w:t>
            </w:r>
          </w:p>
          <w:p w14:paraId="181801AC">
            <w:pPr>
              <w:pStyle w:val="23"/>
              <w:adjustRightInd w:val="0"/>
              <w:snapToGrid w:val="0"/>
              <w:spacing w:beforeAutospacing="0" w:afterAutospacing="0"/>
              <w:jc w:val="center"/>
              <w:rPr>
                <w:rFonts w:hint="default" w:ascii="Times New Roman" w:hAnsi="Times New Roman" w:cs="Times New Roman"/>
                <w:bCs/>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施</w:t>
            </w:r>
          </w:p>
        </w:tc>
        <w:tc>
          <w:tcPr>
            <w:tcW w:w="8493" w:type="dxa"/>
            <w:vAlign w:val="center"/>
          </w:tcPr>
          <w:p w14:paraId="4E8524EA">
            <w:pPr>
              <w:pStyle w:val="68"/>
              <w:ind w:firstLine="48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施工期内容包括车间厂房维修，设备安装及地面硬化。施工期主要污染源有：施工期机械噪声、扬尘、生活废水及固体废物。</w:t>
            </w:r>
          </w:p>
          <w:p w14:paraId="6604B95F">
            <w:pPr>
              <w:pStyle w:val="68"/>
              <w:ind w:firstLine="0" w:firstLineChars="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b/>
                <w:color w:val="000000" w:themeColor="text1"/>
                <w:highlight w:val="none"/>
                <w14:textFill>
                  <w14:solidFill>
                    <w14:schemeClr w14:val="tx1"/>
                  </w14:solidFill>
                </w14:textFill>
              </w:rPr>
              <w:t xml:space="preserve">1.施工期大气污染影响分析 </w:t>
            </w:r>
          </w:p>
          <w:p w14:paraId="2ABB60DE">
            <w:pPr>
              <w:pStyle w:val="68"/>
              <w:ind w:firstLine="48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施工期大气污染主要来自于施工扬尘，施工扬尘主要来自以下几方面：</w:t>
            </w:r>
          </w:p>
          <w:p w14:paraId="6898762F">
            <w:pPr>
              <w:pStyle w:val="68"/>
              <w:ind w:firstLine="48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fldChar w:fldCharType="begin"/>
            </w:r>
            <w:r>
              <w:rPr>
                <w:rFonts w:hint="default" w:ascii="Times New Roman" w:hAnsi="Times New Roman" w:cs="Times New Roman"/>
                <w:color w:val="000000" w:themeColor="text1"/>
                <w:highlight w:val="none"/>
                <w14:textFill>
                  <w14:solidFill>
                    <w14:schemeClr w14:val="tx1"/>
                  </w14:solidFill>
                </w14:textFill>
              </w:rPr>
              <w:instrText xml:space="preserve"> = 1 \* GB2 </w:instrText>
            </w:r>
            <w:r>
              <w:rPr>
                <w:rFonts w:hint="default" w:ascii="Times New Roman" w:hAnsi="Times New Roman" w:cs="Times New Roman"/>
                <w:color w:val="000000" w:themeColor="text1"/>
                <w:highlight w:val="none"/>
                <w14:textFill>
                  <w14:solidFill>
                    <w14:schemeClr w14:val="tx1"/>
                  </w14:solidFill>
                </w14:textFill>
              </w:rPr>
              <w:fldChar w:fldCharType="separate"/>
            </w:r>
            <w:r>
              <w:rPr>
                <w:rFonts w:hint="default" w:ascii="Times New Roman" w:hAnsi="Times New Roman" w:cs="Times New Roman"/>
                <w:color w:val="000000" w:themeColor="text1"/>
                <w:highlight w:val="none"/>
                <w14:textFill>
                  <w14:solidFill>
                    <w14:schemeClr w14:val="tx1"/>
                  </w14:solidFill>
                </w14:textFill>
              </w:rPr>
              <w:t>⑴</w:t>
            </w:r>
            <w:r>
              <w:rPr>
                <w:rFonts w:hint="default" w:ascii="Times New Roman" w:hAnsi="Times New Roman" w:cs="Times New Roman"/>
                <w:color w:val="000000" w:themeColor="text1"/>
                <w:highlight w:val="none"/>
                <w14:textFill>
                  <w14:solidFill>
                    <w14:schemeClr w14:val="tx1"/>
                  </w14:solidFill>
                </w14:textFill>
              </w:rPr>
              <w:fldChar w:fldCharType="end"/>
            </w:r>
            <w:r>
              <w:rPr>
                <w:rFonts w:hint="default" w:ascii="Times New Roman" w:hAnsi="Times New Roman" w:cs="Times New Roman"/>
                <w:color w:val="000000" w:themeColor="text1"/>
                <w:highlight w:val="none"/>
                <w14:textFill>
                  <w14:solidFill>
                    <w14:schemeClr w14:val="tx1"/>
                  </w14:solidFill>
                </w14:textFill>
              </w:rPr>
              <w:t xml:space="preserve"> 建筑材料(白灰、水泥、砂子、石子、砖等)的现场搬运及堆放扬尘；</w:t>
            </w:r>
          </w:p>
          <w:p w14:paraId="68F968B3">
            <w:pPr>
              <w:pStyle w:val="68"/>
              <w:ind w:firstLine="48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fldChar w:fldCharType="begin"/>
            </w:r>
            <w:r>
              <w:rPr>
                <w:rFonts w:hint="default" w:ascii="Times New Roman" w:hAnsi="Times New Roman" w:cs="Times New Roman"/>
                <w:color w:val="000000" w:themeColor="text1"/>
                <w:highlight w:val="none"/>
                <w14:textFill>
                  <w14:solidFill>
                    <w14:schemeClr w14:val="tx1"/>
                  </w14:solidFill>
                </w14:textFill>
              </w:rPr>
              <w:instrText xml:space="preserve"> = 2 \* GB2 </w:instrText>
            </w:r>
            <w:r>
              <w:rPr>
                <w:rFonts w:hint="default" w:ascii="Times New Roman" w:hAnsi="Times New Roman" w:cs="Times New Roman"/>
                <w:color w:val="000000" w:themeColor="text1"/>
                <w:highlight w:val="none"/>
                <w14:textFill>
                  <w14:solidFill>
                    <w14:schemeClr w14:val="tx1"/>
                  </w14:solidFill>
                </w14:textFill>
              </w:rPr>
              <w:fldChar w:fldCharType="separate"/>
            </w:r>
            <w:r>
              <w:rPr>
                <w:rFonts w:hint="default" w:ascii="Times New Roman" w:hAnsi="Times New Roman" w:cs="Times New Roman"/>
                <w:color w:val="000000" w:themeColor="text1"/>
                <w:highlight w:val="none"/>
                <w14:textFill>
                  <w14:solidFill>
                    <w14:schemeClr w14:val="tx1"/>
                  </w14:solidFill>
                </w14:textFill>
              </w:rPr>
              <w:t>⑵</w:t>
            </w:r>
            <w:r>
              <w:rPr>
                <w:rFonts w:hint="default" w:ascii="Times New Roman" w:hAnsi="Times New Roman" w:cs="Times New Roman"/>
                <w:color w:val="000000" w:themeColor="text1"/>
                <w:highlight w:val="none"/>
                <w14:textFill>
                  <w14:solidFill>
                    <w14:schemeClr w14:val="tx1"/>
                  </w14:solidFill>
                </w14:textFill>
              </w:rPr>
              <w:fldChar w:fldCharType="end"/>
            </w:r>
            <w:r>
              <w:rPr>
                <w:rFonts w:hint="default" w:ascii="Times New Roman" w:hAnsi="Times New Roman" w:cs="Times New Roman"/>
                <w:color w:val="000000" w:themeColor="text1"/>
                <w:highlight w:val="none"/>
                <w14:textFill>
                  <w14:solidFill>
                    <w14:schemeClr w14:val="tx1"/>
                  </w14:solidFill>
                </w14:textFill>
              </w:rPr>
              <w:t xml:space="preserve"> 施工垃圾的清理及堆放扬尘；</w:t>
            </w:r>
          </w:p>
          <w:p w14:paraId="26C93F15">
            <w:pPr>
              <w:pStyle w:val="68"/>
              <w:ind w:firstLine="48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fldChar w:fldCharType="begin"/>
            </w:r>
            <w:r>
              <w:rPr>
                <w:rFonts w:hint="default" w:ascii="Times New Roman" w:hAnsi="Times New Roman" w:cs="Times New Roman"/>
                <w:color w:val="000000" w:themeColor="text1"/>
                <w:highlight w:val="none"/>
                <w14:textFill>
                  <w14:solidFill>
                    <w14:schemeClr w14:val="tx1"/>
                  </w14:solidFill>
                </w14:textFill>
              </w:rPr>
              <w:instrText xml:space="preserve"> = 3 \* GB2 </w:instrText>
            </w:r>
            <w:r>
              <w:rPr>
                <w:rFonts w:hint="default" w:ascii="Times New Roman" w:hAnsi="Times New Roman" w:cs="Times New Roman"/>
                <w:color w:val="000000" w:themeColor="text1"/>
                <w:highlight w:val="none"/>
                <w14:textFill>
                  <w14:solidFill>
                    <w14:schemeClr w14:val="tx1"/>
                  </w14:solidFill>
                </w14:textFill>
              </w:rPr>
              <w:fldChar w:fldCharType="separate"/>
            </w:r>
            <w:r>
              <w:rPr>
                <w:rFonts w:hint="default" w:ascii="Times New Roman" w:hAnsi="Times New Roman" w:cs="Times New Roman"/>
                <w:color w:val="000000" w:themeColor="text1"/>
                <w:highlight w:val="none"/>
                <w14:textFill>
                  <w14:solidFill>
                    <w14:schemeClr w14:val="tx1"/>
                  </w14:solidFill>
                </w14:textFill>
              </w:rPr>
              <w:t>⑶</w:t>
            </w:r>
            <w:r>
              <w:rPr>
                <w:rFonts w:hint="default" w:ascii="Times New Roman" w:hAnsi="Times New Roman" w:cs="Times New Roman"/>
                <w:color w:val="000000" w:themeColor="text1"/>
                <w:highlight w:val="none"/>
                <w14:textFill>
                  <w14:solidFill>
                    <w14:schemeClr w14:val="tx1"/>
                  </w14:solidFill>
                </w14:textFill>
              </w:rPr>
              <w:fldChar w:fldCharType="end"/>
            </w:r>
            <w:r>
              <w:rPr>
                <w:rFonts w:hint="default" w:ascii="Times New Roman" w:hAnsi="Times New Roman" w:cs="Times New Roman"/>
                <w:color w:val="000000" w:themeColor="text1"/>
                <w:highlight w:val="none"/>
                <w14:textFill>
                  <w14:solidFill>
                    <w14:schemeClr w14:val="tx1"/>
                  </w14:solidFill>
                </w14:textFill>
              </w:rPr>
              <w:t xml:space="preserve"> 运输车辆行驶现场道路扬尘。</w:t>
            </w:r>
          </w:p>
          <w:p w14:paraId="005D9A56">
            <w:pPr>
              <w:pStyle w:val="68"/>
              <w:ind w:firstLine="48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本项目的扬尘主要表现在施工道路沿线和工地附近，尤其是天气干燥及风速较大时影响更为明显，使该区块及周围附近地区大气中总悬浮颗粒（TSP）浓度增大。另外，施工机械、运输车辆产生尾气污染，将对环境空气质量产生一定影响。</w:t>
            </w:r>
          </w:p>
          <w:p w14:paraId="7D6F70D2">
            <w:pPr>
              <w:pStyle w:val="68"/>
              <w:ind w:firstLine="48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因此，施工期应加强对施工场地管理，采取合理可行的控制措施，尽量减轻其污染程度，缩小其影响范围。其主要对策有：</w:t>
            </w:r>
          </w:p>
          <w:p w14:paraId="67A8C042">
            <w:pPr>
              <w:pStyle w:val="68"/>
              <w:ind w:firstLine="48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a.对施工现场进行科学管理，砂石料应统一堆放，尽量减少搬运环节，搬运时轻举轻放，防止包装袋破裂；</w:t>
            </w:r>
          </w:p>
          <w:p w14:paraId="2ED7EA85">
            <w:pPr>
              <w:pStyle w:val="68"/>
              <w:ind w:firstLine="48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b.开挖时，对作业面适当喷水，使其保持一定的湿度，以减少扬尘量；而且建筑材料和建筑垃圾应及时运走；</w:t>
            </w:r>
          </w:p>
          <w:p w14:paraId="2B7CA7C4">
            <w:pPr>
              <w:pStyle w:val="68"/>
              <w:ind w:firstLine="48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c.谨防运输车辆装载过满，并尽量采取遮盖、密闭措施，减少其沿途抛洒，并及时清扫散落在路面的泥土和灰尘，冲洗车轮，定时洒水压尘，减少运输过程中的扬尘；</w:t>
            </w:r>
          </w:p>
          <w:p w14:paraId="517F06B0">
            <w:pPr>
              <w:pStyle w:val="68"/>
              <w:ind w:firstLine="48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d.施工现场要设围栏或部分围栏，高度不低于2m，减少施工扬尘扩散范围；</w:t>
            </w:r>
          </w:p>
          <w:p w14:paraId="67895275">
            <w:pPr>
              <w:pStyle w:val="68"/>
              <w:ind w:firstLine="48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e.风速过大时应停止施工作业，并对堆放的砂石等建筑材料进行遮盖处理；</w:t>
            </w:r>
          </w:p>
          <w:p w14:paraId="45EFE39A">
            <w:pPr>
              <w:pStyle w:val="68"/>
              <w:ind w:firstLine="48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f.运输车辆应使用清洁燃料，以尽量减少汽车尾气的外排；</w:t>
            </w:r>
          </w:p>
          <w:p w14:paraId="6B87BBDA">
            <w:pPr>
              <w:pStyle w:val="68"/>
              <w:ind w:firstLine="48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由于本项目建设周期短，牵涉的范围也较小，在一定程度上可减轻扬尘影响。</w:t>
            </w:r>
          </w:p>
          <w:p w14:paraId="33FAD92D">
            <w:pPr>
              <w:pStyle w:val="68"/>
              <w:ind w:firstLine="48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通过以上措施，本项目施工场地扬尘可满足《施工及堆料场地扬尘排放标准》（DB21/2642-2016）表1扬尘排放监控浓度限值，对周围环境空气质量影响是可以接受的。</w:t>
            </w:r>
          </w:p>
          <w:p w14:paraId="0C3582FD">
            <w:pPr>
              <w:pStyle w:val="68"/>
              <w:ind w:firstLine="0" w:firstLineChars="0"/>
              <w:rPr>
                <w:rFonts w:hint="default" w:ascii="Times New Roman" w:hAnsi="Times New Roman" w:cs="Times New Roman"/>
                <w:b/>
                <w:color w:val="000000" w:themeColor="text1"/>
                <w:highlight w:val="none"/>
                <w14:textFill>
                  <w14:solidFill>
                    <w14:schemeClr w14:val="tx1"/>
                  </w14:solidFill>
                </w14:textFill>
              </w:rPr>
            </w:pPr>
            <w:r>
              <w:rPr>
                <w:rFonts w:hint="default" w:ascii="Times New Roman" w:hAnsi="Times New Roman" w:cs="Times New Roman"/>
                <w:b/>
                <w:color w:val="000000" w:themeColor="text1"/>
                <w:highlight w:val="none"/>
                <w14:textFill>
                  <w14:solidFill>
                    <w14:schemeClr w14:val="tx1"/>
                  </w14:solidFill>
                </w14:textFill>
              </w:rPr>
              <w:t>2.施工期水环境影响分析</w:t>
            </w:r>
          </w:p>
          <w:p w14:paraId="3CA5D42A">
            <w:pPr>
              <w:pStyle w:val="68"/>
              <w:ind w:firstLine="48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项目施工期废水主要为施工场地产生的施工废水和施工职工产生的生活污水。</w:t>
            </w:r>
          </w:p>
          <w:p w14:paraId="22C6C304">
            <w:pPr>
              <w:pStyle w:val="68"/>
              <w:ind w:firstLine="48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施工期水污染源主要包括施工生产废水和生活污水两大部分。</w:t>
            </w:r>
          </w:p>
          <w:p w14:paraId="56E770D7">
            <w:pPr>
              <w:pStyle w:val="68"/>
              <w:ind w:firstLine="48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（1）生产废水</w:t>
            </w:r>
          </w:p>
          <w:p w14:paraId="0F3DDEFA">
            <w:pPr>
              <w:pStyle w:val="68"/>
              <w:ind w:firstLine="48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施工期水污染源主要为施工区的冲洗废水、施工队伍的生活污水等。</w:t>
            </w:r>
          </w:p>
          <w:p w14:paraId="220742AE">
            <w:pPr>
              <w:pStyle w:val="68"/>
              <w:ind w:firstLine="48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冲洗废水主要来源于石料等建材的洗涤，主要污染物为SS；生活污水主要污染物为COD、SS、BOD</w:t>
            </w:r>
            <w:r>
              <w:rPr>
                <w:rFonts w:hint="default" w:ascii="Times New Roman" w:hAnsi="Times New Roman" w:cs="Times New Roman"/>
                <w:color w:val="000000" w:themeColor="text1"/>
                <w:highlight w:val="none"/>
                <w:vertAlign w:val="subscript"/>
                <w14:textFill>
                  <w14:solidFill>
                    <w14:schemeClr w14:val="tx1"/>
                  </w14:solidFill>
                </w14:textFill>
              </w:rPr>
              <w:t>5</w:t>
            </w:r>
            <w:r>
              <w:rPr>
                <w:rFonts w:hint="default" w:ascii="Times New Roman" w:hAnsi="Times New Roman" w:cs="Times New Roman"/>
                <w:color w:val="000000" w:themeColor="text1"/>
                <w:highlight w:val="none"/>
                <w14:textFill>
                  <w14:solidFill>
                    <w14:schemeClr w14:val="tx1"/>
                  </w14:solidFill>
                </w14:textFill>
              </w:rPr>
              <w:t>等。</w:t>
            </w:r>
          </w:p>
          <w:p w14:paraId="4F4C86B8">
            <w:pPr>
              <w:pStyle w:val="68"/>
              <w:ind w:firstLine="48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冲洗废水的排放特点是间歇式排放，废水量不稳定。因此，施工中往往用水无节制，污水排放量大，若不采取措施，将会造成施工现场污水横流，对周围水环境有一定影响。施工期生活污水的水量相当少，对周围水环境影响甚微。</w:t>
            </w:r>
          </w:p>
          <w:p w14:paraId="43A204B4">
            <w:pPr>
              <w:pStyle w:val="68"/>
              <w:ind w:firstLine="48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对于施工中的冲洗废水，拟在施工现场设置临时废水防渗沉淀池1座（长×宽×高：1m×1m×1m），可容纳施工过程产生的冲洗废水。沉淀池主要材质为防渗土工布，收集施工中所排放的各类废水，废水经沉淀后重复使用，用作洒水降尘，无废水排放。施工期过后，拆除临时沉淀池，场地平整，防渗土工布由环卫部门清运，施工过程对水环境影响较小。</w:t>
            </w:r>
          </w:p>
          <w:p w14:paraId="5E2A7A81">
            <w:pPr>
              <w:pStyle w:val="68"/>
              <w:ind w:firstLine="48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（2）生活污水</w:t>
            </w:r>
          </w:p>
          <w:p w14:paraId="1665C36D">
            <w:pPr>
              <w:pStyle w:val="68"/>
              <w:ind w:firstLine="48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施工人员生活污水依托</w:t>
            </w:r>
            <w:r>
              <w:rPr>
                <w:rFonts w:hint="eastAsia" w:ascii="Times New Roman" w:hAnsi="Times New Roman" w:cs="Times New Roman"/>
                <w:color w:val="000000" w:themeColor="text1"/>
                <w:highlight w:val="none"/>
                <w:lang w:val="en-US" w:eastAsia="zh-CN"/>
                <w14:textFill>
                  <w14:solidFill>
                    <w14:schemeClr w14:val="tx1"/>
                  </w14:solidFill>
                </w14:textFill>
              </w:rPr>
              <w:t>厂区内</w:t>
            </w:r>
            <w:r>
              <w:rPr>
                <w:rFonts w:hint="default" w:ascii="Times New Roman" w:hAnsi="Times New Roman" w:cs="Times New Roman"/>
                <w:color w:val="000000" w:themeColor="text1"/>
                <w:highlight w:val="none"/>
                <w14:textFill>
                  <w14:solidFill>
                    <w14:schemeClr w14:val="tx1"/>
                  </w14:solidFill>
                </w14:textFill>
              </w:rPr>
              <w:t>现有</w:t>
            </w:r>
            <w:r>
              <w:rPr>
                <w:rFonts w:hint="eastAsia" w:ascii="Times New Roman" w:hAnsi="Times New Roman" w:cs="Times New Roman"/>
                <w:color w:val="000000" w:themeColor="text1"/>
                <w:highlight w:val="none"/>
                <w:lang w:val="en-US" w:eastAsia="zh-CN"/>
                <w14:textFill>
                  <w14:solidFill>
                    <w14:schemeClr w14:val="tx1"/>
                  </w14:solidFill>
                </w14:textFill>
              </w:rPr>
              <w:t>旱厕</w:t>
            </w:r>
            <w:r>
              <w:rPr>
                <w:rFonts w:hint="default" w:ascii="Times New Roman" w:hAnsi="Times New Roman" w:cs="Times New Roman"/>
                <w:color w:val="000000" w:themeColor="text1"/>
                <w:highlight w:val="none"/>
                <w14:textFill>
                  <w14:solidFill>
                    <w14:schemeClr w14:val="tx1"/>
                  </w14:solidFill>
                </w14:textFill>
              </w:rPr>
              <w:t xml:space="preserve">。 </w:t>
            </w:r>
          </w:p>
          <w:p w14:paraId="37B987C9">
            <w:pPr>
              <w:pStyle w:val="68"/>
              <w:ind w:firstLine="0" w:firstLineChars="0"/>
              <w:rPr>
                <w:rFonts w:hint="default" w:ascii="Times New Roman" w:hAnsi="Times New Roman" w:cs="Times New Roman"/>
                <w:b/>
                <w:color w:val="000000" w:themeColor="text1"/>
                <w:highlight w:val="none"/>
                <w14:textFill>
                  <w14:solidFill>
                    <w14:schemeClr w14:val="tx1"/>
                  </w14:solidFill>
                </w14:textFill>
              </w:rPr>
            </w:pPr>
            <w:r>
              <w:rPr>
                <w:rFonts w:hint="default" w:ascii="Times New Roman" w:hAnsi="Times New Roman" w:cs="Times New Roman"/>
                <w:b/>
                <w:color w:val="000000" w:themeColor="text1"/>
                <w:highlight w:val="none"/>
                <w14:textFill>
                  <w14:solidFill>
                    <w14:schemeClr w14:val="tx1"/>
                  </w14:solidFill>
                </w14:textFill>
              </w:rPr>
              <w:t>3.施工期的噪声环境影响分析</w:t>
            </w:r>
          </w:p>
          <w:p w14:paraId="31C867D7">
            <w:pPr>
              <w:pStyle w:val="68"/>
              <w:ind w:firstLine="48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施工期噪声源分为固定源和流动源两种。属固定源的钻孔与施工机械噪声来自于开挖土石方、混凝土搅拌等，具有声源强、声级连续的特点。属于流动源的运输、施工车辆的引擎声和喇叭声则具有源强较大、流动性强等特点。</w:t>
            </w:r>
          </w:p>
          <w:p w14:paraId="75196646">
            <w:pPr>
              <w:pStyle w:val="68"/>
              <w:ind w:firstLine="48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在多台机械设备同时作业时，各台设备产生的噪声会产生叠加，根据类比调查，叠加后的噪声增值约3～8dB，一般不会超过10dB。</w:t>
            </w:r>
          </w:p>
          <w:p w14:paraId="5BCC8777">
            <w:pPr>
              <w:pStyle w:val="68"/>
              <w:ind w:firstLine="48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施工期间的噪声主要来自设备产生的机械噪声，建议采取如下措施：</w:t>
            </w:r>
          </w:p>
          <w:p w14:paraId="79321894">
            <w:pPr>
              <w:pStyle w:val="68"/>
              <w:ind w:firstLine="48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①选用低噪声施工机械及设备，合理布局施工场地，合理安排施工时间，夜间禁止施工。</w:t>
            </w:r>
          </w:p>
          <w:p w14:paraId="39FEA3CB">
            <w:pPr>
              <w:pStyle w:val="68"/>
              <w:ind w:firstLine="48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②运输车辆出入施工场地要低速行驶，并要合理安排运输路线，减少对周围居民的影响，在路经附近居民区时严禁鸣笛。</w:t>
            </w:r>
          </w:p>
          <w:p w14:paraId="1B03102A">
            <w:pPr>
              <w:pStyle w:val="68"/>
              <w:ind w:firstLine="48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③加强施工管理，严格执行国家规定的</w:t>
            </w:r>
            <w:r>
              <w:rPr>
                <w:rFonts w:hint="default" w:ascii="Times New Roman" w:hAnsi="Times New Roman" w:cs="Times New Roman"/>
                <w:color w:val="000000" w:themeColor="text1"/>
                <w:highlight w:val="none"/>
                <w:lang w:val="zh-CN"/>
                <w14:textFill>
                  <w14:solidFill>
                    <w14:schemeClr w14:val="tx1"/>
                  </w14:solidFill>
                </w14:textFill>
              </w:rPr>
              <w:t>《建筑施工场界环境噪声排放标准》(GB12523-</w:t>
            </w:r>
            <w:r>
              <w:rPr>
                <w:rFonts w:hint="default" w:ascii="Times New Roman" w:hAnsi="Times New Roman" w:cs="Times New Roman"/>
                <w:color w:val="000000" w:themeColor="text1"/>
                <w:highlight w:val="none"/>
                <w14:textFill>
                  <w14:solidFill>
                    <w14:schemeClr w14:val="tx1"/>
                  </w14:solidFill>
                </w14:textFill>
              </w:rPr>
              <w:t>2011</w:t>
            </w:r>
            <w:r>
              <w:rPr>
                <w:rFonts w:hint="default" w:ascii="Times New Roman" w:hAnsi="Times New Roman" w:cs="Times New Roman"/>
                <w:color w:val="000000" w:themeColor="text1"/>
                <w:highlight w:val="none"/>
                <w:lang w:val="zh-CN"/>
                <w14:textFill>
                  <w14:solidFill>
                    <w14:schemeClr w14:val="tx1"/>
                  </w14:solidFill>
                </w14:textFill>
              </w:rPr>
              <w:t>)</w:t>
            </w:r>
            <w:r>
              <w:rPr>
                <w:rFonts w:hint="default" w:ascii="Times New Roman" w:hAnsi="Times New Roman" w:cs="Times New Roman"/>
                <w:color w:val="000000" w:themeColor="text1"/>
                <w:highlight w:val="none"/>
                <w14:textFill>
                  <w14:solidFill>
                    <w14:schemeClr w14:val="tx1"/>
                  </w14:solidFill>
                </w14:textFill>
              </w:rPr>
              <w:t>，杜绝高噪声设备夜间施工。</w:t>
            </w:r>
          </w:p>
          <w:p w14:paraId="0C59D857">
            <w:pPr>
              <w:pStyle w:val="68"/>
              <w:ind w:firstLine="48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综上，通过对施工期环境影响和污染防治措施的分析，通过采取以上环保措施，可以大大减少施工期的环境污染，环保措施可行。</w:t>
            </w:r>
          </w:p>
          <w:p w14:paraId="5DC6CDAF">
            <w:pPr>
              <w:pStyle w:val="68"/>
              <w:ind w:firstLine="0" w:firstLineChars="0"/>
              <w:rPr>
                <w:rFonts w:hint="default" w:ascii="Times New Roman" w:hAnsi="Times New Roman" w:cs="Times New Roman"/>
                <w:b/>
                <w:color w:val="000000" w:themeColor="text1"/>
                <w:highlight w:val="none"/>
                <w14:textFill>
                  <w14:solidFill>
                    <w14:schemeClr w14:val="tx1"/>
                  </w14:solidFill>
                </w14:textFill>
              </w:rPr>
            </w:pPr>
            <w:r>
              <w:rPr>
                <w:rFonts w:hint="default" w:ascii="Times New Roman" w:hAnsi="Times New Roman" w:cs="Times New Roman"/>
                <w:b/>
                <w:color w:val="000000" w:themeColor="text1"/>
                <w:highlight w:val="none"/>
                <w14:textFill>
                  <w14:solidFill>
                    <w14:schemeClr w14:val="tx1"/>
                  </w14:solidFill>
                </w14:textFill>
              </w:rPr>
              <w:t>4.施工期的固体废物环境影响分析</w:t>
            </w:r>
          </w:p>
          <w:p w14:paraId="6A532609">
            <w:pPr>
              <w:pStyle w:val="68"/>
              <w:ind w:firstLine="48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施工期间产生的固体废物主要为施工渣土、建筑垃圾和生活垃圾。</w:t>
            </w:r>
          </w:p>
          <w:p w14:paraId="6F0CAF76">
            <w:pPr>
              <w:pStyle w:val="68"/>
              <w:ind w:firstLine="48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为防止施工期固废对环境产生影响，项目拟采用以下措施进行处理和处置：</w:t>
            </w:r>
          </w:p>
          <w:p w14:paraId="7CE84D5E">
            <w:pPr>
              <w:pStyle w:val="68"/>
              <w:ind w:firstLine="48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① 施工过程中的建筑垃圾应进行必要的分类，以便回收可以二次利用废弃物，不能利用的建筑垃圾要及时清运至专门的建筑垃圾堆放场地处置，避免任意堆砌影响土地利用及造成二次污染。</w:t>
            </w:r>
          </w:p>
          <w:p w14:paraId="6E6E63FA">
            <w:pPr>
              <w:pStyle w:val="68"/>
              <w:ind w:firstLine="48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② 回填土尽量采用本工程施工过程所产生的土方和适合的建筑垃圾，减少垃圾清运量。</w:t>
            </w:r>
          </w:p>
          <w:p w14:paraId="162EF546">
            <w:pPr>
              <w:pStyle w:val="68"/>
              <w:ind w:firstLine="48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③ 生活垃圾应袋装，统一收集交由环卫部门处理。</w:t>
            </w:r>
          </w:p>
          <w:p w14:paraId="2EFBD32B">
            <w:pPr>
              <w:pStyle w:val="68"/>
              <w:ind w:firstLine="48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项目采取以上污染防治措施后，施工期固体废物对周边环境影响较小。</w:t>
            </w:r>
          </w:p>
          <w:p w14:paraId="2FB2E6CD">
            <w:pPr>
              <w:keepNext w:val="0"/>
              <w:keepLines w:val="0"/>
              <w:widowControl/>
              <w:suppressLineNumbers w:val="0"/>
              <w:spacing w:line="360" w:lineRule="auto"/>
              <w:ind w:firstLine="420" w:firstLineChars="200"/>
              <w:jc w:val="left"/>
              <w:rPr>
                <w:rFonts w:hint="default" w:ascii="Times New Roman" w:hAnsi="Times New Roman" w:cs="Times New Roman"/>
                <w:color w:val="000000" w:themeColor="text1"/>
                <w:highlight w:val="none"/>
                <w14:textFill>
                  <w14:solidFill>
                    <w14:schemeClr w14:val="tx1"/>
                  </w14:solidFill>
                </w14:textFill>
              </w:rPr>
            </w:pPr>
          </w:p>
        </w:tc>
      </w:tr>
      <w:tr w14:paraId="75CFD66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426" w:hRule="atLeast"/>
          <w:jc w:val="center"/>
        </w:trPr>
        <w:tc>
          <w:tcPr>
            <w:tcW w:w="488" w:type="dxa"/>
            <w:tcMar>
              <w:left w:w="28" w:type="dxa"/>
              <w:right w:w="28" w:type="dxa"/>
            </w:tcMar>
            <w:vAlign w:val="center"/>
          </w:tcPr>
          <w:p w14:paraId="029FBD1F">
            <w:pPr>
              <w:adjustRightInd w:val="0"/>
              <w:snapToGrid w:val="0"/>
              <w:jc w:val="center"/>
              <w:rPr>
                <w:rFonts w:hint="default" w:ascii="Times New Roman" w:hAnsi="Times New Roman" w:cs="Times New Roman"/>
                <w:bCs/>
                <w:color w:val="000000" w:themeColor="text1"/>
                <w:szCs w:val="21"/>
                <w:highlight w:val="none"/>
                <w14:textFill>
                  <w14:solidFill>
                    <w14:schemeClr w14:val="tx1"/>
                  </w14:solidFill>
                </w14:textFill>
              </w:rPr>
            </w:pPr>
            <w:r>
              <w:rPr>
                <w:rFonts w:hint="default" w:ascii="Times New Roman" w:hAnsi="Times New Roman" w:cs="Times New Roman"/>
                <w:bCs/>
                <w:color w:val="000000" w:themeColor="text1"/>
                <w:szCs w:val="21"/>
                <w:highlight w:val="none"/>
                <w14:textFill>
                  <w14:solidFill>
                    <w14:schemeClr w14:val="tx1"/>
                  </w14:solidFill>
                </w14:textFill>
              </w:rPr>
              <w:t>运营</w:t>
            </w:r>
          </w:p>
          <w:p w14:paraId="78B61A97">
            <w:pPr>
              <w:adjustRightInd w:val="0"/>
              <w:snapToGrid w:val="0"/>
              <w:jc w:val="center"/>
              <w:rPr>
                <w:rFonts w:hint="default" w:ascii="Times New Roman" w:hAnsi="Times New Roman" w:cs="Times New Roman"/>
                <w:bCs/>
                <w:color w:val="000000" w:themeColor="text1"/>
                <w:szCs w:val="21"/>
                <w:highlight w:val="none"/>
                <w14:textFill>
                  <w14:solidFill>
                    <w14:schemeClr w14:val="tx1"/>
                  </w14:solidFill>
                </w14:textFill>
              </w:rPr>
            </w:pPr>
            <w:r>
              <w:rPr>
                <w:rFonts w:hint="default" w:ascii="Times New Roman" w:hAnsi="Times New Roman" w:cs="Times New Roman"/>
                <w:bCs/>
                <w:color w:val="000000" w:themeColor="text1"/>
                <w:szCs w:val="21"/>
                <w:highlight w:val="none"/>
                <w14:textFill>
                  <w14:solidFill>
                    <w14:schemeClr w14:val="tx1"/>
                  </w14:solidFill>
                </w14:textFill>
              </w:rPr>
              <w:t>期环</w:t>
            </w:r>
          </w:p>
          <w:p w14:paraId="3F1CD0D9">
            <w:pPr>
              <w:adjustRightInd w:val="0"/>
              <w:snapToGrid w:val="0"/>
              <w:jc w:val="center"/>
              <w:rPr>
                <w:rFonts w:hint="default" w:ascii="Times New Roman" w:hAnsi="Times New Roman" w:cs="Times New Roman"/>
                <w:bCs/>
                <w:color w:val="000000" w:themeColor="text1"/>
                <w:szCs w:val="21"/>
                <w:highlight w:val="none"/>
                <w14:textFill>
                  <w14:solidFill>
                    <w14:schemeClr w14:val="tx1"/>
                  </w14:solidFill>
                </w14:textFill>
              </w:rPr>
            </w:pPr>
            <w:r>
              <w:rPr>
                <w:rFonts w:hint="default" w:ascii="Times New Roman" w:hAnsi="Times New Roman" w:cs="Times New Roman"/>
                <w:bCs/>
                <w:color w:val="000000" w:themeColor="text1"/>
                <w:szCs w:val="21"/>
                <w:highlight w:val="none"/>
                <w14:textFill>
                  <w14:solidFill>
                    <w14:schemeClr w14:val="tx1"/>
                  </w14:solidFill>
                </w14:textFill>
              </w:rPr>
              <w:t>境影</w:t>
            </w:r>
          </w:p>
          <w:p w14:paraId="04DE8E84">
            <w:pPr>
              <w:adjustRightInd w:val="0"/>
              <w:snapToGrid w:val="0"/>
              <w:jc w:val="center"/>
              <w:rPr>
                <w:rFonts w:hint="default" w:ascii="Times New Roman" w:hAnsi="Times New Roman" w:cs="Times New Roman"/>
                <w:bCs/>
                <w:color w:val="000000" w:themeColor="text1"/>
                <w:szCs w:val="21"/>
                <w:highlight w:val="none"/>
                <w14:textFill>
                  <w14:solidFill>
                    <w14:schemeClr w14:val="tx1"/>
                  </w14:solidFill>
                </w14:textFill>
              </w:rPr>
            </w:pPr>
            <w:r>
              <w:rPr>
                <w:rFonts w:hint="default" w:ascii="Times New Roman" w:hAnsi="Times New Roman" w:cs="Times New Roman"/>
                <w:bCs/>
                <w:color w:val="000000" w:themeColor="text1"/>
                <w:szCs w:val="21"/>
                <w:highlight w:val="none"/>
                <w14:textFill>
                  <w14:solidFill>
                    <w14:schemeClr w14:val="tx1"/>
                  </w14:solidFill>
                </w14:textFill>
              </w:rPr>
              <w:t>响和</w:t>
            </w:r>
          </w:p>
          <w:p w14:paraId="33E70003">
            <w:pPr>
              <w:adjustRightInd w:val="0"/>
              <w:snapToGrid w:val="0"/>
              <w:jc w:val="center"/>
              <w:rPr>
                <w:rFonts w:hint="default" w:ascii="Times New Roman" w:hAnsi="Times New Roman" w:cs="Times New Roman"/>
                <w:bCs/>
                <w:color w:val="000000" w:themeColor="text1"/>
                <w:szCs w:val="21"/>
                <w:highlight w:val="none"/>
                <w14:textFill>
                  <w14:solidFill>
                    <w14:schemeClr w14:val="tx1"/>
                  </w14:solidFill>
                </w14:textFill>
              </w:rPr>
            </w:pPr>
            <w:r>
              <w:rPr>
                <w:rFonts w:hint="default" w:ascii="Times New Roman" w:hAnsi="Times New Roman" w:cs="Times New Roman"/>
                <w:bCs/>
                <w:color w:val="000000" w:themeColor="text1"/>
                <w:szCs w:val="21"/>
                <w:highlight w:val="none"/>
                <w14:textFill>
                  <w14:solidFill>
                    <w14:schemeClr w14:val="tx1"/>
                  </w14:solidFill>
                </w14:textFill>
              </w:rPr>
              <w:t>保护</w:t>
            </w:r>
          </w:p>
          <w:p w14:paraId="71E80D7C">
            <w:pPr>
              <w:adjustRightInd w:val="0"/>
              <w:snapToGrid w:val="0"/>
              <w:jc w:val="center"/>
              <w:rPr>
                <w:rFonts w:hint="default" w:ascii="Times New Roman" w:hAnsi="Times New Roman" w:cs="Times New Roman"/>
                <w:bCs/>
                <w:color w:val="000000" w:themeColor="text1"/>
                <w:szCs w:val="21"/>
                <w:highlight w:val="none"/>
                <w14:textFill>
                  <w14:solidFill>
                    <w14:schemeClr w14:val="tx1"/>
                  </w14:solidFill>
                </w14:textFill>
              </w:rPr>
            </w:pPr>
            <w:r>
              <w:rPr>
                <w:rFonts w:hint="default" w:ascii="Times New Roman" w:hAnsi="Times New Roman" w:cs="Times New Roman"/>
                <w:bCs/>
                <w:color w:val="000000" w:themeColor="text1"/>
                <w:szCs w:val="21"/>
                <w:highlight w:val="none"/>
                <w14:textFill>
                  <w14:solidFill>
                    <w14:schemeClr w14:val="tx1"/>
                  </w14:solidFill>
                </w14:textFill>
              </w:rPr>
              <w:t>措施</w:t>
            </w:r>
          </w:p>
        </w:tc>
        <w:tc>
          <w:tcPr>
            <w:tcW w:w="8493" w:type="dxa"/>
            <w:vAlign w:val="center"/>
          </w:tcPr>
          <w:p w14:paraId="57818CA1">
            <w:pPr>
              <w:pStyle w:val="68"/>
              <w:numPr>
                <w:ilvl w:val="0"/>
                <w:numId w:val="10"/>
              </w:numPr>
              <w:ind w:firstLineChars="0"/>
              <w:rPr>
                <w:rFonts w:hint="default" w:ascii="Times New Roman" w:hAnsi="Times New Roman" w:cs="Times New Roman"/>
                <w:b/>
                <w:color w:val="000000" w:themeColor="text1"/>
                <w:highlight w:val="none"/>
                <w14:textFill>
                  <w14:solidFill>
                    <w14:schemeClr w14:val="tx1"/>
                  </w14:solidFill>
                </w14:textFill>
              </w:rPr>
            </w:pPr>
            <w:r>
              <w:rPr>
                <w:rFonts w:hint="default" w:ascii="Times New Roman" w:hAnsi="Times New Roman" w:cs="Times New Roman"/>
                <w:b/>
                <w:color w:val="000000" w:themeColor="text1"/>
                <w:highlight w:val="none"/>
                <w14:textFill>
                  <w14:solidFill>
                    <w14:schemeClr w14:val="tx1"/>
                  </w14:solidFill>
                </w14:textFill>
              </w:rPr>
              <w:t>运营期大气环境影响和保护措施</w:t>
            </w:r>
          </w:p>
          <w:p w14:paraId="38F78795">
            <w:pPr>
              <w:spacing w:line="360" w:lineRule="auto"/>
              <w:ind w:firstLine="482" w:firstLineChars="200"/>
              <w:rPr>
                <w:rFonts w:hint="default" w:ascii="Times New Roman" w:hAnsi="Times New Roman" w:cs="Times New Roman"/>
                <w:b/>
                <w:bCs/>
                <w:color w:val="000000" w:themeColor="text1"/>
                <w:sz w:val="24"/>
                <w:szCs w:val="32"/>
                <w:highlight w:val="none"/>
                <w14:textFill>
                  <w14:solidFill>
                    <w14:schemeClr w14:val="tx1"/>
                  </w14:solidFill>
                </w14:textFill>
              </w:rPr>
            </w:pPr>
            <w:r>
              <w:rPr>
                <w:rFonts w:hint="default" w:ascii="Times New Roman" w:hAnsi="Times New Roman" w:cs="Times New Roman"/>
                <w:b/>
                <w:bCs/>
                <w:color w:val="000000" w:themeColor="text1"/>
                <w:sz w:val="24"/>
                <w:szCs w:val="32"/>
                <w:highlight w:val="none"/>
                <w14:textFill>
                  <w14:solidFill>
                    <w14:schemeClr w14:val="tx1"/>
                  </w14:solidFill>
                </w14:textFill>
              </w:rPr>
              <w:t>（1）大气环境影响</w:t>
            </w:r>
          </w:p>
          <w:p w14:paraId="4430370D">
            <w:pPr>
              <w:spacing w:line="360" w:lineRule="auto"/>
              <w:ind w:firstLine="480" w:firstLineChars="200"/>
              <w:rPr>
                <w:rFonts w:hint="default" w:ascii="Times New Roman" w:hAnsi="Times New Roman" w:cs="Times New Roman"/>
                <w:color w:val="000000" w:themeColor="text1"/>
                <w:sz w:val="24"/>
                <w:szCs w:val="32"/>
                <w:highlight w:val="none"/>
                <w14:textFill>
                  <w14:solidFill>
                    <w14:schemeClr w14:val="tx1"/>
                  </w14:solidFill>
                </w14:textFill>
              </w:rPr>
            </w:pPr>
            <w:r>
              <w:rPr>
                <w:rFonts w:hint="default" w:ascii="Times New Roman" w:hAnsi="Times New Roman" w:cs="Times New Roman"/>
                <w:color w:val="000000" w:themeColor="text1"/>
                <w:sz w:val="24"/>
                <w:szCs w:val="32"/>
                <w:highlight w:val="none"/>
                <w14:textFill>
                  <w14:solidFill>
                    <w14:schemeClr w14:val="tx1"/>
                  </w14:solidFill>
                </w14:textFill>
              </w:rPr>
              <w:t>本项目建成后，涉及的主要废气为</w:t>
            </w:r>
            <w:r>
              <w:rPr>
                <w:rFonts w:hint="eastAsia" w:cs="Times New Roman"/>
                <w:color w:val="000000" w:themeColor="text1"/>
                <w:sz w:val="24"/>
                <w:szCs w:val="32"/>
                <w:highlight w:val="none"/>
                <w:lang w:val="en-US" w:eastAsia="zh-CN"/>
                <w14:textFill>
                  <w14:solidFill>
                    <w14:schemeClr w14:val="tx1"/>
                  </w14:solidFill>
                </w14:textFill>
              </w:rPr>
              <w:t>储罐的大小呼吸废气（储油罐进油时，储罐大呼吸产生废气；储油罐存储时，储罐小呼吸产生废气），主要污染因子为</w:t>
            </w:r>
            <w:r>
              <w:rPr>
                <w:rFonts w:hint="default" w:ascii="Times New Roman" w:hAnsi="Times New Roman" w:cs="Times New Roman"/>
                <w:color w:val="000000" w:themeColor="text1"/>
                <w:sz w:val="24"/>
                <w:szCs w:val="32"/>
                <w:highlight w:val="none"/>
                <w14:textFill>
                  <w14:solidFill>
                    <w14:schemeClr w14:val="tx1"/>
                  </w14:solidFill>
                </w14:textFill>
              </w:rPr>
              <w:t>挥发性有机物（以NMHC计）。</w:t>
            </w:r>
            <w:r>
              <w:rPr>
                <w:rFonts w:hint="eastAsia" w:cs="Times New Roman"/>
                <w:color w:val="000000" w:themeColor="text1"/>
                <w:sz w:val="24"/>
                <w:szCs w:val="32"/>
                <w:highlight w:val="none"/>
                <w:lang w:val="en-US" w:eastAsia="zh-CN"/>
                <w14:textFill>
                  <w14:solidFill>
                    <w14:schemeClr w14:val="tx1"/>
                  </w14:solidFill>
                </w14:textFill>
              </w:rPr>
              <w:t>储罐呼吸</w:t>
            </w:r>
            <w:r>
              <w:rPr>
                <w:rFonts w:hint="default" w:ascii="Times New Roman" w:hAnsi="Times New Roman" w:cs="Times New Roman"/>
                <w:color w:val="000000" w:themeColor="text1"/>
                <w:sz w:val="24"/>
                <w:szCs w:val="32"/>
                <w:highlight w:val="none"/>
                <w14:textFill>
                  <w14:solidFill>
                    <w14:schemeClr w14:val="tx1"/>
                  </w14:solidFill>
                </w14:textFill>
              </w:rPr>
              <w:t>废气经</w:t>
            </w:r>
            <w:r>
              <w:rPr>
                <w:rFonts w:hint="eastAsia" w:cs="Times New Roman"/>
                <w:color w:val="000000" w:themeColor="text1"/>
                <w:sz w:val="24"/>
                <w:szCs w:val="32"/>
                <w:highlight w:val="none"/>
                <w:lang w:val="en-US" w:eastAsia="zh-CN"/>
                <w14:textFill>
                  <w14:solidFill>
                    <w14:schemeClr w14:val="tx1"/>
                  </w14:solidFill>
                </w14:textFill>
              </w:rPr>
              <w:t>管道</w:t>
            </w:r>
            <w:r>
              <w:rPr>
                <w:rFonts w:hint="default" w:ascii="Times New Roman" w:hAnsi="Times New Roman" w:cs="Times New Roman"/>
                <w:color w:val="000000" w:themeColor="text1"/>
                <w:sz w:val="24"/>
                <w:szCs w:val="32"/>
                <w:highlight w:val="none"/>
                <w14:textFill>
                  <w14:solidFill>
                    <w14:schemeClr w14:val="tx1"/>
                  </w14:solidFill>
                </w14:textFill>
              </w:rPr>
              <w:t>收集+活性炭吸附装置集中处理后，通过1根15m高排气筒排放，活性炭吸附装置处理效率为80%，风机风量为</w:t>
            </w:r>
            <w:r>
              <w:rPr>
                <w:rFonts w:hint="eastAsia" w:cs="Times New Roman"/>
                <w:color w:val="000000" w:themeColor="text1"/>
                <w:sz w:val="24"/>
                <w:szCs w:val="32"/>
                <w:highlight w:val="none"/>
                <w:lang w:val="en-US" w:eastAsia="zh-CN"/>
                <w14:textFill>
                  <w14:solidFill>
                    <w14:schemeClr w14:val="tx1"/>
                  </w14:solidFill>
                </w14:textFill>
              </w:rPr>
              <w:t>2</w:t>
            </w:r>
            <w:r>
              <w:rPr>
                <w:rFonts w:hint="default" w:ascii="Times New Roman" w:hAnsi="Times New Roman" w:cs="Times New Roman"/>
                <w:color w:val="000000" w:themeColor="text1"/>
                <w:sz w:val="24"/>
                <w:szCs w:val="32"/>
                <w:highlight w:val="none"/>
                <w14:textFill>
                  <w14:solidFill>
                    <w14:schemeClr w14:val="tx1"/>
                  </w14:solidFill>
                </w14:textFill>
              </w:rPr>
              <w:t>000m</w:t>
            </w:r>
            <w:r>
              <w:rPr>
                <w:rFonts w:hint="default" w:ascii="Times New Roman" w:hAnsi="Times New Roman" w:cs="Times New Roman"/>
                <w:color w:val="000000" w:themeColor="text1"/>
                <w:sz w:val="24"/>
                <w:szCs w:val="32"/>
                <w:highlight w:val="none"/>
                <w:vertAlign w:val="superscript"/>
                <w14:textFill>
                  <w14:solidFill>
                    <w14:schemeClr w14:val="tx1"/>
                  </w14:solidFill>
                </w14:textFill>
              </w:rPr>
              <w:t>3</w:t>
            </w:r>
            <w:r>
              <w:rPr>
                <w:rFonts w:hint="default" w:ascii="Times New Roman" w:hAnsi="Times New Roman" w:cs="Times New Roman"/>
                <w:color w:val="000000" w:themeColor="text1"/>
                <w:sz w:val="24"/>
                <w:szCs w:val="32"/>
                <w:highlight w:val="none"/>
                <w14:textFill>
                  <w14:solidFill>
                    <w14:schemeClr w14:val="tx1"/>
                  </w14:solidFill>
                </w14:textFill>
              </w:rPr>
              <w:t>/h。</w:t>
            </w:r>
          </w:p>
          <w:p w14:paraId="074713AC">
            <w:pPr>
              <w:spacing w:line="360" w:lineRule="auto"/>
              <w:ind w:firstLine="480" w:firstLineChars="200"/>
              <w:rPr>
                <w:rFonts w:hint="default" w:ascii="Times New Roman" w:hAnsi="Times New Roman" w:cs="Times New Roman"/>
                <w:color w:val="000000" w:themeColor="text1"/>
                <w:sz w:val="24"/>
                <w:szCs w:val="32"/>
                <w:highlight w:val="none"/>
                <w14:textFill>
                  <w14:solidFill>
                    <w14:schemeClr w14:val="tx1"/>
                  </w14:solidFill>
                </w14:textFill>
              </w:rPr>
            </w:pPr>
            <w:r>
              <w:rPr>
                <w:rFonts w:hint="default" w:ascii="Times New Roman" w:hAnsi="Times New Roman" w:cs="Times New Roman"/>
                <w:color w:val="000000" w:themeColor="text1"/>
                <w:sz w:val="24"/>
                <w:szCs w:val="32"/>
                <w:highlight w:val="none"/>
                <w:lang w:val="en-US" w:eastAsia="zh-CN"/>
                <w14:textFill>
                  <w14:solidFill>
                    <w14:schemeClr w14:val="tx1"/>
                  </w14:solidFill>
                </w14:textFill>
              </w:rPr>
              <w:t>储罐大呼吸主要发生在储罐进油过程，由于输转油品致使储罐排出油蒸气。储罐小呼吸主要发生在储罐没有收发油作业的情况下，受外界气温、压力变化引起罐内气体空气温度、油品蒸发速度、油气浓度和蒸汽压力发生变化，从而致使储罐排出油蒸气。</w:t>
            </w:r>
          </w:p>
          <w:p w14:paraId="525A0379">
            <w:pPr>
              <w:spacing w:line="360" w:lineRule="auto"/>
              <w:ind w:firstLine="480" w:firstLineChars="200"/>
              <w:rPr>
                <w:rFonts w:hint="default" w:ascii="Times New Roman" w:hAnsi="Times New Roman" w:cs="Times New Roman"/>
                <w:color w:val="000000" w:themeColor="text1"/>
                <w:sz w:val="24"/>
                <w:szCs w:val="32"/>
                <w:highlight w:val="none"/>
                <w14:textFill>
                  <w14:solidFill>
                    <w14:schemeClr w14:val="tx1"/>
                  </w14:solidFill>
                </w14:textFill>
              </w:rPr>
            </w:pPr>
            <w:r>
              <w:rPr>
                <w:rFonts w:hint="default" w:ascii="Times New Roman" w:hAnsi="Times New Roman" w:cs="Times New Roman"/>
                <w:color w:val="000000" w:themeColor="text1"/>
                <w:sz w:val="24"/>
                <w:szCs w:val="32"/>
                <w:highlight w:val="none"/>
                <w:lang w:val="en-US" w:eastAsia="zh-CN"/>
                <w14:textFill>
                  <w14:solidFill>
                    <w14:schemeClr w14:val="tx1"/>
                  </w14:solidFill>
                </w14:textFill>
              </w:rPr>
              <w:t xml:space="preserve">①储罐大呼吸产生的有机废气（VOCs） </w:t>
            </w:r>
          </w:p>
          <w:p w14:paraId="32C37E5C">
            <w:pPr>
              <w:spacing w:line="360" w:lineRule="auto"/>
              <w:ind w:firstLine="480" w:firstLineChars="200"/>
              <w:rPr>
                <w:rFonts w:hint="default" w:ascii="Times New Roman" w:hAnsi="Times New Roman" w:cs="Times New Roman"/>
                <w:color w:val="000000" w:themeColor="text1"/>
                <w:sz w:val="24"/>
                <w:szCs w:val="32"/>
                <w:highlight w:val="none"/>
                <w14:textFill>
                  <w14:solidFill>
                    <w14:schemeClr w14:val="tx1"/>
                  </w14:solidFill>
                </w14:textFill>
              </w:rPr>
            </w:pPr>
            <w:r>
              <w:rPr>
                <w:rFonts w:hint="default" w:ascii="Times New Roman" w:hAnsi="Times New Roman" w:cs="Times New Roman"/>
                <w:color w:val="000000" w:themeColor="text1"/>
                <w:sz w:val="24"/>
                <w:szCs w:val="32"/>
                <w:highlight w:val="none"/>
                <w:lang w:val="en-US" w:eastAsia="zh-CN"/>
                <w14:textFill>
                  <w14:solidFill>
                    <w14:schemeClr w14:val="tx1"/>
                  </w14:solidFill>
                </w14:textFill>
              </w:rPr>
              <w:t>本项目采用的储罐为固定储罐，固定储罐的大呼吸排放采用下式估算污染物的产生量：</w:t>
            </w:r>
          </w:p>
          <w:p w14:paraId="4FE6308E">
            <w:pPr>
              <w:spacing w:line="360" w:lineRule="auto"/>
              <w:ind w:firstLine="480" w:firstLineChars="200"/>
              <w:rPr>
                <w:rFonts w:hint="default" w:ascii="Times New Roman" w:hAnsi="Times New Roman" w:cs="Times New Roman"/>
                <w:color w:val="000000" w:themeColor="text1"/>
                <w:sz w:val="24"/>
                <w:szCs w:val="32"/>
                <w:highlight w:val="none"/>
                <w14:textFill>
                  <w14:solidFill>
                    <w14:schemeClr w14:val="tx1"/>
                  </w14:solidFill>
                </w14:textFill>
              </w:rPr>
            </w:pPr>
            <w:r>
              <w:rPr>
                <w:rFonts w:hint="default" w:ascii="Times New Roman" w:hAnsi="Times New Roman" w:cs="Times New Roman"/>
                <w:color w:val="000000" w:themeColor="text1"/>
                <w:sz w:val="24"/>
                <w:szCs w:val="32"/>
                <w:highlight w:val="none"/>
                <w:lang w:val="en-US" w:eastAsia="zh-CN"/>
                <w14:textFill>
                  <w14:solidFill>
                    <w14:schemeClr w14:val="tx1"/>
                  </w14:solidFill>
                </w14:textFill>
              </w:rPr>
              <w:t>LW=4.188×10</w:t>
            </w:r>
            <w:r>
              <w:rPr>
                <w:rFonts w:hint="default" w:ascii="Times New Roman" w:hAnsi="Times New Roman" w:cs="Times New Roman"/>
                <w:color w:val="000000" w:themeColor="text1"/>
                <w:sz w:val="24"/>
                <w:szCs w:val="32"/>
                <w:highlight w:val="none"/>
                <w:vertAlign w:val="superscript"/>
                <w:lang w:val="en-US" w:eastAsia="zh-CN"/>
                <w14:textFill>
                  <w14:solidFill>
                    <w14:schemeClr w14:val="tx1"/>
                  </w14:solidFill>
                </w14:textFill>
              </w:rPr>
              <w:t>-7</w:t>
            </w:r>
            <w:r>
              <w:rPr>
                <w:rFonts w:hint="default" w:ascii="Times New Roman" w:hAnsi="Times New Roman" w:cs="Times New Roman"/>
                <w:color w:val="000000" w:themeColor="text1"/>
                <w:sz w:val="24"/>
                <w:szCs w:val="32"/>
                <w:highlight w:val="none"/>
                <w:lang w:val="en-US" w:eastAsia="zh-CN"/>
                <w14:textFill>
                  <w14:solidFill>
                    <w14:schemeClr w14:val="tx1"/>
                  </w14:solidFill>
                </w14:textFill>
              </w:rPr>
              <w:t xml:space="preserve">×M×P×KN×KC×VL </w:t>
            </w:r>
          </w:p>
          <w:p w14:paraId="0179C431">
            <w:pPr>
              <w:spacing w:line="360" w:lineRule="auto"/>
              <w:ind w:firstLine="480" w:firstLineChars="200"/>
              <w:rPr>
                <w:rFonts w:hint="default" w:ascii="Times New Roman" w:hAnsi="Times New Roman" w:cs="Times New Roman"/>
                <w:color w:val="000000" w:themeColor="text1"/>
                <w:sz w:val="24"/>
                <w:szCs w:val="32"/>
                <w:highlight w:val="none"/>
                <w14:textFill>
                  <w14:solidFill>
                    <w14:schemeClr w14:val="tx1"/>
                  </w14:solidFill>
                </w14:textFill>
              </w:rPr>
            </w:pPr>
            <w:r>
              <w:rPr>
                <w:rFonts w:hint="default" w:ascii="Times New Roman" w:hAnsi="Times New Roman" w:cs="Times New Roman"/>
                <w:color w:val="000000" w:themeColor="text1"/>
                <w:sz w:val="24"/>
                <w:szCs w:val="32"/>
                <w:highlight w:val="none"/>
                <w:lang w:val="en-US" w:eastAsia="zh-CN"/>
                <w14:textFill>
                  <w14:solidFill>
                    <w14:schemeClr w14:val="tx1"/>
                  </w14:solidFill>
                </w14:textFill>
              </w:rPr>
              <w:t>式中：LW——固定储罐的工作损失（kg/m</w:t>
            </w:r>
            <w:r>
              <w:rPr>
                <w:rFonts w:hint="default" w:ascii="Times New Roman" w:hAnsi="Times New Roman" w:cs="Times New Roman"/>
                <w:color w:val="000000" w:themeColor="text1"/>
                <w:sz w:val="24"/>
                <w:szCs w:val="32"/>
                <w:highlight w:val="none"/>
                <w:vertAlign w:val="superscript"/>
                <w:lang w:val="en-US" w:eastAsia="zh-CN"/>
                <w14:textFill>
                  <w14:solidFill>
                    <w14:schemeClr w14:val="tx1"/>
                  </w14:solidFill>
                </w14:textFill>
              </w:rPr>
              <w:t>3</w:t>
            </w:r>
            <w:r>
              <w:rPr>
                <w:rFonts w:hint="default" w:ascii="Times New Roman" w:hAnsi="Times New Roman" w:cs="Times New Roman"/>
                <w:color w:val="000000" w:themeColor="text1"/>
                <w:sz w:val="24"/>
                <w:szCs w:val="32"/>
                <w:highlight w:val="none"/>
                <w:lang w:val="en-US" w:eastAsia="zh-CN"/>
                <w14:textFill>
                  <w14:solidFill>
                    <w14:schemeClr w14:val="tx1"/>
                  </w14:solidFill>
                </w14:textFill>
              </w:rPr>
              <w:t xml:space="preserve">投入量） </w:t>
            </w:r>
          </w:p>
          <w:p w14:paraId="426D6C41">
            <w:pPr>
              <w:spacing w:line="360" w:lineRule="auto"/>
              <w:ind w:firstLine="1200" w:firstLineChars="500"/>
              <w:rPr>
                <w:rFonts w:hint="default" w:ascii="Times New Roman" w:hAnsi="Times New Roman" w:cs="Times New Roman"/>
                <w:color w:val="000000" w:themeColor="text1"/>
                <w:sz w:val="24"/>
                <w:szCs w:val="32"/>
                <w:highlight w:val="none"/>
                <w14:textFill>
                  <w14:solidFill>
                    <w14:schemeClr w14:val="tx1"/>
                  </w14:solidFill>
                </w14:textFill>
              </w:rPr>
            </w:pPr>
            <w:r>
              <w:rPr>
                <w:rFonts w:hint="default" w:ascii="Times New Roman" w:hAnsi="Times New Roman" w:cs="Times New Roman"/>
                <w:color w:val="000000" w:themeColor="text1"/>
                <w:sz w:val="24"/>
                <w:szCs w:val="32"/>
                <w:highlight w:val="none"/>
                <w:lang w:val="en-US" w:eastAsia="zh-CN"/>
                <w14:textFill>
                  <w14:solidFill>
                    <w14:schemeClr w14:val="tx1"/>
                  </w14:solidFill>
                </w14:textFill>
              </w:rPr>
              <w:t xml:space="preserve">KN——周转因子（无量纲），取值按年周转次数（K）确定，K≤36，KN=1， </w:t>
            </w:r>
          </w:p>
          <w:p w14:paraId="49AFE778">
            <w:pPr>
              <w:spacing w:line="360" w:lineRule="auto"/>
              <w:ind w:firstLine="1200" w:firstLineChars="500"/>
              <w:rPr>
                <w:rFonts w:hint="default" w:ascii="Times New Roman" w:hAnsi="Times New Roman" w:cs="Times New Roman"/>
                <w:color w:val="000000" w:themeColor="text1"/>
                <w:sz w:val="24"/>
                <w:szCs w:val="32"/>
                <w:highlight w:val="none"/>
                <w14:textFill>
                  <w14:solidFill>
                    <w14:schemeClr w14:val="tx1"/>
                  </w14:solidFill>
                </w14:textFill>
              </w:rPr>
            </w:pPr>
            <w:r>
              <w:rPr>
                <w:rFonts w:hint="default" w:ascii="Times New Roman" w:hAnsi="Times New Roman" w:cs="Times New Roman"/>
                <w:color w:val="000000" w:themeColor="text1"/>
                <w:sz w:val="24"/>
                <w:szCs w:val="32"/>
                <w:highlight w:val="none"/>
                <w:lang w:val="en-US" w:eastAsia="zh-CN"/>
                <w14:textFill>
                  <w14:solidFill>
                    <w14:schemeClr w14:val="tx1"/>
                  </w14:solidFill>
                </w14:textFill>
              </w:rPr>
              <w:t xml:space="preserve">M——储罐内蒸汽的分子量，按300计； </w:t>
            </w:r>
          </w:p>
          <w:p w14:paraId="354BF0FB">
            <w:pPr>
              <w:spacing w:line="360" w:lineRule="auto"/>
              <w:ind w:firstLine="1200" w:firstLineChars="500"/>
              <w:rPr>
                <w:rFonts w:hint="default" w:ascii="Times New Roman" w:hAnsi="Times New Roman" w:cs="Times New Roman"/>
                <w:color w:val="000000" w:themeColor="text1"/>
                <w:sz w:val="24"/>
                <w:szCs w:val="32"/>
                <w:highlight w:val="none"/>
                <w14:textFill>
                  <w14:solidFill>
                    <w14:schemeClr w14:val="tx1"/>
                  </w14:solidFill>
                </w14:textFill>
              </w:rPr>
            </w:pPr>
            <w:r>
              <w:rPr>
                <w:rFonts w:hint="default" w:ascii="Times New Roman" w:hAnsi="Times New Roman" w:cs="Times New Roman"/>
                <w:color w:val="000000" w:themeColor="text1"/>
                <w:sz w:val="24"/>
                <w:szCs w:val="32"/>
                <w:highlight w:val="none"/>
                <w:lang w:val="en-US" w:eastAsia="zh-CN"/>
                <w14:textFill>
                  <w14:solidFill>
                    <w14:schemeClr w14:val="tx1"/>
                  </w14:solidFill>
                </w14:textFill>
              </w:rPr>
              <w:t xml:space="preserve">P——在大量液体状态下，真实的蒸汽压力（Pa），本次环评取 10100Pa； </w:t>
            </w:r>
          </w:p>
          <w:p w14:paraId="1F28C670">
            <w:pPr>
              <w:spacing w:line="360" w:lineRule="auto"/>
              <w:ind w:firstLine="1200" w:firstLineChars="500"/>
              <w:rPr>
                <w:rFonts w:hint="default" w:ascii="Times New Roman" w:hAnsi="Times New Roman" w:cs="Times New Roman"/>
                <w:color w:val="000000" w:themeColor="text1"/>
                <w:sz w:val="24"/>
                <w:szCs w:val="32"/>
                <w:highlight w:val="none"/>
                <w14:textFill>
                  <w14:solidFill>
                    <w14:schemeClr w14:val="tx1"/>
                  </w14:solidFill>
                </w14:textFill>
              </w:rPr>
            </w:pPr>
            <w:r>
              <w:rPr>
                <w:rFonts w:hint="default" w:ascii="Times New Roman" w:hAnsi="Times New Roman" w:cs="Times New Roman"/>
                <w:color w:val="000000" w:themeColor="text1"/>
                <w:sz w:val="24"/>
                <w:szCs w:val="32"/>
                <w:highlight w:val="none"/>
                <w:lang w:val="en-US" w:eastAsia="zh-CN"/>
                <w14:textFill>
                  <w14:solidFill>
                    <w14:schemeClr w14:val="tx1"/>
                  </w14:solidFill>
                </w14:textFill>
              </w:rPr>
              <w:t xml:space="preserve">KC——产品因子（石油原油KC取0.65，其他有机液体取1.0）； </w:t>
            </w:r>
          </w:p>
          <w:p w14:paraId="79B25CE0">
            <w:pPr>
              <w:spacing w:line="360" w:lineRule="auto"/>
              <w:ind w:firstLine="1200" w:firstLineChars="500"/>
              <w:rPr>
                <w:rFonts w:hint="default" w:ascii="Times New Roman" w:hAnsi="Times New Roman" w:cs="Times New Roman"/>
                <w:color w:val="000000" w:themeColor="text1"/>
                <w:sz w:val="24"/>
                <w:szCs w:val="32"/>
                <w:highlight w:val="none"/>
                <w14:textFill>
                  <w14:solidFill>
                    <w14:schemeClr w14:val="tx1"/>
                  </w14:solidFill>
                </w14:textFill>
              </w:rPr>
            </w:pPr>
            <w:r>
              <w:rPr>
                <w:rFonts w:hint="default" w:ascii="Times New Roman" w:hAnsi="Times New Roman" w:cs="Times New Roman"/>
                <w:color w:val="000000" w:themeColor="text1"/>
                <w:sz w:val="24"/>
                <w:szCs w:val="32"/>
                <w:highlight w:val="none"/>
                <w:lang w:val="en-US" w:eastAsia="zh-CN"/>
                <w14:textFill>
                  <w14:solidFill>
                    <w14:schemeClr w14:val="tx1"/>
                  </w14:solidFill>
                </w14:textFill>
              </w:rPr>
              <w:t>VL——年入罐量，单位m</w:t>
            </w:r>
            <w:r>
              <w:rPr>
                <w:rFonts w:hint="default" w:ascii="Times New Roman" w:hAnsi="Times New Roman" w:cs="Times New Roman"/>
                <w:color w:val="000000" w:themeColor="text1"/>
                <w:sz w:val="24"/>
                <w:szCs w:val="32"/>
                <w:highlight w:val="none"/>
                <w:vertAlign w:val="superscript"/>
                <w:lang w:val="en-US" w:eastAsia="zh-CN"/>
                <w14:textFill>
                  <w14:solidFill>
                    <w14:schemeClr w14:val="tx1"/>
                  </w14:solidFill>
                </w14:textFill>
              </w:rPr>
              <w:t>3</w:t>
            </w:r>
            <w:r>
              <w:rPr>
                <w:rFonts w:hint="default" w:ascii="Times New Roman" w:hAnsi="Times New Roman" w:cs="Times New Roman"/>
                <w:color w:val="000000" w:themeColor="text1"/>
                <w:sz w:val="24"/>
                <w:szCs w:val="32"/>
                <w:highlight w:val="none"/>
                <w:lang w:val="en-US" w:eastAsia="zh-CN"/>
                <w14:textFill>
                  <w14:solidFill>
                    <w14:schemeClr w14:val="tx1"/>
                  </w14:solidFill>
                </w14:textFill>
              </w:rPr>
              <w:t xml:space="preserve">·a； </w:t>
            </w:r>
          </w:p>
          <w:p w14:paraId="4B35847F">
            <w:pPr>
              <w:spacing w:line="360" w:lineRule="auto"/>
              <w:ind w:firstLine="480" w:firstLineChars="200"/>
              <w:rPr>
                <w:rFonts w:hint="default" w:ascii="Times New Roman" w:hAnsi="Times New Roman" w:cs="Times New Roman"/>
                <w:color w:val="000000" w:themeColor="text1"/>
                <w:sz w:val="24"/>
                <w:szCs w:val="32"/>
                <w:highlight w:val="none"/>
                <w14:textFill>
                  <w14:solidFill>
                    <w14:schemeClr w14:val="tx1"/>
                  </w14:solidFill>
                </w14:textFill>
              </w:rPr>
            </w:pPr>
            <w:r>
              <w:rPr>
                <w:rFonts w:hint="default" w:ascii="Times New Roman" w:hAnsi="Times New Roman" w:cs="Times New Roman"/>
                <w:color w:val="000000" w:themeColor="text1"/>
                <w:sz w:val="24"/>
                <w:szCs w:val="32"/>
                <w:highlight w:val="none"/>
                <w:lang w:val="en-US" w:eastAsia="zh-CN"/>
                <w14:textFill>
                  <w14:solidFill>
                    <w14:schemeClr w14:val="tx1"/>
                  </w14:solidFill>
                </w14:textFill>
              </w:rPr>
              <w:t>经计算可知，储罐大呼吸产生的VOCs为</w:t>
            </w:r>
            <w:r>
              <w:rPr>
                <w:rFonts w:hint="eastAsia" w:cs="Times New Roman"/>
                <w:color w:val="000000" w:themeColor="text1"/>
                <w:sz w:val="24"/>
                <w:szCs w:val="32"/>
                <w:highlight w:val="none"/>
                <w:lang w:val="en-US" w:eastAsia="zh-CN"/>
                <w14:textFill>
                  <w14:solidFill>
                    <w14:schemeClr w14:val="tx1"/>
                  </w14:solidFill>
                </w14:textFill>
              </w:rPr>
              <w:t>0.001</w:t>
            </w:r>
            <w:r>
              <w:rPr>
                <w:rFonts w:hint="default" w:ascii="Times New Roman" w:hAnsi="Times New Roman" w:cs="Times New Roman"/>
                <w:color w:val="000000" w:themeColor="text1"/>
                <w:sz w:val="24"/>
                <w:szCs w:val="32"/>
                <w:highlight w:val="none"/>
                <w:lang w:val="en-US" w:eastAsia="zh-CN"/>
                <w14:textFill>
                  <w14:solidFill>
                    <w14:schemeClr w14:val="tx1"/>
                  </w14:solidFill>
                </w14:textFill>
              </w:rPr>
              <w:t>t/a。</w:t>
            </w:r>
          </w:p>
          <w:p w14:paraId="347C85EC">
            <w:pPr>
              <w:keepNext w:val="0"/>
              <w:keepLines w:val="0"/>
              <w:widowControl/>
              <w:suppressLineNumbers w:val="0"/>
              <w:spacing w:line="360" w:lineRule="auto"/>
              <w:jc w:val="left"/>
              <w:rPr>
                <w:sz w:val="24"/>
                <w:szCs w:val="24"/>
              </w:rPr>
            </w:pPr>
            <w:r>
              <w:rPr>
                <w:rFonts w:hint="eastAsia" w:ascii="宋体" w:hAnsi="宋体" w:eastAsia="宋体" w:cs="宋体"/>
                <w:color w:val="000000"/>
                <w:kern w:val="0"/>
                <w:sz w:val="24"/>
                <w:szCs w:val="24"/>
                <w:lang w:val="en-US" w:eastAsia="zh-CN" w:bidi="ar"/>
              </w:rPr>
              <w:t>②储罐小呼吸产生的有机废气（</w:t>
            </w:r>
            <w:r>
              <w:rPr>
                <w:rFonts w:hint="default" w:ascii="Times New Roman" w:hAnsi="Times New Roman" w:eastAsia="宋体" w:cs="Times New Roman"/>
                <w:color w:val="000000"/>
                <w:kern w:val="0"/>
                <w:sz w:val="24"/>
                <w:szCs w:val="24"/>
                <w:lang w:val="en-US" w:eastAsia="zh-CN" w:bidi="ar"/>
              </w:rPr>
              <w:t>VOCs</w:t>
            </w:r>
            <w:r>
              <w:rPr>
                <w:rFonts w:hint="eastAsia" w:ascii="宋体" w:hAnsi="宋体" w:eastAsia="宋体" w:cs="宋体"/>
                <w:color w:val="000000"/>
                <w:kern w:val="0"/>
                <w:sz w:val="24"/>
                <w:szCs w:val="24"/>
                <w:lang w:val="en-US" w:eastAsia="zh-CN" w:bidi="ar"/>
              </w:rPr>
              <w:t xml:space="preserve">） </w:t>
            </w:r>
          </w:p>
          <w:p w14:paraId="3CE7A85E">
            <w:pPr>
              <w:keepNext w:val="0"/>
              <w:keepLines w:val="0"/>
              <w:widowControl/>
              <w:suppressLineNumbers w:val="0"/>
              <w:spacing w:line="360" w:lineRule="auto"/>
              <w:ind w:firstLine="480" w:firstLineChars="200"/>
              <w:jc w:val="left"/>
              <w:rPr>
                <w:sz w:val="24"/>
                <w:szCs w:val="24"/>
              </w:rPr>
            </w:pPr>
            <w:r>
              <w:rPr>
                <w:rFonts w:hint="eastAsia" w:ascii="宋体" w:hAnsi="宋体" w:eastAsia="宋体" w:cs="宋体"/>
                <w:color w:val="000000"/>
                <w:kern w:val="0"/>
                <w:sz w:val="24"/>
                <w:szCs w:val="24"/>
                <w:lang w:val="en-US" w:eastAsia="zh-CN" w:bidi="ar"/>
              </w:rPr>
              <w:t xml:space="preserve">本项目采用的储罐为固定储罐，小呼吸排放采用下式估算污染物的产生量： </w:t>
            </w:r>
          </w:p>
          <w:p w14:paraId="473A76D1">
            <w:pPr>
              <w:keepNext w:val="0"/>
              <w:keepLines w:val="0"/>
              <w:widowControl/>
              <w:suppressLineNumbers w:val="0"/>
              <w:spacing w:line="360" w:lineRule="auto"/>
              <w:jc w:val="left"/>
              <w:rPr>
                <w:sz w:val="24"/>
                <w:szCs w:val="24"/>
              </w:rPr>
            </w:pPr>
            <w:r>
              <w:rPr>
                <w:rFonts w:hint="default" w:ascii="Times New Roman" w:hAnsi="Times New Roman" w:eastAsia="宋体" w:cs="Times New Roman"/>
                <w:color w:val="000000"/>
                <w:kern w:val="0"/>
                <w:sz w:val="24"/>
                <w:szCs w:val="24"/>
                <w:lang w:val="en-US" w:eastAsia="zh-CN" w:bidi="ar"/>
              </w:rPr>
              <w:t>LB=0.191×M</w:t>
            </w:r>
            <w:r>
              <w:rPr>
                <w:rFonts w:hint="eastAsia" w:ascii="宋体" w:hAnsi="宋体" w:eastAsia="宋体" w:cs="宋体"/>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P/</w:t>
            </w:r>
            <w:r>
              <w:rPr>
                <w:rFonts w:hint="eastAsia" w:ascii="宋体" w:hAnsi="宋体" w:eastAsia="宋体" w:cs="宋体"/>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100910-P</w:t>
            </w:r>
            <w:r>
              <w:rPr>
                <w:rFonts w:hint="eastAsia" w:ascii="宋体" w:hAnsi="宋体" w:eastAsia="宋体" w:cs="宋体"/>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 xml:space="preserve">×D1.73×H0.51×ΔT×FP×C×KC41 </w:t>
            </w:r>
          </w:p>
          <w:p w14:paraId="4258BEBA">
            <w:pPr>
              <w:keepNext w:val="0"/>
              <w:keepLines w:val="0"/>
              <w:widowControl/>
              <w:suppressLineNumbers w:val="0"/>
              <w:spacing w:line="360" w:lineRule="auto"/>
              <w:ind w:firstLine="480" w:firstLineChars="200"/>
              <w:jc w:val="left"/>
              <w:rPr>
                <w:sz w:val="24"/>
                <w:szCs w:val="24"/>
              </w:rPr>
            </w:pPr>
            <w:r>
              <w:rPr>
                <w:rFonts w:hint="eastAsia" w:ascii="宋体" w:hAnsi="宋体" w:eastAsia="宋体" w:cs="宋体"/>
                <w:color w:val="000000"/>
                <w:kern w:val="0"/>
                <w:sz w:val="24"/>
                <w:szCs w:val="24"/>
                <w:lang w:val="en-US" w:eastAsia="zh-CN" w:bidi="ar"/>
              </w:rPr>
              <w:t>式中：</w:t>
            </w:r>
            <w:r>
              <w:rPr>
                <w:rFonts w:hint="default" w:ascii="Times New Roman" w:hAnsi="Times New Roman" w:eastAsia="宋体" w:cs="Times New Roman"/>
                <w:color w:val="000000"/>
                <w:kern w:val="0"/>
                <w:sz w:val="24"/>
                <w:szCs w:val="24"/>
                <w:lang w:val="en-US" w:eastAsia="zh-CN" w:bidi="ar"/>
              </w:rPr>
              <w:t>LB——</w:t>
            </w:r>
            <w:r>
              <w:rPr>
                <w:rFonts w:hint="eastAsia" w:ascii="宋体" w:hAnsi="宋体" w:eastAsia="宋体" w:cs="宋体"/>
                <w:color w:val="000000"/>
                <w:kern w:val="0"/>
                <w:sz w:val="24"/>
                <w:szCs w:val="24"/>
                <w:lang w:val="en-US" w:eastAsia="zh-CN" w:bidi="ar"/>
              </w:rPr>
              <w:t>固定储罐的小呼吸产生量（</w:t>
            </w:r>
            <w:r>
              <w:rPr>
                <w:rFonts w:hint="default" w:ascii="Times New Roman" w:hAnsi="Times New Roman" w:eastAsia="宋体" w:cs="Times New Roman"/>
                <w:color w:val="000000"/>
                <w:kern w:val="0"/>
                <w:sz w:val="24"/>
                <w:szCs w:val="24"/>
                <w:lang w:val="en-US" w:eastAsia="zh-CN" w:bidi="ar"/>
              </w:rPr>
              <w:t>kg/a</w:t>
            </w:r>
            <w:r>
              <w:rPr>
                <w:rFonts w:hint="eastAsia" w:ascii="宋体" w:hAnsi="宋体" w:eastAsia="宋体" w:cs="宋体"/>
                <w:color w:val="000000"/>
                <w:kern w:val="0"/>
                <w:sz w:val="24"/>
                <w:szCs w:val="24"/>
                <w:lang w:val="en-US" w:eastAsia="zh-CN" w:bidi="ar"/>
              </w:rPr>
              <w:t xml:space="preserve">）； </w:t>
            </w:r>
          </w:p>
          <w:p w14:paraId="7C04DF73">
            <w:pPr>
              <w:keepNext w:val="0"/>
              <w:keepLines w:val="0"/>
              <w:widowControl/>
              <w:suppressLineNumbers w:val="0"/>
              <w:spacing w:line="360" w:lineRule="auto"/>
              <w:ind w:firstLine="1200" w:firstLineChars="500"/>
              <w:jc w:val="left"/>
              <w:rPr>
                <w:sz w:val="24"/>
                <w:szCs w:val="24"/>
              </w:rPr>
            </w:pPr>
            <w:r>
              <w:rPr>
                <w:rFonts w:hint="default" w:ascii="Times New Roman" w:hAnsi="Times New Roman" w:eastAsia="宋体" w:cs="Times New Roman"/>
                <w:color w:val="000000"/>
                <w:kern w:val="0"/>
                <w:sz w:val="24"/>
                <w:szCs w:val="24"/>
                <w:lang w:val="en-US" w:eastAsia="zh-CN" w:bidi="ar"/>
              </w:rPr>
              <w:t>M——</w:t>
            </w:r>
            <w:r>
              <w:rPr>
                <w:rFonts w:hint="eastAsia" w:ascii="宋体" w:hAnsi="宋体" w:eastAsia="宋体" w:cs="宋体"/>
                <w:color w:val="000000"/>
                <w:kern w:val="0"/>
                <w:sz w:val="24"/>
                <w:szCs w:val="24"/>
                <w:lang w:val="en-US" w:eastAsia="zh-CN" w:bidi="ar"/>
              </w:rPr>
              <w:t xml:space="preserve">储罐内蒸汽的分子量； </w:t>
            </w:r>
          </w:p>
          <w:p w14:paraId="2561E7CB">
            <w:pPr>
              <w:keepNext w:val="0"/>
              <w:keepLines w:val="0"/>
              <w:widowControl/>
              <w:suppressLineNumbers w:val="0"/>
              <w:spacing w:line="360" w:lineRule="auto"/>
              <w:ind w:firstLine="1200" w:firstLineChars="500"/>
              <w:jc w:val="left"/>
              <w:rPr>
                <w:sz w:val="24"/>
                <w:szCs w:val="24"/>
              </w:rPr>
            </w:pPr>
            <w:r>
              <w:rPr>
                <w:rFonts w:hint="default" w:ascii="Times New Roman" w:hAnsi="Times New Roman" w:eastAsia="宋体" w:cs="Times New Roman"/>
                <w:color w:val="000000"/>
                <w:kern w:val="0"/>
                <w:sz w:val="24"/>
                <w:szCs w:val="24"/>
                <w:lang w:val="en-US" w:eastAsia="zh-CN" w:bidi="ar"/>
              </w:rPr>
              <w:t>P——</w:t>
            </w:r>
            <w:r>
              <w:rPr>
                <w:rFonts w:hint="eastAsia" w:ascii="宋体" w:hAnsi="宋体" w:eastAsia="宋体" w:cs="宋体"/>
                <w:color w:val="000000"/>
                <w:kern w:val="0"/>
                <w:sz w:val="24"/>
                <w:szCs w:val="24"/>
                <w:lang w:val="en-US" w:eastAsia="zh-CN" w:bidi="ar"/>
              </w:rPr>
              <w:t>在大量液体状态下，真实的蒸汽压力（</w:t>
            </w:r>
            <w:r>
              <w:rPr>
                <w:rFonts w:hint="default" w:ascii="Times New Roman" w:hAnsi="Times New Roman" w:eastAsia="宋体" w:cs="Times New Roman"/>
                <w:color w:val="000000"/>
                <w:kern w:val="0"/>
                <w:sz w:val="24"/>
                <w:szCs w:val="24"/>
                <w:lang w:val="en-US" w:eastAsia="zh-CN" w:bidi="ar"/>
              </w:rPr>
              <w:t>Pa</w:t>
            </w:r>
            <w:r>
              <w:rPr>
                <w:rFonts w:hint="eastAsia" w:ascii="宋体" w:hAnsi="宋体" w:eastAsia="宋体" w:cs="宋体"/>
                <w:color w:val="000000"/>
                <w:kern w:val="0"/>
                <w:sz w:val="24"/>
                <w:szCs w:val="24"/>
                <w:lang w:val="en-US" w:eastAsia="zh-CN" w:bidi="ar"/>
              </w:rPr>
              <w:t xml:space="preserve">），本次环评取 </w:t>
            </w:r>
            <w:r>
              <w:rPr>
                <w:rFonts w:hint="default" w:ascii="Times New Roman" w:hAnsi="Times New Roman" w:eastAsia="宋体" w:cs="Times New Roman"/>
                <w:color w:val="000000"/>
                <w:kern w:val="0"/>
                <w:sz w:val="24"/>
                <w:szCs w:val="24"/>
                <w:lang w:val="en-US" w:eastAsia="zh-CN" w:bidi="ar"/>
              </w:rPr>
              <w:t>10100Pa</w:t>
            </w:r>
            <w:r>
              <w:rPr>
                <w:rFonts w:hint="eastAsia" w:ascii="宋体" w:hAnsi="宋体" w:eastAsia="宋体" w:cs="宋体"/>
                <w:color w:val="000000"/>
                <w:kern w:val="0"/>
                <w:sz w:val="24"/>
                <w:szCs w:val="24"/>
                <w:lang w:val="en-US" w:eastAsia="zh-CN" w:bidi="ar"/>
              </w:rPr>
              <w:t xml:space="preserve">； </w:t>
            </w:r>
          </w:p>
          <w:p w14:paraId="72476004">
            <w:pPr>
              <w:keepNext w:val="0"/>
              <w:keepLines w:val="0"/>
              <w:widowControl/>
              <w:suppressLineNumbers w:val="0"/>
              <w:spacing w:line="360" w:lineRule="auto"/>
              <w:ind w:firstLine="1200" w:firstLineChars="500"/>
              <w:jc w:val="left"/>
              <w:rPr>
                <w:sz w:val="24"/>
                <w:szCs w:val="24"/>
              </w:rPr>
            </w:pPr>
            <w:r>
              <w:rPr>
                <w:rFonts w:hint="default" w:ascii="Times New Roman" w:hAnsi="Times New Roman" w:eastAsia="宋体" w:cs="Times New Roman"/>
                <w:color w:val="000000"/>
                <w:kern w:val="0"/>
                <w:sz w:val="24"/>
                <w:szCs w:val="24"/>
                <w:lang w:val="en-US" w:eastAsia="zh-CN" w:bidi="ar"/>
              </w:rPr>
              <w:t>D——</w:t>
            </w:r>
            <w:r>
              <w:rPr>
                <w:rFonts w:hint="eastAsia" w:ascii="宋体" w:hAnsi="宋体" w:eastAsia="宋体" w:cs="宋体"/>
                <w:color w:val="000000"/>
                <w:kern w:val="0"/>
                <w:sz w:val="24"/>
                <w:szCs w:val="24"/>
                <w:lang w:val="en-US" w:eastAsia="zh-CN" w:bidi="ar"/>
              </w:rPr>
              <w:t>罐的直径（</w:t>
            </w:r>
            <w:r>
              <w:rPr>
                <w:rFonts w:hint="default" w:ascii="Times New Roman" w:hAnsi="Times New Roman" w:eastAsia="宋体" w:cs="Times New Roman"/>
                <w:color w:val="000000"/>
                <w:kern w:val="0"/>
                <w:sz w:val="24"/>
                <w:szCs w:val="24"/>
                <w:lang w:val="en-US" w:eastAsia="zh-CN" w:bidi="ar"/>
              </w:rPr>
              <w:t>m</w:t>
            </w:r>
            <w:r>
              <w:rPr>
                <w:rFonts w:hint="eastAsia" w:ascii="宋体" w:hAnsi="宋体" w:eastAsia="宋体" w:cs="宋体"/>
                <w:color w:val="000000"/>
                <w:kern w:val="0"/>
                <w:sz w:val="24"/>
                <w:szCs w:val="24"/>
                <w:lang w:val="en-US" w:eastAsia="zh-CN" w:bidi="ar"/>
              </w:rPr>
              <w:t xml:space="preserve">）； </w:t>
            </w:r>
          </w:p>
          <w:p w14:paraId="578F6953">
            <w:pPr>
              <w:keepNext w:val="0"/>
              <w:keepLines w:val="0"/>
              <w:widowControl/>
              <w:suppressLineNumbers w:val="0"/>
              <w:spacing w:line="360" w:lineRule="auto"/>
              <w:ind w:firstLine="1200" w:firstLineChars="500"/>
              <w:jc w:val="left"/>
              <w:rPr>
                <w:sz w:val="24"/>
                <w:szCs w:val="24"/>
              </w:rPr>
            </w:pPr>
            <w:r>
              <w:rPr>
                <w:rFonts w:hint="default" w:ascii="Times New Roman" w:hAnsi="Times New Roman" w:eastAsia="宋体" w:cs="Times New Roman"/>
                <w:color w:val="000000"/>
                <w:kern w:val="0"/>
                <w:sz w:val="24"/>
                <w:szCs w:val="24"/>
                <w:lang w:val="en-US" w:eastAsia="zh-CN" w:bidi="ar"/>
              </w:rPr>
              <w:t>H——</w:t>
            </w:r>
            <w:r>
              <w:rPr>
                <w:rFonts w:hint="eastAsia" w:ascii="宋体" w:hAnsi="宋体" w:eastAsia="宋体" w:cs="宋体"/>
                <w:color w:val="000000"/>
                <w:kern w:val="0"/>
                <w:sz w:val="24"/>
                <w:szCs w:val="24"/>
                <w:lang w:val="en-US" w:eastAsia="zh-CN" w:bidi="ar"/>
              </w:rPr>
              <w:t>平均蒸汽空间高度（</w:t>
            </w:r>
            <w:r>
              <w:rPr>
                <w:rFonts w:hint="default" w:ascii="Times New Roman" w:hAnsi="Times New Roman" w:eastAsia="宋体" w:cs="Times New Roman"/>
                <w:color w:val="000000"/>
                <w:kern w:val="0"/>
                <w:sz w:val="24"/>
                <w:szCs w:val="24"/>
                <w:lang w:val="en-US" w:eastAsia="zh-CN" w:bidi="ar"/>
              </w:rPr>
              <w:t>m</w:t>
            </w:r>
            <w:r>
              <w:rPr>
                <w:rFonts w:hint="eastAsia" w:ascii="宋体" w:hAnsi="宋体" w:eastAsia="宋体" w:cs="宋体"/>
                <w:color w:val="000000"/>
                <w:kern w:val="0"/>
                <w:sz w:val="24"/>
                <w:szCs w:val="24"/>
                <w:lang w:val="en-US" w:eastAsia="zh-CN" w:bidi="ar"/>
              </w:rPr>
              <w:t>），本次环评取</w:t>
            </w:r>
            <w:r>
              <w:rPr>
                <w:rFonts w:hint="default" w:ascii="Times New Roman" w:hAnsi="Times New Roman" w:eastAsia="宋体" w:cs="Times New Roman"/>
                <w:color w:val="000000"/>
                <w:kern w:val="0"/>
                <w:sz w:val="24"/>
                <w:szCs w:val="24"/>
                <w:lang w:val="en-US" w:eastAsia="zh-CN" w:bidi="ar"/>
              </w:rPr>
              <w:t>0.3m</w:t>
            </w:r>
            <w:r>
              <w:rPr>
                <w:rFonts w:hint="eastAsia" w:ascii="宋体" w:hAnsi="宋体" w:eastAsia="宋体" w:cs="宋体"/>
                <w:color w:val="000000"/>
                <w:kern w:val="0"/>
                <w:sz w:val="24"/>
                <w:szCs w:val="24"/>
                <w:lang w:val="en-US" w:eastAsia="zh-CN" w:bidi="ar"/>
              </w:rPr>
              <w:t xml:space="preserve">； </w:t>
            </w:r>
          </w:p>
          <w:p w14:paraId="370FC1C2">
            <w:pPr>
              <w:keepNext w:val="0"/>
              <w:keepLines w:val="0"/>
              <w:widowControl/>
              <w:suppressLineNumbers w:val="0"/>
              <w:spacing w:line="360" w:lineRule="auto"/>
              <w:ind w:firstLine="1200" w:firstLineChars="500"/>
              <w:jc w:val="left"/>
              <w:rPr>
                <w:sz w:val="24"/>
                <w:szCs w:val="24"/>
              </w:rPr>
            </w:pPr>
            <w:r>
              <w:rPr>
                <w:rFonts w:hint="default" w:ascii="Times New Roman" w:hAnsi="Times New Roman" w:eastAsia="宋体" w:cs="Times New Roman"/>
                <w:color w:val="000000"/>
                <w:kern w:val="0"/>
                <w:sz w:val="24"/>
                <w:szCs w:val="24"/>
                <w:lang w:val="en-US" w:eastAsia="zh-CN" w:bidi="ar"/>
              </w:rPr>
              <w:t>ΔT——</w:t>
            </w:r>
            <w:r>
              <w:rPr>
                <w:rFonts w:hint="eastAsia" w:ascii="宋体" w:hAnsi="宋体" w:eastAsia="宋体" w:cs="宋体"/>
                <w:color w:val="000000"/>
                <w:kern w:val="0"/>
                <w:sz w:val="24"/>
                <w:szCs w:val="24"/>
                <w:lang w:val="en-US" w:eastAsia="zh-CN" w:bidi="ar"/>
              </w:rPr>
              <w:t>一天之内的平均温度差（</w:t>
            </w:r>
            <w:r>
              <w:rPr>
                <w:rFonts w:hint="default" w:ascii="Times New Roman" w:hAnsi="Times New Roman" w:eastAsia="宋体" w:cs="Times New Roman"/>
                <w:color w:val="000000"/>
                <w:kern w:val="0"/>
                <w:sz w:val="24"/>
                <w:szCs w:val="24"/>
                <w:lang w:val="en-US" w:eastAsia="zh-CN" w:bidi="ar"/>
              </w:rPr>
              <w:t>℃</w:t>
            </w:r>
            <w:r>
              <w:rPr>
                <w:rFonts w:hint="eastAsia" w:ascii="宋体" w:hAnsi="宋体" w:eastAsia="宋体" w:cs="宋体"/>
                <w:color w:val="000000"/>
                <w:kern w:val="0"/>
                <w:sz w:val="24"/>
                <w:szCs w:val="24"/>
                <w:lang w:val="en-US" w:eastAsia="zh-CN" w:bidi="ar"/>
              </w:rPr>
              <w:t>），本次环评取</w:t>
            </w:r>
            <w:r>
              <w:rPr>
                <w:rFonts w:hint="default" w:ascii="Times New Roman" w:hAnsi="Times New Roman" w:eastAsia="宋体" w:cs="Times New Roman"/>
                <w:color w:val="000000"/>
                <w:kern w:val="0"/>
                <w:sz w:val="24"/>
                <w:szCs w:val="24"/>
                <w:lang w:val="en-US" w:eastAsia="zh-CN" w:bidi="ar"/>
              </w:rPr>
              <w:t>8℃</w:t>
            </w:r>
            <w:r>
              <w:rPr>
                <w:rFonts w:hint="eastAsia" w:ascii="宋体" w:hAnsi="宋体" w:eastAsia="宋体" w:cs="宋体"/>
                <w:color w:val="000000"/>
                <w:kern w:val="0"/>
                <w:sz w:val="24"/>
                <w:szCs w:val="24"/>
                <w:lang w:val="en-US" w:eastAsia="zh-CN" w:bidi="ar"/>
              </w:rPr>
              <w:t xml:space="preserve">； </w:t>
            </w:r>
          </w:p>
          <w:p w14:paraId="0991D227">
            <w:pPr>
              <w:keepNext w:val="0"/>
              <w:keepLines w:val="0"/>
              <w:widowControl/>
              <w:suppressLineNumbers w:val="0"/>
              <w:spacing w:line="360" w:lineRule="auto"/>
              <w:ind w:firstLine="1200" w:firstLineChars="500"/>
              <w:jc w:val="left"/>
              <w:rPr>
                <w:sz w:val="24"/>
                <w:szCs w:val="24"/>
              </w:rPr>
            </w:pPr>
            <w:r>
              <w:rPr>
                <w:rFonts w:hint="default" w:ascii="Times New Roman" w:hAnsi="Times New Roman" w:eastAsia="宋体" w:cs="Times New Roman"/>
                <w:color w:val="000000"/>
                <w:kern w:val="0"/>
                <w:sz w:val="24"/>
                <w:szCs w:val="24"/>
                <w:lang w:val="en-US" w:eastAsia="zh-CN" w:bidi="ar"/>
              </w:rPr>
              <w:t>FP——</w:t>
            </w:r>
            <w:r>
              <w:rPr>
                <w:rFonts w:hint="eastAsia" w:ascii="宋体" w:hAnsi="宋体" w:eastAsia="宋体" w:cs="宋体"/>
                <w:color w:val="000000"/>
                <w:kern w:val="0"/>
                <w:sz w:val="24"/>
                <w:szCs w:val="24"/>
                <w:lang w:val="en-US" w:eastAsia="zh-CN" w:bidi="ar"/>
              </w:rPr>
              <w:t>涂层因子（无量纲），根据油状况取值在</w:t>
            </w:r>
            <w:r>
              <w:rPr>
                <w:rFonts w:hint="default" w:ascii="Times New Roman" w:hAnsi="Times New Roman" w:eastAsia="宋体" w:cs="Times New Roman"/>
                <w:color w:val="000000"/>
                <w:kern w:val="0"/>
                <w:sz w:val="24"/>
                <w:szCs w:val="24"/>
                <w:lang w:val="en-US" w:eastAsia="zh-CN" w:bidi="ar"/>
              </w:rPr>
              <w:t>1~1.5</w:t>
            </w:r>
            <w:r>
              <w:rPr>
                <w:rFonts w:hint="eastAsia" w:ascii="宋体" w:hAnsi="宋体" w:eastAsia="宋体" w:cs="宋体"/>
                <w:color w:val="000000"/>
                <w:kern w:val="0"/>
                <w:sz w:val="24"/>
                <w:szCs w:val="24"/>
                <w:lang w:val="en-US" w:eastAsia="zh-CN" w:bidi="ar"/>
              </w:rPr>
              <w:t>之间，本次环评取</w:t>
            </w:r>
            <w:r>
              <w:rPr>
                <w:rFonts w:hint="default" w:ascii="Times New Roman" w:hAnsi="Times New Roman" w:eastAsia="宋体" w:cs="Times New Roman"/>
                <w:color w:val="000000"/>
                <w:kern w:val="0"/>
                <w:sz w:val="24"/>
                <w:szCs w:val="24"/>
                <w:lang w:val="en-US" w:eastAsia="zh-CN" w:bidi="ar"/>
              </w:rPr>
              <w:t>1.25</w:t>
            </w:r>
            <w:r>
              <w:rPr>
                <w:rFonts w:hint="eastAsia" w:ascii="宋体" w:hAnsi="宋体" w:eastAsia="宋体" w:cs="宋体"/>
                <w:color w:val="000000"/>
                <w:kern w:val="0"/>
                <w:sz w:val="24"/>
                <w:szCs w:val="24"/>
                <w:lang w:val="en-US" w:eastAsia="zh-CN" w:bidi="ar"/>
              </w:rPr>
              <w:t xml:space="preserve">； </w:t>
            </w:r>
          </w:p>
          <w:p w14:paraId="013CAC2D">
            <w:pPr>
              <w:keepNext w:val="0"/>
              <w:keepLines w:val="0"/>
              <w:widowControl/>
              <w:suppressLineNumbers w:val="0"/>
              <w:spacing w:line="360" w:lineRule="auto"/>
              <w:ind w:firstLine="1200" w:firstLineChars="500"/>
              <w:jc w:val="left"/>
              <w:rPr>
                <w:sz w:val="24"/>
                <w:szCs w:val="24"/>
              </w:rPr>
            </w:pPr>
            <w:r>
              <w:rPr>
                <w:rFonts w:hint="default" w:ascii="Times New Roman" w:hAnsi="Times New Roman" w:eastAsia="宋体" w:cs="Times New Roman"/>
                <w:color w:val="000000"/>
                <w:kern w:val="0"/>
                <w:sz w:val="24"/>
                <w:szCs w:val="24"/>
                <w:lang w:val="en-US" w:eastAsia="zh-CN" w:bidi="ar"/>
              </w:rPr>
              <w:t>C——</w:t>
            </w:r>
            <w:r>
              <w:rPr>
                <w:rFonts w:hint="eastAsia" w:ascii="宋体" w:hAnsi="宋体" w:eastAsia="宋体" w:cs="宋体"/>
                <w:color w:val="000000"/>
                <w:kern w:val="0"/>
                <w:sz w:val="24"/>
                <w:szCs w:val="24"/>
                <w:lang w:val="en-US" w:eastAsia="zh-CN" w:bidi="ar"/>
              </w:rPr>
              <w:t>用于小直径罐的调节因子（无量纲）；直径在</w:t>
            </w:r>
            <w:r>
              <w:rPr>
                <w:rFonts w:hint="default" w:ascii="Times New Roman" w:hAnsi="Times New Roman" w:eastAsia="宋体" w:cs="Times New Roman"/>
                <w:color w:val="000000"/>
                <w:kern w:val="0"/>
                <w:sz w:val="24"/>
                <w:szCs w:val="24"/>
                <w:lang w:val="en-US" w:eastAsia="zh-CN" w:bidi="ar"/>
              </w:rPr>
              <w:t>0~9m</w:t>
            </w:r>
            <w:r>
              <w:rPr>
                <w:rFonts w:hint="eastAsia" w:ascii="宋体" w:hAnsi="宋体" w:eastAsia="宋体" w:cs="宋体"/>
                <w:color w:val="000000"/>
                <w:kern w:val="0"/>
                <w:sz w:val="24"/>
                <w:szCs w:val="24"/>
                <w:lang w:val="en-US" w:eastAsia="zh-CN" w:bidi="ar"/>
              </w:rPr>
              <w:t>之间的罐体，</w:t>
            </w:r>
            <w:r>
              <w:rPr>
                <w:rFonts w:hint="default" w:ascii="Times New Roman" w:hAnsi="Times New Roman" w:eastAsia="宋体" w:cs="Times New Roman"/>
                <w:color w:val="000000"/>
                <w:kern w:val="0"/>
                <w:sz w:val="24"/>
                <w:szCs w:val="24"/>
                <w:lang w:val="en-US" w:eastAsia="zh-CN" w:bidi="ar"/>
              </w:rPr>
              <w:t>C=1-0.0123</w:t>
            </w:r>
            <w:r>
              <w:rPr>
                <w:rFonts w:hint="eastAsia" w:ascii="宋体" w:hAnsi="宋体" w:eastAsia="宋体" w:cs="宋体"/>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D-9</w:t>
            </w:r>
            <w:r>
              <w:rPr>
                <w:rFonts w:hint="eastAsia" w:ascii="宋体" w:hAnsi="宋体" w:eastAsia="宋体" w:cs="宋体"/>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2</w:t>
            </w:r>
            <w:r>
              <w:rPr>
                <w:rFonts w:hint="eastAsia" w:ascii="宋体" w:hAnsi="宋体" w:eastAsia="宋体" w:cs="宋体"/>
                <w:color w:val="000000"/>
                <w:kern w:val="0"/>
                <w:sz w:val="24"/>
                <w:szCs w:val="24"/>
                <w:lang w:val="en-US" w:eastAsia="zh-CN" w:bidi="ar"/>
              </w:rPr>
              <w:t>；罐径大</w:t>
            </w:r>
            <w:r>
              <w:rPr>
                <w:rFonts w:hint="default" w:ascii="Times New Roman" w:hAnsi="Times New Roman" w:eastAsia="宋体" w:cs="Times New Roman"/>
                <w:color w:val="000000"/>
                <w:kern w:val="0"/>
                <w:sz w:val="24"/>
                <w:szCs w:val="24"/>
                <w:lang w:val="en-US" w:eastAsia="zh-CN" w:bidi="ar"/>
              </w:rPr>
              <w:t>9m</w:t>
            </w:r>
            <w:r>
              <w:rPr>
                <w:rFonts w:hint="eastAsia" w:ascii="宋体" w:hAnsi="宋体" w:eastAsia="宋体" w:cs="宋体"/>
                <w:color w:val="000000"/>
                <w:kern w:val="0"/>
                <w:sz w:val="24"/>
                <w:szCs w:val="24"/>
                <w:lang w:val="en-US" w:eastAsia="zh-CN" w:bidi="ar"/>
              </w:rPr>
              <w:t>的</w:t>
            </w:r>
            <w:r>
              <w:rPr>
                <w:rFonts w:hint="default" w:ascii="Times New Roman" w:hAnsi="Times New Roman" w:eastAsia="宋体" w:cs="Times New Roman"/>
                <w:color w:val="000000"/>
                <w:kern w:val="0"/>
                <w:sz w:val="24"/>
                <w:szCs w:val="24"/>
                <w:lang w:val="en-US" w:eastAsia="zh-CN" w:bidi="ar"/>
              </w:rPr>
              <w:t>C=1</w:t>
            </w:r>
            <w:r>
              <w:rPr>
                <w:rFonts w:hint="eastAsia" w:ascii="宋体" w:hAnsi="宋体" w:eastAsia="宋体" w:cs="宋体"/>
                <w:color w:val="000000"/>
                <w:kern w:val="0"/>
                <w:sz w:val="24"/>
                <w:szCs w:val="24"/>
                <w:lang w:val="en-US" w:eastAsia="zh-CN" w:bidi="ar"/>
              </w:rPr>
              <w:t xml:space="preserve">； </w:t>
            </w:r>
          </w:p>
          <w:p w14:paraId="46258612">
            <w:pPr>
              <w:keepNext w:val="0"/>
              <w:keepLines w:val="0"/>
              <w:widowControl/>
              <w:suppressLineNumbers w:val="0"/>
              <w:spacing w:line="360" w:lineRule="auto"/>
              <w:ind w:firstLine="1200" w:firstLineChars="500"/>
              <w:jc w:val="left"/>
              <w:rPr>
                <w:sz w:val="24"/>
                <w:szCs w:val="24"/>
              </w:rPr>
            </w:pPr>
            <w:r>
              <w:rPr>
                <w:rFonts w:hint="default" w:ascii="Times New Roman" w:hAnsi="Times New Roman" w:eastAsia="宋体" w:cs="Times New Roman"/>
                <w:color w:val="000000"/>
                <w:kern w:val="0"/>
                <w:sz w:val="24"/>
                <w:szCs w:val="24"/>
                <w:lang w:val="en-US" w:eastAsia="zh-CN" w:bidi="ar"/>
              </w:rPr>
              <w:t>KC——</w:t>
            </w:r>
            <w:r>
              <w:rPr>
                <w:rFonts w:hint="eastAsia" w:ascii="宋体" w:hAnsi="宋体" w:eastAsia="宋体" w:cs="宋体"/>
                <w:color w:val="000000"/>
                <w:kern w:val="0"/>
                <w:sz w:val="24"/>
                <w:szCs w:val="24"/>
                <w:lang w:val="en-US" w:eastAsia="zh-CN" w:bidi="ar"/>
              </w:rPr>
              <w:t>产品因子（油原油</w:t>
            </w:r>
            <w:r>
              <w:rPr>
                <w:rFonts w:hint="default" w:ascii="Times New Roman" w:hAnsi="Times New Roman" w:eastAsia="宋体" w:cs="Times New Roman"/>
                <w:color w:val="000000"/>
                <w:kern w:val="0"/>
                <w:sz w:val="24"/>
                <w:szCs w:val="24"/>
                <w:lang w:val="en-US" w:eastAsia="zh-CN" w:bidi="ar"/>
              </w:rPr>
              <w:t>KC</w:t>
            </w:r>
            <w:r>
              <w:rPr>
                <w:rFonts w:hint="eastAsia" w:ascii="宋体" w:hAnsi="宋体" w:eastAsia="宋体" w:cs="宋体"/>
                <w:color w:val="000000"/>
                <w:kern w:val="0"/>
                <w:sz w:val="24"/>
                <w:szCs w:val="24"/>
                <w:lang w:val="en-US" w:eastAsia="zh-CN" w:bidi="ar"/>
              </w:rPr>
              <w:t>取</w:t>
            </w:r>
            <w:r>
              <w:rPr>
                <w:rFonts w:hint="default" w:ascii="Times New Roman" w:hAnsi="Times New Roman" w:eastAsia="宋体" w:cs="Times New Roman"/>
                <w:color w:val="000000"/>
                <w:kern w:val="0"/>
                <w:sz w:val="24"/>
                <w:szCs w:val="24"/>
                <w:lang w:val="en-US" w:eastAsia="zh-CN" w:bidi="ar"/>
              </w:rPr>
              <w:t>0.65</w:t>
            </w:r>
            <w:r>
              <w:rPr>
                <w:rFonts w:hint="eastAsia" w:ascii="宋体" w:hAnsi="宋体" w:eastAsia="宋体" w:cs="宋体"/>
                <w:color w:val="000000"/>
                <w:kern w:val="0"/>
                <w:sz w:val="24"/>
                <w:szCs w:val="24"/>
                <w:lang w:val="en-US" w:eastAsia="zh-CN" w:bidi="ar"/>
              </w:rPr>
              <w:t>，其他有机液体取</w:t>
            </w:r>
            <w:r>
              <w:rPr>
                <w:rFonts w:hint="default" w:ascii="Times New Roman" w:hAnsi="Times New Roman" w:eastAsia="宋体" w:cs="Times New Roman"/>
                <w:color w:val="000000"/>
                <w:kern w:val="0"/>
                <w:sz w:val="24"/>
                <w:szCs w:val="24"/>
                <w:lang w:val="en-US" w:eastAsia="zh-CN" w:bidi="ar"/>
              </w:rPr>
              <w:t>1.0</w:t>
            </w:r>
            <w:r>
              <w:rPr>
                <w:rFonts w:hint="eastAsia" w:ascii="宋体" w:hAnsi="宋体" w:eastAsia="宋体" w:cs="宋体"/>
                <w:color w:val="000000"/>
                <w:kern w:val="0"/>
                <w:sz w:val="24"/>
                <w:szCs w:val="24"/>
                <w:lang w:val="en-US" w:eastAsia="zh-CN" w:bidi="ar"/>
              </w:rPr>
              <w:t xml:space="preserve">）。 </w:t>
            </w:r>
          </w:p>
          <w:p w14:paraId="015D61B0">
            <w:pPr>
              <w:keepNext w:val="0"/>
              <w:keepLines w:val="0"/>
              <w:widowControl/>
              <w:suppressLineNumbers w:val="0"/>
              <w:spacing w:line="360" w:lineRule="auto"/>
              <w:ind w:firstLine="480" w:firstLineChars="200"/>
              <w:jc w:val="left"/>
              <w:rPr>
                <w:sz w:val="24"/>
                <w:szCs w:val="24"/>
              </w:rPr>
            </w:pPr>
            <w:r>
              <w:rPr>
                <w:rFonts w:hint="eastAsia" w:ascii="宋体" w:hAnsi="宋体" w:eastAsia="宋体" w:cs="宋体"/>
                <w:color w:val="000000"/>
                <w:kern w:val="0"/>
                <w:sz w:val="24"/>
                <w:szCs w:val="24"/>
                <w:lang w:val="en-US" w:eastAsia="zh-CN" w:bidi="ar"/>
              </w:rPr>
              <w:t>经计算可知，储罐小呼吸产生的</w:t>
            </w:r>
            <w:r>
              <w:rPr>
                <w:rFonts w:hint="default" w:ascii="Times New Roman" w:hAnsi="Times New Roman" w:eastAsia="宋体" w:cs="Times New Roman"/>
                <w:color w:val="000000"/>
                <w:kern w:val="0"/>
                <w:sz w:val="24"/>
                <w:szCs w:val="24"/>
                <w:lang w:val="en-US" w:eastAsia="zh-CN" w:bidi="ar"/>
              </w:rPr>
              <w:t>VOCs</w:t>
            </w:r>
            <w:r>
              <w:rPr>
                <w:rFonts w:hint="eastAsia" w:ascii="宋体" w:hAnsi="宋体" w:eastAsia="宋体" w:cs="宋体"/>
                <w:color w:val="000000"/>
                <w:kern w:val="0"/>
                <w:sz w:val="24"/>
                <w:szCs w:val="24"/>
                <w:lang w:val="en-US" w:eastAsia="zh-CN" w:bidi="ar"/>
              </w:rPr>
              <w:t>为</w:t>
            </w:r>
            <w:r>
              <w:rPr>
                <w:rFonts w:hint="default" w:ascii="Times New Roman" w:hAnsi="Times New Roman" w:eastAsia="宋体" w:cs="Times New Roman"/>
                <w:color w:val="000000"/>
                <w:kern w:val="0"/>
                <w:sz w:val="24"/>
                <w:szCs w:val="24"/>
                <w:lang w:val="en-US" w:eastAsia="zh-CN" w:bidi="ar"/>
              </w:rPr>
              <w:t>0.1</w:t>
            </w:r>
            <w:r>
              <w:rPr>
                <w:rFonts w:hint="eastAsia" w:ascii="Times New Roman" w:hAnsi="Times New Roman" w:eastAsia="宋体" w:cs="Times New Roman"/>
                <w:color w:val="000000"/>
                <w:kern w:val="0"/>
                <w:sz w:val="24"/>
                <w:szCs w:val="24"/>
                <w:lang w:val="en-US" w:eastAsia="zh-CN" w:bidi="ar"/>
              </w:rPr>
              <w:t>01</w:t>
            </w:r>
            <w:r>
              <w:rPr>
                <w:rFonts w:hint="default" w:ascii="Times New Roman" w:hAnsi="Times New Roman" w:eastAsia="宋体" w:cs="Times New Roman"/>
                <w:color w:val="000000"/>
                <w:kern w:val="0"/>
                <w:sz w:val="24"/>
                <w:szCs w:val="24"/>
                <w:lang w:val="en-US" w:eastAsia="zh-CN" w:bidi="ar"/>
              </w:rPr>
              <w:t>t/a</w:t>
            </w:r>
            <w:r>
              <w:rPr>
                <w:rFonts w:hint="eastAsia" w:ascii="宋体" w:hAnsi="宋体" w:eastAsia="宋体" w:cs="宋体"/>
                <w:color w:val="000000"/>
                <w:kern w:val="0"/>
                <w:sz w:val="24"/>
                <w:szCs w:val="24"/>
                <w:lang w:val="en-US" w:eastAsia="zh-CN" w:bidi="ar"/>
              </w:rPr>
              <w:t>。</w:t>
            </w:r>
          </w:p>
          <w:p w14:paraId="7324C3D6">
            <w:pPr>
              <w:keepNext w:val="0"/>
              <w:keepLines w:val="0"/>
              <w:widowControl/>
              <w:suppressLineNumbers w:val="0"/>
              <w:spacing w:line="360" w:lineRule="auto"/>
              <w:ind w:firstLine="480" w:firstLineChars="200"/>
              <w:jc w:val="left"/>
              <w:rPr>
                <w:sz w:val="24"/>
                <w:szCs w:val="24"/>
              </w:rPr>
            </w:pPr>
            <w:r>
              <w:rPr>
                <w:rFonts w:hint="eastAsia" w:ascii="宋体" w:hAnsi="宋体" w:eastAsia="宋体" w:cs="宋体"/>
                <w:color w:val="000000"/>
                <w:kern w:val="0"/>
                <w:sz w:val="24"/>
                <w:szCs w:val="24"/>
                <w:lang w:val="en-US" w:eastAsia="zh-CN" w:bidi="ar"/>
              </w:rPr>
              <w:t>综上，储油罐大小呼吸产生的有机废气（</w:t>
            </w:r>
            <w:r>
              <w:rPr>
                <w:rFonts w:hint="default" w:ascii="Times New Roman" w:hAnsi="Times New Roman" w:eastAsia="宋体" w:cs="Times New Roman"/>
                <w:color w:val="000000"/>
                <w:kern w:val="0"/>
                <w:sz w:val="24"/>
                <w:szCs w:val="24"/>
                <w:lang w:val="en-US" w:eastAsia="zh-CN" w:bidi="ar"/>
              </w:rPr>
              <w:t>VOCs</w:t>
            </w:r>
            <w:r>
              <w:rPr>
                <w:rFonts w:hint="eastAsia" w:ascii="宋体" w:hAnsi="宋体" w:eastAsia="宋体" w:cs="宋体"/>
                <w:color w:val="000000"/>
                <w:kern w:val="0"/>
                <w:sz w:val="24"/>
                <w:szCs w:val="24"/>
                <w:lang w:val="en-US" w:eastAsia="zh-CN" w:bidi="ar"/>
              </w:rPr>
              <w:t>）产生量为</w:t>
            </w:r>
            <w:r>
              <w:rPr>
                <w:rFonts w:hint="default" w:ascii="Times New Roman" w:hAnsi="Times New Roman" w:eastAsia="宋体" w:cs="Times New Roman"/>
                <w:color w:val="000000"/>
                <w:kern w:val="0"/>
                <w:sz w:val="24"/>
                <w:szCs w:val="24"/>
                <w:lang w:val="en-US" w:eastAsia="zh-CN" w:bidi="ar"/>
              </w:rPr>
              <w:t>0.</w:t>
            </w:r>
            <w:r>
              <w:rPr>
                <w:rFonts w:hint="eastAsia" w:ascii="Times New Roman" w:hAnsi="Times New Roman" w:eastAsia="宋体" w:cs="Times New Roman"/>
                <w:color w:val="000000"/>
                <w:kern w:val="0"/>
                <w:sz w:val="24"/>
                <w:szCs w:val="24"/>
                <w:lang w:val="en-US" w:eastAsia="zh-CN" w:bidi="ar"/>
              </w:rPr>
              <w:t>102</w:t>
            </w:r>
            <w:r>
              <w:rPr>
                <w:rFonts w:hint="default" w:ascii="Times New Roman" w:hAnsi="Times New Roman" w:eastAsia="宋体" w:cs="Times New Roman"/>
                <w:color w:val="000000"/>
                <w:kern w:val="0"/>
                <w:sz w:val="24"/>
                <w:szCs w:val="24"/>
                <w:lang w:val="en-US" w:eastAsia="zh-CN" w:bidi="ar"/>
              </w:rPr>
              <w:t>t/a</w:t>
            </w:r>
            <w:r>
              <w:rPr>
                <w:rFonts w:hint="eastAsia" w:ascii="宋体" w:hAnsi="宋体" w:eastAsia="宋体" w:cs="宋体"/>
                <w:color w:val="000000"/>
                <w:kern w:val="0"/>
                <w:sz w:val="24"/>
                <w:szCs w:val="24"/>
                <w:lang w:val="en-US" w:eastAsia="zh-CN" w:bidi="ar"/>
              </w:rPr>
              <w:t>。</w:t>
            </w:r>
          </w:p>
          <w:p w14:paraId="14F32D80">
            <w:pPr>
              <w:keepNext w:val="0"/>
              <w:keepLines w:val="0"/>
              <w:widowControl/>
              <w:suppressLineNumbers w:val="0"/>
              <w:spacing w:line="360" w:lineRule="auto"/>
              <w:ind w:firstLine="480" w:firstLineChars="200"/>
              <w:jc w:val="left"/>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本项目储罐</w:t>
            </w:r>
            <w:r>
              <w:rPr>
                <w:rFonts w:hint="default" w:ascii="Times New Roman" w:hAnsi="Times New Roman" w:eastAsia="宋体" w:cs="Times New Roman"/>
                <w:color w:val="000000"/>
                <w:kern w:val="0"/>
                <w:sz w:val="24"/>
                <w:szCs w:val="24"/>
                <w:lang w:val="en-US" w:eastAsia="zh-CN" w:bidi="ar"/>
              </w:rPr>
              <w:t>“</w:t>
            </w:r>
            <w:r>
              <w:rPr>
                <w:rFonts w:hint="eastAsia" w:ascii="宋体" w:hAnsi="宋体" w:eastAsia="宋体" w:cs="宋体"/>
                <w:color w:val="000000"/>
                <w:kern w:val="0"/>
                <w:sz w:val="24"/>
                <w:szCs w:val="24"/>
                <w:lang w:val="en-US" w:eastAsia="zh-CN" w:bidi="ar"/>
              </w:rPr>
              <w:t>大小呼吸</w:t>
            </w:r>
            <w:r>
              <w:rPr>
                <w:rFonts w:hint="default" w:ascii="Times New Roman" w:hAnsi="Times New Roman" w:eastAsia="宋体" w:cs="Times New Roman"/>
                <w:color w:val="000000"/>
                <w:kern w:val="0"/>
                <w:sz w:val="24"/>
                <w:szCs w:val="24"/>
                <w:lang w:val="en-US" w:eastAsia="zh-CN" w:bidi="ar"/>
              </w:rPr>
              <w:t>”</w:t>
            </w:r>
            <w:r>
              <w:rPr>
                <w:rFonts w:hint="eastAsia" w:ascii="宋体" w:hAnsi="宋体" w:eastAsia="宋体" w:cs="宋体"/>
                <w:color w:val="000000"/>
                <w:kern w:val="0"/>
                <w:sz w:val="24"/>
                <w:szCs w:val="24"/>
                <w:lang w:val="en-US" w:eastAsia="zh-CN" w:bidi="ar"/>
              </w:rPr>
              <w:t>产生的废气采用集气管道方式送至废气净化装置，本项目共设置</w:t>
            </w:r>
            <w:r>
              <w:rPr>
                <w:rFonts w:hint="default" w:ascii="Times New Roman" w:hAnsi="Times New Roman" w:eastAsia="宋体" w:cs="Times New Roman"/>
                <w:color w:val="000000"/>
                <w:kern w:val="0"/>
                <w:sz w:val="24"/>
                <w:szCs w:val="24"/>
                <w:lang w:val="en-US" w:eastAsia="zh-CN" w:bidi="ar"/>
              </w:rPr>
              <w:t>1</w:t>
            </w:r>
            <w:r>
              <w:rPr>
                <w:rFonts w:hint="eastAsia" w:ascii="宋体" w:hAnsi="宋体" w:eastAsia="宋体" w:cs="宋体"/>
                <w:color w:val="000000"/>
                <w:kern w:val="0"/>
                <w:sz w:val="24"/>
                <w:szCs w:val="24"/>
                <w:lang w:val="en-US" w:eastAsia="zh-CN" w:bidi="ar"/>
              </w:rPr>
              <w:t>套废气净化装置，净化效率为</w:t>
            </w:r>
            <w:r>
              <w:rPr>
                <w:rFonts w:hint="eastAsia" w:ascii="Times New Roman" w:hAnsi="Times New Roman" w:eastAsia="宋体" w:cs="Times New Roman"/>
                <w:color w:val="000000"/>
                <w:kern w:val="0"/>
                <w:sz w:val="24"/>
                <w:szCs w:val="24"/>
                <w:lang w:val="en-US" w:eastAsia="zh-CN" w:bidi="ar"/>
              </w:rPr>
              <w:t>80</w:t>
            </w:r>
            <w:r>
              <w:rPr>
                <w:rFonts w:hint="default" w:ascii="Times New Roman" w:hAnsi="Times New Roman" w:eastAsia="宋体" w:cs="Times New Roman"/>
                <w:color w:val="000000"/>
                <w:kern w:val="0"/>
                <w:sz w:val="24"/>
                <w:szCs w:val="24"/>
                <w:lang w:val="en-US" w:eastAsia="zh-CN" w:bidi="ar"/>
              </w:rPr>
              <w:t>%</w:t>
            </w:r>
            <w:r>
              <w:rPr>
                <w:rFonts w:hint="eastAsia" w:ascii="宋体" w:hAnsi="宋体" w:eastAsia="宋体" w:cs="宋体"/>
                <w:color w:val="000000"/>
                <w:kern w:val="0"/>
                <w:sz w:val="24"/>
                <w:szCs w:val="24"/>
                <w:lang w:val="en-US" w:eastAsia="zh-CN" w:bidi="ar"/>
              </w:rPr>
              <w:t>计。</w:t>
            </w:r>
          </w:p>
          <w:p w14:paraId="6FDF9358">
            <w:pPr>
              <w:pStyle w:val="18"/>
              <w:jc w:val="center"/>
              <w:rPr>
                <w:rFonts w:hint="default" w:ascii="Times New Roman" w:hAnsi="Times New Roman" w:cs="Times New Roman"/>
                <w:b/>
                <w:bCs/>
                <w:sz w:val="18"/>
                <w:szCs w:val="21"/>
                <w:lang w:val="en-US"/>
              </w:rPr>
            </w:pPr>
            <w:r>
              <w:rPr>
                <w:rFonts w:hint="default" w:ascii="Times New Roman" w:hAnsi="Times New Roman" w:cs="Times New Roman"/>
                <w:b/>
                <w:bCs/>
                <w:color w:val="000000"/>
                <w:kern w:val="0"/>
                <w:sz w:val="21"/>
                <w:szCs w:val="21"/>
                <w:lang w:val="en-US" w:eastAsia="zh-CN" w:bidi="ar"/>
              </w:rPr>
              <w:t>表4-1 储罐呼吸废气产排情况一览表</w:t>
            </w:r>
          </w:p>
          <w:tbl>
            <w:tblPr>
              <w:tblStyle w:val="27"/>
              <w:tblW w:w="4998"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0" w:type="dxa"/>
                <w:bottom w:w="0" w:type="dxa"/>
                <w:right w:w="0" w:type="dxa"/>
              </w:tblCellMar>
            </w:tblPr>
            <w:tblGrid>
              <w:gridCol w:w="662"/>
              <w:gridCol w:w="793"/>
              <w:gridCol w:w="922"/>
              <w:gridCol w:w="788"/>
              <w:gridCol w:w="868"/>
              <w:gridCol w:w="841"/>
              <w:gridCol w:w="883"/>
              <w:gridCol w:w="816"/>
              <w:gridCol w:w="788"/>
              <w:gridCol w:w="913"/>
            </w:tblGrid>
            <w:tr w14:paraId="5EFC6A5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400" w:type="pct"/>
                  <w:vMerge w:val="restart"/>
                  <w:tcBorders>
                    <w:tl2br w:val="nil"/>
                    <w:tr2bl w:val="nil"/>
                  </w:tcBorders>
                  <w:noWrap w:val="0"/>
                  <w:vAlign w:val="center"/>
                </w:tcPr>
                <w:p w14:paraId="256C7A79">
                  <w:pPr>
                    <w:pStyle w:val="34"/>
                    <w:rPr>
                      <w:rFonts w:hint="eastAsia" w:ascii="Times New Roman" w:hAnsi="Times New Roman" w:eastAsia="宋体" w:cs="Times New Roman"/>
                      <w:color w:val="auto"/>
                      <w:sz w:val="20"/>
                      <w:szCs w:val="20"/>
                      <w:lang w:eastAsia="zh-CN"/>
                    </w:rPr>
                  </w:pPr>
                  <w:r>
                    <w:rPr>
                      <w:rFonts w:hint="eastAsia" w:ascii="Times New Roman" w:hAnsi="Times New Roman" w:eastAsia="宋体" w:cs="Times New Roman"/>
                      <w:color w:val="auto"/>
                      <w:sz w:val="20"/>
                      <w:szCs w:val="20"/>
                      <w:lang w:val="en-US" w:eastAsia="zh-CN"/>
                    </w:rPr>
                    <w:t>污染源</w:t>
                  </w:r>
                </w:p>
              </w:tc>
              <w:tc>
                <w:tcPr>
                  <w:tcW w:w="479" w:type="pct"/>
                  <w:vMerge w:val="restart"/>
                  <w:tcBorders>
                    <w:tl2br w:val="nil"/>
                    <w:tr2bl w:val="nil"/>
                  </w:tcBorders>
                  <w:noWrap w:val="0"/>
                  <w:vAlign w:val="center"/>
                </w:tcPr>
                <w:p w14:paraId="3CD24925">
                  <w:pPr>
                    <w:pStyle w:val="34"/>
                    <w:rPr>
                      <w:rFonts w:hint="default" w:ascii="Times New Roman" w:hAnsi="Times New Roman" w:eastAsia="宋体" w:cs="Times New Roman"/>
                      <w:color w:val="auto"/>
                      <w:sz w:val="20"/>
                      <w:szCs w:val="20"/>
                      <w:lang w:val="en-US" w:eastAsia="zh-CN"/>
                    </w:rPr>
                  </w:pPr>
                  <w:r>
                    <w:rPr>
                      <w:rFonts w:hint="eastAsia" w:ascii="Times New Roman" w:hAnsi="Times New Roman" w:eastAsia="宋体" w:cs="Times New Roman"/>
                      <w:color w:val="auto"/>
                      <w:sz w:val="20"/>
                      <w:szCs w:val="20"/>
                      <w:lang w:val="en-US" w:eastAsia="zh-CN"/>
                    </w:rPr>
                    <w:t>污染因子</w:t>
                  </w:r>
                </w:p>
              </w:tc>
              <w:tc>
                <w:tcPr>
                  <w:tcW w:w="1557" w:type="pct"/>
                  <w:gridSpan w:val="3"/>
                  <w:tcBorders>
                    <w:tl2br w:val="nil"/>
                    <w:tr2bl w:val="nil"/>
                  </w:tcBorders>
                  <w:noWrap w:val="0"/>
                  <w:vAlign w:val="center"/>
                </w:tcPr>
                <w:p w14:paraId="6972C55C">
                  <w:pPr>
                    <w:pStyle w:val="34"/>
                    <w:jc w:val="center"/>
                    <w:rPr>
                      <w:rFonts w:hint="default" w:ascii="Times New Roman" w:hAnsi="Times New Roman" w:eastAsia="宋体" w:cs="Times New Roman"/>
                      <w:color w:val="auto"/>
                      <w:sz w:val="20"/>
                      <w:szCs w:val="20"/>
                      <w:lang w:val="en-US" w:eastAsia="zh-CN"/>
                    </w:rPr>
                  </w:pPr>
                  <w:r>
                    <w:rPr>
                      <w:rFonts w:hint="eastAsia" w:ascii="Times New Roman" w:hAnsi="Times New Roman" w:eastAsia="宋体" w:cs="Times New Roman"/>
                      <w:color w:val="auto"/>
                      <w:sz w:val="20"/>
                      <w:szCs w:val="20"/>
                      <w:lang w:val="en-US" w:eastAsia="zh-CN"/>
                    </w:rPr>
                    <w:t>产生情况</w:t>
                  </w:r>
                </w:p>
              </w:tc>
              <w:tc>
                <w:tcPr>
                  <w:tcW w:w="508" w:type="pct"/>
                  <w:vMerge w:val="restart"/>
                  <w:tcBorders>
                    <w:tl2br w:val="nil"/>
                    <w:tr2bl w:val="nil"/>
                  </w:tcBorders>
                  <w:noWrap w:val="0"/>
                  <w:vAlign w:val="center"/>
                </w:tcPr>
                <w:p w14:paraId="5FC1D3A9">
                  <w:pPr>
                    <w:pStyle w:val="34"/>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lang w:val="en-US" w:eastAsia="zh-CN"/>
                    </w:rPr>
                    <w:t>废气量</w:t>
                  </w:r>
                  <w:r>
                    <w:rPr>
                      <w:rFonts w:hint="default" w:ascii="Times New Roman" w:hAnsi="Times New Roman" w:eastAsia="宋体" w:cs="Times New Roman"/>
                      <w:color w:val="auto"/>
                      <w:sz w:val="20"/>
                      <w:szCs w:val="20"/>
                    </w:rPr>
                    <w:t>m</w:t>
                  </w:r>
                  <w:r>
                    <w:rPr>
                      <w:rFonts w:hint="default" w:ascii="Times New Roman" w:hAnsi="Times New Roman" w:eastAsia="宋体" w:cs="Times New Roman"/>
                      <w:color w:val="auto"/>
                      <w:sz w:val="20"/>
                      <w:szCs w:val="20"/>
                      <w:vertAlign w:val="superscript"/>
                    </w:rPr>
                    <w:t>3</w:t>
                  </w:r>
                  <w:r>
                    <w:rPr>
                      <w:rFonts w:hint="default" w:ascii="Times New Roman" w:hAnsi="Times New Roman" w:eastAsia="宋体" w:cs="Times New Roman"/>
                      <w:color w:val="auto"/>
                      <w:sz w:val="20"/>
                      <w:szCs w:val="20"/>
                    </w:rPr>
                    <w:t>/h</w:t>
                  </w:r>
                </w:p>
              </w:tc>
              <w:tc>
                <w:tcPr>
                  <w:tcW w:w="1502" w:type="pct"/>
                  <w:gridSpan w:val="3"/>
                  <w:tcBorders>
                    <w:tl2br w:val="nil"/>
                    <w:tr2bl w:val="nil"/>
                  </w:tcBorders>
                  <w:noWrap w:val="0"/>
                  <w:vAlign w:val="center"/>
                </w:tcPr>
                <w:p w14:paraId="118DC301">
                  <w:pPr>
                    <w:pStyle w:val="34"/>
                    <w:rPr>
                      <w:rFonts w:hint="default" w:ascii="Times New Roman" w:hAnsi="Times New Roman" w:eastAsia="宋体" w:cs="Times New Roman"/>
                      <w:color w:val="auto"/>
                      <w:sz w:val="20"/>
                      <w:szCs w:val="20"/>
                      <w:lang w:val="en-US" w:eastAsia="zh-CN"/>
                    </w:rPr>
                  </w:pPr>
                  <w:r>
                    <w:rPr>
                      <w:rFonts w:hint="eastAsia" w:ascii="Times New Roman" w:hAnsi="Times New Roman" w:eastAsia="宋体" w:cs="Times New Roman"/>
                      <w:color w:val="auto"/>
                      <w:sz w:val="20"/>
                      <w:szCs w:val="20"/>
                      <w:lang w:val="en-US" w:eastAsia="zh-CN"/>
                    </w:rPr>
                    <w:t>排放情况</w:t>
                  </w:r>
                </w:p>
              </w:tc>
              <w:tc>
                <w:tcPr>
                  <w:tcW w:w="551" w:type="pct"/>
                  <w:vMerge w:val="restart"/>
                  <w:tcBorders>
                    <w:tl2br w:val="nil"/>
                    <w:tr2bl w:val="nil"/>
                  </w:tcBorders>
                  <w:noWrap w:val="0"/>
                  <w:vAlign w:val="center"/>
                </w:tcPr>
                <w:p w14:paraId="1D37AACF">
                  <w:pPr>
                    <w:pStyle w:val="34"/>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排放标准mg/m</w:t>
                  </w:r>
                  <w:r>
                    <w:rPr>
                      <w:rFonts w:hint="default" w:ascii="Times New Roman" w:hAnsi="Times New Roman" w:eastAsia="宋体" w:cs="Times New Roman"/>
                      <w:color w:val="auto"/>
                      <w:sz w:val="20"/>
                      <w:szCs w:val="20"/>
                      <w:vertAlign w:val="superscript"/>
                    </w:rPr>
                    <w:t>3</w:t>
                  </w:r>
                </w:p>
              </w:tc>
            </w:tr>
            <w:tr w14:paraId="20630C5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400" w:type="pct"/>
                  <w:vMerge w:val="continue"/>
                  <w:tcBorders>
                    <w:tl2br w:val="nil"/>
                    <w:tr2bl w:val="nil"/>
                  </w:tcBorders>
                  <w:noWrap w:val="0"/>
                  <w:vAlign w:val="center"/>
                </w:tcPr>
                <w:p w14:paraId="6E169949">
                  <w:pPr>
                    <w:pStyle w:val="34"/>
                    <w:rPr>
                      <w:rFonts w:hint="default" w:ascii="Times New Roman" w:hAnsi="Times New Roman" w:eastAsia="宋体" w:cs="Times New Roman"/>
                      <w:color w:val="auto"/>
                      <w:sz w:val="20"/>
                      <w:szCs w:val="20"/>
                    </w:rPr>
                  </w:pPr>
                </w:p>
              </w:tc>
              <w:tc>
                <w:tcPr>
                  <w:tcW w:w="479" w:type="pct"/>
                  <w:vMerge w:val="continue"/>
                  <w:tcBorders>
                    <w:tl2br w:val="nil"/>
                    <w:tr2bl w:val="nil"/>
                  </w:tcBorders>
                  <w:noWrap w:val="0"/>
                  <w:vAlign w:val="center"/>
                </w:tcPr>
                <w:p w14:paraId="7AA410CC">
                  <w:pPr>
                    <w:pStyle w:val="34"/>
                    <w:rPr>
                      <w:rFonts w:hint="default" w:ascii="Times New Roman" w:hAnsi="Times New Roman" w:eastAsia="宋体" w:cs="Times New Roman"/>
                      <w:color w:val="auto"/>
                      <w:sz w:val="20"/>
                      <w:szCs w:val="20"/>
                    </w:rPr>
                  </w:pPr>
                </w:p>
              </w:tc>
              <w:tc>
                <w:tcPr>
                  <w:tcW w:w="557" w:type="pct"/>
                  <w:tcBorders>
                    <w:tl2br w:val="nil"/>
                    <w:tr2bl w:val="nil"/>
                  </w:tcBorders>
                  <w:noWrap w:val="0"/>
                  <w:vAlign w:val="center"/>
                </w:tcPr>
                <w:p w14:paraId="06C8625F">
                  <w:pPr>
                    <w:pStyle w:val="34"/>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浓度mg/m</w:t>
                  </w:r>
                  <w:r>
                    <w:rPr>
                      <w:rFonts w:hint="default" w:ascii="Times New Roman" w:hAnsi="Times New Roman" w:eastAsia="宋体" w:cs="Times New Roman"/>
                      <w:color w:val="auto"/>
                      <w:sz w:val="20"/>
                      <w:szCs w:val="20"/>
                      <w:vertAlign w:val="superscript"/>
                    </w:rPr>
                    <w:t>3</w:t>
                  </w:r>
                </w:p>
              </w:tc>
              <w:tc>
                <w:tcPr>
                  <w:tcW w:w="476" w:type="pct"/>
                  <w:tcBorders>
                    <w:tl2br w:val="nil"/>
                    <w:tr2bl w:val="nil"/>
                  </w:tcBorders>
                  <w:noWrap w:val="0"/>
                  <w:vAlign w:val="center"/>
                </w:tcPr>
                <w:p w14:paraId="18E9B0AE">
                  <w:pPr>
                    <w:pStyle w:val="34"/>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速率kg/h</w:t>
                  </w:r>
                </w:p>
              </w:tc>
              <w:tc>
                <w:tcPr>
                  <w:tcW w:w="524" w:type="pct"/>
                  <w:tcBorders>
                    <w:tl2br w:val="nil"/>
                    <w:tr2bl w:val="nil"/>
                  </w:tcBorders>
                  <w:noWrap w:val="0"/>
                  <w:vAlign w:val="center"/>
                </w:tcPr>
                <w:p w14:paraId="14EB3620">
                  <w:pPr>
                    <w:pStyle w:val="34"/>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产生量</w:t>
                  </w:r>
                </w:p>
                <w:p w14:paraId="2C80ECDF">
                  <w:pPr>
                    <w:pStyle w:val="34"/>
                    <w:rPr>
                      <w:rFonts w:hint="default" w:ascii="Times New Roman" w:hAnsi="Times New Roman" w:eastAsia="宋体" w:cs="Times New Roman"/>
                      <w:color w:val="auto"/>
                      <w:sz w:val="20"/>
                      <w:szCs w:val="20"/>
                    </w:rPr>
                  </w:pPr>
                  <w:r>
                    <w:rPr>
                      <w:rFonts w:hint="eastAsia" w:ascii="Times New Roman" w:hAnsi="Times New Roman" w:eastAsia="宋体" w:cs="Times New Roman"/>
                      <w:color w:val="auto"/>
                      <w:sz w:val="20"/>
                      <w:szCs w:val="20"/>
                      <w:lang w:val="en-US" w:eastAsia="zh-CN"/>
                    </w:rPr>
                    <w:t>t</w:t>
                  </w:r>
                  <w:r>
                    <w:rPr>
                      <w:rFonts w:hint="default" w:ascii="Times New Roman" w:hAnsi="Times New Roman" w:eastAsia="宋体" w:cs="Times New Roman"/>
                      <w:color w:val="auto"/>
                      <w:sz w:val="20"/>
                      <w:szCs w:val="20"/>
                    </w:rPr>
                    <w:t>/a</w:t>
                  </w:r>
                </w:p>
              </w:tc>
              <w:tc>
                <w:tcPr>
                  <w:tcW w:w="508" w:type="pct"/>
                  <w:vMerge w:val="continue"/>
                  <w:tcBorders>
                    <w:tl2br w:val="nil"/>
                    <w:tr2bl w:val="nil"/>
                  </w:tcBorders>
                  <w:noWrap w:val="0"/>
                  <w:vAlign w:val="center"/>
                </w:tcPr>
                <w:p w14:paraId="2195A0C6">
                  <w:pPr>
                    <w:pStyle w:val="34"/>
                    <w:rPr>
                      <w:rFonts w:hint="default" w:ascii="Times New Roman" w:hAnsi="Times New Roman" w:eastAsia="宋体" w:cs="Times New Roman"/>
                      <w:color w:val="auto"/>
                      <w:sz w:val="20"/>
                      <w:szCs w:val="20"/>
                    </w:rPr>
                  </w:pPr>
                </w:p>
              </w:tc>
              <w:tc>
                <w:tcPr>
                  <w:tcW w:w="533" w:type="pct"/>
                  <w:tcBorders>
                    <w:tl2br w:val="nil"/>
                    <w:tr2bl w:val="nil"/>
                  </w:tcBorders>
                  <w:noWrap w:val="0"/>
                  <w:vAlign w:val="center"/>
                </w:tcPr>
                <w:p w14:paraId="6E7F932A">
                  <w:pPr>
                    <w:pStyle w:val="34"/>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浓度mg/m</w:t>
                  </w:r>
                  <w:r>
                    <w:rPr>
                      <w:rFonts w:hint="default" w:ascii="Times New Roman" w:hAnsi="Times New Roman" w:eastAsia="宋体" w:cs="Times New Roman"/>
                      <w:color w:val="auto"/>
                      <w:sz w:val="20"/>
                      <w:szCs w:val="20"/>
                      <w:vertAlign w:val="superscript"/>
                    </w:rPr>
                    <w:t>3</w:t>
                  </w:r>
                </w:p>
              </w:tc>
              <w:tc>
                <w:tcPr>
                  <w:tcW w:w="493" w:type="pct"/>
                  <w:tcBorders>
                    <w:tl2br w:val="nil"/>
                    <w:tr2bl w:val="nil"/>
                  </w:tcBorders>
                  <w:noWrap w:val="0"/>
                  <w:vAlign w:val="center"/>
                </w:tcPr>
                <w:p w14:paraId="1FDAEA6E">
                  <w:pPr>
                    <w:pStyle w:val="34"/>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速率</w:t>
                  </w:r>
                </w:p>
                <w:p w14:paraId="091E59D0">
                  <w:pPr>
                    <w:pStyle w:val="34"/>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kg/h</w:t>
                  </w:r>
                </w:p>
              </w:tc>
              <w:tc>
                <w:tcPr>
                  <w:tcW w:w="476" w:type="pct"/>
                  <w:tcBorders>
                    <w:tl2br w:val="nil"/>
                    <w:tr2bl w:val="nil"/>
                  </w:tcBorders>
                  <w:noWrap w:val="0"/>
                  <w:vAlign w:val="center"/>
                </w:tcPr>
                <w:p w14:paraId="44CAE222">
                  <w:pPr>
                    <w:pStyle w:val="34"/>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sz w:val="20"/>
                      <w:szCs w:val="20"/>
                    </w:rPr>
                    <w:t>排放量</w:t>
                  </w:r>
                  <w:r>
                    <w:rPr>
                      <w:rFonts w:hint="eastAsia" w:ascii="Times New Roman" w:hAnsi="Times New Roman" w:eastAsia="宋体" w:cs="Times New Roman"/>
                      <w:color w:val="auto"/>
                      <w:sz w:val="20"/>
                      <w:szCs w:val="20"/>
                      <w:lang w:val="en-US" w:eastAsia="zh-CN"/>
                    </w:rPr>
                    <w:t>t</w:t>
                  </w:r>
                  <w:r>
                    <w:rPr>
                      <w:rFonts w:hint="default" w:ascii="Times New Roman" w:hAnsi="Times New Roman" w:eastAsia="宋体" w:cs="Times New Roman"/>
                      <w:color w:val="auto"/>
                      <w:sz w:val="20"/>
                      <w:szCs w:val="20"/>
                    </w:rPr>
                    <w:t>/a</w:t>
                  </w:r>
                </w:p>
              </w:tc>
              <w:tc>
                <w:tcPr>
                  <w:tcW w:w="551" w:type="pct"/>
                  <w:vMerge w:val="continue"/>
                  <w:tcBorders>
                    <w:tl2br w:val="nil"/>
                    <w:tr2bl w:val="nil"/>
                  </w:tcBorders>
                  <w:noWrap w:val="0"/>
                  <w:vAlign w:val="center"/>
                </w:tcPr>
                <w:p w14:paraId="0302C248">
                  <w:pPr>
                    <w:pStyle w:val="34"/>
                    <w:rPr>
                      <w:rFonts w:hint="default" w:ascii="Times New Roman" w:hAnsi="Times New Roman" w:eastAsia="宋体" w:cs="Times New Roman"/>
                      <w:color w:val="auto"/>
                      <w:sz w:val="20"/>
                      <w:szCs w:val="20"/>
                    </w:rPr>
                  </w:pPr>
                </w:p>
              </w:tc>
            </w:tr>
            <w:tr w14:paraId="7412AA5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400" w:type="pct"/>
                  <w:tcBorders>
                    <w:tl2br w:val="nil"/>
                    <w:tr2bl w:val="nil"/>
                  </w:tcBorders>
                  <w:noWrap w:val="0"/>
                  <w:vAlign w:val="center"/>
                </w:tcPr>
                <w:p w14:paraId="3897DA75">
                  <w:pPr>
                    <w:pStyle w:val="34"/>
                    <w:rPr>
                      <w:rFonts w:hint="default" w:ascii="Times New Roman" w:hAnsi="Times New Roman" w:eastAsia="宋体" w:cs="Times New Roman"/>
                      <w:color w:val="auto"/>
                      <w:sz w:val="20"/>
                      <w:szCs w:val="20"/>
                      <w:lang w:val="en-US" w:eastAsia="zh-CN"/>
                    </w:rPr>
                  </w:pPr>
                  <w:r>
                    <w:rPr>
                      <w:rFonts w:hint="eastAsia" w:ascii="Times New Roman" w:hAnsi="Times New Roman" w:eastAsia="宋体" w:cs="Times New Roman"/>
                      <w:color w:val="auto"/>
                      <w:sz w:val="20"/>
                      <w:szCs w:val="20"/>
                      <w:lang w:val="en-US" w:eastAsia="zh-CN"/>
                    </w:rPr>
                    <w:t>储罐呼吸废气</w:t>
                  </w:r>
                </w:p>
              </w:tc>
              <w:tc>
                <w:tcPr>
                  <w:tcW w:w="479" w:type="pct"/>
                  <w:tcBorders>
                    <w:tl2br w:val="nil"/>
                    <w:tr2bl w:val="nil"/>
                  </w:tcBorders>
                  <w:noWrap w:val="0"/>
                  <w:vAlign w:val="center"/>
                </w:tcPr>
                <w:p w14:paraId="1C011CBA">
                  <w:pPr>
                    <w:spacing w:line="240" w:lineRule="auto"/>
                    <w:jc w:val="center"/>
                    <w:rPr>
                      <w:rFonts w:hint="default" w:ascii="Times New Roman" w:hAnsi="Times New Roman" w:eastAsia="宋体" w:cs="Times New Roman"/>
                      <w:color w:val="auto"/>
                      <w:sz w:val="20"/>
                      <w:szCs w:val="20"/>
                    </w:rPr>
                  </w:pPr>
                  <w:r>
                    <w:rPr>
                      <w:rFonts w:hint="default" w:ascii="Times New Roman" w:hAnsi="Times New Roman" w:eastAsia="宋体" w:cs="Times New Roman"/>
                      <w:sz w:val="20"/>
                      <w:szCs w:val="20"/>
                      <w:lang w:val="en-US" w:eastAsia="zh-CN"/>
                    </w:rPr>
                    <w:t>NMHC</w:t>
                  </w:r>
                </w:p>
              </w:tc>
              <w:tc>
                <w:tcPr>
                  <w:tcW w:w="557" w:type="pct"/>
                  <w:tcBorders>
                    <w:tl2br w:val="nil"/>
                    <w:tr2bl w:val="nil"/>
                  </w:tcBorders>
                  <w:noWrap w:val="0"/>
                  <w:vAlign w:val="center"/>
                </w:tcPr>
                <w:p w14:paraId="1C5D9D2A">
                  <w:pPr>
                    <w:keepNext w:val="0"/>
                    <w:keepLines w:val="0"/>
                    <w:widowControl/>
                    <w:suppressLineNumbers w:val="0"/>
                    <w:jc w:val="center"/>
                    <w:textAlignment w:val="center"/>
                    <w:rPr>
                      <w:rFonts w:hint="default" w:ascii="Times New Roman" w:hAnsi="Times New Roman" w:eastAsia="宋体" w:cs="Times New Roman"/>
                      <w:color w:val="auto"/>
                      <w:sz w:val="20"/>
                      <w:szCs w:val="20"/>
                    </w:rPr>
                  </w:pPr>
                  <w:r>
                    <w:rPr>
                      <w:rFonts w:hint="default" w:ascii="Times New Roman" w:hAnsi="Times New Roman" w:eastAsia="宋体" w:cs="Times New Roman"/>
                      <w:i w:val="0"/>
                      <w:iCs w:val="0"/>
                      <w:color w:val="000000"/>
                      <w:kern w:val="0"/>
                      <w:sz w:val="20"/>
                      <w:szCs w:val="20"/>
                      <w:u w:val="none"/>
                      <w:lang w:val="en-US" w:eastAsia="zh-CN" w:bidi="ar"/>
                    </w:rPr>
                    <w:t>10.625</w:t>
                  </w:r>
                </w:p>
              </w:tc>
              <w:tc>
                <w:tcPr>
                  <w:tcW w:w="476" w:type="pct"/>
                  <w:tcBorders>
                    <w:tl2br w:val="nil"/>
                    <w:tr2bl w:val="nil"/>
                  </w:tcBorders>
                  <w:noWrap w:val="0"/>
                  <w:vAlign w:val="center"/>
                </w:tcPr>
                <w:p w14:paraId="5CE41236">
                  <w:pPr>
                    <w:keepNext w:val="0"/>
                    <w:keepLines w:val="0"/>
                    <w:widowControl/>
                    <w:suppressLineNumbers w:val="0"/>
                    <w:jc w:val="center"/>
                    <w:textAlignment w:val="center"/>
                    <w:rPr>
                      <w:rFonts w:hint="default" w:ascii="Times New Roman" w:hAnsi="Times New Roman" w:eastAsia="宋体" w:cs="Times New Roman"/>
                      <w:b w:val="0"/>
                      <w:bCs w:val="0"/>
                      <w:color w:val="auto"/>
                      <w:kern w:val="0"/>
                      <w:sz w:val="20"/>
                      <w:szCs w:val="20"/>
                      <w:vertAlign w:val="baseli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0.021</w:t>
                  </w:r>
                </w:p>
              </w:tc>
              <w:tc>
                <w:tcPr>
                  <w:tcW w:w="524" w:type="pct"/>
                  <w:tcBorders>
                    <w:tl2br w:val="nil"/>
                    <w:tr2bl w:val="nil"/>
                  </w:tcBorders>
                  <w:noWrap w:val="0"/>
                  <w:vAlign w:val="center"/>
                </w:tcPr>
                <w:p w14:paraId="7F821482">
                  <w:pPr>
                    <w:keepNext w:val="0"/>
                    <w:keepLines w:val="0"/>
                    <w:widowControl/>
                    <w:suppressLineNumbers w:val="0"/>
                    <w:jc w:val="center"/>
                    <w:textAlignment w:val="center"/>
                    <w:rPr>
                      <w:rFonts w:hint="default" w:ascii="Times New Roman" w:hAnsi="Times New Roman" w:eastAsia="宋体" w:cs="Times New Roman"/>
                      <w:b w:val="0"/>
                      <w:bCs w:val="0"/>
                      <w:color w:val="auto"/>
                      <w:kern w:val="0"/>
                      <w:sz w:val="20"/>
                      <w:szCs w:val="20"/>
                      <w:vertAlign w:val="baseli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0.102</w:t>
                  </w:r>
                </w:p>
              </w:tc>
              <w:tc>
                <w:tcPr>
                  <w:tcW w:w="508" w:type="pct"/>
                  <w:tcBorders>
                    <w:tl2br w:val="nil"/>
                    <w:tr2bl w:val="nil"/>
                  </w:tcBorders>
                  <w:noWrap w:val="0"/>
                  <w:vAlign w:val="center"/>
                </w:tcPr>
                <w:p w14:paraId="7AACBB79">
                  <w:pPr>
                    <w:keepNext w:val="0"/>
                    <w:keepLines w:val="0"/>
                    <w:widowControl/>
                    <w:suppressLineNumbers w:val="0"/>
                    <w:jc w:val="center"/>
                    <w:textAlignment w:val="center"/>
                    <w:rPr>
                      <w:rFonts w:hint="default" w:ascii="Times New Roman" w:hAnsi="Times New Roman" w:eastAsia="宋体" w:cs="Times New Roman"/>
                      <w:color w:val="auto"/>
                      <w:sz w:val="20"/>
                      <w:szCs w:val="20"/>
                      <w:lang w:val="en-US" w:eastAsia="zh-CN"/>
                    </w:rPr>
                  </w:pPr>
                  <w:r>
                    <w:rPr>
                      <w:rFonts w:hint="default" w:ascii="Times New Roman" w:hAnsi="Times New Roman" w:eastAsia="宋体" w:cs="Times New Roman"/>
                      <w:i w:val="0"/>
                      <w:iCs w:val="0"/>
                      <w:color w:val="000000"/>
                      <w:kern w:val="0"/>
                      <w:sz w:val="20"/>
                      <w:szCs w:val="20"/>
                      <w:u w:val="none"/>
                      <w:lang w:val="en-US" w:eastAsia="zh-CN" w:bidi="ar"/>
                    </w:rPr>
                    <w:t>2000</w:t>
                  </w:r>
                </w:p>
              </w:tc>
              <w:tc>
                <w:tcPr>
                  <w:tcW w:w="533" w:type="pct"/>
                  <w:tcBorders>
                    <w:tl2br w:val="nil"/>
                    <w:tr2bl w:val="nil"/>
                  </w:tcBorders>
                  <w:noWrap w:val="0"/>
                  <w:vAlign w:val="center"/>
                </w:tcPr>
                <w:p w14:paraId="4C11FDB2">
                  <w:pPr>
                    <w:keepNext w:val="0"/>
                    <w:keepLines w:val="0"/>
                    <w:widowControl/>
                    <w:suppressLineNumbers w:val="0"/>
                    <w:jc w:val="center"/>
                    <w:textAlignment w:val="center"/>
                    <w:rPr>
                      <w:rFonts w:hint="default" w:ascii="Times New Roman" w:hAnsi="Times New Roman" w:eastAsia="宋体" w:cs="Times New Roman"/>
                      <w:color w:val="auto"/>
                      <w:sz w:val="20"/>
                      <w:szCs w:val="20"/>
                    </w:rPr>
                  </w:pPr>
                  <w:r>
                    <w:rPr>
                      <w:rFonts w:hint="default" w:ascii="Times New Roman" w:hAnsi="Times New Roman" w:eastAsia="宋体" w:cs="Times New Roman"/>
                      <w:i w:val="0"/>
                      <w:iCs w:val="0"/>
                      <w:color w:val="000000"/>
                      <w:kern w:val="0"/>
                      <w:sz w:val="20"/>
                      <w:szCs w:val="20"/>
                      <w:u w:val="none"/>
                      <w:lang w:val="en-US" w:eastAsia="zh-CN" w:bidi="ar"/>
                    </w:rPr>
                    <w:t>2.125</w:t>
                  </w:r>
                </w:p>
              </w:tc>
              <w:tc>
                <w:tcPr>
                  <w:tcW w:w="493" w:type="pct"/>
                  <w:tcBorders>
                    <w:tl2br w:val="nil"/>
                    <w:tr2bl w:val="nil"/>
                  </w:tcBorders>
                  <w:noWrap w:val="0"/>
                  <w:vAlign w:val="center"/>
                </w:tcPr>
                <w:p w14:paraId="00EFDE9D">
                  <w:pPr>
                    <w:keepNext w:val="0"/>
                    <w:keepLines w:val="0"/>
                    <w:widowControl/>
                    <w:suppressLineNumbers w:val="0"/>
                    <w:jc w:val="center"/>
                    <w:textAlignment w:val="center"/>
                    <w:rPr>
                      <w:rFonts w:hint="default" w:ascii="Times New Roman" w:hAnsi="Times New Roman" w:eastAsia="宋体" w:cs="Times New Roman"/>
                      <w:b w:val="0"/>
                      <w:bCs w:val="0"/>
                      <w:color w:val="auto"/>
                      <w:kern w:val="0"/>
                      <w:sz w:val="20"/>
                      <w:szCs w:val="20"/>
                      <w:vertAlign w:val="baseli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0.004</w:t>
                  </w:r>
                </w:p>
              </w:tc>
              <w:tc>
                <w:tcPr>
                  <w:tcW w:w="476" w:type="pct"/>
                  <w:tcBorders>
                    <w:tl2br w:val="nil"/>
                    <w:tr2bl w:val="nil"/>
                  </w:tcBorders>
                  <w:noWrap w:val="0"/>
                  <w:vAlign w:val="center"/>
                </w:tcPr>
                <w:p w14:paraId="2AB64E48">
                  <w:pPr>
                    <w:keepNext w:val="0"/>
                    <w:keepLines w:val="0"/>
                    <w:widowControl/>
                    <w:suppressLineNumbers w:val="0"/>
                    <w:jc w:val="center"/>
                    <w:textAlignment w:val="center"/>
                    <w:rPr>
                      <w:rFonts w:hint="default" w:ascii="Times New Roman" w:hAnsi="Times New Roman" w:eastAsia="宋体" w:cs="Times New Roman"/>
                      <w:b w:val="0"/>
                      <w:bCs w:val="0"/>
                      <w:color w:val="auto"/>
                      <w:kern w:val="0"/>
                      <w:sz w:val="20"/>
                      <w:szCs w:val="20"/>
                      <w:vertAlign w:val="baseli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0.020</w:t>
                  </w:r>
                </w:p>
              </w:tc>
              <w:tc>
                <w:tcPr>
                  <w:tcW w:w="551" w:type="pct"/>
                  <w:tcBorders>
                    <w:tl2br w:val="nil"/>
                    <w:tr2bl w:val="nil"/>
                  </w:tcBorders>
                  <w:noWrap w:val="0"/>
                  <w:vAlign w:val="center"/>
                </w:tcPr>
                <w:p w14:paraId="56BDD628">
                  <w:pPr>
                    <w:pStyle w:val="34"/>
                    <w:rPr>
                      <w:rFonts w:hint="default" w:ascii="Times New Roman" w:hAnsi="Times New Roman" w:eastAsia="宋体" w:cs="Times New Roman"/>
                      <w:color w:val="auto"/>
                      <w:sz w:val="20"/>
                      <w:szCs w:val="20"/>
                      <w:lang w:val="en-US" w:eastAsia="zh-CN"/>
                    </w:rPr>
                  </w:pPr>
                  <w:r>
                    <w:rPr>
                      <w:rFonts w:hint="eastAsia" w:cs="Times New Roman"/>
                      <w:color w:val="auto"/>
                      <w:sz w:val="20"/>
                      <w:szCs w:val="20"/>
                      <w:lang w:val="en-US" w:eastAsia="zh-CN"/>
                    </w:rPr>
                    <w:t>120</w:t>
                  </w:r>
                </w:p>
              </w:tc>
            </w:tr>
          </w:tbl>
          <w:p w14:paraId="47893174">
            <w:pPr>
              <w:spacing w:line="360" w:lineRule="auto"/>
              <w:rPr>
                <w:rFonts w:hint="default" w:ascii="Times New Roman" w:hAnsi="Times New Roman" w:cs="Times New Roman"/>
                <w:color w:val="000000" w:themeColor="text1"/>
                <w:sz w:val="24"/>
                <w:szCs w:val="32"/>
                <w:highlight w:val="none"/>
                <w14:textFill>
                  <w14:solidFill>
                    <w14:schemeClr w14:val="tx1"/>
                  </w14:solidFill>
                </w14:textFill>
              </w:rPr>
            </w:pPr>
          </w:p>
          <w:p w14:paraId="7C406A97">
            <w:pPr>
              <w:pStyle w:val="68"/>
              <w:ind w:firstLine="48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本项目有组织非甲烷总烃排放满足《大气污染物综合排放标准》（GB16297-1996）表2中二级限值要求；厂区内NMHC无组织排放浓度满足《挥发性有机物无组织污染控制标准》（GB37822-2019）附录A.1中标准限值要求，厂界NMHC无组织排放浓度满足《大气污染物综合排放标准》（GB16297-1996）表2新建企业无组织排放监控浓度限值。综上，本项目对敏感目标及区域内环境质量影响较小。</w:t>
            </w:r>
          </w:p>
          <w:p w14:paraId="6D40A5CA">
            <w:pPr>
              <w:pStyle w:val="68"/>
              <w:ind w:firstLine="482"/>
              <w:rPr>
                <w:rFonts w:hint="default" w:ascii="Times New Roman" w:hAnsi="Times New Roman" w:cs="Times New Roman"/>
                <w:b/>
                <w:bCs w:val="0"/>
                <w:color w:val="000000" w:themeColor="text1"/>
                <w:highlight w:val="none"/>
                <w14:textFill>
                  <w14:solidFill>
                    <w14:schemeClr w14:val="tx1"/>
                  </w14:solidFill>
                </w14:textFill>
              </w:rPr>
            </w:pPr>
            <w:r>
              <w:rPr>
                <w:rFonts w:hint="default" w:ascii="Times New Roman" w:hAnsi="Times New Roman" w:cs="Times New Roman"/>
                <w:b/>
                <w:bCs w:val="0"/>
                <w:color w:val="000000" w:themeColor="text1"/>
                <w:highlight w:val="none"/>
                <w14:textFill>
                  <w14:solidFill>
                    <w14:schemeClr w14:val="tx1"/>
                  </w14:solidFill>
                </w14:textFill>
              </w:rPr>
              <w:t>（2）监测要求</w:t>
            </w:r>
          </w:p>
          <w:p w14:paraId="655F05BE">
            <w:pPr>
              <w:pStyle w:val="83"/>
              <w:tabs>
                <w:tab w:val="center" w:pos="4011"/>
                <w:tab w:val="clear" w:pos="3990"/>
              </w:tabs>
              <w:spacing w:line="360" w:lineRule="auto"/>
              <w:ind w:firstLine="480"/>
              <w:rPr>
                <w:rFonts w:hint="default" w:ascii="Times New Roman" w:hAnsi="Times New Roman" w:cs="Times New Roman"/>
                <w:b w:val="0"/>
                <w:bCs/>
                <w:color w:val="000000" w:themeColor="text1"/>
                <w:sz w:val="24"/>
                <w:szCs w:val="32"/>
                <w:highlight w:val="none"/>
                <w14:textFill>
                  <w14:solidFill>
                    <w14:schemeClr w14:val="tx1"/>
                  </w14:solidFill>
                </w14:textFill>
              </w:rPr>
            </w:pPr>
            <w:r>
              <w:rPr>
                <w:rFonts w:hint="default" w:ascii="Times New Roman" w:hAnsi="Times New Roman" w:cs="Times New Roman"/>
                <w:b w:val="0"/>
                <w:bCs/>
                <w:color w:val="000000" w:themeColor="text1"/>
                <w:sz w:val="24"/>
                <w:szCs w:val="32"/>
                <w:highlight w:val="none"/>
                <w14:textFill>
                  <w14:solidFill>
                    <w14:schemeClr w14:val="tx1"/>
                  </w14:solidFill>
                </w14:textFill>
              </w:rPr>
              <w:t>根据《排污单位自行监测技术指南 总则》（HJ819-2017），本项目废气自行监测计划如下：</w:t>
            </w:r>
          </w:p>
          <w:p w14:paraId="15D30A03">
            <w:pPr>
              <w:pStyle w:val="83"/>
              <w:tabs>
                <w:tab w:val="center" w:pos="4011"/>
                <w:tab w:val="clear" w:pos="3990"/>
              </w:tabs>
              <w:ind w:firstLine="0" w:firstLineChars="0"/>
              <w:jc w:val="center"/>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表4-</w:t>
            </w:r>
            <w:r>
              <w:rPr>
                <w:rFonts w:hint="eastAsia" w:cs="Times New Roman"/>
                <w:color w:val="000000" w:themeColor="text1"/>
                <w:highlight w:val="none"/>
                <w:lang w:val="en-US" w:eastAsia="zh-CN"/>
                <w14:textFill>
                  <w14:solidFill>
                    <w14:schemeClr w14:val="tx1"/>
                  </w14:solidFill>
                </w14:textFill>
              </w:rPr>
              <w:t>2</w:t>
            </w:r>
            <w:r>
              <w:rPr>
                <w:rFonts w:hint="default" w:ascii="Times New Roman" w:hAnsi="Times New Roman" w:cs="Times New Roman"/>
                <w:color w:val="000000" w:themeColor="text1"/>
                <w:highlight w:val="none"/>
                <w14:textFill>
                  <w14:solidFill>
                    <w14:schemeClr w14:val="tx1"/>
                  </w14:solidFill>
                </w14:textFill>
              </w:rPr>
              <w:t xml:space="preserve">  本项目环境监测计划</w:t>
            </w:r>
          </w:p>
          <w:tbl>
            <w:tblPr>
              <w:tblStyle w:val="27"/>
              <w:tblW w:w="0" w:type="auto"/>
              <w:jc w:val="center"/>
              <w:tblBorders>
                <w:top w:val="double" w:color="auto" w:sz="4" w:space="0"/>
                <w:left w:val="none" w:color="auto" w:sz="0" w:space="0"/>
                <w:bottom w:val="doub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811"/>
              <w:gridCol w:w="1875"/>
              <w:gridCol w:w="1529"/>
              <w:gridCol w:w="1217"/>
              <w:gridCol w:w="3273"/>
            </w:tblGrid>
            <w:tr w14:paraId="433B0028">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11" w:type="dxa"/>
                  <w:vAlign w:val="center"/>
                </w:tcPr>
                <w:p w14:paraId="295F6F47">
                  <w:pPr>
                    <w:pStyle w:val="11"/>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类别</w:t>
                  </w:r>
                </w:p>
              </w:tc>
              <w:tc>
                <w:tcPr>
                  <w:tcW w:w="1875" w:type="dxa"/>
                  <w:vAlign w:val="center"/>
                </w:tcPr>
                <w:p w14:paraId="277AD3EF">
                  <w:pPr>
                    <w:pStyle w:val="11"/>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监测点位</w:t>
                  </w:r>
                </w:p>
              </w:tc>
              <w:tc>
                <w:tcPr>
                  <w:tcW w:w="1529" w:type="dxa"/>
                  <w:vAlign w:val="center"/>
                </w:tcPr>
                <w:p w14:paraId="7658521D">
                  <w:pPr>
                    <w:pStyle w:val="11"/>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项目</w:t>
                  </w:r>
                </w:p>
              </w:tc>
              <w:tc>
                <w:tcPr>
                  <w:tcW w:w="1217" w:type="dxa"/>
                  <w:vAlign w:val="center"/>
                </w:tcPr>
                <w:p w14:paraId="4C551D5A">
                  <w:pPr>
                    <w:pStyle w:val="11"/>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监测频率</w:t>
                  </w:r>
                </w:p>
              </w:tc>
              <w:tc>
                <w:tcPr>
                  <w:tcW w:w="3273" w:type="dxa"/>
                  <w:vAlign w:val="center"/>
                </w:tcPr>
                <w:p w14:paraId="2D08F1EE">
                  <w:pPr>
                    <w:pStyle w:val="11"/>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执行标准</w:t>
                  </w:r>
                </w:p>
              </w:tc>
            </w:tr>
            <w:tr w14:paraId="4ECE5C34">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11" w:type="dxa"/>
                  <w:vMerge w:val="restart"/>
                  <w:vAlign w:val="center"/>
                </w:tcPr>
                <w:p w14:paraId="56BD187B">
                  <w:pPr>
                    <w:pStyle w:val="11"/>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废气</w:t>
                  </w:r>
                </w:p>
              </w:tc>
              <w:tc>
                <w:tcPr>
                  <w:tcW w:w="1875" w:type="dxa"/>
                  <w:vAlign w:val="center"/>
                </w:tcPr>
                <w:p w14:paraId="70DECAE7">
                  <w:pPr>
                    <w:pStyle w:val="11"/>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废气排放口</w:t>
                  </w:r>
                </w:p>
              </w:tc>
              <w:tc>
                <w:tcPr>
                  <w:tcW w:w="1529" w:type="dxa"/>
                  <w:vAlign w:val="center"/>
                </w:tcPr>
                <w:p w14:paraId="1181D233">
                  <w:pPr>
                    <w:pStyle w:val="11"/>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NMHC</w:t>
                  </w:r>
                </w:p>
              </w:tc>
              <w:tc>
                <w:tcPr>
                  <w:tcW w:w="1217" w:type="dxa"/>
                  <w:vAlign w:val="center"/>
                </w:tcPr>
                <w:p w14:paraId="7983DD60">
                  <w:pPr>
                    <w:pStyle w:val="11"/>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1次/年</w:t>
                  </w:r>
                </w:p>
              </w:tc>
              <w:tc>
                <w:tcPr>
                  <w:tcW w:w="3273" w:type="dxa"/>
                  <w:vAlign w:val="center"/>
                </w:tcPr>
                <w:p w14:paraId="69B43EC6">
                  <w:pPr>
                    <w:pStyle w:val="11"/>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《大气污染物综合排放标准》</w:t>
                  </w:r>
                </w:p>
              </w:tc>
            </w:tr>
            <w:tr w14:paraId="4A459693">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11" w:type="dxa"/>
                  <w:vMerge w:val="continue"/>
                  <w:vAlign w:val="center"/>
                </w:tcPr>
                <w:p w14:paraId="1EB3AF82">
                  <w:pPr>
                    <w:pStyle w:val="11"/>
                    <w:rPr>
                      <w:rFonts w:hint="default" w:ascii="Times New Roman" w:hAnsi="Times New Roman" w:cs="Times New Roman"/>
                      <w:color w:val="000000" w:themeColor="text1"/>
                      <w:highlight w:val="none"/>
                      <w14:textFill>
                        <w14:solidFill>
                          <w14:schemeClr w14:val="tx1"/>
                        </w14:solidFill>
                      </w14:textFill>
                    </w:rPr>
                  </w:pPr>
                </w:p>
              </w:tc>
              <w:tc>
                <w:tcPr>
                  <w:tcW w:w="1875" w:type="dxa"/>
                  <w:vAlign w:val="center"/>
                </w:tcPr>
                <w:p w14:paraId="504A0445">
                  <w:pPr>
                    <w:pStyle w:val="11"/>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厂区无组织排放</w:t>
                  </w:r>
                </w:p>
              </w:tc>
              <w:tc>
                <w:tcPr>
                  <w:tcW w:w="1529" w:type="dxa"/>
                  <w:vAlign w:val="center"/>
                </w:tcPr>
                <w:p w14:paraId="524E4129">
                  <w:pPr>
                    <w:pStyle w:val="11"/>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NMHC</w:t>
                  </w:r>
                </w:p>
              </w:tc>
              <w:tc>
                <w:tcPr>
                  <w:tcW w:w="1217" w:type="dxa"/>
                  <w:vAlign w:val="center"/>
                </w:tcPr>
                <w:p w14:paraId="193025D1">
                  <w:pPr>
                    <w:pStyle w:val="11"/>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1次/年</w:t>
                  </w:r>
                </w:p>
              </w:tc>
              <w:tc>
                <w:tcPr>
                  <w:tcW w:w="3273" w:type="dxa"/>
                  <w:vAlign w:val="center"/>
                </w:tcPr>
                <w:p w14:paraId="62B87505">
                  <w:pPr>
                    <w:pStyle w:val="11"/>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《挥发性有机物无组织排放控制标准》</w:t>
                  </w:r>
                </w:p>
              </w:tc>
            </w:tr>
            <w:tr w14:paraId="124C24BE">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11" w:type="dxa"/>
                  <w:vMerge w:val="continue"/>
                  <w:vAlign w:val="center"/>
                </w:tcPr>
                <w:p w14:paraId="4404F93E">
                  <w:pPr>
                    <w:pStyle w:val="11"/>
                    <w:rPr>
                      <w:rFonts w:hint="default" w:ascii="Times New Roman" w:hAnsi="Times New Roman" w:cs="Times New Roman"/>
                      <w:color w:val="000000" w:themeColor="text1"/>
                      <w:highlight w:val="none"/>
                      <w14:textFill>
                        <w14:solidFill>
                          <w14:schemeClr w14:val="tx1"/>
                        </w14:solidFill>
                      </w14:textFill>
                    </w:rPr>
                  </w:pPr>
                </w:p>
              </w:tc>
              <w:tc>
                <w:tcPr>
                  <w:tcW w:w="1875" w:type="dxa"/>
                  <w:vAlign w:val="center"/>
                </w:tcPr>
                <w:p w14:paraId="6EEC903F">
                  <w:pPr>
                    <w:pStyle w:val="11"/>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厂界无组织排放</w:t>
                  </w:r>
                </w:p>
              </w:tc>
              <w:tc>
                <w:tcPr>
                  <w:tcW w:w="1529" w:type="dxa"/>
                  <w:vAlign w:val="center"/>
                </w:tcPr>
                <w:p w14:paraId="10835F6B">
                  <w:pPr>
                    <w:pStyle w:val="11"/>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NMHC</w:t>
                  </w:r>
                </w:p>
              </w:tc>
              <w:tc>
                <w:tcPr>
                  <w:tcW w:w="1217" w:type="dxa"/>
                  <w:vAlign w:val="center"/>
                </w:tcPr>
                <w:p w14:paraId="27E96BA1">
                  <w:pPr>
                    <w:pStyle w:val="11"/>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1次/年</w:t>
                  </w:r>
                </w:p>
              </w:tc>
              <w:tc>
                <w:tcPr>
                  <w:tcW w:w="3273" w:type="dxa"/>
                  <w:vAlign w:val="center"/>
                </w:tcPr>
                <w:p w14:paraId="699BC95D">
                  <w:pPr>
                    <w:pStyle w:val="11"/>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《大气污染物综合排放标准》</w:t>
                  </w:r>
                </w:p>
              </w:tc>
            </w:tr>
          </w:tbl>
          <w:p w14:paraId="77F72A4A">
            <w:pPr>
              <w:pStyle w:val="68"/>
              <w:ind w:firstLine="48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（3）污染防治措施可行性论证</w:t>
            </w:r>
          </w:p>
          <w:p w14:paraId="068368B4">
            <w:pPr>
              <w:pStyle w:val="68"/>
              <w:ind w:firstLine="48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参照《排污许可证申请与核发技术规范  工业固体废物和危险废物治理》（HJ1033-2019）附录C废气可行性技术参考表，危险废物贮存过程环保措施不做要求，本项目</w:t>
            </w:r>
            <w:r>
              <w:rPr>
                <w:rFonts w:hint="eastAsia" w:cs="Times New Roman"/>
                <w:color w:val="000000" w:themeColor="text1"/>
                <w:highlight w:val="none"/>
                <w:lang w:val="en-US" w:eastAsia="zh-CN"/>
                <w14:textFill>
                  <w14:solidFill>
                    <w14:schemeClr w14:val="tx1"/>
                  </w14:solidFill>
                </w14:textFill>
              </w:rPr>
              <w:t>废矿物油储存</w:t>
            </w:r>
            <w:r>
              <w:rPr>
                <w:rFonts w:hint="default" w:ascii="Times New Roman" w:hAnsi="Times New Roman" w:cs="Times New Roman"/>
                <w:color w:val="000000" w:themeColor="text1"/>
                <w:highlight w:val="none"/>
                <w14:textFill>
                  <w14:solidFill>
                    <w14:schemeClr w14:val="tx1"/>
                  </w14:solidFill>
                </w14:textFill>
              </w:rPr>
              <w:t>密闭建设，</w:t>
            </w:r>
            <w:r>
              <w:rPr>
                <w:rFonts w:hint="eastAsia" w:cs="Times New Roman"/>
                <w:color w:val="000000" w:themeColor="text1"/>
                <w:highlight w:val="none"/>
                <w:lang w:val="en-US" w:eastAsia="zh-CN"/>
                <w14:textFill>
                  <w14:solidFill>
                    <w14:schemeClr w14:val="tx1"/>
                  </w14:solidFill>
                </w14:textFill>
              </w:rPr>
              <w:t>储罐</w:t>
            </w:r>
            <w:r>
              <w:rPr>
                <w:rFonts w:hint="default" w:ascii="Times New Roman" w:hAnsi="Times New Roman" w:cs="Times New Roman"/>
                <w:color w:val="000000" w:themeColor="text1"/>
                <w:highlight w:val="none"/>
                <w14:textFill>
                  <w14:solidFill>
                    <w14:schemeClr w14:val="tx1"/>
                  </w14:solidFill>
                </w14:textFill>
              </w:rPr>
              <w:t>设有收集管道，废气经</w:t>
            </w:r>
            <w:r>
              <w:rPr>
                <w:rFonts w:hint="eastAsia" w:cs="Times New Roman"/>
                <w:color w:val="000000" w:themeColor="text1"/>
                <w:highlight w:val="none"/>
                <w:lang w:val="en-US" w:eastAsia="zh-CN"/>
                <w14:textFill>
                  <w14:solidFill>
                    <w14:schemeClr w14:val="tx1"/>
                  </w14:solidFill>
                </w14:textFill>
              </w:rPr>
              <w:t>管道</w:t>
            </w:r>
            <w:r>
              <w:rPr>
                <w:rFonts w:hint="default" w:ascii="Times New Roman" w:hAnsi="Times New Roman" w:cs="Times New Roman"/>
                <w:color w:val="000000" w:themeColor="text1"/>
                <w:highlight w:val="none"/>
                <w14:textFill>
                  <w14:solidFill>
                    <w14:schemeClr w14:val="tx1"/>
                  </w14:solidFill>
                </w14:textFill>
              </w:rPr>
              <w:t>收集+经活性炭吸附通过15米高排气筒排放，废气排放浓度满足《大气污染物综合排放标准》（GB16297-1996）二级标准。</w:t>
            </w:r>
          </w:p>
          <w:p w14:paraId="5E8FF2E3">
            <w:pPr>
              <w:pStyle w:val="68"/>
              <w:ind w:firstLine="48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根据《挥发性有机物治理实用手册》中VOCs治理技术适用范围介绍，吸附法（更换活性炭）适用于废气浓度1000mg/m</w:t>
            </w:r>
            <w:r>
              <w:rPr>
                <w:rFonts w:hint="default" w:ascii="Times New Roman" w:hAnsi="Times New Roman" w:cs="Times New Roman"/>
                <w:color w:val="000000" w:themeColor="text1"/>
                <w:highlight w:val="none"/>
                <w:vertAlign w:val="superscript"/>
                <w14:textFill>
                  <w14:solidFill>
                    <w14:schemeClr w14:val="tx1"/>
                  </w14:solidFill>
                </w14:textFill>
              </w:rPr>
              <w:t>3</w:t>
            </w:r>
            <w:r>
              <w:rPr>
                <w:rFonts w:hint="default" w:ascii="Times New Roman" w:hAnsi="Times New Roman" w:cs="Times New Roman"/>
                <w:color w:val="000000" w:themeColor="text1"/>
                <w:highlight w:val="none"/>
                <w14:textFill>
                  <w14:solidFill>
                    <w14:schemeClr w14:val="tx1"/>
                  </w14:solidFill>
                </w14:textFill>
              </w:rPr>
              <w:t>以下，废气流量10000m</w:t>
            </w:r>
            <w:r>
              <w:rPr>
                <w:rFonts w:hint="default" w:ascii="Times New Roman" w:hAnsi="Times New Roman" w:cs="Times New Roman"/>
                <w:color w:val="000000" w:themeColor="text1"/>
                <w:highlight w:val="none"/>
                <w:vertAlign w:val="superscript"/>
                <w14:textFill>
                  <w14:solidFill>
                    <w14:schemeClr w14:val="tx1"/>
                  </w14:solidFill>
                </w14:textFill>
              </w:rPr>
              <w:t>3</w:t>
            </w:r>
            <w:r>
              <w:rPr>
                <w:rFonts w:hint="default" w:ascii="Times New Roman" w:hAnsi="Times New Roman" w:cs="Times New Roman"/>
                <w:color w:val="000000" w:themeColor="text1"/>
                <w:highlight w:val="none"/>
                <w14:textFill>
                  <w14:solidFill>
                    <w14:schemeClr w14:val="tx1"/>
                  </w14:solidFill>
                </w14:textFill>
              </w:rPr>
              <w:t>/h以内，气体温度一般低于40℃。本项目VOCs有组织排放浓度为</w:t>
            </w:r>
            <w:r>
              <w:rPr>
                <w:rFonts w:hint="eastAsia" w:cs="Times New Roman"/>
                <w:color w:val="000000" w:themeColor="text1"/>
                <w:highlight w:val="none"/>
                <w:lang w:val="en-US" w:eastAsia="zh-CN"/>
                <w14:textFill>
                  <w14:solidFill>
                    <w14:schemeClr w14:val="tx1"/>
                  </w14:solidFill>
                </w14:textFill>
              </w:rPr>
              <w:t>2.125</w:t>
            </w:r>
            <w:r>
              <w:rPr>
                <w:rFonts w:hint="default" w:ascii="Times New Roman" w:hAnsi="Times New Roman" w:cs="Times New Roman"/>
                <w:color w:val="000000" w:themeColor="text1"/>
                <w:highlight w:val="none"/>
                <w14:textFill>
                  <w14:solidFill>
                    <w14:schemeClr w14:val="tx1"/>
                  </w14:solidFill>
                </w14:textFill>
              </w:rPr>
              <w:t>mg/m</w:t>
            </w:r>
            <w:r>
              <w:rPr>
                <w:rFonts w:hint="default" w:ascii="Times New Roman" w:hAnsi="Times New Roman" w:cs="Times New Roman"/>
                <w:color w:val="000000" w:themeColor="text1"/>
                <w:highlight w:val="none"/>
                <w:vertAlign w:val="superscript"/>
                <w14:textFill>
                  <w14:solidFill>
                    <w14:schemeClr w14:val="tx1"/>
                  </w14:solidFill>
                </w14:textFill>
              </w:rPr>
              <w:t>3</w:t>
            </w:r>
            <w:r>
              <w:rPr>
                <w:rFonts w:hint="default" w:ascii="Times New Roman" w:hAnsi="Times New Roman" w:cs="Times New Roman"/>
                <w:color w:val="000000" w:themeColor="text1"/>
                <w:highlight w:val="none"/>
                <w14:textFill>
                  <w14:solidFill>
                    <w14:schemeClr w14:val="tx1"/>
                  </w14:solidFill>
                </w14:textFill>
              </w:rPr>
              <w:t>，风机风量</w:t>
            </w:r>
            <w:r>
              <w:rPr>
                <w:rFonts w:hint="eastAsia" w:cs="Times New Roman"/>
                <w:color w:val="000000" w:themeColor="text1"/>
                <w:highlight w:val="none"/>
                <w:lang w:val="en-US" w:eastAsia="zh-CN"/>
                <w14:textFill>
                  <w14:solidFill>
                    <w14:schemeClr w14:val="tx1"/>
                  </w14:solidFill>
                </w14:textFill>
              </w:rPr>
              <w:t>2</w:t>
            </w:r>
            <w:r>
              <w:rPr>
                <w:rFonts w:hint="default" w:ascii="Times New Roman" w:hAnsi="Times New Roman" w:cs="Times New Roman"/>
                <w:color w:val="000000" w:themeColor="text1"/>
                <w:highlight w:val="none"/>
                <w14:textFill>
                  <w14:solidFill>
                    <w14:schemeClr w14:val="tx1"/>
                  </w14:solidFill>
                </w14:textFill>
              </w:rPr>
              <w:t>000m</w:t>
            </w:r>
            <w:r>
              <w:rPr>
                <w:rFonts w:hint="default" w:ascii="Times New Roman" w:hAnsi="Times New Roman" w:cs="Times New Roman"/>
                <w:color w:val="000000" w:themeColor="text1"/>
                <w:highlight w:val="none"/>
                <w:vertAlign w:val="superscript"/>
                <w14:textFill>
                  <w14:solidFill>
                    <w14:schemeClr w14:val="tx1"/>
                  </w14:solidFill>
                </w14:textFill>
              </w:rPr>
              <w:t>3</w:t>
            </w:r>
            <w:r>
              <w:rPr>
                <w:rFonts w:hint="default" w:ascii="Times New Roman" w:hAnsi="Times New Roman" w:cs="Times New Roman"/>
                <w:color w:val="000000" w:themeColor="text1"/>
                <w:highlight w:val="none"/>
                <w14:textFill>
                  <w14:solidFill>
                    <w14:schemeClr w14:val="tx1"/>
                  </w14:solidFill>
                </w14:textFill>
              </w:rPr>
              <w:t>/h，气体温度为常温，符合吸附法（更换活性炭）要求，故本项目采取</w:t>
            </w:r>
            <w:r>
              <w:rPr>
                <w:rFonts w:hint="eastAsia" w:cs="Times New Roman"/>
                <w:color w:val="000000" w:themeColor="text1"/>
                <w:highlight w:val="none"/>
                <w:lang w:val="en-US" w:eastAsia="zh-CN"/>
                <w14:textFill>
                  <w14:solidFill>
                    <w14:schemeClr w14:val="tx1"/>
                  </w14:solidFill>
                </w14:textFill>
              </w:rPr>
              <w:t>管道</w:t>
            </w:r>
            <w:r>
              <w:rPr>
                <w:rFonts w:hint="default" w:ascii="Times New Roman" w:hAnsi="Times New Roman" w:cs="Times New Roman"/>
                <w:color w:val="000000" w:themeColor="text1"/>
                <w:highlight w:val="none"/>
                <w14:textFill>
                  <w14:solidFill>
                    <w14:schemeClr w14:val="tx1"/>
                  </w14:solidFill>
                </w14:textFill>
              </w:rPr>
              <w:t>收集+活性炭处理方法措施可行。</w:t>
            </w:r>
          </w:p>
          <w:p w14:paraId="5D9D4036">
            <w:pPr>
              <w:pStyle w:val="68"/>
              <w:numPr>
                <w:ilvl w:val="0"/>
                <w:numId w:val="11"/>
              </w:numPr>
              <w:ind w:firstLine="48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非正常工况</w:t>
            </w:r>
          </w:p>
          <w:p w14:paraId="1604B647">
            <w:pPr>
              <w:pStyle w:val="68"/>
              <w:ind w:firstLine="48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非正常工况污染物排放分析：根据本项目特点，运营期非正常工况主要为环保设施达不到应有效率。本项目按最不利条件（环保设施损坏，无法正常运行，处理效率为0）计算非正常工况污染物排放量，详见下表。</w:t>
            </w:r>
          </w:p>
          <w:p w14:paraId="71A6EB95">
            <w:pPr>
              <w:pStyle w:val="68"/>
              <w:spacing w:line="240" w:lineRule="auto"/>
              <w:ind w:firstLine="0" w:firstLineChars="0"/>
              <w:jc w:val="center"/>
              <w:rPr>
                <w:rFonts w:hint="default" w:ascii="Times New Roman" w:hAnsi="Times New Roman" w:cs="Times New Roman"/>
                <w:b/>
                <w:bCs w:val="0"/>
                <w:color w:val="000000" w:themeColor="text1"/>
                <w:sz w:val="21"/>
                <w:szCs w:val="18"/>
                <w:highlight w:val="none"/>
                <w14:textFill>
                  <w14:solidFill>
                    <w14:schemeClr w14:val="tx1"/>
                  </w14:solidFill>
                </w14:textFill>
              </w:rPr>
            </w:pPr>
            <w:r>
              <w:rPr>
                <w:rFonts w:hint="default" w:ascii="Times New Roman" w:hAnsi="Times New Roman" w:cs="Times New Roman"/>
                <w:b/>
                <w:bCs w:val="0"/>
                <w:color w:val="000000" w:themeColor="text1"/>
                <w:sz w:val="21"/>
                <w:szCs w:val="18"/>
                <w:highlight w:val="none"/>
                <w14:textFill>
                  <w14:solidFill>
                    <w14:schemeClr w14:val="tx1"/>
                  </w14:solidFill>
                </w14:textFill>
              </w:rPr>
              <w:t>表4-</w:t>
            </w:r>
            <w:r>
              <w:rPr>
                <w:rFonts w:hint="eastAsia" w:cs="Times New Roman"/>
                <w:b/>
                <w:bCs w:val="0"/>
                <w:color w:val="000000" w:themeColor="text1"/>
                <w:sz w:val="21"/>
                <w:szCs w:val="18"/>
                <w:highlight w:val="none"/>
                <w:lang w:val="en-US" w:eastAsia="zh-CN"/>
                <w14:textFill>
                  <w14:solidFill>
                    <w14:schemeClr w14:val="tx1"/>
                  </w14:solidFill>
                </w14:textFill>
              </w:rPr>
              <w:t>3</w:t>
            </w:r>
            <w:r>
              <w:rPr>
                <w:rFonts w:hint="default" w:ascii="Times New Roman" w:hAnsi="Times New Roman" w:cs="Times New Roman"/>
                <w:b/>
                <w:bCs w:val="0"/>
                <w:color w:val="000000" w:themeColor="text1"/>
                <w:sz w:val="21"/>
                <w:szCs w:val="18"/>
                <w:highlight w:val="none"/>
                <w14:textFill>
                  <w14:solidFill>
                    <w14:schemeClr w14:val="tx1"/>
                  </w14:solidFill>
                </w14:textFill>
              </w:rPr>
              <w:t>非正常排放量核算表</w:t>
            </w:r>
          </w:p>
          <w:tbl>
            <w:tblPr>
              <w:tblStyle w:val="28"/>
              <w:tblW w:w="4998" w:type="pct"/>
              <w:tblInd w:w="0" w:type="dxa"/>
              <w:tblBorders>
                <w:top w:val="double" w:color="auto" w:sz="4" w:space="0"/>
                <w:left w:val="none" w:color="auto" w:sz="0" w:space="0"/>
                <w:bottom w:val="doub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848"/>
              <w:gridCol w:w="1219"/>
              <w:gridCol w:w="1033"/>
              <w:gridCol w:w="1033"/>
              <w:gridCol w:w="1035"/>
              <w:gridCol w:w="1035"/>
              <w:gridCol w:w="1035"/>
              <w:gridCol w:w="1036"/>
            </w:tblGrid>
            <w:tr w14:paraId="60778EA2">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512" w:type="pct"/>
                  <w:tcBorders>
                    <w:tl2br w:val="nil"/>
                    <w:tr2bl w:val="nil"/>
                  </w:tcBorders>
                  <w:vAlign w:val="center"/>
                </w:tcPr>
                <w:p w14:paraId="00CE426C">
                  <w:pPr>
                    <w:pStyle w:val="68"/>
                    <w:spacing w:line="240" w:lineRule="auto"/>
                    <w:ind w:firstLine="0" w:firstLineChars="0"/>
                    <w:jc w:val="center"/>
                    <w:rPr>
                      <w:rFonts w:hint="default" w:ascii="Times New Roman" w:hAnsi="Times New Roman" w:cs="Times New Roman"/>
                      <w:color w:val="000000" w:themeColor="text1"/>
                      <w:sz w:val="21"/>
                      <w:szCs w:val="18"/>
                      <w:highlight w:val="none"/>
                      <w14:textFill>
                        <w14:solidFill>
                          <w14:schemeClr w14:val="tx1"/>
                        </w14:solidFill>
                      </w14:textFill>
                    </w:rPr>
                  </w:pPr>
                  <w:r>
                    <w:rPr>
                      <w:rFonts w:hint="default" w:ascii="Times New Roman" w:hAnsi="Times New Roman" w:cs="Times New Roman"/>
                      <w:color w:val="000000" w:themeColor="text1"/>
                      <w:sz w:val="21"/>
                      <w:szCs w:val="18"/>
                      <w:highlight w:val="none"/>
                      <w14:textFill>
                        <w14:solidFill>
                          <w14:schemeClr w14:val="tx1"/>
                        </w14:solidFill>
                      </w14:textFill>
                    </w:rPr>
                    <w:t>污染源</w:t>
                  </w:r>
                </w:p>
              </w:tc>
              <w:tc>
                <w:tcPr>
                  <w:tcW w:w="736" w:type="pct"/>
                  <w:tcBorders>
                    <w:tl2br w:val="nil"/>
                    <w:tr2bl w:val="nil"/>
                  </w:tcBorders>
                  <w:vAlign w:val="center"/>
                </w:tcPr>
                <w:p w14:paraId="5019DFB5">
                  <w:pPr>
                    <w:pStyle w:val="68"/>
                    <w:spacing w:line="240" w:lineRule="auto"/>
                    <w:ind w:firstLine="0" w:firstLineChars="0"/>
                    <w:jc w:val="center"/>
                    <w:rPr>
                      <w:rFonts w:hint="default" w:ascii="Times New Roman" w:hAnsi="Times New Roman" w:cs="Times New Roman"/>
                      <w:color w:val="000000" w:themeColor="text1"/>
                      <w:sz w:val="21"/>
                      <w:szCs w:val="18"/>
                      <w:highlight w:val="none"/>
                      <w14:textFill>
                        <w14:solidFill>
                          <w14:schemeClr w14:val="tx1"/>
                        </w14:solidFill>
                      </w14:textFill>
                    </w:rPr>
                  </w:pPr>
                  <w:r>
                    <w:rPr>
                      <w:rFonts w:hint="default" w:ascii="Times New Roman" w:hAnsi="Times New Roman" w:cs="Times New Roman"/>
                      <w:color w:val="000000" w:themeColor="text1"/>
                      <w:sz w:val="21"/>
                      <w:szCs w:val="18"/>
                      <w:highlight w:val="none"/>
                      <w14:textFill>
                        <w14:solidFill>
                          <w14:schemeClr w14:val="tx1"/>
                        </w14:solidFill>
                      </w14:textFill>
                    </w:rPr>
                    <w:t>非正常排放原因</w:t>
                  </w:r>
                </w:p>
              </w:tc>
              <w:tc>
                <w:tcPr>
                  <w:tcW w:w="624" w:type="pct"/>
                  <w:tcBorders>
                    <w:tl2br w:val="nil"/>
                    <w:tr2bl w:val="nil"/>
                  </w:tcBorders>
                  <w:vAlign w:val="center"/>
                </w:tcPr>
                <w:p w14:paraId="5F0B1961">
                  <w:pPr>
                    <w:pStyle w:val="68"/>
                    <w:spacing w:line="240" w:lineRule="auto"/>
                    <w:ind w:firstLine="0" w:firstLineChars="0"/>
                    <w:jc w:val="center"/>
                    <w:rPr>
                      <w:rFonts w:hint="default" w:ascii="Times New Roman" w:hAnsi="Times New Roman" w:cs="Times New Roman"/>
                      <w:color w:val="000000" w:themeColor="text1"/>
                      <w:sz w:val="21"/>
                      <w:szCs w:val="18"/>
                      <w:highlight w:val="none"/>
                      <w14:textFill>
                        <w14:solidFill>
                          <w14:schemeClr w14:val="tx1"/>
                        </w14:solidFill>
                      </w14:textFill>
                    </w:rPr>
                  </w:pPr>
                  <w:r>
                    <w:rPr>
                      <w:rFonts w:hint="default" w:ascii="Times New Roman" w:hAnsi="Times New Roman" w:cs="Times New Roman"/>
                      <w:color w:val="000000" w:themeColor="text1"/>
                      <w:sz w:val="21"/>
                      <w:szCs w:val="18"/>
                      <w:highlight w:val="none"/>
                      <w14:textFill>
                        <w14:solidFill>
                          <w14:schemeClr w14:val="tx1"/>
                        </w14:solidFill>
                      </w14:textFill>
                    </w:rPr>
                    <w:t>污染物</w:t>
                  </w:r>
                </w:p>
              </w:tc>
              <w:tc>
                <w:tcPr>
                  <w:tcW w:w="624" w:type="pct"/>
                  <w:tcBorders>
                    <w:tl2br w:val="nil"/>
                    <w:tr2bl w:val="nil"/>
                  </w:tcBorders>
                  <w:vAlign w:val="center"/>
                </w:tcPr>
                <w:p w14:paraId="6DF37D4A">
                  <w:pPr>
                    <w:pStyle w:val="68"/>
                    <w:spacing w:line="240" w:lineRule="auto"/>
                    <w:ind w:firstLine="0" w:firstLineChars="0"/>
                    <w:jc w:val="center"/>
                    <w:rPr>
                      <w:rFonts w:hint="default" w:ascii="Times New Roman" w:hAnsi="Times New Roman" w:cs="Times New Roman"/>
                      <w:color w:val="000000" w:themeColor="text1"/>
                      <w:sz w:val="21"/>
                      <w:szCs w:val="18"/>
                      <w:highlight w:val="none"/>
                      <w14:textFill>
                        <w14:solidFill>
                          <w14:schemeClr w14:val="tx1"/>
                        </w14:solidFill>
                      </w14:textFill>
                    </w:rPr>
                  </w:pPr>
                  <w:r>
                    <w:rPr>
                      <w:rFonts w:hint="default" w:ascii="Times New Roman" w:hAnsi="Times New Roman" w:cs="Times New Roman"/>
                      <w:color w:val="000000" w:themeColor="text1"/>
                      <w:sz w:val="21"/>
                      <w:szCs w:val="18"/>
                      <w:highlight w:val="none"/>
                      <w14:textFill>
                        <w14:solidFill>
                          <w14:schemeClr w14:val="tx1"/>
                        </w14:solidFill>
                      </w14:textFill>
                    </w:rPr>
                    <w:t>排放浓度</w:t>
                  </w:r>
                </w:p>
                <w:p w14:paraId="0F840D6B">
                  <w:pPr>
                    <w:pStyle w:val="68"/>
                    <w:spacing w:line="240" w:lineRule="auto"/>
                    <w:ind w:firstLine="0" w:firstLineChars="0"/>
                    <w:jc w:val="center"/>
                    <w:rPr>
                      <w:rFonts w:hint="default" w:ascii="Times New Roman" w:hAnsi="Times New Roman" w:cs="Times New Roman"/>
                      <w:color w:val="000000" w:themeColor="text1"/>
                      <w:sz w:val="21"/>
                      <w:szCs w:val="18"/>
                      <w:highlight w:val="none"/>
                      <w14:textFill>
                        <w14:solidFill>
                          <w14:schemeClr w14:val="tx1"/>
                        </w14:solidFill>
                      </w14:textFill>
                    </w:rPr>
                  </w:pPr>
                  <w:r>
                    <w:rPr>
                      <w:rFonts w:hint="default" w:ascii="Times New Roman" w:hAnsi="Times New Roman" w:cs="Times New Roman"/>
                      <w:color w:val="000000" w:themeColor="text1"/>
                      <w:sz w:val="21"/>
                      <w:szCs w:val="18"/>
                      <w:highlight w:val="none"/>
                      <w14:textFill>
                        <w14:solidFill>
                          <w14:schemeClr w14:val="tx1"/>
                        </w14:solidFill>
                      </w14:textFill>
                    </w:rPr>
                    <w:t>mg/m</w:t>
                  </w:r>
                  <w:r>
                    <w:rPr>
                      <w:rFonts w:hint="default" w:ascii="Times New Roman" w:hAnsi="Times New Roman" w:cs="Times New Roman"/>
                      <w:color w:val="000000" w:themeColor="text1"/>
                      <w:sz w:val="21"/>
                      <w:szCs w:val="18"/>
                      <w:highlight w:val="none"/>
                      <w:vertAlign w:val="superscript"/>
                      <w14:textFill>
                        <w14:solidFill>
                          <w14:schemeClr w14:val="tx1"/>
                        </w14:solidFill>
                      </w14:textFill>
                    </w:rPr>
                    <w:t>3</w:t>
                  </w:r>
                </w:p>
              </w:tc>
              <w:tc>
                <w:tcPr>
                  <w:tcW w:w="625" w:type="pct"/>
                  <w:tcBorders>
                    <w:tl2br w:val="nil"/>
                    <w:tr2bl w:val="nil"/>
                  </w:tcBorders>
                  <w:vAlign w:val="center"/>
                </w:tcPr>
                <w:p w14:paraId="7CEEEF16">
                  <w:pPr>
                    <w:pStyle w:val="68"/>
                    <w:spacing w:line="240" w:lineRule="auto"/>
                    <w:ind w:firstLine="0" w:firstLineChars="0"/>
                    <w:jc w:val="center"/>
                    <w:rPr>
                      <w:rFonts w:hint="default" w:ascii="Times New Roman" w:hAnsi="Times New Roman" w:cs="Times New Roman"/>
                      <w:color w:val="000000" w:themeColor="text1"/>
                      <w:sz w:val="21"/>
                      <w:szCs w:val="18"/>
                      <w:highlight w:val="none"/>
                      <w14:textFill>
                        <w14:solidFill>
                          <w14:schemeClr w14:val="tx1"/>
                        </w14:solidFill>
                      </w14:textFill>
                    </w:rPr>
                  </w:pPr>
                  <w:r>
                    <w:rPr>
                      <w:rFonts w:hint="default" w:ascii="Times New Roman" w:hAnsi="Times New Roman" w:cs="Times New Roman"/>
                      <w:color w:val="000000" w:themeColor="text1"/>
                      <w:sz w:val="21"/>
                      <w:szCs w:val="18"/>
                      <w:highlight w:val="none"/>
                      <w14:textFill>
                        <w14:solidFill>
                          <w14:schemeClr w14:val="tx1"/>
                        </w14:solidFill>
                      </w14:textFill>
                    </w:rPr>
                    <w:t>排放速率</w:t>
                  </w:r>
                </w:p>
                <w:p w14:paraId="20CCB4DF">
                  <w:pPr>
                    <w:pStyle w:val="68"/>
                    <w:spacing w:line="240" w:lineRule="auto"/>
                    <w:ind w:firstLine="0" w:firstLineChars="0"/>
                    <w:jc w:val="center"/>
                    <w:rPr>
                      <w:rFonts w:hint="default" w:ascii="Times New Roman" w:hAnsi="Times New Roman" w:cs="Times New Roman"/>
                      <w:color w:val="000000" w:themeColor="text1"/>
                      <w:sz w:val="21"/>
                      <w:szCs w:val="18"/>
                      <w:highlight w:val="none"/>
                      <w14:textFill>
                        <w14:solidFill>
                          <w14:schemeClr w14:val="tx1"/>
                        </w14:solidFill>
                      </w14:textFill>
                    </w:rPr>
                  </w:pPr>
                  <w:r>
                    <w:rPr>
                      <w:rFonts w:hint="default" w:ascii="Times New Roman" w:hAnsi="Times New Roman" w:cs="Times New Roman"/>
                      <w:color w:val="000000" w:themeColor="text1"/>
                      <w:sz w:val="21"/>
                      <w:szCs w:val="18"/>
                      <w:highlight w:val="none"/>
                      <w14:textFill>
                        <w14:solidFill>
                          <w14:schemeClr w14:val="tx1"/>
                        </w14:solidFill>
                      </w14:textFill>
                    </w:rPr>
                    <w:t>kg/h</w:t>
                  </w:r>
                </w:p>
              </w:tc>
              <w:tc>
                <w:tcPr>
                  <w:tcW w:w="625" w:type="pct"/>
                  <w:tcBorders>
                    <w:tl2br w:val="nil"/>
                    <w:tr2bl w:val="nil"/>
                  </w:tcBorders>
                  <w:vAlign w:val="center"/>
                </w:tcPr>
                <w:p w14:paraId="4AF93656">
                  <w:pPr>
                    <w:pStyle w:val="68"/>
                    <w:spacing w:line="240" w:lineRule="auto"/>
                    <w:ind w:firstLine="0" w:firstLineChars="0"/>
                    <w:jc w:val="center"/>
                    <w:rPr>
                      <w:rFonts w:hint="default" w:ascii="Times New Roman" w:hAnsi="Times New Roman" w:cs="Times New Roman"/>
                      <w:color w:val="000000" w:themeColor="text1"/>
                      <w:sz w:val="21"/>
                      <w:szCs w:val="18"/>
                      <w:highlight w:val="none"/>
                      <w14:textFill>
                        <w14:solidFill>
                          <w14:schemeClr w14:val="tx1"/>
                        </w14:solidFill>
                      </w14:textFill>
                    </w:rPr>
                  </w:pPr>
                  <w:r>
                    <w:rPr>
                      <w:rFonts w:hint="default" w:ascii="Times New Roman" w:hAnsi="Times New Roman" w:cs="Times New Roman"/>
                      <w:color w:val="000000" w:themeColor="text1"/>
                      <w:sz w:val="21"/>
                      <w:szCs w:val="18"/>
                      <w:highlight w:val="none"/>
                      <w14:textFill>
                        <w14:solidFill>
                          <w14:schemeClr w14:val="tx1"/>
                        </w14:solidFill>
                      </w14:textFill>
                    </w:rPr>
                    <w:t>单次持续时间</w:t>
                  </w:r>
                </w:p>
              </w:tc>
              <w:tc>
                <w:tcPr>
                  <w:tcW w:w="625" w:type="pct"/>
                  <w:tcBorders>
                    <w:tl2br w:val="nil"/>
                    <w:tr2bl w:val="nil"/>
                  </w:tcBorders>
                  <w:vAlign w:val="center"/>
                </w:tcPr>
                <w:p w14:paraId="37F6AA99">
                  <w:pPr>
                    <w:pStyle w:val="68"/>
                    <w:spacing w:line="240" w:lineRule="auto"/>
                    <w:ind w:firstLine="0" w:firstLineChars="0"/>
                    <w:jc w:val="center"/>
                    <w:rPr>
                      <w:rFonts w:hint="default" w:ascii="Times New Roman" w:hAnsi="Times New Roman" w:cs="Times New Roman"/>
                      <w:color w:val="000000" w:themeColor="text1"/>
                      <w:sz w:val="21"/>
                      <w:szCs w:val="18"/>
                      <w:highlight w:val="none"/>
                      <w14:textFill>
                        <w14:solidFill>
                          <w14:schemeClr w14:val="tx1"/>
                        </w14:solidFill>
                      </w14:textFill>
                    </w:rPr>
                  </w:pPr>
                  <w:r>
                    <w:rPr>
                      <w:rFonts w:hint="default" w:ascii="Times New Roman" w:hAnsi="Times New Roman" w:cs="Times New Roman"/>
                      <w:color w:val="000000" w:themeColor="text1"/>
                      <w:sz w:val="21"/>
                      <w:szCs w:val="18"/>
                      <w:highlight w:val="none"/>
                      <w14:textFill>
                        <w14:solidFill>
                          <w14:schemeClr w14:val="tx1"/>
                        </w14:solidFill>
                      </w14:textFill>
                    </w:rPr>
                    <w:t>年发生频次</w:t>
                  </w:r>
                </w:p>
              </w:tc>
              <w:tc>
                <w:tcPr>
                  <w:tcW w:w="625" w:type="pct"/>
                  <w:tcBorders>
                    <w:tl2br w:val="nil"/>
                    <w:tr2bl w:val="nil"/>
                  </w:tcBorders>
                  <w:vAlign w:val="center"/>
                </w:tcPr>
                <w:p w14:paraId="529243B4">
                  <w:pPr>
                    <w:pStyle w:val="68"/>
                    <w:spacing w:line="240" w:lineRule="auto"/>
                    <w:ind w:firstLine="0" w:firstLineChars="0"/>
                    <w:jc w:val="center"/>
                    <w:rPr>
                      <w:rFonts w:hint="default" w:ascii="Times New Roman" w:hAnsi="Times New Roman" w:cs="Times New Roman"/>
                      <w:color w:val="000000" w:themeColor="text1"/>
                      <w:sz w:val="21"/>
                      <w:szCs w:val="18"/>
                      <w:highlight w:val="none"/>
                      <w14:textFill>
                        <w14:solidFill>
                          <w14:schemeClr w14:val="tx1"/>
                        </w14:solidFill>
                      </w14:textFill>
                    </w:rPr>
                  </w:pPr>
                  <w:r>
                    <w:rPr>
                      <w:rFonts w:hint="default" w:ascii="Times New Roman" w:hAnsi="Times New Roman" w:cs="Times New Roman"/>
                      <w:color w:val="000000" w:themeColor="text1"/>
                      <w:sz w:val="21"/>
                      <w:szCs w:val="18"/>
                      <w:highlight w:val="none"/>
                      <w14:textFill>
                        <w14:solidFill>
                          <w14:schemeClr w14:val="tx1"/>
                        </w14:solidFill>
                      </w14:textFill>
                    </w:rPr>
                    <w:t>应对措施</w:t>
                  </w:r>
                </w:p>
              </w:tc>
            </w:tr>
            <w:tr w14:paraId="4106AD54">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512" w:type="pct"/>
                  <w:tcBorders>
                    <w:tl2br w:val="nil"/>
                    <w:tr2bl w:val="nil"/>
                  </w:tcBorders>
                  <w:vAlign w:val="center"/>
                </w:tcPr>
                <w:p w14:paraId="46E08279">
                  <w:pPr>
                    <w:pStyle w:val="68"/>
                    <w:spacing w:line="240" w:lineRule="auto"/>
                    <w:ind w:firstLine="0" w:firstLineChars="0"/>
                    <w:jc w:val="center"/>
                    <w:rPr>
                      <w:rFonts w:hint="eastAsia" w:ascii="Times New Roman" w:hAnsi="Times New Roman" w:eastAsia="宋体" w:cs="Times New Roman"/>
                      <w:color w:val="000000" w:themeColor="text1"/>
                      <w:sz w:val="21"/>
                      <w:szCs w:val="18"/>
                      <w:highlight w:val="none"/>
                      <w:lang w:eastAsia="zh-CN"/>
                      <w14:textFill>
                        <w14:solidFill>
                          <w14:schemeClr w14:val="tx1"/>
                        </w14:solidFill>
                      </w14:textFill>
                    </w:rPr>
                  </w:pPr>
                  <w:r>
                    <w:rPr>
                      <w:rFonts w:hint="eastAsia" w:cs="Times New Roman"/>
                      <w:color w:val="000000" w:themeColor="text1"/>
                      <w:sz w:val="21"/>
                      <w:szCs w:val="18"/>
                      <w:highlight w:val="none"/>
                      <w:lang w:val="en-US" w:eastAsia="zh-CN"/>
                      <w14:textFill>
                        <w14:solidFill>
                          <w14:schemeClr w14:val="tx1"/>
                        </w14:solidFill>
                      </w14:textFill>
                    </w:rPr>
                    <w:t>储罐</w:t>
                  </w:r>
                </w:p>
              </w:tc>
              <w:tc>
                <w:tcPr>
                  <w:tcW w:w="736" w:type="pct"/>
                  <w:tcBorders>
                    <w:tl2br w:val="nil"/>
                    <w:tr2bl w:val="nil"/>
                  </w:tcBorders>
                  <w:vAlign w:val="center"/>
                </w:tcPr>
                <w:p w14:paraId="2A095D4D">
                  <w:pPr>
                    <w:pStyle w:val="68"/>
                    <w:spacing w:line="240" w:lineRule="auto"/>
                    <w:ind w:firstLine="0" w:firstLineChars="0"/>
                    <w:jc w:val="center"/>
                    <w:rPr>
                      <w:rFonts w:hint="default" w:ascii="Times New Roman" w:hAnsi="Times New Roman" w:cs="Times New Roman"/>
                      <w:color w:val="000000" w:themeColor="text1"/>
                      <w:sz w:val="21"/>
                      <w:szCs w:val="18"/>
                      <w:highlight w:val="none"/>
                      <w14:textFill>
                        <w14:solidFill>
                          <w14:schemeClr w14:val="tx1"/>
                        </w14:solidFill>
                      </w14:textFill>
                    </w:rPr>
                  </w:pPr>
                  <w:r>
                    <w:rPr>
                      <w:rFonts w:hint="default" w:ascii="Times New Roman" w:hAnsi="Times New Roman" w:cs="Times New Roman"/>
                      <w:color w:val="000000" w:themeColor="text1"/>
                      <w:sz w:val="21"/>
                      <w:szCs w:val="18"/>
                      <w:highlight w:val="none"/>
                      <w14:textFill>
                        <w14:solidFill>
                          <w14:schemeClr w14:val="tx1"/>
                        </w14:solidFill>
                      </w14:textFill>
                    </w:rPr>
                    <w:t>活性炭装置失效</w:t>
                  </w:r>
                </w:p>
              </w:tc>
              <w:tc>
                <w:tcPr>
                  <w:tcW w:w="624" w:type="pct"/>
                  <w:tcBorders>
                    <w:tl2br w:val="nil"/>
                    <w:tr2bl w:val="nil"/>
                  </w:tcBorders>
                  <w:vAlign w:val="center"/>
                </w:tcPr>
                <w:p w14:paraId="61FFCC6E">
                  <w:pPr>
                    <w:pStyle w:val="68"/>
                    <w:spacing w:line="240" w:lineRule="auto"/>
                    <w:ind w:firstLine="0" w:firstLineChars="0"/>
                    <w:jc w:val="center"/>
                    <w:rPr>
                      <w:rFonts w:hint="default" w:ascii="Times New Roman" w:hAnsi="Times New Roman" w:cs="Times New Roman"/>
                      <w:color w:val="000000" w:themeColor="text1"/>
                      <w:sz w:val="21"/>
                      <w:szCs w:val="18"/>
                      <w:highlight w:val="none"/>
                      <w14:textFill>
                        <w14:solidFill>
                          <w14:schemeClr w14:val="tx1"/>
                        </w14:solidFill>
                      </w14:textFill>
                    </w:rPr>
                  </w:pPr>
                  <w:r>
                    <w:rPr>
                      <w:rFonts w:hint="default" w:ascii="Times New Roman" w:hAnsi="Times New Roman" w:cs="Times New Roman"/>
                      <w:color w:val="000000" w:themeColor="text1"/>
                      <w:sz w:val="21"/>
                      <w:szCs w:val="18"/>
                      <w:highlight w:val="none"/>
                      <w14:textFill>
                        <w14:solidFill>
                          <w14:schemeClr w14:val="tx1"/>
                        </w14:solidFill>
                      </w14:textFill>
                    </w:rPr>
                    <w:t>VOCs</w:t>
                  </w:r>
                </w:p>
              </w:tc>
              <w:tc>
                <w:tcPr>
                  <w:tcW w:w="624" w:type="pct"/>
                  <w:tcBorders>
                    <w:tl2br w:val="nil"/>
                    <w:tr2bl w:val="nil"/>
                  </w:tcBorders>
                  <w:vAlign w:val="center"/>
                </w:tcPr>
                <w:p w14:paraId="080CE690">
                  <w:pPr>
                    <w:pStyle w:val="68"/>
                    <w:spacing w:line="240" w:lineRule="auto"/>
                    <w:ind w:firstLine="0" w:firstLineChars="0"/>
                    <w:jc w:val="center"/>
                    <w:rPr>
                      <w:rFonts w:hint="default" w:ascii="Times New Roman" w:hAnsi="Times New Roman" w:eastAsia="宋体" w:cs="Times New Roman"/>
                      <w:color w:val="000000" w:themeColor="text1"/>
                      <w:sz w:val="21"/>
                      <w:szCs w:val="18"/>
                      <w:highlight w:val="none"/>
                      <w:lang w:val="en-US" w:eastAsia="zh-CN"/>
                      <w14:textFill>
                        <w14:solidFill>
                          <w14:schemeClr w14:val="tx1"/>
                        </w14:solidFill>
                      </w14:textFill>
                    </w:rPr>
                  </w:pPr>
                  <w:r>
                    <w:rPr>
                      <w:rFonts w:hint="eastAsia" w:cs="Times New Roman"/>
                      <w:color w:val="000000" w:themeColor="text1"/>
                      <w:sz w:val="21"/>
                      <w:szCs w:val="18"/>
                      <w:highlight w:val="none"/>
                      <w:lang w:val="en-US" w:eastAsia="zh-CN"/>
                      <w14:textFill>
                        <w14:solidFill>
                          <w14:schemeClr w14:val="tx1"/>
                        </w14:solidFill>
                      </w14:textFill>
                    </w:rPr>
                    <w:t>10.625</w:t>
                  </w:r>
                </w:p>
              </w:tc>
              <w:tc>
                <w:tcPr>
                  <w:tcW w:w="625" w:type="pct"/>
                  <w:tcBorders>
                    <w:tl2br w:val="nil"/>
                    <w:tr2bl w:val="nil"/>
                  </w:tcBorders>
                  <w:vAlign w:val="center"/>
                </w:tcPr>
                <w:p w14:paraId="2EC54315">
                  <w:pPr>
                    <w:pStyle w:val="68"/>
                    <w:spacing w:line="240" w:lineRule="auto"/>
                    <w:ind w:firstLine="0" w:firstLineChars="0"/>
                    <w:jc w:val="center"/>
                    <w:rPr>
                      <w:rFonts w:hint="default" w:ascii="Times New Roman" w:hAnsi="Times New Roman" w:eastAsia="宋体" w:cs="Times New Roman"/>
                      <w:color w:val="000000" w:themeColor="text1"/>
                      <w:sz w:val="21"/>
                      <w:szCs w:val="18"/>
                      <w:highlight w:val="none"/>
                      <w:lang w:val="en-US" w:eastAsia="zh-CN"/>
                      <w14:textFill>
                        <w14:solidFill>
                          <w14:schemeClr w14:val="tx1"/>
                        </w14:solidFill>
                      </w14:textFill>
                    </w:rPr>
                  </w:pPr>
                  <w:r>
                    <w:rPr>
                      <w:rFonts w:hint="default" w:ascii="Times New Roman" w:hAnsi="Times New Roman" w:cs="Times New Roman"/>
                      <w:color w:val="000000" w:themeColor="text1"/>
                      <w:sz w:val="21"/>
                      <w:szCs w:val="18"/>
                      <w:highlight w:val="none"/>
                      <w14:textFill>
                        <w14:solidFill>
                          <w14:schemeClr w14:val="tx1"/>
                        </w14:solidFill>
                      </w14:textFill>
                    </w:rPr>
                    <w:t>0.0</w:t>
                  </w:r>
                  <w:r>
                    <w:rPr>
                      <w:rFonts w:hint="eastAsia" w:cs="Times New Roman"/>
                      <w:color w:val="000000" w:themeColor="text1"/>
                      <w:sz w:val="21"/>
                      <w:szCs w:val="18"/>
                      <w:highlight w:val="none"/>
                      <w:lang w:val="en-US" w:eastAsia="zh-CN"/>
                      <w14:textFill>
                        <w14:solidFill>
                          <w14:schemeClr w14:val="tx1"/>
                        </w14:solidFill>
                      </w14:textFill>
                    </w:rPr>
                    <w:t>21</w:t>
                  </w:r>
                </w:p>
              </w:tc>
              <w:tc>
                <w:tcPr>
                  <w:tcW w:w="625" w:type="pct"/>
                  <w:tcBorders>
                    <w:tl2br w:val="nil"/>
                    <w:tr2bl w:val="nil"/>
                  </w:tcBorders>
                  <w:vAlign w:val="center"/>
                </w:tcPr>
                <w:p w14:paraId="65F6F92B">
                  <w:pPr>
                    <w:pStyle w:val="68"/>
                    <w:spacing w:line="240" w:lineRule="auto"/>
                    <w:ind w:firstLine="0" w:firstLineChars="0"/>
                    <w:jc w:val="center"/>
                    <w:rPr>
                      <w:rFonts w:hint="default" w:ascii="Times New Roman" w:hAnsi="Times New Roman" w:cs="Times New Roman"/>
                      <w:color w:val="000000" w:themeColor="text1"/>
                      <w:sz w:val="21"/>
                      <w:szCs w:val="18"/>
                      <w:highlight w:val="none"/>
                      <w14:textFill>
                        <w14:solidFill>
                          <w14:schemeClr w14:val="tx1"/>
                        </w14:solidFill>
                      </w14:textFill>
                    </w:rPr>
                  </w:pPr>
                  <w:r>
                    <w:rPr>
                      <w:rFonts w:hint="default" w:ascii="Times New Roman" w:hAnsi="Times New Roman" w:cs="Times New Roman"/>
                      <w:color w:val="000000" w:themeColor="text1"/>
                      <w:sz w:val="21"/>
                      <w:szCs w:val="18"/>
                      <w:highlight w:val="none"/>
                      <w14:textFill>
                        <w14:solidFill>
                          <w14:schemeClr w14:val="tx1"/>
                        </w14:solidFill>
                      </w14:textFill>
                    </w:rPr>
                    <w:t>1h</w:t>
                  </w:r>
                </w:p>
              </w:tc>
              <w:tc>
                <w:tcPr>
                  <w:tcW w:w="625" w:type="pct"/>
                  <w:tcBorders>
                    <w:tl2br w:val="nil"/>
                    <w:tr2bl w:val="nil"/>
                  </w:tcBorders>
                  <w:vAlign w:val="center"/>
                </w:tcPr>
                <w:p w14:paraId="69877F56">
                  <w:pPr>
                    <w:pStyle w:val="68"/>
                    <w:spacing w:line="240" w:lineRule="auto"/>
                    <w:ind w:firstLine="0" w:firstLineChars="0"/>
                    <w:jc w:val="center"/>
                    <w:rPr>
                      <w:rFonts w:hint="default" w:ascii="Times New Roman" w:hAnsi="Times New Roman" w:cs="Times New Roman"/>
                      <w:color w:val="000000" w:themeColor="text1"/>
                      <w:sz w:val="21"/>
                      <w:szCs w:val="18"/>
                      <w:highlight w:val="none"/>
                      <w14:textFill>
                        <w14:solidFill>
                          <w14:schemeClr w14:val="tx1"/>
                        </w14:solidFill>
                      </w14:textFill>
                    </w:rPr>
                  </w:pPr>
                  <w:r>
                    <w:rPr>
                      <w:rFonts w:hint="default" w:ascii="Times New Roman" w:hAnsi="Times New Roman" w:cs="Times New Roman"/>
                      <w:color w:val="000000" w:themeColor="text1"/>
                      <w:sz w:val="21"/>
                      <w:szCs w:val="18"/>
                      <w:highlight w:val="none"/>
                      <w14:textFill>
                        <w14:solidFill>
                          <w14:schemeClr w14:val="tx1"/>
                        </w14:solidFill>
                      </w14:textFill>
                    </w:rPr>
                    <w:t>1次</w:t>
                  </w:r>
                </w:p>
              </w:tc>
              <w:tc>
                <w:tcPr>
                  <w:tcW w:w="625" w:type="pct"/>
                  <w:tcBorders>
                    <w:tl2br w:val="nil"/>
                    <w:tr2bl w:val="nil"/>
                  </w:tcBorders>
                  <w:vAlign w:val="center"/>
                </w:tcPr>
                <w:p w14:paraId="247802B6">
                  <w:pPr>
                    <w:pStyle w:val="68"/>
                    <w:spacing w:line="240" w:lineRule="auto"/>
                    <w:ind w:firstLine="0" w:firstLineChars="0"/>
                    <w:jc w:val="center"/>
                    <w:rPr>
                      <w:rFonts w:hint="default" w:ascii="Times New Roman" w:hAnsi="Times New Roman" w:cs="Times New Roman"/>
                      <w:color w:val="000000" w:themeColor="text1"/>
                      <w:sz w:val="21"/>
                      <w:szCs w:val="18"/>
                      <w:highlight w:val="none"/>
                      <w14:textFill>
                        <w14:solidFill>
                          <w14:schemeClr w14:val="tx1"/>
                        </w14:solidFill>
                      </w14:textFill>
                    </w:rPr>
                  </w:pPr>
                  <w:r>
                    <w:rPr>
                      <w:rFonts w:hint="default" w:ascii="Times New Roman" w:hAnsi="Times New Roman" w:cs="Times New Roman"/>
                      <w:color w:val="000000" w:themeColor="text1"/>
                      <w:sz w:val="21"/>
                      <w:szCs w:val="18"/>
                      <w:highlight w:val="none"/>
                      <w14:textFill>
                        <w14:solidFill>
                          <w14:schemeClr w14:val="tx1"/>
                        </w14:solidFill>
                      </w14:textFill>
                    </w:rPr>
                    <w:t>封闭排放口</w:t>
                  </w:r>
                </w:p>
              </w:tc>
            </w:tr>
          </w:tbl>
          <w:p w14:paraId="724D8E69">
            <w:pPr>
              <w:pStyle w:val="68"/>
              <w:numPr>
                <w:ilvl w:val="0"/>
                <w:numId w:val="10"/>
              </w:numPr>
              <w:ind w:firstLineChars="0"/>
              <w:rPr>
                <w:rFonts w:hint="default" w:ascii="Times New Roman" w:hAnsi="Times New Roman" w:cs="Times New Roman"/>
                <w:b/>
                <w:color w:val="000000" w:themeColor="text1"/>
                <w:kern w:val="0"/>
                <w:highlight w:val="none"/>
                <w14:textFill>
                  <w14:solidFill>
                    <w14:schemeClr w14:val="tx1"/>
                  </w14:solidFill>
                </w14:textFill>
              </w:rPr>
            </w:pPr>
            <w:r>
              <w:rPr>
                <w:rFonts w:hint="default" w:ascii="Times New Roman" w:hAnsi="Times New Roman" w:cs="Times New Roman"/>
                <w:b/>
                <w:color w:val="000000" w:themeColor="text1"/>
                <w:highlight w:val="none"/>
                <w14:textFill>
                  <w14:solidFill>
                    <w14:schemeClr w14:val="tx1"/>
                  </w14:solidFill>
                </w14:textFill>
              </w:rPr>
              <w:t>运营期废水环境影响和保护措施</w:t>
            </w:r>
          </w:p>
          <w:p w14:paraId="08B0B757">
            <w:pPr>
              <w:pStyle w:val="68"/>
              <w:ind w:firstLine="480"/>
              <w:rPr>
                <w:rFonts w:hint="default" w:ascii="Times New Roman" w:hAnsi="Times New Roman" w:cs="Times New Roman"/>
                <w:color w:val="000000" w:themeColor="text1"/>
                <w:kern w:val="0"/>
                <w:highlight w:val="none"/>
                <w14:textFill>
                  <w14:solidFill>
                    <w14:schemeClr w14:val="tx1"/>
                  </w14:solidFill>
                </w14:textFill>
              </w:rPr>
            </w:pPr>
            <w:r>
              <w:rPr>
                <w:rFonts w:hint="default" w:ascii="Times New Roman" w:hAnsi="Times New Roman" w:cs="Times New Roman"/>
                <w:color w:val="000000" w:themeColor="text1"/>
                <w:kern w:val="0"/>
                <w:highlight w:val="none"/>
                <w14:textFill>
                  <w14:solidFill>
                    <w14:schemeClr w14:val="tx1"/>
                  </w14:solidFill>
                </w14:textFill>
              </w:rPr>
              <w:t>本项目新增劳动定员</w:t>
            </w:r>
            <w:r>
              <w:rPr>
                <w:rFonts w:hint="eastAsia" w:cs="Times New Roman"/>
                <w:color w:val="000000" w:themeColor="text1"/>
                <w:kern w:val="0"/>
                <w:highlight w:val="none"/>
                <w:lang w:val="en-US" w:eastAsia="zh-CN"/>
                <w14:textFill>
                  <w14:solidFill>
                    <w14:schemeClr w14:val="tx1"/>
                  </w14:solidFill>
                </w14:textFill>
              </w:rPr>
              <w:t>2人</w:t>
            </w:r>
            <w:r>
              <w:rPr>
                <w:rFonts w:hint="default" w:ascii="Times New Roman" w:hAnsi="Times New Roman" w:cs="Times New Roman"/>
                <w:color w:val="000000" w:themeColor="text1"/>
                <w:kern w:val="0"/>
                <w:highlight w:val="none"/>
                <w14:textFill>
                  <w14:solidFill>
                    <w14:schemeClr w14:val="tx1"/>
                  </w14:solidFill>
                </w14:textFill>
              </w:rPr>
              <w:t>，生活污水</w:t>
            </w:r>
            <w:r>
              <w:rPr>
                <w:rFonts w:hint="eastAsia" w:cs="Times New Roman"/>
                <w:color w:val="000000" w:themeColor="text1"/>
                <w:kern w:val="0"/>
                <w:highlight w:val="none"/>
                <w:lang w:val="en-US" w:eastAsia="zh-CN"/>
                <w14:textFill>
                  <w14:solidFill>
                    <w14:schemeClr w14:val="tx1"/>
                  </w14:solidFill>
                </w14:textFill>
              </w:rPr>
              <w:t>排入厂区内现有旱厕，定期清掏。</w:t>
            </w:r>
          </w:p>
          <w:p w14:paraId="14342B05">
            <w:pPr>
              <w:spacing w:line="360" w:lineRule="auto"/>
              <w:ind w:firstLine="560"/>
              <w:jc w:val="left"/>
              <w:rPr>
                <w:rFonts w:hint="default" w:ascii="Times New Roman" w:hAnsi="Times New Roman" w:cs="Times New Roman"/>
                <w:color w:val="000000" w:themeColor="text1"/>
                <w:sz w:val="24"/>
                <w:szCs w:val="32"/>
                <w:highlight w:val="none"/>
                <w14:textFill>
                  <w14:solidFill>
                    <w14:schemeClr w14:val="tx1"/>
                  </w14:solidFill>
                </w14:textFill>
              </w:rPr>
            </w:pPr>
            <w:r>
              <w:rPr>
                <w:rFonts w:hint="default" w:ascii="Times New Roman" w:hAnsi="Times New Roman" w:cs="Times New Roman"/>
                <w:color w:val="000000" w:themeColor="text1"/>
                <w:sz w:val="24"/>
                <w:szCs w:val="32"/>
                <w:highlight w:val="none"/>
                <w14:textFill>
                  <w14:solidFill>
                    <w14:schemeClr w14:val="tx1"/>
                  </w14:solidFill>
                </w14:textFill>
              </w:rPr>
              <w:t>转运车辆</w:t>
            </w:r>
            <w:r>
              <w:rPr>
                <w:rFonts w:hint="eastAsia" w:cs="Times New Roman"/>
                <w:color w:val="000000" w:themeColor="text1"/>
                <w:sz w:val="24"/>
                <w:szCs w:val="32"/>
                <w:highlight w:val="none"/>
                <w:lang w:val="en-US" w:eastAsia="zh-CN"/>
                <w14:textFill>
                  <w14:solidFill>
                    <w14:schemeClr w14:val="tx1"/>
                  </w14:solidFill>
                </w14:textFill>
              </w:rPr>
              <w:t>进入卸油区，通过油泵经废矿物油泵入储罐中，</w:t>
            </w:r>
            <w:r>
              <w:rPr>
                <w:rFonts w:hint="default" w:ascii="Times New Roman" w:hAnsi="Times New Roman" w:cs="Times New Roman"/>
                <w:color w:val="000000" w:themeColor="text1"/>
                <w:sz w:val="24"/>
                <w:szCs w:val="32"/>
                <w:highlight w:val="none"/>
                <w14:textFill>
                  <w14:solidFill>
                    <w14:schemeClr w14:val="tx1"/>
                  </w14:solidFill>
                </w14:textFill>
              </w:rPr>
              <w:t>正常情况下无废物泄漏，无生产废水产生。</w:t>
            </w:r>
          </w:p>
          <w:p w14:paraId="4BB926AA">
            <w:pPr>
              <w:pStyle w:val="68"/>
              <w:ind w:firstLine="48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综上，本项目无废水外排，对环境影响较小。</w:t>
            </w:r>
          </w:p>
          <w:p w14:paraId="012F8AA7">
            <w:pPr>
              <w:pStyle w:val="68"/>
              <w:numPr>
                <w:ilvl w:val="0"/>
                <w:numId w:val="10"/>
              </w:numPr>
              <w:ind w:firstLineChars="0"/>
              <w:rPr>
                <w:rFonts w:hint="default" w:ascii="Times New Roman" w:hAnsi="Times New Roman" w:cs="Times New Roman"/>
                <w:b/>
                <w:color w:val="000000" w:themeColor="text1"/>
                <w:highlight w:val="none"/>
                <w14:textFill>
                  <w14:solidFill>
                    <w14:schemeClr w14:val="tx1"/>
                  </w14:solidFill>
                </w14:textFill>
              </w:rPr>
            </w:pPr>
            <w:r>
              <w:rPr>
                <w:rFonts w:hint="default" w:ascii="Times New Roman" w:hAnsi="Times New Roman" w:cs="Times New Roman"/>
                <w:b/>
                <w:color w:val="000000" w:themeColor="text1"/>
                <w:highlight w:val="none"/>
                <w14:textFill>
                  <w14:solidFill>
                    <w14:schemeClr w14:val="tx1"/>
                  </w14:solidFill>
                </w14:textFill>
              </w:rPr>
              <w:t>运营期噪声环境影响和保护措施</w:t>
            </w:r>
          </w:p>
          <w:p w14:paraId="454AAEDB">
            <w:pPr>
              <w:spacing w:line="360" w:lineRule="auto"/>
              <w:ind w:firstLine="480" w:firstLineChars="200"/>
              <w:rPr>
                <w:rFonts w:hint="default" w:ascii="Times New Roman" w:hAnsi="Times New Roman" w:cs="Times New Roman"/>
                <w:color w:val="000000" w:themeColor="text1"/>
                <w:sz w:val="24"/>
                <w:szCs w:val="32"/>
                <w:highlight w:val="none"/>
                <w14:textFill>
                  <w14:solidFill>
                    <w14:schemeClr w14:val="tx1"/>
                  </w14:solidFill>
                </w14:textFill>
              </w:rPr>
            </w:pPr>
            <w:r>
              <w:rPr>
                <w:rFonts w:hint="default" w:ascii="Times New Roman" w:hAnsi="Times New Roman" w:cs="Times New Roman"/>
                <w:color w:val="000000" w:themeColor="text1"/>
                <w:sz w:val="24"/>
                <w:szCs w:val="32"/>
                <w:highlight w:val="none"/>
                <w14:textFill>
                  <w14:solidFill>
                    <w14:schemeClr w14:val="tx1"/>
                  </w14:solidFill>
                </w14:textFill>
              </w:rPr>
              <w:t>主要噪声源为活性炭吸附装置配套的风机运行时产生的噪声，本项目选用低噪声设备，主要噪声源见下表：</w:t>
            </w:r>
          </w:p>
          <w:p w14:paraId="4C3856A5">
            <w:pPr>
              <w:pStyle w:val="18"/>
              <w:jc w:val="center"/>
              <w:rPr>
                <w:rFonts w:hint="default" w:ascii="Times New Roman" w:hAnsi="Times New Roman" w:cs="Times New Roman"/>
                <w:b/>
                <w:bCs/>
                <w:color w:val="000000" w:themeColor="text1"/>
                <w:sz w:val="18"/>
                <w:szCs w:val="21"/>
                <w:highlight w:val="none"/>
                <w14:textFill>
                  <w14:solidFill>
                    <w14:schemeClr w14:val="tx1"/>
                  </w14:solidFill>
                </w14:textFill>
              </w:rPr>
            </w:pPr>
            <w:r>
              <w:rPr>
                <w:rFonts w:hint="default" w:ascii="Times New Roman" w:hAnsi="Times New Roman" w:cs="Times New Roman"/>
                <w:b/>
                <w:bCs/>
                <w:color w:val="000000" w:themeColor="text1"/>
                <w:highlight w:val="none"/>
                <w14:textFill>
                  <w14:solidFill>
                    <w14:schemeClr w14:val="tx1"/>
                  </w14:solidFill>
                </w14:textFill>
              </w:rPr>
              <w:t>表4-</w:t>
            </w:r>
            <w:r>
              <w:rPr>
                <w:rFonts w:hint="eastAsia" w:ascii="Times New Roman" w:hAnsi="Times New Roman" w:cs="Times New Roman"/>
                <w:b/>
                <w:bCs/>
                <w:color w:val="000000" w:themeColor="text1"/>
                <w:highlight w:val="none"/>
                <w:lang w:val="en-US" w:eastAsia="zh-CN"/>
                <w14:textFill>
                  <w14:solidFill>
                    <w14:schemeClr w14:val="tx1"/>
                  </w14:solidFill>
                </w14:textFill>
              </w:rPr>
              <w:t>4</w:t>
            </w:r>
            <w:r>
              <w:rPr>
                <w:rFonts w:hint="default" w:ascii="Times New Roman" w:hAnsi="Times New Roman" w:cs="Times New Roman"/>
                <w:b/>
                <w:bCs/>
                <w:color w:val="000000" w:themeColor="text1"/>
                <w:highlight w:val="none"/>
                <w14:textFill>
                  <w14:solidFill>
                    <w14:schemeClr w14:val="tx1"/>
                  </w14:solidFill>
                </w14:textFill>
              </w:rPr>
              <w:t xml:space="preserve"> 噪声源声压级 单位：dB（A）</w:t>
            </w:r>
          </w:p>
          <w:tbl>
            <w:tblPr>
              <w:tblStyle w:val="28"/>
              <w:tblW w:w="4997" w:type="pct"/>
              <w:tblInd w:w="5" w:type="dxa"/>
              <w:tblBorders>
                <w:top w:val="double" w:color="auto" w:sz="4" w:space="0"/>
                <w:left w:val="none" w:color="auto" w:sz="0" w:space="0"/>
                <w:bottom w:val="doub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874"/>
              <w:gridCol w:w="874"/>
              <w:gridCol w:w="1287"/>
              <w:gridCol w:w="1073"/>
              <w:gridCol w:w="1043"/>
              <w:gridCol w:w="1071"/>
              <w:gridCol w:w="1050"/>
            </w:tblGrid>
            <w:tr w14:paraId="2145794D">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1132" w:type="pct"/>
                  <w:tcBorders>
                    <w:tl2br w:val="nil"/>
                    <w:tr2bl w:val="nil"/>
                  </w:tcBorders>
                  <w:vAlign w:val="center"/>
                </w:tcPr>
                <w:p w14:paraId="0ED2E65C">
                  <w:pPr>
                    <w:jc w:val="center"/>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szCs w:val="21"/>
                      <w:highlight w:val="none"/>
                      <w14:textFill>
                        <w14:solidFill>
                          <w14:schemeClr w14:val="tx1"/>
                        </w14:solidFill>
                      </w14:textFill>
                    </w:rPr>
                    <w:t>噪声源</w:t>
                  </w:r>
                </w:p>
              </w:tc>
              <w:tc>
                <w:tcPr>
                  <w:tcW w:w="528" w:type="pct"/>
                  <w:tcBorders>
                    <w:tl2br w:val="nil"/>
                    <w:tr2bl w:val="nil"/>
                  </w:tcBorders>
                  <w:vAlign w:val="center"/>
                </w:tcPr>
                <w:p w14:paraId="1A734F2C">
                  <w:pPr>
                    <w:jc w:val="center"/>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szCs w:val="21"/>
                      <w:highlight w:val="none"/>
                      <w14:textFill>
                        <w14:solidFill>
                          <w14:schemeClr w14:val="tx1"/>
                        </w14:solidFill>
                      </w14:textFill>
                    </w:rPr>
                    <w:t>数量</w:t>
                  </w:r>
                </w:p>
              </w:tc>
              <w:tc>
                <w:tcPr>
                  <w:tcW w:w="777" w:type="pct"/>
                  <w:tcBorders>
                    <w:tl2br w:val="nil"/>
                    <w:tr2bl w:val="nil"/>
                  </w:tcBorders>
                  <w:vAlign w:val="center"/>
                </w:tcPr>
                <w:p w14:paraId="6F50834C">
                  <w:pPr>
                    <w:jc w:val="center"/>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szCs w:val="21"/>
                      <w:highlight w:val="none"/>
                      <w14:textFill>
                        <w14:solidFill>
                          <w14:schemeClr w14:val="tx1"/>
                        </w14:solidFill>
                      </w14:textFill>
                    </w:rPr>
                    <w:t>位置</w:t>
                  </w:r>
                </w:p>
              </w:tc>
              <w:tc>
                <w:tcPr>
                  <w:tcW w:w="648" w:type="pct"/>
                  <w:tcBorders>
                    <w:tl2br w:val="nil"/>
                    <w:tr2bl w:val="nil"/>
                  </w:tcBorders>
                  <w:vAlign w:val="center"/>
                </w:tcPr>
                <w:p w14:paraId="25C41CEC">
                  <w:pPr>
                    <w:jc w:val="center"/>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szCs w:val="21"/>
                      <w:highlight w:val="none"/>
                      <w14:textFill>
                        <w14:solidFill>
                          <w14:schemeClr w14:val="tx1"/>
                        </w14:solidFill>
                      </w14:textFill>
                    </w:rPr>
                    <w:t>噪声强度</w:t>
                  </w:r>
                </w:p>
              </w:tc>
              <w:tc>
                <w:tcPr>
                  <w:tcW w:w="630" w:type="pct"/>
                  <w:tcBorders>
                    <w:tl2br w:val="nil"/>
                    <w:tr2bl w:val="nil"/>
                  </w:tcBorders>
                  <w:vAlign w:val="center"/>
                </w:tcPr>
                <w:p w14:paraId="22ACB24E">
                  <w:pPr>
                    <w:jc w:val="center"/>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szCs w:val="21"/>
                      <w:highlight w:val="none"/>
                      <w14:textFill>
                        <w14:solidFill>
                          <w14:schemeClr w14:val="tx1"/>
                        </w14:solidFill>
                      </w14:textFill>
                    </w:rPr>
                    <w:t>降噪措施</w:t>
                  </w:r>
                </w:p>
              </w:tc>
              <w:tc>
                <w:tcPr>
                  <w:tcW w:w="647" w:type="pct"/>
                  <w:tcBorders>
                    <w:tl2br w:val="nil"/>
                    <w:tr2bl w:val="nil"/>
                  </w:tcBorders>
                  <w:vAlign w:val="center"/>
                </w:tcPr>
                <w:p w14:paraId="61F73F12">
                  <w:pPr>
                    <w:jc w:val="center"/>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szCs w:val="21"/>
                      <w:highlight w:val="none"/>
                      <w14:textFill>
                        <w14:solidFill>
                          <w14:schemeClr w14:val="tx1"/>
                        </w14:solidFill>
                      </w14:textFill>
                    </w:rPr>
                    <w:t>排放强度</w:t>
                  </w:r>
                </w:p>
              </w:tc>
              <w:tc>
                <w:tcPr>
                  <w:tcW w:w="634" w:type="pct"/>
                  <w:tcBorders>
                    <w:tl2br w:val="nil"/>
                    <w:tr2bl w:val="nil"/>
                  </w:tcBorders>
                  <w:vAlign w:val="center"/>
                </w:tcPr>
                <w:p w14:paraId="6CFFE029">
                  <w:pPr>
                    <w:jc w:val="center"/>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szCs w:val="21"/>
                      <w:highlight w:val="none"/>
                      <w14:textFill>
                        <w14:solidFill>
                          <w14:schemeClr w14:val="tx1"/>
                        </w14:solidFill>
                      </w14:textFill>
                    </w:rPr>
                    <w:t>持续时间</w:t>
                  </w:r>
                </w:p>
              </w:tc>
            </w:tr>
            <w:tr w14:paraId="0D365837">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1132" w:type="pct"/>
                  <w:tcBorders>
                    <w:tl2br w:val="nil"/>
                    <w:tr2bl w:val="nil"/>
                  </w:tcBorders>
                  <w:vAlign w:val="center"/>
                </w:tcPr>
                <w:p w14:paraId="77558EE0">
                  <w:pPr>
                    <w:jc w:val="center"/>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szCs w:val="21"/>
                      <w:highlight w:val="none"/>
                      <w14:textFill>
                        <w14:solidFill>
                          <w14:schemeClr w14:val="tx1"/>
                        </w14:solidFill>
                      </w14:textFill>
                    </w:rPr>
                    <w:t>活性炭吸附装置配套风机</w:t>
                  </w:r>
                </w:p>
              </w:tc>
              <w:tc>
                <w:tcPr>
                  <w:tcW w:w="528" w:type="pct"/>
                  <w:tcBorders>
                    <w:tl2br w:val="nil"/>
                    <w:tr2bl w:val="nil"/>
                  </w:tcBorders>
                  <w:vAlign w:val="center"/>
                </w:tcPr>
                <w:p w14:paraId="56A4BE54">
                  <w:pPr>
                    <w:jc w:val="center"/>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szCs w:val="21"/>
                      <w:highlight w:val="none"/>
                      <w14:textFill>
                        <w14:solidFill>
                          <w14:schemeClr w14:val="tx1"/>
                        </w14:solidFill>
                      </w14:textFill>
                    </w:rPr>
                    <w:t>1台</w:t>
                  </w:r>
                </w:p>
              </w:tc>
              <w:tc>
                <w:tcPr>
                  <w:tcW w:w="777" w:type="pct"/>
                  <w:tcBorders>
                    <w:tl2br w:val="nil"/>
                    <w:tr2bl w:val="nil"/>
                  </w:tcBorders>
                  <w:vAlign w:val="center"/>
                </w:tcPr>
                <w:p w14:paraId="677B271E">
                  <w:pPr>
                    <w:jc w:val="center"/>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szCs w:val="21"/>
                      <w:highlight w:val="none"/>
                      <w14:textFill>
                        <w14:solidFill>
                          <w14:schemeClr w14:val="tx1"/>
                        </w14:solidFill>
                      </w14:textFill>
                    </w:rPr>
                    <w:t>危废暂存间</w:t>
                  </w:r>
                </w:p>
              </w:tc>
              <w:tc>
                <w:tcPr>
                  <w:tcW w:w="648" w:type="pct"/>
                  <w:tcBorders>
                    <w:tl2br w:val="nil"/>
                    <w:tr2bl w:val="nil"/>
                  </w:tcBorders>
                  <w:vAlign w:val="center"/>
                </w:tcPr>
                <w:p w14:paraId="3A7F845E">
                  <w:pPr>
                    <w:jc w:val="center"/>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szCs w:val="21"/>
                      <w:highlight w:val="none"/>
                      <w14:textFill>
                        <w14:solidFill>
                          <w14:schemeClr w14:val="tx1"/>
                        </w14:solidFill>
                      </w14:textFill>
                    </w:rPr>
                    <w:t>80-85</w:t>
                  </w:r>
                </w:p>
              </w:tc>
              <w:tc>
                <w:tcPr>
                  <w:tcW w:w="630" w:type="pct"/>
                  <w:tcBorders>
                    <w:tl2br w:val="nil"/>
                    <w:tr2bl w:val="nil"/>
                  </w:tcBorders>
                  <w:vAlign w:val="center"/>
                </w:tcPr>
                <w:p w14:paraId="3364AAAB">
                  <w:pPr>
                    <w:jc w:val="center"/>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szCs w:val="21"/>
                      <w:highlight w:val="none"/>
                      <w14:textFill>
                        <w14:solidFill>
                          <w14:schemeClr w14:val="tx1"/>
                        </w14:solidFill>
                      </w14:textFill>
                    </w:rPr>
                    <w:t>基础减振</w:t>
                  </w:r>
                </w:p>
              </w:tc>
              <w:tc>
                <w:tcPr>
                  <w:tcW w:w="647" w:type="pct"/>
                  <w:tcBorders>
                    <w:tl2br w:val="nil"/>
                    <w:tr2bl w:val="nil"/>
                  </w:tcBorders>
                  <w:vAlign w:val="center"/>
                </w:tcPr>
                <w:p w14:paraId="63BDF043">
                  <w:pPr>
                    <w:jc w:val="cente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eastAsia" w:cs="Times New Roman"/>
                      <w:color w:val="000000" w:themeColor="text1"/>
                      <w:szCs w:val="21"/>
                      <w:highlight w:val="none"/>
                      <w:lang w:val="en-US" w:eastAsia="zh-CN"/>
                      <w14:textFill>
                        <w14:solidFill>
                          <w14:schemeClr w14:val="tx1"/>
                        </w14:solidFill>
                      </w14:textFill>
                    </w:rPr>
                    <w:t>65</w:t>
                  </w:r>
                </w:p>
              </w:tc>
              <w:tc>
                <w:tcPr>
                  <w:tcW w:w="634" w:type="pct"/>
                  <w:tcBorders>
                    <w:tl2br w:val="nil"/>
                    <w:tr2bl w:val="nil"/>
                  </w:tcBorders>
                  <w:vAlign w:val="center"/>
                </w:tcPr>
                <w:p w14:paraId="338A071B">
                  <w:pPr>
                    <w:jc w:val="center"/>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szCs w:val="21"/>
                      <w:highlight w:val="none"/>
                      <w14:textFill>
                        <w14:solidFill>
                          <w14:schemeClr w14:val="tx1"/>
                        </w14:solidFill>
                      </w14:textFill>
                    </w:rPr>
                    <w:t>24h</w:t>
                  </w:r>
                </w:p>
              </w:tc>
            </w:tr>
          </w:tbl>
          <w:p w14:paraId="6E7F7C2A">
            <w:pPr>
              <w:spacing w:line="360" w:lineRule="auto"/>
              <w:ind w:firstLine="480" w:firstLineChars="200"/>
              <w:rPr>
                <w:rFonts w:hint="default" w:ascii="Times New Roman" w:hAnsi="Times New Roman" w:cs="Times New Roman"/>
                <w:color w:val="000000" w:themeColor="text1"/>
                <w:sz w:val="24"/>
                <w:szCs w:val="32"/>
                <w:highlight w:val="none"/>
                <w14:textFill>
                  <w14:solidFill>
                    <w14:schemeClr w14:val="tx1"/>
                  </w14:solidFill>
                </w14:textFill>
              </w:rPr>
            </w:pPr>
            <w:r>
              <w:rPr>
                <w:rFonts w:hint="default" w:ascii="Times New Roman" w:hAnsi="Times New Roman" w:cs="Times New Roman"/>
                <w:color w:val="000000" w:themeColor="text1"/>
                <w:sz w:val="24"/>
                <w:szCs w:val="32"/>
                <w:highlight w:val="none"/>
                <w14:textFill>
                  <w14:solidFill>
                    <w14:schemeClr w14:val="tx1"/>
                  </w14:solidFill>
                </w14:textFill>
              </w:rPr>
              <w:t>危废运输车辆也产生噪声，运输噪声为间歇性产生的噪声，厂内运输时只对厂区内部造成影响，为减轻机动车对所在地声环境的影响，本项目在设计车辆道路规划时应通过合理设计道路走向、道路宽度、车辆行驶速度以及在相关地带适当设置标线以及禁止鸣笛的标识，可尽量减少机动车鸣笛产生的噪声以及机动车行驶产生的噪声，在此，不再进行定量分析评价。</w:t>
            </w:r>
          </w:p>
          <w:p w14:paraId="76FAA66B">
            <w:pPr>
              <w:pStyle w:val="60"/>
              <w:rPr>
                <w:rFonts w:hint="default" w:ascii="Times New Roman" w:hAnsi="Times New Roman" w:cs="Times New Roman"/>
                <w:color w:val="000000" w:themeColor="text1"/>
                <w:szCs w:val="32"/>
                <w:highlight w:val="none"/>
                <w14:textFill>
                  <w14:solidFill>
                    <w14:schemeClr w14:val="tx1"/>
                  </w14:solidFill>
                </w14:textFill>
              </w:rPr>
            </w:pPr>
            <w:r>
              <w:rPr>
                <w:rFonts w:hint="default" w:ascii="Times New Roman" w:hAnsi="Times New Roman" w:cs="Times New Roman"/>
                <w:color w:val="000000" w:themeColor="text1"/>
                <w:szCs w:val="32"/>
                <w:highlight w:val="none"/>
                <w14:textFill>
                  <w14:solidFill>
                    <w14:schemeClr w14:val="tx1"/>
                  </w14:solidFill>
                </w14:textFill>
              </w:rPr>
              <w:t>根据点声源噪声衰减模式，可估算出运营期局声源不同距离处的噪声值。其预测模式如下：</w:t>
            </w:r>
          </w:p>
          <w:p w14:paraId="7FC4FF5E">
            <w:pPr>
              <w:pStyle w:val="60"/>
              <w:rPr>
                <w:rFonts w:hint="default" w:ascii="Times New Roman" w:hAnsi="Times New Roman" w:cs="Times New Roman"/>
                <w:color w:val="000000" w:themeColor="text1"/>
                <w:szCs w:val="32"/>
                <w:highlight w:val="none"/>
                <w14:textFill>
                  <w14:solidFill>
                    <w14:schemeClr w14:val="tx1"/>
                  </w14:solidFill>
                </w14:textFill>
              </w:rPr>
            </w:pPr>
            <w:r>
              <w:rPr>
                <w:rFonts w:hint="default" w:ascii="Times New Roman" w:hAnsi="Times New Roman" w:cs="Times New Roman"/>
                <w:color w:val="000000" w:themeColor="text1"/>
                <w:position w:val="-14"/>
                <w:szCs w:val="32"/>
                <w:highlight w:val="none"/>
                <w14:textFill>
                  <w14:solidFill>
                    <w14:schemeClr w14:val="tx1"/>
                  </w14:solidFill>
                </w14:textFill>
              </w:rPr>
              <w:object>
                <v:shape id="_x0000_i1026" o:spt="75" type="#_x0000_t75" style="height:18.75pt;width:128.25pt;" o:ole="t" filled="f" o:preferrelative="t" stroked="f" coordsize="21600,21600">
                  <v:path/>
                  <v:fill on="f" focussize="0,0"/>
                  <v:stroke on="f" joinstyle="miter"/>
                  <v:imagedata r:id="rId12" o:title=""/>
                  <o:lock v:ext="edit" aspectratio="t"/>
                  <w10:wrap type="none"/>
                  <w10:anchorlock/>
                </v:shape>
                <o:OLEObject Type="Embed" ProgID="Equation.KSEE3" ShapeID="_x0000_i1026" DrawAspect="Content" ObjectID="_1468075726" r:id="rId11">
                  <o:LockedField>false</o:LockedField>
                </o:OLEObject>
              </w:object>
            </w:r>
          </w:p>
          <w:p w14:paraId="37C46415">
            <w:pPr>
              <w:pStyle w:val="60"/>
              <w:rPr>
                <w:rFonts w:hint="default" w:ascii="Times New Roman" w:hAnsi="Times New Roman" w:cs="Times New Roman"/>
                <w:color w:val="000000" w:themeColor="text1"/>
                <w:szCs w:val="32"/>
                <w:highlight w:val="none"/>
                <w14:textFill>
                  <w14:solidFill>
                    <w14:schemeClr w14:val="tx1"/>
                  </w14:solidFill>
                </w14:textFill>
              </w:rPr>
            </w:pPr>
            <w:r>
              <w:rPr>
                <w:rFonts w:hint="default" w:ascii="Times New Roman" w:hAnsi="Times New Roman" w:cs="Times New Roman"/>
                <w:color w:val="000000" w:themeColor="text1"/>
                <w:szCs w:val="32"/>
                <w:highlight w:val="none"/>
                <w14:textFill>
                  <w14:solidFill>
                    <w14:schemeClr w14:val="tx1"/>
                  </w14:solidFill>
                </w14:textFill>
              </w:rPr>
              <w:t>式中：Lp——距声源r（m）处声压级，dB（A）；</w:t>
            </w:r>
          </w:p>
          <w:p w14:paraId="5E929DE7">
            <w:pPr>
              <w:pStyle w:val="60"/>
              <w:ind w:firstLine="1200" w:firstLineChars="50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Lp</w:t>
            </w:r>
            <w:r>
              <w:rPr>
                <w:rFonts w:hint="default" w:ascii="Times New Roman" w:hAnsi="Times New Roman" w:cs="Times New Roman"/>
                <w:color w:val="000000" w:themeColor="text1"/>
                <w:highlight w:val="none"/>
                <w:vertAlign w:val="subscript"/>
                <w14:textFill>
                  <w14:solidFill>
                    <w14:schemeClr w14:val="tx1"/>
                  </w14:solidFill>
                </w14:textFill>
              </w:rPr>
              <w:t>0</w:t>
            </w:r>
            <w:r>
              <w:rPr>
                <w:rFonts w:hint="default" w:ascii="Times New Roman" w:hAnsi="Times New Roman" w:cs="Times New Roman"/>
                <w:color w:val="000000" w:themeColor="text1"/>
                <w:highlight w:val="none"/>
                <w14:textFill>
                  <w14:solidFill>
                    <w14:schemeClr w14:val="tx1"/>
                  </w14:solidFill>
                </w14:textFill>
              </w:rPr>
              <w:t>—距声源r</w:t>
            </w:r>
            <w:r>
              <w:rPr>
                <w:rFonts w:hint="default" w:ascii="Times New Roman" w:hAnsi="Times New Roman" w:cs="Times New Roman"/>
                <w:color w:val="000000" w:themeColor="text1"/>
                <w:highlight w:val="none"/>
                <w:vertAlign w:val="subscript"/>
                <w14:textFill>
                  <w14:solidFill>
                    <w14:schemeClr w14:val="tx1"/>
                  </w14:solidFill>
                </w14:textFill>
              </w:rPr>
              <w:t>0</w:t>
            </w:r>
            <w:r>
              <w:rPr>
                <w:rFonts w:hint="default" w:ascii="Times New Roman" w:hAnsi="Times New Roman" w:cs="Times New Roman"/>
                <w:color w:val="000000" w:themeColor="text1"/>
                <w:highlight w:val="none"/>
                <w14:textFill>
                  <w14:solidFill>
                    <w14:schemeClr w14:val="tx1"/>
                  </w14:solidFill>
                </w14:textFill>
              </w:rPr>
              <w:t>（m）处的声压级，dB(A)；</w:t>
            </w:r>
          </w:p>
          <w:p w14:paraId="2B393FF8">
            <w:pPr>
              <w:pStyle w:val="60"/>
              <w:ind w:firstLine="1200" w:firstLineChars="50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r—距声源的距离，m；</w:t>
            </w:r>
          </w:p>
          <w:p w14:paraId="0A9F0937">
            <w:pPr>
              <w:pStyle w:val="60"/>
              <w:ind w:firstLine="1200" w:firstLineChars="50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r</w:t>
            </w:r>
            <w:r>
              <w:rPr>
                <w:rFonts w:hint="default" w:ascii="Times New Roman" w:hAnsi="Times New Roman" w:cs="Times New Roman"/>
                <w:color w:val="000000" w:themeColor="text1"/>
                <w:highlight w:val="none"/>
                <w:vertAlign w:val="subscript"/>
                <w14:textFill>
                  <w14:solidFill>
                    <w14:schemeClr w14:val="tx1"/>
                  </w14:solidFill>
                </w14:textFill>
              </w:rPr>
              <w:t>0</w:t>
            </w:r>
            <w:r>
              <w:rPr>
                <w:rFonts w:hint="default" w:ascii="Times New Roman" w:hAnsi="Times New Roman" w:cs="Times New Roman"/>
                <w:color w:val="000000" w:themeColor="text1"/>
                <w:highlight w:val="none"/>
                <w14:textFill>
                  <w14:solidFill>
                    <w14:schemeClr w14:val="tx1"/>
                  </w14:solidFill>
                </w14:textFill>
              </w:rPr>
              <w:t>—距声源1 m；</w:t>
            </w:r>
          </w:p>
          <w:p w14:paraId="7DC9E818">
            <w:pPr>
              <w:pStyle w:val="60"/>
              <w:ind w:firstLine="1200" w:firstLineChars="50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ΔL—各种衰减量（除发散衰减外），dB(A)。室外无阻挡、阻碍设施，噪声源ΔL取零。</w:t>
            </w:r>
          </w:p>
          <w:p w14:paraId="7CAD90E3">
            <w:pPr>
              <w:pStyle w:val="6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本项目实施后，厂界噪声以贡献值为指标预测，厂界声环境预测结果见下表。</w:t>
            </w:r>
          </w:p>
          <w:p w14:paraId="6405AC3F">
            <w:pPr>
              <w:pStyle w:val="60"/>
              <w:spacing w:line="240" w:lineRule="auto"/>
              <w:ind w:firstLine="0" w:firstLineChars="0"/>
              <w:jc w:val="center"/>
              <w:rPr>
                <w:rFonts w:hint="default" w:ascii="Times New Roman" w:hAnsi="Times New Roman" w:cs="Times New Roman"/>
                <w:b/>
                <w:bCs/>
                <w:color w:val="000000" w:themeColor="text1"/>
                <w:sz w:val="21"/>
                <w:szCs w:val="21"/>
                <w:highlight w:val="none"/>
                <w14:textFill>
                  <w14:solidFill>
                    <w14:schemeClr w14:val="tx1"/>
                  </w14:solidFill>
                </w14:textFill>
              </w:rPr>
            </w:pPr>
            <w:r>
              <w:rPr>
                <w:rFonts w:hint="default" w:ascii="Times New Roman" w:hAnsi="Times New Roman" w:cs="Times New Roman"/>
                <w:b/>
                <w:bCs/>
                <w:color w:val="000000" w:themeColor="text1"/>
                <w:sz w:val="21"/>
                <w:szCs w:val="21"/>
                <w:highlight w:val="none"/>
                <w14:textFill>
                  <w14:solidFill>
                    <w14:schemeClr w14:val="tx1"/>
                  </w14:solidFill>
                </w14:textFill>
              </w:rPr>
              <w:t>表4-</w:t>
            </w:r>
            <w:r>
              <w:rPr>
                <w:rFonts w:hint="eastAsia" w:cs="Times New Roman"/>
                <w:b/>
                <w:bCs/>
                <w:color w:val="000000" w:themeColor="text1"/>
                <w:sz w:val="21"/>
                <w:szCs w:val="21"/>
                <w:highlight w:val="none"/>
                <w:lang w:val="en-US" w:eastAsia="zh-CN"/>
                <w14:textFill>
                  <w14:solidFill>
                    <w14:schemeClr w14:val="tx1"/>
                  </w14:solidFill>
                </w14:textFill>
              </w:rPr>
              <w:t xml:space="preserve">5  </w:t>
            </w:r>
            <w:r>
              <w:rPr>
                <w:rFonts w:hint="default" w:ascii="Times New Roman" w:hAnsi="Times New Roman" w:cs="Times New Roman"/>
                <w:b/>
                <w:bCs/>
                <w:color w:val="000000" w:themeColor="text1"/>
                <w:sz w:val="21"/>
                <w:szCs w:val="21"/>
                <w:highlight w:val="none"/>
                <w14:textFill>
                  <w14:solidFill>
                    <w14:schemeClr w14:val="tx1"/>
                  </w14:solidFill>
                </w14:textFill>
              </w:rPr>
              <w:t>厂界噪声影响预测结果</w:t>
            </w:r>
          </w:p>
          <w:tbl>
            <w:tblPr>
              <w:tblStyle w:val="28"/>
              <w:tblW w:w="4997" w:type="pct"/>
              <w:tblInd w:w="0" w:type="dxa"/>
              <w:tblBorders>
                <w:top w:val="double" w:color="auto" w:sz="4" w:space="0"/>
                <w:left w:val="none" w:color="auto" w:sz="0" w:space="0"/>
                <w:bottom w:val="doub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378"/>
              <w:gridCol w:w="1378"/>
              <w:gridCol w:w="1378"/>
              <w:gridCol w:w="1378"/>
              <w:gridCol w:w="1381"/>
              <w:gridCol w:w="1379"/>
            </w:tblGrid>
            <w:tr w14:paraId="4DF2B767">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6" w:hRule="atLeast"/>
              </w:trPr>
              <w:tc>
                <w:tcPr>
                  <w:tcW w:w="833" w:type="pct"/>
                  <w:vMerge w:val="restart"/>
                  <w:tcBorders>
                    <w:tl2br w:val="nil"/>
                    <w:tr2bl w:val="nil"/>
                  </w:tcBorders>
                  <w:vAlign w:val="center"/>
                </w:tcPr>
                <w:p w14:paraId="28274F29">
                  <w:pPr>
                    <w:pStyle w:val="60"/>
                    <w:spacing w:line="240" w:lineRule="auto"/>
                    <w:ind w:firstLine="0" w:firstLineChars="0"/>
                    <w:jc w:val="center"/>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预测位置</w:t>
                  </w:r>
                </w:p>
              </w:tc>
              <w:tc>
                <w:tcPr>
                  <w:tcW w:w="833" w:type="pct"/>
                  <w:vMerge w:val="restart"/>
                  <w:tcBorders>
                    <w:tl2br w:val="nil"/>
                    <w:tr2bl w:val="nil"/>
                  </w:tcBorders>
                  <w:vAlign w:val="center"/>
                </w:tcPr>
                <w:p w14:paraId="7C2C09E0">
                  <w:pPr>
                    <w:pStyle w:val="60"/>
                    <w:spacing w:line="240" w:lineRule="auto"/>
                    <w:ind w:firstLine="0" w:firstLineChars="0"/>
                    <w:jc w:val="center"/>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距离（m）</w:t>
                  </w:r>
                </w:p>
              </w:tc>
              <w:tc>
                <w:tcPr>
                  <w:tcW w:w="833" w:type="pct"/>
                  <w:vMerge w:val="restart"/>
                  <w:tcBorders>
                    <w:tl2br w:val="nil"/>
                    <w:tr2bl w:val="nil"/>
                  </w:tcBorders>
                  <w:vAlign w:val="center"/>
                </w:tcPr>
                <w:p w14:paraId="02BEC03D">
                  <w:pPr>
                    <w:pStyle w:val="60"/>
                    <w:spacing w:line="240" w:lineRule="auto"/>
                    <w:ind w:firstLine="0" w:firstLineChars="0"/>
                    <w:jc w:val="center"/>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贡献值</w:t>
                  </w:r>
                </w:p>
              </w:tc>
              <w:tc>
                <w:tcPr>
                  <w:tcW w:w="1667" w:type="pct"/>
                  <w:gridSpan w:val="2"/>
                  <w:tcBorders>
                    <w:tl2br w:val="nil"/>
                    <w:tr2bl w:val="nil"/>
                  </w:tcBorders>
                  <w:vAlign w:val="center"/>
                </w:tcPr>
                <w:p w14:paraId="602AD233">
                  <w:pPr>
                    <w:pStyle w:val="60"/>
                    <w:spacing w:line="240" w:lineRule="auto"/>
                    <w:ind w:firstLine="0" w:firstLineChars="0"/>
                    <w:jc w:val="center"/>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标准dB（A）</w:t>
                  </w:r>
                </w:p>
              </w:tc>
              <w:tc>
                <w:tcPr>
                  <w:tcW w:w="833" w:type="pct"/>
                  <w:vMerge w:val="restart"/>
                  <w:tcBorders>
                    <w:tl2br w:val="nil"/>
                    <w:tr2bl w:val="nil"/>
                  </w:tcBorders>
                  <w:vAlign w:val="center"/>
                </w:tcPr>
                <w:p w14:paraId="55FC684F">
                  <w:pPr>
                    <w:pStyle w:val="60"/>
                    <w:spacing w:line="240" w:lineRule="auto"/>
                    <w:ind w:firstLine="0" w:firstLineChars="0"/>
                    <w:jc w:val="center"/>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达标情况</w:t>
                  </w:r>
                </w:p>
              </w:tc>
            </w:tr>
            <w:tr w14:paraId="5699B974">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67" w:hRule="atLeast"/>
              </w:trPr>
              <w:tc>
                <w:tcPr>
                  <w:tcW w:w="833" w:type="pct"/>
                  <w:vMerge w:val="continue"/>
                  <w:tcBorders>
                    <w:tl2br w:val="nil"/>
                    <w:tr2bl w:val="nil"/>
                  </w:tcBorders>
                  <w:vAlign w:val="center"/>
                </w:tcPr>
                <w:p w14:paraId="5561B2BF">
                  <w:pPr>
                    <w:pStyle w:val="60"/>
                    <w:spacing w:line="240" w:lineRule="auto"/>
                    <w:ind w:firstLine="0" w:firstLineChars="0"/>
                    <w:jc w:val="center"/>
                    <w:rPr>
                      <w:rFonts w:hint="default" w:ascii="Times New Roman" w:hAnsi="Times New Roman" w:cs="Times New Roman"/>
                      <w:color w:val="000000" w:themeColor="text1"/>
                      <w:sz w:val="21"/>
                      <w:szCs w:val="21"/>
                      <w:highlight w:val="none"/>
                      <w14:textFill>
                        <w14:solidFill>
                          <w14:schemeClr w14:val="tx1"/>
                        </w14:solidFill>
                      </w14:textFill>
                    </w:rPr>
                  </w:pPr>
                </w:p>
              </w:tc>
              <w:tc>
                <w:tcPr>
                  <w:tcW w:w="833" w:type="pct"/>
                  <w:vMerge w:val="continue"/>
                  <w:tcBorders>
                    <w:tl2br w:val="nil"/>
                    <w:tr2bl w:val="nil"/>
                  </w:tcBorders>
                  <w:vAlign w:val="center"/>
                </w:tcPr>
                <w:p w14:paraId="674A1B88">
                  <w:pPr>
                    <w:pStyle w:val="60"/>
                    <w:spacing w:line="240" w:lineRule="auto"/>
                    <w:ind w:firstLine="0" w:firstLineChars="0"/>
                    <w:jc w:val="center"/>
                    <w:rPr>
                      <w:rFonts w:hint="default" w:ascii="Times New Roman" w:hAnsi="Times New Roman" w:cs="Times New Roman"/>
                      <w:color w:val="000000" w:themeColor="text1"/>
                      <w:sz w:val="21"/>
                      <w:szCs w:val="21"/>
                      <w:highlight w:val="none"/>
                      <w14:textFill>
                        <w14:solidFill>
                          <w14:schemeClr w14:val="tx1"/>
                        </w14:solidFill>
                      </w14:textFill>
                    </w:rPr>
                  </w:pPr>
                </w:p>
              </w:tc>
              <w:tc>
                <w:tcPr>
                  <w:tcW w:w="833" w:type="pct"/>
                  <w:vMerge w:val="continue"/>
                  <w:tcBorders>
                    <w:tl2br w:val="nil"/>
                    <w:tr2bl w:val="nil"/>
                  </w:tcBorders>
                  <w:vAlign w:val="center"/>
                </w:tcPr>
                <w:p w14:paraId="2A280CD1">
                  <w:pPr>
                    <w:pStyle w:val="60"/>
                    <w:spacing w:line="240" w:lineRule="auto"/>
                    <w:ind w:firstLine="0" w:firstLineChars="0"/>
                    <w:jc w:val="center"/>
                    <w:rPr>
                      <w:rFonts w:hint="default" w:ascii="Times New Roman" w:hAnsi="Times New Roman" w:cs="Times New Roman"/>
                      <w:color w:val="000000" w:themeColor="text1"/>
                      <w:sz w:val="21"/>
                      <w:szCs w:val="21"/>
                      <w:highlight w:val="none"/>
                      <w14:textFill>
                        <w14:solidFill>
                          <w14:schemeClr w14:val="tx1"/>
                        </w14:solidFill>
                      </w14:textFill>
                    </w:rPr>
                  </w:pPr>
                </w:p>
              </w:tc>
              <w:tc>
                <w:tcPr>
                  <w:tcW w:w="833" w:type="pct"/>
                  <w:tcBorders>
                    <w:tl2br w:val="nil"/>
                    <w:tr2bl w:val="nil"/>
                  </w:tcBorders>
                  <w:vAlign w:val="center"/>
                </w:tcPr>
                <w:p w14:paraId="2778B83B">
                  <w:pPr>
                    <w:pStyle w:val="60"/>
                    <w:spacing w:line="240" w:lineRule="auto"/>
                    <w:ind w:firstLine="0" w:firstLineChars="0"/>
                    <w:jc w:val="cente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昼间</w:t>
                  </w:r>
                </w:p>
              </w:tc>
              <w:tc>
                <w:tcPr>
                  <w:tcW w:w="833" w:type="pct"/>
                  <w:tcBorders>
                    <w:tl2br w:val="nil"/>
                    <w:tr2bl w:val="nil"/>
                  </w:tcBorders>
                  <w:vAlign w:val="center"/>
                </w:tcPr>
                <w:p w14:paraId="284ED85E">
                  <w:pPr>
                    <w:pStyle w:val="60"/>
                    <w:spacing w:line="240" w:lineRule="auto"/>
                    <w:ind w:firstLine="0" w:firstLineChars="0"/>
                    <w:jc w:val="cente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夜间</w:t>
                  </w:r>
                </w:p>
              </w:tc>
              <w:tc>
                <w:tcPr>
                  <w:tcW w:w="833" w:type="pct"/>
                  <w:vMerge w:val="continue"/>
                  <w:tcBorders>
                    <w:tl2br w:val="nil"/>
                    <w:tr2bl w:val="nil"/>
                  </w:tcBorders>
                  <w:vAlign w:val="center"/>
                </w:tcPr>
                <w:p w14:paraId="30EEEFDC">
                  <w:pPr>
                    <w:pStyle w:val="60"/>
                    <w:spacing w:line="240" w:lineRule="auto"/>
                    <w:ind w:firstLine="0" w:firstLineChars="0"/>
                    <w:jc w:val="center"/>
                    <w:rPr>
                      <w:rFonts w:hint="default" w:ascii="Times New Roman" w:hAnsi="Times New Roman" w:cs="Times New Roman"/>
                      <w:color w:val="000000" w:themeColor="text1"/>
                      <w:sz w:val="21"/>
                      <w:szCs w:val="21"/>
                      <w:highlight w:val="none"/>
                      <w14:textFill>
                        <w14:solidFill>
                          <w14:schemeClr w14:val="tx1"/>
                        </w14:solidFill>
                      </w14:textFill>
                    </w:rPr>
                  </w:pPr>
                </w:p>
              </w:tc>
            </w:tr>
            <w:tr w14:paraId="55F24DEE">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833" w:type="pct"/>
                  <w:tcBorders>
                    <w:tl2br w:val="nil"/>
                    <w:tr2bl w:val="nil"/>
                  </w:tcBorders>
                  <w:vAlign w:val="center"/>
                </w:tcPr>
                <w:p w14:paraId="1922BD7C">
                  <w:pPr>
                    <w:pStyle w:val="60"/>
                    <w:spacing w:line="240" w:lineRule="auto"/>
                    <w:ind w:firstLine="0" w:firstLineChars="0"/>
                    <w:jc w:val="center"/>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东厂界</w:t>
                  </w:r>
                </w:p>
              </w:tc>
              <w:tc>
                <w:tcPr>
                  <w:tcW w:w="833" w:type="pct"/>
                  <w:tcBorders>
                    <w:tl2br w:val="nil"/>
                    <w:tr2bl w:val="nil"/>
                  </w:tcBorders>
                  <w:vAlign w:val="center"/>
                </w:tcPr>
                <w:p w14:paraId="10266B69">
                  <w:pPr>
                    <w:pStyle w:val="60"/>
                    <w:spacing w:line="240" w:lineRule="auto"/>
                    <w:ind w:firstLine="0" w:firstLineChars="0"/>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12</w:t>
                  </w:r>
                </w:p>
              </w:tc>
              <w:tc>
                <w:tcPr>
                  <w:tcW w:w="833" w:type="pct"/>
                  <w:tcBorders>
                    <w:tl2br w:val="nil"/>
                    <w:tr2bl w:val="nil"/>
                  </w:tcBorders>
                  <w:vAlign w:val="center"/>
                </w:tcPr>
                <w:p w14:paraId="10E2489F">
                  <w:pPr>
                    <w:pStyle w:val="60"/>
                    <w:spacing w:line="240" w:lineRule="auto"/>
                    <w:ind w:firstLine="0" w:firstLineChars="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43</w:t>
                  </w:r>
                </w:p>
              </w:tc>
              <w:tc>
                <w:tcPr>
                  <w:tcW w:w="833" w:type="pct"/>
                  <w:tcBorders>
                    <w:tl2br w:val="nil"/>
                    <w:tr2bl w:val="nil"/>
                  </w:tcBorders>
                  <w:vAlign w:val="center"/>
                </w:tcPr>
                <w:p w14:paraId="49645F71">
                  <w:pPr>
                    <w:pStyle w:val="60"/>
                    <w:spacing w:line="240" w:lineRule="auto"/>
                    <w:ind w:firstLine="0" w:firstLineChars="0"/>
                    <w:jc w:val="center"/>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65</w:t>
                  </w:r>
                </w:p>
              </w:tc>
              <w:tc>
                <w:tcPr>
                  <w:tcW w:w="833" w:type="pct"/>
                  <w:tcBorders>
                    <w:tl2br w:val="nil"/>
                    <w:tr2bl w:val="nil"/>
                  </w:tcBorders>
                  <w:vAlign w:val="center"/>
                </w:tcPr>
                <w:p w14:paraId="198B23D6">
                  <w:pPr>
                    <w:pStyle w:val="60"/>
                    <w:spacing w:line="240" w:lineRule="auto"/>
                    <w:ind w:firstLine="0" w:firstLineChars="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55</w:t>
                  </w:r>
                </w:p>
              </w:tc>
              <w:tc>
                <w:tcPr>
                  <w:tcW w:w="833" w:type="pct"/>
                  <w:tcBorders>
                    <w:tl2br w:val="nil"/>
                    <w:tr2bl w:val="nil"/>
                  </w:tcBorders>
                  <w:vAlign w:val="center"/>
                </w:tcPr>
                <w:p w14:paraId="444CA764">
                  <w:pPr>
                    <w:pStyle w:val="60"/>
                    <w:spacing w:line="240" w:lineRule="auto"/>
                    <w:ind w:firstLine="0" w:firstLineChars="0"/>
                    <w:jc w:val="center"/>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达标</w:t>
                  </w:r>
                </w:p>
              </w:tc>
            </w:tr>
            <w:tr w14:paraId="415A4BD1">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833" w:type="pct"/>
                  <w:tcBorders>
                    <w:tl2br w:val="nil"/>
                    <w:tr2bl w:val="nil"/>
                  </w:tcBorders>
                  <w:vAlign w:val="center"/>
                </w:tcPr>
                <w:p w14:paraId="4DD8392E">
                  <w:pPr>
                    <w:pStyle w:val="60"/>
                    <w:spacing w:line="240" w:lineRule="auto"/>
                    <w:ind w:firstLine="0" w:firstLineChars="0"/>
                    <w:jc w:val="center"/>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南厂界</w:t>
                  </w:r>
                </w:p>
              </w:tc>
              <w:tc>
                <w:tcPr>
                  <w:tcW w:w="833" w:type="pct"/>
                  <w:tcBorders>
                    <w:tl2br w:val="nil"/>
                    <w:tr2bl w:val="nil"/>
                  </w:tcBorders>
                  <w:vAlign w:val="center"/>
                </w:tcPr>
                <w:p w14:paraId="3DCB2BEA">
                  <w:pPr>
                    <w:pStyle w:val="60"/>
                    <w:spacing w:line="240" w:lineRule="auto"/>
                    <w:ind w:firstLine="0" w:firstLineChars="0"/>
                    <w:jc w:val="center"/>
                    <w:rPr>
                      <w:rFonts w:hint="eastAsia" w:ascii="Times New Roman" w:hAnsi="Times New Roman" w:eastAsia="宋体" w:cs="Times New Roman"/>
                      <w:color w:val="auto"/>
                      <w:sz w:val="21"/>
                      <w:szCs w:val="21"/>
                      <w:highlight w:val="none"/>
                      <w:lang w:eastAsia="zh-CN"/>
                    </w:rPr>
                  </w:pPr>
                  <w:r>
                    <w:rPr>
                      <w:rFonts w:hint="eastAsia" w:cs="Times New Roman"/>
                      <w:color w:val="auto"/>
                      <w:sz w:val="21"/>
                      <w:szCs w:val="21"/>
                      <w:highlight w:val="none"/>
                      <w:lang w:val="en-US" w:eastAsia="zh-CN"/>
                    </w:rPr>
                    <w:t>4</w:t>
                  </w:r>
                </w:p>
              </w:tc>
              <w:tc>
                <w:tcPr>
                  <w:tcW w:w="833" w:type="pct"/>
                  <w:tcBorders>
                    <w:tl2br w:val="nil"/>
                    <w:tr2bl w:val="nil"/>
                  </w:tcBorders>
                  <w:vAlign w:val="center"/>
                </w:tcPr>
                <w:p w14:paraId="6C396D58">
                  <w:pPr>
                    <w:pStyle w:val="60"/>
                    <w:spacing w:line="240" w:lineRule="auto"/>
                    <w:ind w:firstLine="0" w:firstLineChars="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53</w:t>
                  </w:r>
                </w:p>
              </w:tc>
              <w:tc>
                <w:tcPr>
                  <w:tcW w:w="833" w:type="pct"/>
                  <w:tcBorders>
                    <w:tl2br w:val="nil"/>
                    <w:tr2bl w:val="nil"/>
                  </w:tcBorders>
                  <w:vAlign w:val="center"/>
                </w:tcPr>
                <w:p w14:paraId="18D3CBBB">
                  <w:pPr>
                    <w:pStyle w:val="60"/>
                    <w:spacing w:line="240" w:lineRule="auto"/>
                    <w:ind w:firstLine="0" w:firstLineChars="0"/>
                    <w:jc w:val="center"/>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65</w:t>
                  </w:r>
                </w:p>
              </w:tc>
              <w:tc>
                <w:tcPr>
                  <w:tcW w:w="833" w:type="pct"/>
                  <w:tcBorders>
                    <w:tl2br w:val="nil"/>
                    <w:tr2bl w:val="nil"/>
                  </w:tcBorders>
                  <w:vAlign w:val="center"/>
                </w:tcPr>
                <w:p w14:paraId="7BD5AEA2">
                  <w:pPr>
                    <w:pStyle w:val="60"/>
                    <w:spacing w:line="240" w:lineRule="auto"/>
                    <w:ind w:firstLine="0" w:firstLineChars="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55</w:t>
                  </w:r>
                </w:p>
              </w:tc>
              <w:tc>
                <w:tcPr>
                  <w:tcW w:w="833" w:type="pct"/>
                  <w:tcBorders>
                    <w:tl2br w:val="nil"/>
                    <w:tr2bl w:val="nil"/>
                  </w:tcBorders>
                  <w:vAlign w:val="center"/>
                </w:tcPr>
                <w:p w14:paraId="6F472E32">
                  <w:pPr>
                    <w:pStyle w:val="60"/>
                    <w:spacing w:line="240" w:lineRule="auto"/>
                    <w:ind w:firstLine="0" w:firstLineChars="0"/>
                    <w:jc w:val="center"/>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达标</w:t>
                  </w:r>
                </w:p>
              </w:tc>
            </w:tr>
            <w:tr w14:paraId="1AA0C665">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833" w:type="pct"/>
                  <w:tcBorders>
                    <w:tl2br w:val="nil"/>
                    <w:tr2bl w:val="nil"/>
                  </w:tcBorders>
                  <w:vAlign w:val="center"/>
                </w:tcPr>
                <w:p w14:paraId="5ED12F7A">
                  <w:pPr>
                    <w:pStyle w:val="60"/>
                    <w:spacing w:line="240" w:lineRule="auto"/>
                    <w:ind w:firstLine="0" w:firstLineChars="0"/>
                    <w:jc w:val="center"/>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西厂界</w:t>
                  </w:r>
                </w:p>
              </w:tc>
              <w:tc>
                <w:tcPr>
                  <w:tcW w:w="833" w:type="pct"/>
                  <w:tcBorders>
                    <w:tl2br w:val="nil"/>
                    <w:tr2bl w:val="nil"/>
                  </w:tcBorders>
                  <w:vAlign w:val="center"/>
                </w:tcPr>
                <w:p w14:paraId="2C1166FC">
                  <w:pPr>
                    <w:pStyle w:val="60"/>
                    <w:spacing w:line="240" w:lineRule="auto"/>
                    <w:ind w:firstLine="0" w:firstLineChars="0"/>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24</w:t>
                  </w:r>
                </w:p>
              </w:tc>
              <w:tc>
                <w:tcPr>
                  <w:tcW w:w="833" w:type="pct"/>
                  <w:tcBorders>
                    <w:tl2br w:val="nil"/>
                    <w:tr2bl w:val="nil"/>
                  </w:tcBorders>
                  <w:vAlign w:val="center"/>
                </w:tcPr>
                <w:p w14:paraId="2593C535">
                  <w:pPr>
                    <w:pStyle w:val="60"/>
                    <w:spacing w:line="240" w:lineRule="auto"/>
                    <w:ind w:firstLine="0" w:firstLineChars="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37</w:t>
                  </w:r>
                </w:p>
              </w:tc>
              <w:tc>
                <w:tcPr>
                  <w:tcW w:w="833" w:type="pct"/>
                  <w:tcBorders>
                    <w:tl2br w:val="nil"/>
                    <w:tr2bl w:val="nil"/>
                  </w:tcBorders>
                  <w:vAlign w:val="center"/>
                </w:tcPr>
                <w:p w14:paraId="7BB4B0E3">
                  <w:pPr>
                    <w:pStyle w:val="60"/>
                    <w:spacing w:line="240" w:lineRule="auto"/>
                    <w:ind w:firstLine="0" w:firstLineChars="0"/>
                    <w:jc w:val="center"/>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65</w:t>
                  </w:r>
                </w:p>
              </w:tc>
              <w:tc>
                <w:tcPr>
                  <w:tcW w:w="833" w:type="pct"/>
                  <w:tcBorders>
                    <w:tl2br w:val="nil"/>
                    <w:tr2bl w:val="nil"/>
                  </w:tcBorders>
                  <w:vAlign w:val="center"/>
                </w:tcPr>
                <w:p w14:paraId="5DEE24E3">
                  <w:pPr>
                    <w:pStyle w:val="60"/>
                    <w:spacing w:line="240" w:lineRule="auto"/>
                    <w:ind w:firstLine="0" w:firstLineChars="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55</w:t>
                  </w:r>
                </w:p>
              </w:tc>
              <w:tc>
                <w:tcPr>
                  <w:tcW w:w="833" w:type="pct"/>
                  <w:tcBorders>
                    <w:tl2br w:val="nil"/>
                    <w:tr2bl w:val="nil"/>
                  </w:tcBorders>
                  <w:vAlign w:val="center"/>
                </w:tcPr>
                <w:p w14:paraId="11B8DB13">
                  <w:pPr>
                    <w:pStyle w:val="60"/>
                    <w:spacing w:line="240" w:lineRule="auto"/>
                    <w:ind w:firstLine="0" w:firstLineChars="0"/>
                    <w:jc w:val="center"/>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达标</w:t>
                  </w:r>
                </w:p>
              </w:tc>
            </w:tr>
            <w:tr w14:paraId="5592A9B4">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833" w:type="pct"/>
                  <w:tcBorders>
                    <w:tl2br w:val="nil"/>
                    <w:tr2bl w:val="nil"/>
                  </w:tcBorders>
                  <w:vAlign w:val="center"/>
                </w:tcPr>
                <w:p w14:paraId="6DC0D302">
                  <w:pPr>
                    <w:pStyle w:val="60"/>
                    <w:spacing w:line="240" w:lineRule="auto"/>
                    <w:ind w:firstLine="0" w:firstLineChars="0"/>
                    <w:jc w:val="center"/>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北厂界</w:t>
                  </w:r>
                </w:p>
              </w:tc>
              <w:tc>
                <w:tcPr>
                  <w:tcW w:w="833" w:type="pct"/>
                  <w:tcBorders>
                    <w:tl2br w:val="nil"/>
                    <w:tr2bl w:val="nil"/>
                  </w:tcBorders>
                  <w:vAlign w:val="center"/>
                </w:tcPr>
                <w:p w14:paraId="1DD94EBD">
                  <w:pPr>
                    <w:pStyle w:val="60"/>
                    <w:spacing w:line="240" w:lineRule="auto"/>
                    <w:ind w:firstLine="0" w:firstLineChars="0"/>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20</w:t>
                  </w:r>
                </w:p>
              </w:tc>
              <w:tc>
                <w:tcPr>
                  <w:tcW w:w="833" w:type="pct"/>
                  <w:tcBorders>
                    <w:tl2br w:val="nil"/>
                    <w:tr2bl w:val="nil"/>
                  </w:tcBorders>
                  <w:vAlign w:val="center"/>
                </w:tcPr>
                <w:p w14:paraId="1F49345D">
                  <w:pPr>
                    <w:pStyle w:val="60"/>
                    <w:spacing w:line="240" w:lineRule="auto"/>
                    <w:ind w:firstLine="0" w:firstLineChars="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39</w:t>
                  </w:r>
                </w:p>
              </w:tc>
              <w:tc>
                <w:tcPr>
                  <w:tcW w:w="833" w:type="pct"/>
                  <w:tcBorders>
                    <w:tl2br w:val="nil"/>
                    <w:tr2bl w:val="nil"/>
                  </w:tcBorders>
                  <w:vAlign w:val="center"/>
                </w:tcPr>
                <w:p w14:paraId="431DF1B0">
                  <w:pPr>
                    <w:pStyle w:val="60"/>
                    <w:spacing w:line="240" w:lineRule="auto"/>
                    <w:ind w:firstLine="0" w:firstLineChars="0"/>
                    <w:jc w:val="center"/>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65</w:t>
                  </w:r>
                </w:p>
              </w:tc>
              <w:tc>
                <w:tcPr>
                  <w:tcW w:w="833" w:type="pct"/>
                  <w:tcBorders>
                    <w:tl2br w:val="nil"/>
                    <w:tr2bl w:val="nil"/>
                  </w:tcBorders>
                  <w:vAlign w:val="center"/>
                </w:tcPr>
                <w:p w14:paraId="25BED62B">
                  <w:pPr>
                    <w:pStyle w:val="60"/>
                    <w:spacing w:line="240" w:lineRule="auto"/>
                    <w:ind w:firstLine="0" w:firstLineChars="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55</w:t>
                  </w:r>
                </w:p>
              </w:tc>
              <w:tc>
                <w:tcPr>
                  <w:tcW w:w="833" w:type="pct"/>
                  <w:tcBorders>
                    <w:tl2br w:val="nil"/>
                    <w:tr2bl w:val="nil"/>
                  </w:tcBorders>
                  <w:vAlign w:val="center"/>
                </w:tcPr>
                <w:p w14:paraId="2742861A">
                  <w:pPr>
                    <w:pStyle w:val="60"/>
                    <w:spacing w:line="240" w:lineRule="auto"/>
                    <w:ind w:firstLine="0" w:firstLineChars="0"/>
                    <w:jc w:val="center"/>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达标</w:t>
                  </w:r>
                </w:p>
              </w:tc>
            </w:tr>
          </w:tbl>
          <w:p w14:paraId="48F0062C">
            <w:pPr>
              <w:pStyle w:val="6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由预测结果可知，厂界四周噪声排放满足《工业企业厂界环境噪声排放标准》（GB12348-2008）3类标准要求。</w:t>
            </w:r>
          </w:p>
          <w:p w14:paraId="2299A52C">
            <w:pPr>
              <w:pStyle w:val="6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根据《排污单位自行监测技术指南  总则》（HJ 819-2017）要求，具体监测计划如下：</w:t>
            </w:r>
          </w:p>
          <w:p w14:paraId="7A46FE47">
            <w:pPr>
              <w:pStyle w:val="62"/>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表4-</w:t>
            </w:r>
            <w:r>
              <w:rPr>
                <w:rFonts w:hint="eastAsia" w:cs="Times New Roman"/>
                <w:color w:val="000000" w:themeColor="text1"/>
                <w:highlight w:val="none"/>
                <w:lang w:val="en-US" w:eastAsia="zh-CN"/>
                <w14:textFill>
                  <w14:solidFill>
                    <w14:schemeClr w14:val="tx1"/>
                  </w14:solidFill>
                </w14:textFill>
              </w:rPr>
              <w:t>6</w:t>
            </w:r>
            <w:r>
              <w:rPr>
                <w:rFonts w:hint="default" w:ascii="Times New Roman" w:hAnsi="Times New Roman" w:cs="Times New Roman"/>
                <w:color w:val="000000" w:themeColor="text1"/>
                <w:highlight w:val="none"/>
                <w14:textFill>
                  <w14:solidFill>
                    <w14:schemeClr w14:val="tx1"/>
                  </w14:solidFill>
                </w14:textFill>
              </w:rPr>
              <w:t xml:space="preserve">    噪声监测计划</w:t>
            </w:r>
          </w:p>
          <w:tbl>
            <w:tblPr>
              <w:tblStyle w:val="27"/>
              <w:tblW w:w="4998" w:type="pct"/>
              <w:jc w:val="center"/>
              <w:tblBorders>
                <w:top w:val="double" w:color="auto" w:sz="4" w:space="0"/>
                <w:left w:val="none" w:color="auto" w:sz="0" w:space="0"/>
                <w:bottom w:val="double" w:color="auto" w:sz="4"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1424"/>
              <w:gridCol w:w="2707"/>
              <w:gridCol w:w="1816"/>
              <w:gridCol w:w="2327"/>
            </w:tblGrid>
            <w:tr w14:paraId="51E5EFE6">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63" w:hRule="atLeast"/>
                <w:jc w:val="center"/>
              </w:trPr>
              <w:tc>
                <w:tcPr>
                  <w:tcW w:w="860" w:type="pct"/>
                  <w:vAlign w:val="center"/>
                </w:tcPr>
                <w:p w14:paraId="762745B3">
                  <w:pPr>
                    <w:pStyle w:val="34"/>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szCs w:val="21"/>
                      <w:highlight w:val="none"/>
                      <w14:textFill>
                        <w14:solidFill>
                          <w14:schemeClr w14:val="tx1"/>
                        </w14:solidFill>
                      </w14:textFill>
                    </w:rPr>
                    <w:t>监测内容</w:t>
                  </w:r>
                </w:p>
              </w:tc>
              <w:tc>
                <w:tcPr>
                  <w:tcW w:w="1635" w:type="pct"/>
                  <w:vAlign w:val="center"/>
                </w:tcPr>
                <w:p w14:paraId="59221521">
                  <w:pPr>
                    <w:pStyle w:val="34"/>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szCs w:val="21"/>
                      <w:highlight w:val="none"/>
                      <w14:textFill>
                        <w14:solidFill>
                          <w14:schemeClr w14:val="tx1"/>
                        </w14:solidFill>
                      </w14:textFill>
                    </w:rPr>
                    <w:t>监测指标</w:t>
                  </w:r>
                </w:p>
              </w:tc>
              <w:tc>
                <w:tcPr>
                  <w:tcW w:w="1097" w:type="pct"/>
                  <w:vAlign w:val="center"/>
                </w:tcPr>
                <w:p w14:paraId="48BC23F7">
                  <w:pPr>
                    <w:pStyle w:val="34"/>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szCs w:val="21"/>
                      <w:highlight w:val="none"/>
                      <w14:textFill>
                        <w14:solidFill>
                          <w14:schemeClr w14:val="tx1"/>
                        </w14:solidFill>
                      </w14:textFill>
                    </w:rPr>
                    <w:t>监测位置</w:t>
                  </w:r>
                </w:p>
              </w:tc>
              <w:tc>
                <w:tcPr>
                  <w:tcW w:w="1406" w:type="pct"/>
                  <w:vAlign w:val="center"/>
                </w:tcPr>
                <w:p w14:paraId="53B78CEA">
                  <w:pPr>
                    <w:pStyle w:val="34"/>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szCs w:val="21"/>
                      <w:highlight w:val="none"/>
                      <w14:textFill>
                        <w14:solidFill>
                          <w14:schemeClr w14:val="tx1"/>
                        </w14:solidFill>
                      </w14:textFill>
                    </w:rPr>
                    <w:t>监测频率</w:t>
                  </w:r>
                </w:p>
              </w:tc>
            </w:tr>
            <w:tr w14:paraId="39381BB4">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63" w:hRule="atLeast"/>
                <w:jc w:val="center"/>
              </w:trPr>
              <w:tc>
                <w:tcPr>
                  <w:tcW w:w="860" w:type="pct"/>
                  <w:vAlign w:val="center"/>
                </w:tcPr>
                <w:p w14:paraId="533647D2">
                  <w:pPr>
                    <w:pStyle w:val="34"/>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szCs w:val="21"/>
                      <w:highlight w:val="none"/>
                      <w14:textFill>
                        <w14:solidFill>
                          <w14:schemeClr w14:val="tx1"/>
                        </w14:solidFill>
                      </w14:textFill>
                    </w:rPr>
                    <w:t>厂界噪声</w:t>
                  </w:r>
                </w:p>
              </w:tc>
              <w:tc>
                <w:tcPr>
                  <w:tcW w:w="1635" w:type="pct"/>
                  <w:vAlign w:val="center"/>
                </w:tcPr>
                <w:p w14:paraId="5D9BB54E">
                  <w:pPr>
                    <w:pStyle w:val="34"/>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szCs w:val="21"/>
                      <w:highlight w:val="none"/>
                      <w14:textFill>
                        <w14:solidFill>
                          <w14:schemeClr w14:val="tx1"/>
                        </w14:solidFill>
                      </w14:textFill>
                    </w:rPr>
                    <w:t>L</w:t>
                  </w:r>
                  <w:r>
                    <w:rPr>
                      <w:rFonts w:hint="default" w:ascii="Times New Roman" w:hAnsi="Times New Roman" w:cs="Times New Roman"/>
                      <w:color w:val="000000" w:themeColor="text1"/>
                      <w:szCs w:val="21"/>
                      <w:highlight w:val="none"/>
                      <w:vertAlign w:val="subscript"/>
                      <w14:textFill>
                        <w14:solidFill>
                          <w14:schemeClr w14:val="tx1"/>
                        </w14:solidFill>
                      </w14:textFill>
                    </w:rPr>
                    <w:t>eq</w:t>
                  </w:r>
                  <w:r>
                    <w:rPr>
                      <w:rFonts w:hint="default" w:ascii="Times New Roman" w:hAnsi="Times New Roman" w:cs="Times New Roman"/>
                      <w:color w:val="000000" w:themeColor="text1"/>
                      <w:szCs w:val="21"/>
                      <w:highlight w:val="none"/>
                      <w14:textFill>
                        <w14:solidFill>
                          <w14:schemeClr w14:val="tx1"/>
                        </w14:solidFill>
                      </w14:textFill>
                    </w:rPr>
                    <w:t>(A)</w:t>
                  </w:r>
                </w:p>
              </w:tc>
              <w:tc>
                <w:tcPr>
                  <w:tcW w:w="1097" w:type="pct"/>
                  <w:vAlign w:val="center"/>
                </w:tcPr>
                <w:p w14:paraId="4E3962B4">
                  <w:pPr>
                    <w:pStyle w:val="34"/>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szCs w:val="21"/>
                      <w:highlight w:val="none"/>
                      <w14:textFill>
                        <w14:solidFill>
                          <w14:schemeClr w14:val="tx1"/>
                        </w14:solidFill>
                      </w14:textFill>
                    </w:rPr>
                    <w:t>项目厂界</w:t>
                  </w:r>
                </w:p>
              </w:tc>
              <w:tc>
                <w:tcPr>
                  <w:tcW w:w="1406" w:type="pct"/>
                  <w:vAlign w:val="center"/>
                </w:tcPr>
                <w:p w14:paraId="25BA3CB1">
                  <w:pPr>
                    <w:pStyle w:val="34"/>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人工监测，1次/季度</w:t>
                  </w:r>
                </w:p>
              </w:tc>
            </w:tr>
          </w:tbl>
          <w:p w14:paraId="108D9487">
            <w:pPr>
              <w:pStyle w:val="69"/>
              <w:rPr>
                <w:rFonts w:hint="default" w:ascii="Times New Roman" w:hAnsi="Times New Roman" w:cs="Times New Roman"/>
                <w:color w:val="000000" w:themeColor="text1"/>
                <w:highlight w:val="none"/>
                <w14:textFill>
                  <w14:solidFill>
                    <w14:schemeClr w14:val="tx1"/>
                  </w14:solidFill>
                </w14:textFill>
              </w:rPr>
            </w:pPr>
          </w:p>
          <w:p w14:paraId="46F4654E">
            <w:pPr>
              <w:pStyle w:val="68"/>
              <w:numPr>
                <w:ilvl w:val="0"/>
                <w:numId w:val="10"/>
              </w:numPr>
              <w:ind w:firstLineChars="0"/>
              <w:rPr>
                <w:rFonts w:hint="default" w:ascii="Times New Roman" w:hAnsi="Times New Roman" w:cs="Times New Roman"/>
                <w:b/>
                <w:color w:val="000000" w:themeColor="text1"/>
                <w:highlight w:val="none"/>
                <w14:textFill>
                  <w14:solidFill>
                    <w14:schemeClr w14:val="tx1"/>
                  </w14:solidFill>
                </w14:textFill>
              </w:rPr>
            </w:pPr>
            <w:r>
              <w:rPr>
                <w:rFonts w:hint="default" w:ascii="Times New Roman" w:hAnsi="Times New Roman" w:cs="Times New Roman"/>
                <w:b/>
                <w:color w:val="000000" w:themeColor="text1"/>
                <w:highlight w:val="none"/>
                <w14:textFill>
                  <w14:solidFill>
                    <w14:schemeClr w14:val="tx1"/>
                  </w14:solidFill>
                </w14:textFill>
              </w:rPr>
              <w:t>运营期固体废物环境影响和保护措施</w:t>
            </w:r>
          </w:p>
          <w:p w14:paraId="5DBD60B7">
            <w:pPr>
              <w:pStyle w:val="68"/>
              <w:ind w:firstLine="0" w:firstLineChars="0"/>
              <w:rPr>
                <w:rFonts w:hint="default" w:ascii="Times New Roman" w:hAnsi="Times New Roman" w:cs="Times New Roman"/>
                <w:b/>
                <w:color w:val="000000" w:themeColor="text1"/>
                <w:highlight w:val="none"/>
                <w14:textFill>
                  <w14:solidFill>
                    <w14:schemeClr w14:val="tx1"/>
                  </w14:solidFill>
                </w14:textFill>
              </w:rPr>
            </w:pPr>
            <w:r>
              <w:rPr>
                <w:rFonts w:hint="default" w:ascii="Times New Roman" w:hAnsi="Times New Roman" w:cs="Times New Roman"/>
                <w:b/>
                <w:color w:val="000000" w:themeColor="text1"/>
                <w:highlight w:val="none"/>
                <w14:textFill>
                  <w14:solidFill>
                    <w14:schemeClr w14:val="tx1"/>
                  </w14:solidFill>
                </w14:textFill>
              </w:rPr>
              <w:t>4.1固体废物产生及处置情况</w:t>
            </w:r>
          </w:p>
          <w:p w14:paraId="20764CC5">
            <w:pPr>
              <w:pStyle w:val="68"/>
              <w:ind w:firstLine="480"/>
              <w:rPr>
                <w:rFonts w:hint="eastAsia" w:cs="Times New Roman"/>
                <w:color w:val="000000" w:themeColor="text1"/>
                <w:highlight w:val="none"/>
                <w:lang w:val="en-US" w:eastAsia="zh-CN"/>
                <w14:textFill>
                  <w14:solidFill>
                    <w14:schemeClr w14:val="tx1"/>
                  </w14:solidFill>
                </w14:textFill>
              </w:rPr>
            </w:pPr>
            <w:r>
              <w:rPr>
                <w:rFonts w:hint="eastAsia" w:cs="Times New Roman"/>
                <w:color w:val="000000" w:themeColor="text1"/>
                <w:highlight w:val="none"/>
                <w:lang w:val="en-US" w:eastAsia="zh-CN"/>
                <w14:textFill>
                  <w14:solidFill>
                    <w14:schemeClr w14:val="tx1"/>
                  </w14:solidFill>
                </w14:textFill>
              </w:rPr>
              <w:t>项目产生的固体废物主要包括职工生活垃圾、含油废抹布、清罐油泥、废活性炭等。</w:t>
            </w:r>
          </w:p>
          <w:p w14:paraId="64F5D64D">
            <w:pPr>
              <w:pStyle w:val="68"/>
              <w:numPr>
                <w:ilvl w:val="0"/>
                <w:numId w:val="12"/>
              </w:numPr>
              <w:ind w:firstLine="480"/>
              <w:rPr>
                <w:rFonts w:hint="eastAsia" w:cs="Times New Roman"/>
                <w:color w:val="000000" w:themeColor="text1"/>
                <w:highlight w:val="none"/>
                <w:lang w:val="en-US" w:eastAsia="zh-CN"/>
                <w14:textFill>
                  <w14:solidFill>
                    <w14:schemeClr w14:val="tx1"/>
                  </w14:solidFill>
                </w14:textFill>
              </w:rPr>
            </w:pPr>
            <w:r>
              <w:rPr>
                <w:rFonts w:hint="eastAsia" w:cs="Times New Roman"/>
                <w:color w:val="000000" w:themeColor="text1"/>
                <w:highlight w:val="none"/>
                <w:lang w:val="en-US" w:eastAsia="zh-CN"/>
                <w14:textFill>
                  <w14:solidFill>
                    <w14:schemeClr w14:val="tx1"/>
                  </w14:solidFill>
                </w14:textFill>
              </w:rPr>
              <w:t>生活垃圾：项目新增劳动定员3人，生活垃圾产生量按0.5kg/d</w:t>
            </w:r>
            <w:r>
              <w:rPr>
                <w:rFonts w:hint="default" w:ascii="Times New Roman" w:hAnsi="Times New Roman" w:cs="Times New Roman"/>
                <w:color w:val="000000" w:themeColor="text1"/>
                <w:highlight w:val="none"/>
                <w:lang w:val="en-US" w:eastAsia="zh-CN"/>
                <w14:textFill>
                  <w14:solidFill>
                    <w14:schemeClr w14:val="tx1"/>
                  </w14:solidFill>
                </w14:textFill>
              </w:rPr>
              <w:t>·</w:t>
            </w:r>
            <w:r>
              <w:rPr>
                <w:rFonts w:hint="eastAsia" w:cs="Times New Roman"/>
                <w:color w:val="000000" w:themeColor="text1"/>
                <w:highlight w:val="none"/>
                <w:lang w:val="en-US" w:eastAsia="zh-CN"/>
                <w14:textFill>
                  <w14:solidFill>
                    <w14:schemeClr w14:val="tx1"/>
                  </w14:solidFill>
                </w14:textFill>
              </w:rPr>
              <w:t>人计算，则本项目生活垃圾产生量为1.5kg/d，0.3t/a。生活垃圾收集至垃圾桶内，由环卫部门按时清运。</w:t>
            </w:r>
          </w:p>
          <w:p w14:paraId="299294C0">
            <w:pPr>
              <w:pStyle w:val="68"/>
              <w:numPr>
                <w:ilvl w:val="0"/>
                <w:numId w:val="12"/>
              </w:numPr>
              <w:ind w:firstLine="480"/>
              <w:rPr>
                <w:rFonts w:hint="default" w:cs="Times New Roman"/>
                <w:color w:val="000000" w:themeColor="text1"/>
                <w:highlight w:val="none"/>
                <w:lang w:val="en-US" w:eastAsia="zh-CN"/>
                <w14:textFill>
                  <w14:solidFill>
                    <w14:schemeClr w14:val="tx1"/>
                  </w14:solidFill>
                </w14:textFill>
              </w:rPr>
            </w:pPr>
            <w:r>
              <w:rPr>
                <w:rFonts w:hint="eastAsia" w:cs="Times New Roman"/>
                <w:color w:val="000000" w:themeColor="text1"/>
                <w:highlight w:val="none"/>
                <w:lang w:val="en-US" w:eastAsia="zh-CN"/>
                <w14:textFill>
                  <w14:solidFill>
                    <w14:schemeClr w14:val="tx1"/>
                  </w14:solidFill>
                </w14:textFill>
              </w:rPr>
              <w:t>含油废抹布：在生产过程中，会消耗一定量的废含油抹布、劳保用品，根据建设单位提供的资料可知，本项目含油废抹布及劳保用品产生量约为0.1t/a。根据《国家危险废物名录》（2021年1月1日），含油废抹布及劳保用品为危险废物，废物类别为HW49，废物代码为900-041-49含油废抹布及劳保用品可全部环节豁免，全过程不按危险废物管理，同生活垃圾一同由环卫部门按时清运。</w:t>
            </w:r>
          </w:p>
          <w:p w14:paraId="1F3C6589">
            <w:pPr>
              <w:pStyle w:val="68"/>
              <w:numPr>
                <w:ilvl w:val="0"/>
                <w:numId w:val="12"/>
              </w:numPr>
              <w:ind w:firstLine="480"/>
              <w:rPr>
                <w:rFonts w:hint="default" w:cs="Times New Roman"/>
                <w:color w:val="000000" w:themeColor="text1"/>
                <w:highlight w:val="none"/>
                <w:lang w:val="en-US" w:eastAsia="zh-CN"/>
                <w14:textFill>
                  <w14:solidFill>
                    <w14:schemeClr w14:val="tx1"/>
                  </w14:solidFill>
                </w14:textFill>
              </w:rPr>
            </w:pPr>
            <w:r>
              <w:rPr>
                <w:rFonts w:hint="eastAsia" w:cs="Times New Roman"/>
                <w:color w:val="000000" w:themeColor="text1"/>
                <w:highlight w:val="none"/>
                <w:lang w:val="en-US" w:eastAsia="zh-CN"/>
                <w14:textFill>
                  <w14:solidFill>
                    <w14:schemeClr w14:val="tx1"/>
                  </w14:solidFill>
                </w14:textFill>
              </w:rPr>
              <w:t>清罐油泥：项目定期对储罐进行清理，清罐油泥产生量约为0.5t/a，根据《国家危险废物名录》（2021年1月1日），清罐油泥为危险废物，废物类别为HW08，废物代码为900-199-08。清罐油泥与废矿物油一同交由有资质单位集中处置。</w:t>
            </w:r>
          </w:p>
          <w:p w14:paraId="331B7D66">
            <w:pPr>
              <w:pStyle w:val="68"/>
              <w:numPr>
                <w:ilvl w:val="0"/>
                <w:numId w:val="12"/>
              </w:numPr>
              <w:ind w:firstLine="480"/>
              <w:rPr>
                <w:rFonts w:hint="default" w:ascii="Times New Roman" w:hAnsi="Times New Roman" w:cs="Times New Roman"/>
                <w:color w:val="000000" w:themeColor="text1"/>
                <w:highlight w:val="none"/>
                <w14:textFill>
                  <w14:solidFill>
                    <w14:schemeClr w14:val="tx1"/>
                  </w14:solidFill>
                </w14:textFill>
              </w:rPr>
            </w:pPr>
            <w:r>
              <w:rPr>
                <w:rFonts w:hint="eastAsia" w:cs="Times New Roman"/>
                <w:color w:val="000000" w:themeColor="text1"/>
                <w:highlight w:val="none"/>
                <w:lang w:val="en-US" w:eastAsia="zh-CN"/>
                <w14:textFill>
                  <w14:solidFill>
                    <w14:schemeClr w14:val="tx1"/>
                  </w14:solidFill>
                </w14:textFill>
              </w:rPr>
              <w:t>废活性炭：</w:t>
            </w:r>
            <w:r>
              <w:rPr>
                <w:rFonts w:hint="default" w:ascii="Times New Roman" w:hAnsi="Times New Roman" w:cs="Times New Roman"/>
                <w:color w:val="000000" w:themeColor="text1"/>
                <w:highlight w:val="none"/>
                <w14:textFill>
                  <w14:solidFill>
                    <w14:schemeClr w14:val="tx1"/>
                  </w14:solidFill>
                </w14:textFill>
              </w:rPr>
              <w:t>参考《现代涂装手册》（化学工业出版社，陈治良主编），活性炭有机废气吸附量为25%，本项目生产过程中有机废气削减量为0.0</w:t>
            </w:r>
            <w:r>
              <w:rPr>
                <w:rFonts w:hint="eastAsia" w:cs="Times New Roman"/>
                <w:color w:val="000000" w:themeColor="text1"/>
                <w:highlight w:val="none"/>
                <w:lang w:val="en-US" w:eastAsia="zh-CN"/>
                <w14:textFill>
                  <w14:solidFill>
                    <w14:schemeClr w14:val="tx1"/>
                  </w14:solidFill>
                </w14:textFill>
              </w:rPr>
              <w:t>82</w:t>
            </w:r>
            <w:r>
              <w:rPr>
                <w:rFonts w:hint="default" w:ascii="Times New Roman" w:hAnsi="Times New Roman" w:cs="Times New Roman"/>
                <w:color w:val="000000" w:themeColor="text1"/>
                <w:highlight w:val="none"/>
                <w14:textFill>
                  <w14:solidFill>
                    <w14:schemeClr w14:val="tx1"/>
                  </w14:solidFill>
                </w14:textFill>
              </w:rPr>
              <w:t>t/a，则本项目活性炭吸附装置中一次装填量为0.</w:t>
            </w:r>
            <w:r>
              <w:rPr>
                <w:rFonts w:hint="eastAsia" w:cs="Times New Roman"/>
                <w:color w:val="000000" w:themeColor="text1"/>
                <w:highlight w:val="none"/>
                <w:lang w:val="en-US" w:eastAsia="zh-CN"/>
                <w14:textFill>
                  <w14:solidFill>
                    <w14:schemeClr w14:val="tx1"/>
                  </w14:solidFill>
                </w14:textFill>
              </w:rPr>
              <w:t>328</w:t>
            </w:r>
            <w:r>
              <w:rPr>
                <w:rFonts w:hint="default" w:ascii="Times New Roman" w:hAnsi="Times New Roman" w:cs="Times New Roman"/>
                <w:color w:val="000000" w:themeColor="text1"/>
                <w:highlight w:val="none"/>
                <w14:textFill>
                  <w14:solidFill>
                    <w14:schemeClr w14:val="tx1"/>
                  </w14:solidFill>
                </w14:textFill>
              </w:rPr>
              <w:t>t，更换周期为1年，废活性炭产生量为0.</w:t>
            </w:r>
            <w:r>
              <w:rPr>
                <w:rFonts w:hint="eastAsia" w:cs="Times New Roman"/>
                <w:color w:val="000000" w:themeColor="text1"/>
                <w:highlight w:val="none"/>
                <w:lang w:val="en-US" w:eastAsia="zh-CN"/>
                <w14:textFill>
                  <w14:solidFill>
                    <w14:schemeClr w14:val="tx1"/>
                  </w14:solidFill>
                </w14:textFill>
              </w:rPr>
              <w:t>41</w:t>
            </w:r>
            <w:r>
              <w:rPr>
                <w:rFonts w:hint="default" w:ascii="Times New Roman" w:hAnsi="Times New Roman" w:cs="Times New Roman"/>
                <w:color w:val="000000" w:themeColor="text1"/>
                <w:highlight w:val="none"/>
                <w14:textFill>
                  <w14:solidFill>
                    <w14:schemeClr w14:val="tx1"/>
                  </w14:solidFill>
                </w14:textFill>
              </w:rPr>
              <w:t>t。废活性炭密封存放到危险废物暂存</w:t>
            </w:r>
            <w:r>
              <w:rPr>
                <w:rFonts w:hint="eastAsia" w:cs="Times New Roman"/>
                <w:color w:val="000000" w:themeColor="text1"/>
                <w:highlight w:val="none"/>
                <w:lang w:val="en-US" w:eastAsia="zh-CN"/>
                <w14:textFill>
                  <w14:solidFill>
                    <w14:schemeClr w14:val="tx1"/>
                  </w14:solidFill>
                </w14:textFill>
              </w:rPr>
              <w:t>区</w:t>
            </w:r>
            <w:r>
              <w:rPr>
                <w:rFonts w:hint="default" w:ascii="Times New Roman" w:hAnsi="Times New Roman" w:cs="Times New Roman"/>
                <w:color w:val="000000" w:themeColor="text1"/>
                <w:highlight w:val="none"/>
                <w14:textFill>
                  <w14:solidFill>
                    <w14:schemeClr w14:val="tx1"/>
                  </w14:solidFill>
                </w14:textFill>
              </w:rPr>
              <w:t>内，定期交由有资质单位集中处置。</w:t>
            </w:r>
          </w:p>
          <w:p w14:paraId="1E121A1B">
            <w:pPr>
              <w:pStyle w:val="68"/>
              <w:ind w:firstLine="48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活性炭更换管理措施：本项目活性炭委托厂家更换，更换后暂存于危废暂存间，交由具有危废处置资质单位处理。替换的新活性炭需使用颗粒活性炭，碘值≥800mg/g，袋装储存。活性炭更换频次为1次/年，暂存于危废暂存间，堆放过程中应注意防渗、防淋、防风、防晒。废活性炭暂存需注册登记，作好记录，记录上须注明名称、来源、数量、特性和包装容器的类别、入库日期、存放库位、废物出库日期及接收单位名称。</w:t>
            </w:r>
          </w:p>
          <w:p w14:paraId="5F355BC9">
            <w:pPr>
              <w:pStyle w:val="68"/>
              <w:ind w:firstLine="48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 xml:space="preserve">活性炭失效判定：活性炭吸附装置应在设备进气和出气管道设置气体采样口，便于日常监测活性炭吸附效率，当出口废气浓度≥70%排放限值时，应及时更换活性炭，并做好相应台账更换记录及危废入库记录。 </w:t>
            </w:r>
          </w:p>
          <w:p w14:paraId="38E0D43E">
            <w:pPr>
              <w:pStyle w:val="68"/>
              <w:spacing w:line="240" w:lineRule="auto"/>
              <w:ind w:firstLine="0" w:firstLineChars="0"/>
              <w:jc w:val="center"/>
              <w:rPr>
                <w:rFonts w:hint="default" w:ascii="Times New Roman" w:hAnsi="Times New Roman" w:cs="Times New Roman"/>
                <w:b/>
                <w:bCs w:val="0"/>
                <w:color w:val="000000" w:themeColor="text1"/>
                <w:sz w:val="21"/>
                <w:szCs w:val="18"/>
                <w:highlight w:val="none"/>
                <w14:textFill>
                  <w14:solidFill>
                    <w14:schemeClr w14:val="tx1"/>
                  </w14:solidFill>
                </w14:textFill>
              </w:rPr>
            </w:pPr>
            <w:r>
              <w:rPr>
                <w:rFonts w:hint="default" w:ascii="Times New Roman" w:hAnsi="Times New Roman" w:cs="Times New Roman"/>
                <w:b/>
                <w:bCs w:val="0"/>
                <w:color w:val="000000" w:themeColor="text1"/>
                <w:sz w:val="21"/>
                <w:szCs w:val="18"/>
                <w:highlight w:val="none"/>
                <w14:textFill>
                  <w14:solidFill>
                    <w14:schemeClr w14:val="tx1"/>
                  </w14:solidFill>
                </w14:textFill>
              </w:rPr>
              <w:t>表4-</w:t>
            </w:r>
            <w:r>
              <w:rPr>
                <w:rFonts w:hint="eastAsia" w:cs="Times New Roman"/>
                <w:b/>
                <w:bCs w:val="0"/>
                <w:color w:val="000000" w:themeColor="text1"/>
                <w:sz w:val="21"/>
                <w:szCs w:val="18"/>
                <w:highlight w:val="none"/>
                <w:lang w:val="en-US" w:eastAsia="zh-CN"/>
                <w14:textFill>
                  <w14:solidFill>
                    <w14:schemeClr w14:val="tx1"/>
                  </w14:solidFill>
                </w14:textFill>
              </w:rPr>
              <w:t>7</w:t>
            </w:r>
            <w:r>
              <w:rPr>
                <w:rFonts w:hint="default" w:ascii="Times New Roman" w:hAnsi="Times New Roman" w:cs="Times New Roman"/>
                <w:b/>
                <w:bCs w:val="0"/>
                <w:color w:val="000000" w:themeColor="text1"/>
                <w:sz w:val="21"/>
                <w:szCs w:val="18"/>
                <w:highlight w:val="none"/>
                <w14:textFill>
                  <w14:solidFill>
                    <w14:schemeClr w14:val="tx1"/>
                  </w14:solidFill>
                </w14:textFill>
              </w:rPr>
              <w:t xml:space="preserve"> 固体废物排放信息</w:t>
            </w:r>
          </w:p>
          <w:tbl>
            <w:tblPr>
              <w:tblStyle w:val="28"/>
              <w:tblW w:w="4994" w:type="pct"/>
              <w:tblInd w:w="5" w:type="dxa"/>
              <w:tblBorders>
                <w:top w:val="double" w:color="auto" w:sz="4" w:space="0"/>
                <w:left w:val="none" w:color="auto" w:sz="0" w:space="0"/>
                <w:bottom w:val="doub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075"/>
              <w:gridCol w:w="675"/>
              <w:gridCol w:w="1165"/>
              <w:gridCol w:w="1070"/>
              <w:gridCol w:w="627"/>
              <w:gridCol w:w="799"/>
              <w:gridCol w:w="792"/>
              <w:gridCol w:w="903"/>
              <w:gridCol w:w="1161"/>
            </w:tblGrid>
            <w:tr w14:paraId="66D5C250">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650" w:type="pct"/>
                  <w:tcBorders>
                    <w:tl2br w:val="nil"/>
                    <w:tr2bl w:val="nil"/>
                  </w:tcBorders>
                  <w:vAlign w:val="center"/>
                </w:tcPr>
                <w:p w14:paraId="38210E39">
                  <w:pPr>
                    <w:pStyle w:val="68"/>
                    <w:spacing w:line="240" w:lineRule="auto"/>
                    <w:ind w:firstLine="0" w:firstLineChars="0"/>
                    <w:jc w:val="center"/>
                    <w:rPr>
                      <w:rFonts w:hint="default" w:ascii="Times New Roman" w:hAnsi="Times New Roman" w:cs="Times New Roman"/>
                      <w:color w:val="000000" w:themeColor="text1"/>
                      <w:sz w:val="21"/>
                      <w:highlight w:val="none"/>
                      <w14:textFill>
                        <w14:solidFill>
                          <w14:schemeClr w14:val="tx1"/>
                        </w14:solidFill>
                      </w14:textFill>
                    </w:rPr>
                  </w:pPr>
                  <w:r>
                    <w:rPr>
                      <w:rFonts w:hint="default" w:ascii="Times New Roman" w:hAnsi="Times New Roman" w:cs="Times New Roman"/>
                      <w:color w:val="000000" w:themeColor="text1"/>
                      <w:sz w:val="21"/>
                      <w:highlight w:val="none"/>
                      <w14:textFill>
                        <w14:solidFill>
                          <w14:schemeClr w14:val="tx1"/>
                        </w14:solidFill>
                      </w14:textFill>
                    </w:rPr>
                    <w:t>产生环节</w:t>
                  </w:r>
                </w:p>
              </w:tc>
              <w:tc>
                <w:tcPr>
                  <w:tcW w:w="408" w:type="pct"/>
                  <w:tcBorders>
                    <w:tl2br w:val="nil"/>
                    <w:tr2bl w:val="nil"/>
                  </w:tcBorders>
                  <w:vAlign w:val="center"/>
                </w:tcPr>
                <w:p w14:paraId="1AE1E713">
                  <w:pPr>
                    <w:pStyle w:val="68"/>
                    <w:spacing w:line="240" w:lineRule="auto"/>
                    <w:ind w:firstLine="0" w:firstLineChars="0"/>
                    <w:jc w:val="center"/>
                    <w:rPr>
                      <w:rFonts w:hint="default" w:ascii="Times New Roman" w:hAnsi="Times New Roman" w:cs="Times New Roman"/>
                      <w:color w:val="000000" w:themeColor="text1"/>
                      <w:sz w:val="21"/>
                      <w:highlight w:val="none"/>
                      <w14:textFill>
                        <w14:solidFill>
                          <w14:schemeClr w14:val="tx1"/>
                        </w14:solidFill>
                      </w14:textFill>
                    </w:rPr>
                  </w:pPr>
                  <w:r>
                    <w:rPr>
                      <w:rFonts w:hint="default" w:ascii="Times New Roman" w:hAnsi="Times New Roman" w:cs="Times New Roman"/>
                      <w:color w:val="000000" w:themeColor="text1"/>
                      <w:sz w:val="21"/>
                      <w:highlight w:val="none"/>
                      <w14:textFill>
                        <w14:solidFill>
                          <w14:schemeClr w14:val="tx1"/>
                        </w14:solidFill>
                      </w14:textFill>
                    </w:rPr>
                    <w:t>固废名称</w:t>
                  </w:r>
                </w:p>
              </w:tc>
              <w:tc>
                <w:tcPr>
                  <w:tcW w:w="704" w:type="pct"/>
                  <w:tcBorders>
                    <w:tl2br w:val="nil"/>
                    <w:tr2bl w:val="nil"/>
                  </w:tcBorders>
                  <w:vAlign w:val="center"/>
                </w:tcPr>
                <w:p w14:paraId="37CF4354">
                  <w:pPr>
                    <w:pStyle w:val="68"/>
                    <w:spacing w:line="240" w:lineRule="auto"/>
                    <w:ind w:firstLine="0" w:firstLineChars="0"/>
                    <w:jc w:val="center"/>
                    <w:rPr>
                      <w:rFonts w:hint="default" w:ascii="Times New Roman" w:hAnsi="Times New Roman" w:cs="Times New Roman"/>
                      <w:color w:val="000000" w:themeColor="text1"/>
                      <w:sz w:val="21"/>
                      <w:highlight w:val="none"/>
                      <w14:textFill>
                        <w14:solidFill>
                          <w14:schemeClr w14:val="tx1"/>
                        </w14:solidFill>
                      </w14:textFill>
                    </w:rPr>
                  </w:pPr>
                  <w:r>
                    <w:rPr>
                      <w:rFonts w:hint="default" w:ascii="Times New Roman" w:hAnsi="Times New Roman" w:cs="Times New Roman"/>
                      <w:color w:val="000000" w:themeColor="text1"/>
                      <w:sz w:val="21"/>
                      <w:highlight w:val="none"/>
                      <w14:textFill>
                        <w14:solidFill>
                          <w14:schemeClr w14:val="tx1"/>
                        </w14:solidFill>
                      </w14:textFill>
                    </w:rPr>
                    <w:t>属性</w:t>
                  </w:r>
                </w:p>
              </w:tc>
              <w:tc>
                <w:tcPr>
                  <w:tcW w:w="647" w:type="pct"/>
                  <w:tcBorders>
                    <w:tl2br w:val="nil"/>
                    <w:tr2bl w:val="nil"/>
                  </w:tcBorders>
                  <w:vAlign w:val="center"/>
                </w:tcPr>
                <w:p w14:paraId="264DF0B4">
                  <w:pPr>
                    <w:pStyle w:val="68"/>
                    <w:spacing w:line="240" w:lineRule="auto"/>
                    <w:ind w:firstLine="0" w:firstLineChars="0"/>
                    <w:jc w:val="center"/>
                    <w:rPr>
                      <w:rFonts w:hint="default" w:ascii="Times New Roman" w:hAnsi="Times New Roman" w:cs="Times New Roman"/>
                      <w:color w:val="000000" w:themeColor="text1"/>
                      <w:sz w:val="21"/>
                      <w:highlight w:val="none"/>
                      <w14:textFill>
                        <w14:solidFill>
                          <w14:schemeClr w14:val="tx1"/>
                        </w14:solidFill>
                      </w14:textFill>
                    </w:rPr>
                  </w:pPr>
                  <w:r>
                    <w:rPr>
                      <w:rFonts w:hint="default" w:ascii="Times New Roman" w:hAnsi="Times New Roman" w:cs="Times New Roman"/>
                      <w:color w:val="000000" w:themeColor="text1"/>
                      <w:sz w:val="21"/>
                      <w:highlight w:val="none"/>
                      <w14:textFill>
                        <w14:solidFill>
                          <w14:schemeClr w14:val="tx1"/>
                        </w14:solidFill>
                      </w14:textFill>
                    </w:rPr>
                    <w:t>主要有毒有害物质名称</w:t>
                  </w:r>
                </w:p>
              </w:tc>
              <w:tc>
                <w:tcPr>
                  <w:tcW w:w="379" w:type="pct"/>
                  <w:tcBorders>
                    <w:tl2br w:val="nil"/>
                    <w:tr2bl w:val="nil"/>
                  </w:tcBorders>
                  <w:vAlign w:val="center"/>
                </w:tcPr>
                <w:p w14:paraId="02A5B0B2">
                  <w:pPr>
                    <w:pStyle w:val="68"/>
                    <w:spacing w:line="240" w:lineRule="auto"/>
                    <w:ind w:firstLine="0" w:firstLineChars="0"/>
                    <w:jc w:val="center"/>
                    <w:rPr>
                      <w:rFonts w:hint="default" w:ascii="Times New Roman" w:hAnsi="Times New Roman" w:cs="Times New Roman"/>
                      <w:color w:val="000000" w:themeColor="text1"/>
                      <w:sz w:val="21"/>
                      <w:highlight w:val="none"/>
                      <w14:textFill>
                        <w14:solidFill>
                          <w14:schemeClr w14:val="tx1"/>
                        </w14:solidFill>
                      </w14:textFill>
                    </w:rPr>
                  </w:pPr>
                  <w:r>
                    <w:rPr>
                      <w:rFonts w:hint="default" w:ascii="Times New Roman" w:hAnsi="Times New Roman" w:cs="Times New Roman"/>
                      <w:color w:val="000000" w:themeColor="text1"/>
                      <w:sz w:val="21"/>
                      <w:highlight w:val="none"/>
                      <w14:textFill>
                        <w14:solidFill>
                          <w14:schemeClr w14:val="tx1"/>
                        </w14:solidFill>
                      </w14:textFill>
                    </w:rPr>
                    <w:t>物理性状</w:t>
                  </w:r>
                </w:p>
              </w:tc>
              <w:tc>
                <w:tcPr>
                  <w:tcW w:w="483" w:type="pct"/>
                  <w:tcBorders>
                    <w:tl2br w:val="nil"/>
                    <w:tr2bl w:val="nil"/>
                  </w:tcBorders>
                  <w:vAlign w:val="center"/>
                </w:tcPr>
                <w:p w14:paraId="624B83E6">
                  <w:pPr>
                    <w:pStyle w:val="68"/>
                    <w:spacing w:line="240" w:lineRule="auto"/>
                    <w:ind w:firstLine="0" w:firstLineChars="0"/>
                    <w:jc w:val="center"/>
                    <w:rPr>
                      <w:rFonts w:hint="default" w:ascii="Times New Roman" w:hAnsi="Times New Roman" w:cs="Times New Roman"/>
                      <w:color w:val="000000" w:themeColor="text1"/>
                      <w:sz w:val="21"/>
                      <w:highlight w:val="none"/>
                      <w14:textFill>
                        <w14:solidFill>
                          <w14:schemeClr w14:val="tx1"/>
                        </w14:solidFill>
                      </w14:textFill>
                    </w:rPr>
                  </w:pPr>
                  <w:r>
                    <w:rPr>
                      <w:rFonts w:hint="default" w:ascii="Times New Roman" w:hAnsi="Times New Roman" w:cs="Times New Roman"/>
                      <w:color w:val="000000" w:themeColor="text1"/>
                      <w:sz w:val="21"/>
                      <w:highlight w:val="none"/>
                      <w14:textFill>
                        <w14:solidFill>
                          <w14:schemeClr w14:val="tx1"/>
                        </w14:solidFill>
                      </w14:textFill>
                    </w:rPr>
                    <w:t>环境危险特性</w:t>
                  </w:r>
                </w:p>
              </w:tc>
              <w:tc>
                <w:tcPr>
                  <w:tcW w:w="479" w:type="pct"/>
                  <w:tcBorders>
                    <w:tl2br w:val="nil"/>
                    <w:tr2bl w:val="nil"/>
                  </w:tcBorders>
                  <w:vAlign w:val="center"/>
                </w:tcPr>
                <w:p w14:paraId="10CE2A12">
                  <w:pPr>
                    <w:pStyle w:val="68"/>
                    <w:spacing w:line="240" w:lineRule="auto"/>
                    <w:ind w:firstLine="0" w:firstLineChars="0"/>
                    <w:jc w:val="center"/>
                    <w:rPr>
                      <w:rFonts w:hint="default" w:ascii="Times New Roman" w:hAnsi="Times New Roman" w:cs="Times New Roman"/>
                      <w:color w:val="000000" w:themeColor="text1"/>
                      <w:sz w:val="21"/>
                      <w:highlight w:val="none"/>
                      <w14:textFill>
                        <w14:solidFill>
                          <w14:schemeClr w14:val="tx1"/>
                        </w14:solidFill>
                      </w14:textFill>
                    </w:rPr>
                  </w:pPr>
                  <w:r>
                    <w:rPr>
                      <w:rFonts w:hint="default" w:ascii="Times New Roman" w:hAnsi="Times New Roman" w:cs="Times New Roman"/>
                      <w:color w:val="000000" w:themeColor="text1"/>
                      <w:sz w:val="21"/>
                      <w:highlight w:val="none"/>
                      <w14:textFill>
                        <w14:solidFill>
                          <w14:schemeClr w14:val="tx1"/>
                        </w14:solidFill>
                      </w14:textFill>
                    </w:rPr>
                    <w:t>年产生量</w:t>
                  </w:r>
                </w:p>
              </w:tc>
              <w:tc>
                <w:tcPr>
                  <w:tcW w:w="546" w:type="pct"/>
                  <w:tcBorders>
                    <w:tl2br w:val="nil"/>
                    <w:tr2bl w:val="nil"/>
                  </w:tcBorders>
                  <w:vAlign w:val="center"/>
                </w:tcPr>
                <w:p w14:paraId="7FE08788">
                  <w:pPr>
                    <w:pStyle w:val="68"/>
                    <w:spacing w:line="240" w:lineRule="auto"/>
                    <w:ind w:firstLine="0" w:firstLineChars="0"/>
                    <w:jc w:val="center"/>
                    <w:rPr>
                      <w:rFonts w:hint="default" w:ascii="Times New Roman" w:hAnsi="Times New Roman" w:cs="Times New Roman"/>
                      <w:color w:val="000000" w:themeColor="text1"/>
                      <w:sz w:val="21"/>
                      <w:highlight w:val="none"/>
                      <w14:textFill>
                        <w14:solidFill>
                          <w14:schemeClr w14:val="tx1"/>
                        </w14:solidFill>
                      </w14:textFill>
                    </w:rPr>
                  </w:pPr>
                  <w:r>
                    <w:rPr>
                      <w:rFonts w:hint="default" w:ascii="Times New Roman" w:hAnsi="Times New Roman" w:cs="Times New Roman"/>
                      <w:color w:val="000000" w:themeColor="text1"/>
                      <w:sz w:val="21"/>
                      <w:highlight w:val="none"/>
                      <w14:textFill>
                        <w14:solidFill>
                          <w14:schemeClr w14:val="tx1"/>
                        </w14:solidFill>
                      </w14:textFill>
                    </w:rPr>
                    <w:t>贮存方式</w:t>
                  </w:r>
                </w:p>
              </w:tc>
              <w:tc>
                <w:tcPr>
                  <w:tcW w:w="701" w:type="pct"/>
                  <w:tcBorders>
                    <w:tl2br w:val="nil"/>
                    <w:tr2bl w:val="nil"/>
                  </w:tcBorders>
                  <w:vAlign w:val="center"/>
                </w:tcPr>
                <w:p w14:paraId="5DD5AAE2">
                  <w:pPr>
                    <w:pStyle w:val="68"/>
                    <w:spacing w:line="240" w:lineRule="auto"/>
                    <w:ind w:firstLine="0" w:firstLineChars="0"/>
                    <w:jc w:val="center"/>
                    <w:rPr>
                      <w:rFonts w:hint="default" w:ascii="Times New Roman" w:hAnsi="Times New Roman" w:cs="Times New Roman"/>
                      <w:color w:val="000000" w:themeColor="text1"/>
                      <w:sz w:val="21"/>
                      <w:highlight w:val="none"/>
                      <w14:textFill>
                        <w14:solidFill>
                          <w14:schemeClr w14:val="tx1"/>
                        </w14:solidFill>
                      </w14:textFill>
                    </w:rPr>
                  </w:pPr>
                  <w:r>
                    <w:rPr>
                      <w:rFonts w:hint="default" w:ascii="Times New Roman" w:hAnsi="Times New Roman" w:cs="Times New Roman"/>
                      <w:color w:val="000000" w:themeColor="text1"/>
                      <w:sz w:val="21"/>
                      <w:highlight w:val="none"/>
                      <w14:textFill>
                        <w14:solidFill>
                          <w14:schemeClr w14:val="tx1"/>
                        </w14:solidFill>
                      </w14:textFill>
                    </w:rPr>
                    <w:t>处置方式和去向</w:t>
                  </w:r>
                </w:p>
              </w:tc>
            </w:tr>
            <w:tr w14:paraId="24376A57">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650" w:type="pct"/>
                  <w:tcBorders>
                    <w:tl2br w:val="nil"/>
                    <w:tr2bl w:val="nil"/>
                  </w:tcBorders>
                  <w:vAlign w:val="center"/>
                </w:tcPr>
                <w:p w14:paraId="735B0ECB">
                  <w:pPr>
                    <w:pStyle w:val="68"/>
                    <w:spacing w:line="240" w:lineRule="auto"/>
                    <w:ind w:firstLine="0" w:firstLineChars="0"/>
                    <w:jc w:val="center"/>
                    <w:rPr>
                      <w:rFonts w:hint="default" w:ascii="Times New Roman" w:hAnsi="Times New Roman" w:eastAsia="宋体" w:cs="Times New Roman"/>
                      <w:color w:val="000000" w:themeColor="text1"/>
                      <w:sz w:val="21"/>
                      <w:highlight w:val="none"/>
                      <w:lang w:val="en-US" w:eastAsia="zh-CN"/>
                      <w14:textFill>
                        <w14:solidFill>
                          <w14:schemeClr w14:val="tx1"/>
                        </w14:solidFill>
                      </w14:textFill>
                    </w:rPr>
                  </w:pPr>
                  <w:r>
                    <w:rPr>
                      <w:rFonts w:hint="eastAsia" w:cs="Times New Roman"/>
                      <w:color w:val="000000" w:themeColor="text1"/>
                      <w:sz w:val="21"/>
                      <w:highlight w:val="none"/>
                      <w:lang w:val="en-US" w:eastAsia="zh-CN"/>
                      <w14:textFill>
                        <w14:solidFill>
                          <w14:schemeClr w14:val="tx1"/>
                        </w14:solidFill>
                      </w14:textFill>
                    </w:rPr>
                    <w:t>职工生活</w:t>
                  </w:r>
                </w:p>
              </w:tc>
              <w:tc>
                <w:tcPr>
                  <w:tcW w:w="408" w:type="pct"/>
                  <w:tcBorders>
                    <w:tl2br w:val="nil"/>
                    <w:tr2bl w:val="nil"/>
                  </w:tcBorders>
                  <w:vAlign w:val="center"/>
                </w:tcPr>
                <w:p w14:paraId="65946501">
                  <w:pPr>
                    <w:pStyle w:val="68"/>
                    <w:spacing w:line="240" w:lineRule="auto"/>
                    <w:ind w:firstLine="0" w:firstLineChars="0"/>
                    <w:jc w:val="center"/>
                    <w:rPr>
                      <w:rFonts w:hint="default" w:ascii="Times New Roman" w:hAnsi="Times New Roman" w:eastAsia="宋体" w:cs="Times New Roman"/>
                      <w:color w:val="000000" w:themeColor="text1"/>
                      <w:sz w:val="21"/>
                      <w:highlight w:val="none"/>
                      <w:lang w:val="en-US" w:eastAsia="zh-CN"/>
                      <w14:textFill>
                        <w14:solidFill>
                          <w14:schemeClr w14:val="tx1"/>
                        </w14:solidFill>
                      </w14:textFill>
                    </w:rPr>
                  </w:pPr>
                  <w:r>
                    <w:rPr>
                      <w:rFonts w:hint="eastAsia" w:cs="Times New Roman"/>
                      <w:color w:val="000000" w:themeColor="text1"/>
                      <w:sz w:val="21"/>
                      <w:highlight w:val="none"/>
                      <w:lang w:val="en-US" w:eastAsia="zh-CN"/>
                      <w14:textFill>
                        <w14:solidFill>
                          <w14:schemeClr w14:val="tx1"/>
                        </w14:solidFill>
                      </w14:textFill>
                    </w:rPr>
                    <w:t>生活垃圾</w:t>
                  </w:r>
                </w:p>
              </w:tc>
              <w:tc>
                <w:tcPr>
                  <w:tcW w:w="704" w:type="pct"/>
                  <w:tcBorders>
                    <w:tl2br w:val="nil"/>
                    <w:tr2bl w:val="nil"/>
                  </w:tcBorders>
                  <w:vAlign w:val="center"/>
                </w:tcPr>
                <w:p w14:paraId="062E0CC5">
                  <w:pPr>
                    <w:pStyle w:val="68"/>
                    <w:spacing w:line="240" w:lineRule="auto"/>
                    <w:ind w:firstLine="0" w:firstLineChars="0"/>
                    <w:jc w:val="center"/>
                    <w:rPr>
                      <w:rFonts w:hint="eastAsia" w:ascii="Times New Roman" w:hAnsi="Times New Roman" w:eastAsia="宋体" w:cs="Times New Roman"/>
                      <w:color w:val="000000" w:themeColor="text1"/>
                      <w:sz w:val="21"/>
                      <w:highlight w:val="none"/>
                      <w:lang w:val="en-US" w:eastAsia="zh-CN"/>
                      <w14:textFill>
                        <w14:solidFill>
                          <w14:schemeClr w14:val="tx1"/>
                        </w14:solidFill>
                      </w14:textFill>
                    </w:rPr>
                  </w:pPr>
                  <w:r>
                    <w:rPr>
                      <w:rFonts w:hint="eastAsia" w:cs="Times New Roman"/>
                      <w:color w:val="000000" w:themeColor="text1"/>
                      <w:sz w:val="21"/>
                      <w:highlight w:val="none"/>
                      <w:lang w:val="en-US" w:eastAsia="zh-CN"/>
                      <w14:textFill>
                        <w14:solidFill>
                          <w14:schemeClr w14:val="tx1"/>
                        </w14:solidFill>
                      </w14:textFill>
                    </w:rPr>
                    <w:t>/</w:t>
                  </w:r>
                </w:p>
              </w:tc>
              <w:tc>
                <w:tcPr>
                  <w:tcW w:w="647" w:type="pct"/>
                  <w:tcBorders>
                    <w:tl2br w:val="nil"/>
                    <w:tr2bl w:val="nil"/>
                  </w:tcBorders>
                  <w:vAlign w:val="center"/>
                </w:tcPr>
                <w:p w14:paraId="07A5C353">
                  <w:pPr>
                    <w:pStyle w:val="68"/>
                    <w:spacing w:line="240" w:lineRule="auto"/>
                    <w:ind w:firstLine="0" w:firstLineChars="0"/>
                    <w:jc w:val="center"/>
                    <w:rPr>
                      <w:rFonts w:hint="eastAsia" w:ascii="Times New Roman" w:hAnsi="Times New Roman" w:eastAsia="宋体" w:cs="Times New Roman"/>
                      <w:color w:val="000000" w:themeColor="text1"/>
                      <w:sz w:val="21"/>
                      <w:highlight w:val="none"/>
                      <w:lang w:val="en-US" w:eastAsia="zh-CN"/>
                      <w14:textFill>
                        <w14:solidFill>
                          <w14:schemeClr w14:val="tx1"/>
                        </w14:solidFill>
                      </w14:textFill>
                    </w:rPr>
                  </w:pPr>
                  <w:r>
                    <w:rPr>
                      <w:rFonts w:hint="eastAsia" w:cs="Times New Roman"/>
                      <w:color w:val="000000" w:themeColor="text1"/>
                      <w:sz w:val="21"/>
                      <w:highlight w:val="none"/>
                      <w:lang w:val="en-US" w:eastAsia="zh-CN"/>
                      <w14:textFill>
                        <w14:solidFill>
                          <w14:schemeClr w14:val="tx1"/>
                        </w14:solidFill>
                      </w14:textFill>
                    </w:rPr>
                    <w:t>/</w:t>
                  </w:r>
                </w:p>
              </w:tc>
              <w:tc>
                <w:tcPr>
                  <w:tcW w:w="379" w:type="pct"/>
                  <w:tcBorders>
                    <w:tl2br w:val="nil"/>
                    <w:tr2bl w:val="nil"/>
                  </w:tcBorders>
                  <w:vAlign w:val="center"/>
                </w:tcPr>
                <w:p w14:paraId="23CEE14E">
                  <w:pPr>
                    <w:pStyle w:val="68"/>
                    <w:spacing w:line="240" w:lineRule="auto"/>
                    <w:ind w:firstLine="0" w:firstLineChars="0"/>
                    <w:jc w:val="center"/>
                    <w:rPr>
                      <w:rFonts w:hint="eastAsia" w:ascii="Times New Roman" w:hAnsi="Times New Roman" w:eastAsia="宋体" w:cs="Times New Roman"/>
                      <w:color w:val="000000" w:themeColor="text1"/>
                      <w:sz w:val="21"/>
                      <w:highlight w:val="none"/>
                      <w:lang w:val="en-US" w:eastAsia="zh-CN"/>
                      <w14:textFill>
                        <w14:solidFill>
                          <w14:schemeClr w14:val="tx1"/>
                        </w14:solidFill>
                      </w14:textFill>
                    </w:rPr>
                  </w:pPr>
                  <w:r>
                    <w:rPr>
                      <w:rFonts w:hint="eastAsia" w:cs="Times New Roman"/>
                      <w:color w:val="000000" w:themeColor="text1"/>
                      <w:sz w:val="21"/>
                      <w:highlight w:val="none"/>
                      <w:lang w:val="en-US" w:eastAsia="zh-CN"/>
                      <w14:textFill>
                        <w14:solidFill>
                          <w14:schemeClr w14:val="tx1"/>
                        </w14:solidFill>
                      </w14:textFill>
                    </w:rPr>
                    <w:t>/</w:t>
                  </w:r>
                </w:p>
              </w:tc>
              <w:tc>
                <w:tcPr>
                  <w:tcW w:w="483" w:type="pct"/>
                  <w:tcBorders>
                    <w:tl2br w:val="nil"/>
                    <w:tr2bl w:val="nil"/>
                  </w:tcBorders>
                  <w:vAlign w:val="center"/>
                </w:tcPr>
                <w:p w14:paraId="662020F2">
                  <w:pPr>
                    <w:pStyle w:val="68"/>
                    <w:spacing w:line="240" w:lineRule="auto"/>
                    <w:ind w:firstLine="0" w:firstLineChars="0"/>
                    <w:jc w:val="center"/>
                    <w:rPr>
                      <w:rFonts w:hint="eastAsia" w:ascii="Times New Roman" w:hAnsi="Times New Roman" w:eastAsia="宋体" w:cs="Times New Roman"/>
                      <w:color w:val="000000" w:themeColor="text1"/>
                      <w:sz w:val="21"/>
                      <w:highlight w:val="none"/>
                      <w:lang w:val="en-US" w:eastAsia="zh-CN"/>
                      <w14:textFill>
                        <w14:solidFill>
                          <w14:schemeClr w14:val="tx1"/>
                        </w14:solidFill>
                      </w14:textFill>
                    </w:rPr>
                  </w:pPr>
                  <w:r>
                    <w:rPr>
                      <w:rFonts w:hint="eastAsia" w:cs="Times New Roman"/>
                      <w:color w:val="000000" w:themeColor="text1"/>
                      <w:sz w:val="21"/>
                      <w:highlight w:val="none"/>
                      <w:lang w:val="en-US" w:eastAsia="zh-CN"/>
                      <w14:textFill>
                        <w14:solidFill>
                          <w14:schemeClr w14:val="tx1"/>
                        </w14:solidFill>
                      </w14:textFill>
                    </w:rPr>
                    <w:t>/</w:t>
                  </w:r>
                </w:p>
              </w:tc>
              <w:tc>
                <w:tcPr>
                  <w:tcW w:w="479" w:type="pct"/>
                  <w:tcBorders>
                    <w:tl2br w:val="nil"/>
                    <w:tr2bl w:val="nil"/>
                  </w:tcBorders>
                  <w:vAlign w:val="center"/>
                </w:tcPr>
                <w:p w14:paraId="2A935305">
                  <w:pPr>
                    <w:pStyle w:val="68"/>
                    <w:spacing w:line="240" w:lineRule="auto"/>
                    <w:ind w:firstLine="0" w:firstLineChars="0"/>
                    <w:jc w:val="center"/>
                    <w:rPr>
                      <w:rFonts w:hint="default" w:ascii="Times New Roman" w:hAnsi="Times New Roman" w:eastAsia="宋体" w:cs="Times New Roman"/>
                      <w:color w:val="000000" w:themeColor="text1"/>
                      <w:sz w:val="21"/>
                      <w:highlight w:val="none"/>
                      <w:lang w:val="en-US" w:eastAsia="zh-CN"/>
                      <w14:textFill>
                        <w14:solidFill>
                          <w14:schemeClr w14:val="tx1"/>
                        </w14:solidFill>
                      </w14:textFill>
                    </w:rPr>
                  </w:pPr>
                  <w:r>
                    <w:rPr>
                      <w:rFonts w:hint="eastAsia" w:cs="Times New Roman"/>
                      <w:color w:val="000000" w:themeColor="text1"/>
                      <w:sz w:val="21"/>
                      <w:highlight w:val="none"/>
                      <w:lang w:val="en-US" w:eastAsia="zh-CN"/>
                      <w14:textFill>
                        <w14:solidFill>
                          <w14:schemeClr w14:val="tx1"/>
                        </w14:solidFill>
                      </w14:textFill>
                    </w:rPr>
                    <w:t>0.3t</w:t>
                  </w:r>
                </w:p>
              </w:tc>
              <w:tc>
                <w:tcPr>
                  <w:tcW w:w="546" w:type="pct"/>
                  <w:tcBorders>
                    <w:tl2br w:val="nil"/>
                    <w:tr2bl w:val="nil"/>
                  </w:tcBorders>
                  <w:vAlign w:val="center"/>
                </w:tcPr>
                <w:p w14:paraId="5DB39280">
                  <w:pPr>
                    <w:pStyle w:val="68"/>
                    <w:spacing w:line="240" w:lineRule="auto"/>
                    <w:ind w:firstLine="0" w:firstLineChars="0"/>
                    <w:jc w:val="center"/>
                    <w:rPr>
                      <w:rFonts w:hint="default" w:ascii="Times New Roman" w:hAnsi="Times New Roman" w:eastAsia="宋体" w:cs="Times New Roman"/>
                      <w:color w:val="000000" w:themeColor="text1"/>
                      <w:sz w:val="21"/>
                      <w:highlight w:val="none"/>
                      <w:lang w:val="en-US" w:eastAsia="zh-CN"/>
                      <w14:textFill>
                        <w14:solidFill>
                          <w14:schemeClr w14:val="tx1"/>
                        </w14:solidFill>
                      </w14:textFill>
                    </w:rPr>
                  </w:pPr>
                  <w:r>
                    <w:rPr>
                      <w:rFonts w:hint="eastAsia" w:cs="Times New Roman"/>
                      <w:color w:val="000000" w:themeColor="text1"/>
                      <w:sz w:val="21"/>
                      <w:highlight w:val="none"/>
                      <w:lang w:val="en-US" w:eastAsia="zh-CN"/>
                      <w14:textFill>
                        <w14:solidFill>
                          <w14:schemeClr w14:val="tx1"/>
                        </w14:solidFill>
                      </w14:textFill>
                    </w:rPr>
                    <w:t>垃圾箱</w:t>
                  </w:r>
                </w:p>
              </w:tc>
              <w:tc>
                <w:tcPr>
                  <w:tcW w:w="701" w:type="pct"/>
                  <w:tcBorders>
                    <w:tl2br w:val="nil"/>
                    <w:tr2bl w:val="nil"/>
                  </w:tcBorders>
                  <w:vAlign w:val="center"/>
                </w:tcPr>
                <w:p w14:paraId="14A34817">
                  <w:pPr>
                    <w:pStyle w:val="68"/>
                    <w:spacing w:line="240" w:lineRule="auto"/>
                    <w:ind w:firstLine="0" w:firstLineChars="0"/>
                    <w:jc w:val="center"/>
                    <w:rPr>
                      <w:rFonts w:hint="default" w:ascii="Times New Roman" w:hAnsi="Times New Roman" w:eastAsia="宋体" w:cs="Times New Roman"/>
                      <w:color w:val="000000" w:themeColor="text1"/>
                      <w:sz w:val="21"/>
                      <w:highlight w:val="none"/>
                      <w:lang w:val="en-US" w:eastAsia="zh-CN"/>
                      <w14:textFill>
                        <w14:solidFill>
                          <w14:schemeClr w14:val="tx1"/>
                        </w14:solidFill>
                      </w14:textFill>
                    </w:rPr>
                  </w:pPr>
                  <w:r>
                    <w:rPr>
                      <w:rFonts w:hint="eastAsia" w:cs="Times New Roman"/>
                      <w:color w:val="000000" w:themeColor="text1"/>
                      <w:sz w:val="21"/>
                      <w:highlight w:val="none"/>
                      <w:lang w:val="en-US" w:eastAsia="zh-CN"/>
                      <w14:textFill>
                        <w14:solidFill>
                          <w14:schemeClr w14:val="tx1"/>
                        </w14:solidFill>
                      </w14:textFill>
                    </w:rPr>
                    <w:t>由环卫部门定期清运</w:t>
                  </w:r>
                </w:p>
              </w:tc>
            </w:tr>
            <w:tr w14:paraId="7F871216">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650" w:type="pct"/>
                  <w:tcBorders>
                    <w:tl2br w:val="nil"/>
                    <w:tr2bl w:val="nil"/>
                  </w:tcBorders>
                  <w:vAlign w:val="center"/>
                </w:tcPr>
                <w:p w14:paraId="00491F58">
                  <w:pPr>
                    <w:pStyle w:val="68"/>
                    <w:spacing w:line="240" w:lineRule="auto"/>
                    <w:ind w:firstLine="0" w:firstLineChars="0"/>
                    <w:jc w:val="center"/>
                    <w:rPr>
                      <w:rFonts w:hint="eastAsia" w:ascii="Times New Roman" w:hAnsi="Times New Roman" w:eastAsia="宋体" w:cs="Times New Roman"/>
                      <w:color w:val="000000" w:themeColor="text1"/>
                      <w:sz w:val="21"/>
                      <w:highlight w:val="none"/>
                      <w:lang w:val="en-US" w:eastAsia="zh-CN"/>
                      <w14:textFill>
                        <w14:solidFill>
                          <w14:schemeClr w14:val="tx1"/>
                        </w14:solidFill>
                      </w14:textFill>
                    </w:rPr>
                  </w:pPr>
                  <w:r>
                    <w:rPr>
                      <w:rFonts w:hint="eastAsia" w:cs="Times New Roman"/>
                      <w:color w:val="000000" w:themeColor="text1"/>
                      <w:sz w:val="21"/>
                      <w:highlight w:val="none"/>
                      <w:lang w:val="en-US" w:eastAsia="zh-CN"/>
                      <w14:textFill>
                        <w14:solidFill>
                          <w14:schemeClr w14:val="tx1"/>
                        </w14:solidFill>
                      </w14:textFill>
                    </w:rPr>
                    <w:t>生产</w:t>
                  </w:r>
                </w:p>
              </w:tc>
              <w:tc>
                <w:tcPr>
                  <w:tcW w:w="408" w:type="pct"/>
                  <w:tcBorders>
                    <w:tl2br w:val="nil"/>
                    <w:tr2bl w:val="nil"/>
                  </w:tcBorders>
                  <w:vAlign w:val="center"/>
                </w:tcPr>
                <w:p w14:paraId="25D18FB4">
                  <w:pPr>
                    <w:pStyle w:val="68"/>
                    <w:spacing w:line="240" w:lineRule="auto"/>
                    <w:ind w:firstLine="0" w:firstLineChars="0"/>
                    <w:jc w:val="center"/>
                    <w:rPr>
                      <w:rFonts w:hint="default" w:ascii="Times New Roman" w:hAnsi="Times New Roman" w:eastAsia="宋体" w:cs="Times New Roman"/>
                      <w:color w:val="000000" w:themeColor="text1"/>
                      <w:sz w:val="21"/>
                      <w:highlight w:val="none"/>
                      <w:lang w:val="en-US" w:eastAsia="zh-CN"/>
                      <w14:textFill>
                        <w14:solidFill>
                          <w14:schemeClr w14:val="tx1"/>
                        </w14:solidFill>
                      </w14:textFill>
                    </w:rPr>
                  </w:pPr>
                  <w:r>
                    <w:rPr>
                      <w:rFonts w:hint="eastAsia" w:cs="Times New Roman"/>
                      <w:color w:val="000000" w:themeColor="text1"/>
                      <w:sz w:val="21"/>
                      <w:highlight w:val="none"/>
                      <w:lang w:val="en-US" w:eastAsia="zh-CN"/>
                      <w14:textFill>
                        <w14:solidFill>
                          <w14:schemeClr w14:val="tx1"/>
                        </w14:solidFill>
                      </w14:textFill>
                    </w:rPr>
                    <w:t>含油废抹布及劳保用品</w:t>
                  </w:r>
                </w:p>
              </w:tc>
              <w:tc>
                <w:tcPr>
                  <w:tcW w:w="704" w:type="pct"/>
                  <w:tcBorders>
                    <w:tl2br w:val="nil"/>
                    <w:tr2bl w:val="nil"/>
                  </w:tcBorders>
                  <w:vAlign w:val="center"/>
                </w:tcPr>
                <w:p w14:paraId="59CE4AC3">
                  <w:pPr>
                    <w:pStyle w:val="68"/>
                    <w:spacing w:line="240" w:lineRule="auto"/>
                    <w:ind w:firstLine="0" w:firstLineChars="0"/>
                    <w:jc w:val="center"/>
                    <w:rPr>
                      <w:rFonts w:hint="eastAsia" w:cs="Times New Roman"/>
                      <w:color w:val="000000" w:themeColor="text1"/>
                      <w:sz w:val="21"/>
                      <w:highlight w:val="none"/>
                      <w:lang w:val="en-US" w:eastAsia="zh-CN"/>
                      <w14:textFill>
                        <w14:solidFill>
                          <w14:schemeClr w14:val="tx1"/>
                        </w14:solidFill>
                      </w14:textFill>
                    </w:rPr>
                  </w:pPr>
                  <w:r>
                    <w:rPr>
                      <w:rFonts w:hint="eastAsia" w:cs="Times New Roman"/>
                      <w:color w:val="000000" w:themeColor="text1"/>
                      <w:sz w:val="21"/>
                      <w:highlight w:val="none"/>
                      <w:lang w:val="en-US" w:eastAsia="zh-CN"/>
                      <w14:textFill>
                        <w14:solidFill>
                          <w14:schemeClr w14:val="tx1"/>
                        </w14:solidFill>
                      </w14:textFill>
                    </w:rPr>
                    <w:t>危险废物</w:t>
                  </w:r>
                </w:p>
                <w:p w14:paraId="168B610B">
                  <w:pPr>
                    <w:pStyle w:val="68"/>
                    <w:spacing w:line="240" w:lineRule="auto"/>
                    <w:ind w:firstLine="0" w:firstLineChars="0"/>
                    <w:jc w:val="center"/>
                    <w:rPr>
                      <w:rFonts w:hint="eastAsia" w:cs="Times New Roman"/>
                      <w:color w:val="000000" w:themeColor="text1"/>
                      <w:sz w:val="21"/>
                      <w:highlight w:val="none"/>
                      <w:lang w:val="en-US" w:eastAsia="zh-CN"/>
                      <w14:textFill>
                        <w14:solidFill>
                          <w14:schemeClr w14:val="tx1"/>
                        </w14:solidFill>
                      </w14:textFill>
                    </w:rPr>
                  </w:pPr>
                  <w:r>
                    <w:rPr>
                      <w:rFonts w:hint="eastAsia" w:cs="Times New Roman"/>
                      <w:color w:val="000000" w:themeColor="text1"/>
                      <w:sz w:val="21"/>
                      <w:highlight w:val="none"/>
                      <w:lang w:val="en-US" w:eastAsia="zh-CN"/>
                      <w14:textFill>
                        <w14:solidFill>
                          <w14:schemeClr w14:val="tx1"/>
                        </w14:solidFill>
                      </w14:textFill>
                    </w:rPr>
                    <w:t>HW49</w:t>
                  </w:r>
                </w:p>
                <w:p w14:paraId="375563EB">
                  <w:pPr>
                    <w:pStyle w:val="68"/>
                    <w:spacing w:line="240" w:lineRule="auto"/>
                    <w:ind w:firstLine="0" w:firstLineChars="0"/>
                    <w:jc w:val="center"/>
                    <w:rPr>
                      <w:rFonts w:hint="default" w:cs="Times New Roman"/>
                      <w:color w:val="000000" w:themeColor="text1"/>
                      <w:sz w:val="21"/>
                      <w:highlight w:val="none"/>
                      <w:lang w:val="en-US" w:eastAsia="zh-CN"/>
                      <w14:textFill>
                        <w14:solidFill>
                          <w14:schemeClr w14:val="tx1"/>
                        </w14:solidFill>
                      </w14:textFill>
                    </w:rPr>
                  </w:pPr>
                  <w:r>
                    <w:rPr>
                      <w:rFonts w:hint="eastAsia" w:cs="Times New Roman"/>
                      <w:color w:val="000000" w:themeColor="text1"/>
                      <w:sz w:val="21"/>
                      <w:highlight w:val="none"/>
                      <w:lang w:val="en-US" w:eastAsia="zh-CN"/>
                      <w14:textFill>
                        <w14:solidFill>
                          <w14:schemeClr w14:val="tx1"/>
                        </w14:solidFill>
                      </w14:textFill>
                    </w:rPr>
                    <w:t>900-041-49</w:t>
                  </w:r>
                </w:p>
              </w:tc>
              <w:tc>
                <w:tcPr>
                  <w:tcW w:w="647" w:type="pct"/>
                  <w:tcBorders>
                    <w:tl2br w:val="nil"/>
                    <w:tr2bl w:val="nil"/>
                  </w:tcBorders>
                  <w:vAlign w:val="center"/>
                </w:tcPr>
                <w:p w14:paraId="68EA30BF">
                  <w:pPr>
                    <w:pStyle w:val="68"/>
                    <w:spacing w:line="240" w:lineRule="auto"/>
                    <w:ind w:firstLine="0" w:firstLineChars="0"/>
                    <w:jc w:val="center"/>
                    <w:rPr>
                      <w:rFonts w:hint="default" w:ascii="Times New Roman" w:hAnsi="Times New Roman" w:eastAsia="宋体" w:cs="Times New Roman"/>
                      <w:color w:val="000000" w:themeColor="text1"/>
                      <w:sz w:val="21"/>
                      <w:highlight w:val="none"/>
                      <w:lang w:val="en-US" w:eastAsia="zh-CN"/>
                      <w14:textFill>
                        <w14:solidFill>
                          <w14:schemeClr w14:val="tx1"/>
                        </w14:solidFill>
                      </w14:textFill>
                    </w:rPr>
                  </w:pPr>
                  <w:r>
                    <w:rPr>
                      <w:rFonts w:hint="eastAsia" w:cs="Times New Roman"/>
                      <w:color w:val="000000" w:themeColor="text1"/>
                      <w:sz w:val="21"/>
                      <w:highlight w:val="none"/>
                      <w:lang w:val="en-US" w:eastAsia="zh-CN"/>
                      <w14:textFill>
                        <w14:solidFill>
                          <w14:schemeClr w14:val="tx1"/>
                        </w14:solidFill>
                      </w14:textFill>
                    </w:rPr>
                    <w:t>废矿物油</w:t>
                  </w:r>
                </w:p>
              </w:tc>
              <w:tc>
                <w:tcPr>
                  <w:tcW w:w="379" w:type="pct"/>
                  <w:tcBorders>
                    <w:tl2br w:val="nil"/>
                    <w:tr2bl w:val="nil"/>
                  </w:tcBorders>
                  <w:vAlign w:val="center"/>
                </w:tcPr>
                <w:p w14:paraId="14B28B26">
                  <w:pPr>
                    <w:pStyle w:val="68"/>
                    <w:spacing w:line="240" w:lineRule="auto"/>
                    <w:ind w:firstLine="0" w:firstLineChars="0"/>
                    <w:jc w:val="center"/>
                    <w:rPr>
                      <w:rFonts w:hint="eastAsia" w:ascii="Times New Roman" w:hAnsi="Times New Roman" w:eastAsia="宋体" w:cs="Times New Roman"/>
                      <w:color w:val="000000" w:themeColor="text1"/>
                      <w:sz w:val="21"/>
                      <w:highlight w:val="none"/>
                      <w:lang w:val="en-US" w:eastAsia="zh-CN"/>
                      <w14:textFill>
                        <w14:solidFill>
                          <w14:schemeClr w14:val="tx1"/>
                        </w14:solidFill>
                      </w14:textFill>
                    </w:rPr>
                  </w:pPr>
                  <w:r>
                    <w:rPr>
                      <w:rFonts w:hint="eastAsia" w:cs="Times New Roman"/>
                      <w:color w:val="000000" w:themeColor="text1"/>
                      <w:sz w:val="21"/>
                      <w:highlight w:val="none"/>
                      <w:lang w:val="en-US" w:eastAsia="zh-CN"/>
                      <w14:textFill>
                        <w14:solidFill>
                          <w14:schemeClr w14:val="tx1"/>
                        </w14:solidFill>
                      </w14:textFill>
                    </w:rPr>
                    <w:t>固</w:t>
                  </w:r>
                </w:p>
              </w:tc>
              <w:tc>
                <w:tcPr>
                  <w:tcW w:w="483" w:type="pct"/>
                  <w:tcBorders>
                    <w:tl2br w:val="nil"/>
                    <w:tr2bl w:val="nil"/>
                  </w:tcBorders>
                  <w:vAlign w:val="center"/>
                </w:tcPr>
                <w:p w14:paraId="4788DD98">
                  <w:pPr>
                    <w:pStyle w:val="68"/>
                    <w:spacing w:line="240" w:lineRule="auto"/>
                    <w:ind w:firstLine="0" w:firstLineChars="0"/>
                    <w:jc w:val="center"/>
                    <w:rPr>
                      <w:rFonts w:hint="default" w:ascii="Times New Roman" w:hAnsi="Times New Roman" w:eastAsia="宋体" w:cs="Times New Roman"/>
                      <w:color w:val="000000" w:themeColor="text1"/>
                      <w:sz w:val="21"/>
                      <w:highlight w:val="none"/>
                      <w:lang w:val="en-US" w:eastAsia="zh-CN"/>
                      <w14:textFill>
                        <w14:solidFill>
                          <w14:schemeClr w14:val="tx1"/>
                        </w14:solidFill>
                      </w14:textFill>
                    </w:rPr>
                  </w:pPr>
                  <w:r>
                    <w:rPr>
                      <w:rFonts w:hint="eastAsia" w:cs="Times New Roman"/>
                      <w:color w:val="000000" w:themeColor="text1"/>
                      <w:sz w:val="21"/>
                      <w:highlight w:val="none"/>
                      <w:lang w:val="en-US" w:eastAsia="zh-CN"/>
                      <w14:textFill>
                        <w14:solidFill>
                          <w14:schemeClr w14:val="tx1"/>
                        </w14:solidFill>
                      </w14:textFill>
                    </w:rPr>
                    <w:t>T/In</w:t>
                  </w:r>
                </w:p>
              </w:tc>
              <w:tc>
                <w:tcPr>
                  <w:tcW w:w="479" w:type="pct"/>
                  <w:tcBorders>
                    <w:tl2br w:val="nil"/>
                    <w:tr2bl w:val="nil"/>
                  </w:tcBorders>
                  <w:vAlign w:val="center"/>
                </w:tcPr>
                <w:p w14:paraId="509DA71C">
                  <w:pPr>
                    <w:pStyle w:val="68"/>
                    <w:spacing w:line="240" w:lineRule="auto"/>
                    <w:ind w:firstLine="0" w:firstLineChars="0"/>
                    <w:jc w:val="center"/>
                    <w:rPr>
                      <w:rFonts w:hint="default" w:ascii="Times New Roman" w:hAnsi="Times New Roman" w:eastAsia="宋体" w:cs="Times New Roman"/>
                      <w:color w:val="000000" w:themeColor="text1"/>
                      <w:sz w:val="21"/>
                      <w:highlight w:val="none"/>
                      <w:lang w:val="en-US" w:eastAsia="zh-CN"/>
                      <w14:textFill>
                        <w14:solidFill>
                          <w14:schemeClr w14:val="tx1"/>
                        </w14:solidFill>
                      </w14:textFill>
                    </w:rPr>
                  </w:pPr>
                  <w:r>
                    <w:rPr>
                      <w:rFonts w:hint="eastAsia" w:cs="Times New Roman"/>
                      <w:color w:val="000000" w:themeColor="text1"/>
                      <w:sz w:val="21"/>
                      <w:highlight w:val="none"/>
                      <w:lang w:val="en-US" w:eastAsia="zh-CN"/>
                      <w14:textFill>
                        <w14:solidFill>
                          <w14:schemeClr w14:val="tx1"/>
                        </w14:solidFill>
                      </w14:textFill>
                    </w:rPr>
                    <w:t>0.1t</w:t>
                  </w:r>
                </w:p>
              </w:tc>
              <w:tc>
                <w:tcPr>
                  <w:tcW w:w="546" w:type="pct"/>
                  <w:tcBorders>
                    <w:tl2br w:val="nil"/>
                    <w:tr2bl w:val="nil"/>
                  </w:tcBorders>
                  <w:vAlign w:val="center"/>
                </w:tcPr>
                <w:p w14:paraId="7172BF1D">
                  <w:pPr>
                    <w:pStyle w:val="68"/>
                    <w:spacing w:line="240" w:lineRule="auto"/>
                    <w:ind w:firstLine="0" w:firstLineChars="0"/>
                    <w:jc w:val="center"/>
                    <w:rPr>
                      <w:rFonts w:hint="default" w:ascii="Times New Roman" w:hAnsi="Times New Roman" w:cs="Times New Roman"/>
                      <w:color w:val="000000" w:themeColor="text1"/>
                      <w:sz w:val="21"/>
                      <w:highlight w:val="none"/>
                      <w14:textFill>
                        <w14:solidFill>
                          <w14:schemeClr w14:val="tx1"/>
                        </w14:solidFill>
                      </w14:textFill>
                    </w:rPr>
                  </w:pPr>
                  <w:r>
                    <w:rPr>
                      <w:rFonts w:hint="eastAsia" w:cs="Times New Roman"/>
                      <w:color w:val="000000" w:themeColor="text1"/>
                      <w:sz w:val="21"/>
                      <w:highlight w:val="none"/>
                      <w:lang w:val="en-US" w:eastAsia="zh-CN"/>
                      <w14:textFill>
                        <w14:solidFill>
                          <w14:schemeClr w14:val="tx1"/>
                        </w14:solidFill>
                      </w14:textFill>
                    </w:rPr>
                    <w:t>垃圾箱</w:t>
                  </w:r>
                </w:p>
              </w:tc>
              <w:tc>
                <w:tcPr>
                  <w:tcW w:w="701" w:type="pct"/>
                  <w:tcBorders>
                    <w:tl2br w:val="nil"/>
                    <w:tr2bl w:val="nil"/>
                  </w:tcBorders>
                  <w:vAlign w:val="center"/>
                </w:tcPr>
                <w:p w14:paraId="2B227CFA">
                  <w:pPr>
                    <w:pStyle w:val="68"/>
                    <w:spacing w:line="240" w:lineRule="auto"/>
                    <w:ind w:firstLine="0" w:firstLineChars="0"/>
                    <w:jc w:val="center"/>
                    <w:rPr>
                      <w:rFonts w:hint="default" w:ascii="Times New Roman" w:hAnsi="Times New Roman" w:eastAsia="宋体" w:cs="Times New Roman"/>
                      <w:color w:val="000000" w:themeColor="text1"/>
                      <w:sz w:val="21"/>
                      <w:highlight w:val="none"/>
                      <w:lang w:val="en-US" w:eastAsia="zh-CN"/>
                      <w14:textFill>
                        <w14:solidFill>
                          <w14:schemeClr w14:val="tx1"/>
                        </w14:solidFill>
                      </w14:textFill>
                    </w:rPr>
                  </w:pPr>
                  <w:r>
                    <w:rPr>
                      <w:rFonts w:hint="eastAsia" w:cs="Times New Roman"/>
                      <w:color w:val="000000" w:themeColor="text1"/>
                      <w:sz w:val="21"/>
                      <w:highlight w:val="none"/>
                      <w:lang w:val="en-US" w:eastAsia="zh-CN"/>
                      <w14:textFill>
                        <w14:solidFill>
                          <w14:schemeClr w14:val="tx1"/>
                        </w14:solidFill>
                      </w14:textFill>
                    </w:rPr>
                    <w:t>全过程不按危险废物管理，由环卫部门定期清运</w:t>
                  </w:r>
                </w:p>
              </w:tc>
            </w:tr>
            <w:tr w14:paraId="0EFE40D7">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650" w:type="pct"/>
                  <w:tcBorders>
                    <w:tl2br w:val="nil"/>
                    <w:tr2bl w:val="nil"/>
                  </w:tcBorders>
                  <w:vAlign w:val="center"/>
                </w:tcPr>
                <w:p w14:paraId="68F34C59">
                  <w:pPr>
                    <w:pStyle w:val="68"/>
                    <w:spacing w:line="240" w:lineRule="auto"/>
                    <w:ind w:firstLine="0" w:firstLineChars="0"/>
                    <w:jc w:val="center"/>
                    <w:rPr>
                      <w:rFonts w:hint="eastAsia" w:ascii="Times New Roman" w:hAnsi="Times New Roman" w:eastAsia="宋体" w:cs="Times New Roman"/>
                      <w:color w:val="000000" w:themeColor="text1"/>
                      <w:sz w:val="21"/>
                      <w:highlight w:val="none"/>
                      <w:lang w:val="en-US" w:eastAsia="zh-CN"/>
                      <w14:textFill>
                        <w14:solidFill>
                          <w14:schemeClr w14:val="tx1"/>
                        </w14:solidFill>
                      </w14:textFill>
                    </w:rPr>
                  </w:pPr>
                  <w:r>
                    <w:rPr>
                      <w:rFonts w:hint="eastAsia" w:cs="Times New Roman"/>
                      <w:color w:val="000000" w:themeColor="text1"/>
                      <w:sz w:val="21"/>
                      <w:highlight w:val="none"/>
                      <w:lang w:val="en-US" w:eastAsia="zh-CN"/>
                      <w14:textFill>
                        <w14:solidFill>
                          <w14:schemeClr w14:val="tx1"/>
                        </w14:solidFill>
                      </w14:textFill>
                    </w:rPr>
                    <w:t>油罐</w:t>
                  </w:r>
                </w:p>
              </w:tc>
              <w:tc>
                <w:tcPr>
                  <w:tcW w:w="408" w:type="pct"/>
                  <w:tcBorders>
                    <w:tl2br w:val="nil"/>
                    <w:tr2bl w:val="nil"/>
                  </w:tcBorders>
                  <w:vAlign w:val="center"/>
                </w:tcPr>
                <w:p w14:paraId="71E47751">
                  <w:pPr>
                    <w:pStyle w:val="68"/>
                    <w:spacing w:line="240" w:lineRule="auto"/>
                    <w:ind w:firstLine="0" w:firstLineChars="0"/>
                    <w:jc w:val="center"/>
                    <w:rPr>
                      <w:rFonts w:hint="default" w:ascii="Times New Roman" w:hAnsi="Times New Roman" w:eastAsia="宋体" w:cs="Times New Roman"/>
                      <w:color w:val="000000" w:themeColor="text1"/>
                      <w:sz w:val="21"/>
                      <w:highlight w:val="none"/>
                      <w:lang w:val="en-US" w:eastAsia="zh-CN"/>
                      <w14:textFill>
                        <w14:solidFill>
                          <w14:schemeClr w14:val="tx1"/>
                        </w14:solidFill>
                      </w14:textFill>
                    </w:rPr>
                  </w:pPr>
                  <w:r>
                    <w:rPr>
                      <w:rFonts w:hint="eastAsia" w:cs="Times New Roman"/>
                      <w:color w:val="000000" w:themeColor="text1"/>
                      <w:sz w:val="21"/>
                      <w:highlight w:val="none"/>
                      <w:lang w:val="en-US" w:eastAsia="zh-CN"/>
                      <w14:textFill>
                        <w14:solidFill>
                          <w14:schemeClr w14:val="tx1"/>
                        </w14:solidFill>
                      </w14:textFill>
                    </w:rPr>
                    <w:t>罐底油泥</w:t>
                  </w:r>
                </w:p>
              </w:tc>
              <w:tc>
                <w:tcPr>
                  <w:tcW w:w="704" w:type="pct"/>
                  <w:tcBorders>
                    <w:tl2br w:val="nil"/>
                    <w:tr2bl w:val="nil"/>
                  </w:tcBorders>
                  <w:vAlign w:val="center"/>
                </w:tcPr>
                <w:p w14:paraId="226AF9B0">
                  <w:pPr>
                    <w:pStyle w:val="68"/>
                    <w:spacing w:line="240" w:lineRule="auto"/>
                    <w:ind w:firstLine="0" w:firstLineChars="0"/>
                    <w:jc w:val="center"/>
                    <w:rPr>
                      <w:rFonts w:hint="eastAsia" w:cs="Times New Roman"/>
                      <w:color w:val="000000" w:themeColor="text1"/>
                      <w:sz w:val="21"/>
                      <w:highlight w:val="none"/>
                      <w:lang w:val="en-US" w:eastAsia="zh-CN"/>
                      <w14:textFill>
                        <w14:solidFill>
                          <w14:schemeClr w14:val="tx1"/>
                        </w14:solidFill>
                      </w14:textFill>
                    </w:rPr>
                  </w:pPr>
                  <w:r>
                    <w:rPr>
                      <w:rFonts w:hint="eastAsia" w:cs="Times New Roman"/>
                      <w:color w:val="000000" w:themeColor="text1"/>
                      <w:sz w:val="21"/>
                      <w:highlight w:val="none"/>
                      <w:lang w:val="en-US" w:eastAsia="zh-CN"/>
                      <w14:textFill>
                        <w14:solidFill>
                          <w14:schemeClr w14:val="tx1"/>
                        </w14:solidFill>
                      </w14:textFill>
                    </w:rPr>
                    <w:t>危险废物</w:t>
                  </w:r>
                </w:p>
                <w:p w14:paraId="0AB6B56B">
                  <w:pPr>
                    <w:pStyle w:val="68"/>
                    <w:spacing w:line="240" w:lineRule="auto"/>
                    <w:ind w:firstLine="0" w:firstLineChars="0"/>
                    <w:jc w:val="center"/>
                    <w:rPr>
                      <w:rFonts w:hint="eastAsia" w:cs="Times New Roman"/>
                      <w:color w:val="000000" w:themeColor="text1"/>
                      <w:sz w:val="21"/>
                      <w:highlight w:val="none"/>
                      <w:lang w:val="en-US" w:eastAsia="zh-CN"/>
                      <w14:textFill>
                        <w14:solidFill>
                          <w14:schemeClr w14:val="tx1"/>
                        </w14:solidFill>
                      </w14:textFill>
                    </w:rPr>
                  </w:pPr>
                  <w:r>
                    <w:rPr>
                      <w:rFonts w:hint="eastAsia" w:cs="Times New Roman"/>
                      <w:color w:val="000000" w:themeColor="text1"/>
                      <w:sz w:val="21"/>
                      <w:highlight w:val="none"/>
                      <w:lang w:val="en-US" w:eastAsia="zh-CN"/>
                      <w14:textFill>
                        <w14:solidFill>
                          <w14:schemeClr w14:val="tx1"/>
                        </w14:solidFill>
                      </w14:textFill>
                    </w:rPr>
                    <w:t>HW08</w:t>
                  </w:r>
                </w:p>
                <w:p w14:paraId="0D2152F3">
                  <w:pPr>
                    <w:pStyle w:val="68"/>
                    <w:spacing w:line="240" w:lineRule="auto"/>
                    <w:ind w:firstLine="0" w:firstLineChars="0"/>
                    <w:jc w:val="center"/>
                    <w:rPr>
                      <w:rFonts w:hint="default" w:cs="Times New Roman"/>
                      <w:color w:val="000000" w:themeColor="text1"/>
                      <w:sz w:val="21"/>
                      <w:highlight w:val="none"/>
                      <w:lang w:val="en-US" w:eastAsia="zh-CN"/>
                      <w14:textFill>
                        <w14:solidFill>
                          <w14:schemeClr w14:val="tx1"/>
                        </w14:solidFill>
                      </w14:textFill>
                    </w:rPr>
                  </w:pPr>
                  <w:r>
                    <w:rPr>
                      <w:rFonts w:hint="eastAsia" w:cs="Times New Roman"/>
                      <w:color w:val="000000" w:themeColor="text1"/>
                      <w:sz w:val="21"/>
                      <w:highlight w:val="none"/>
                      <w:lang w:val="en-US" w:eastAsia="zh-CN"/>
                      <w14:textFill>
                        <w14:solidFill>
                          <w14:schemeClr w14:val="tx1"/>
                        </w14:solidFill>
                      </w14:textFill>
                    </w:rPr>
                    <w:t>900-199-08</w:t>
                  </w:r>
                </w:p>
              </w:tc>
              <w:tc>
                <w:tcPr>
                  <w:tcW w:w="647" w:type="pct"/>
                  <w:tcBorders>
                    <w:tl2br w:val="nil"/>
                    <w:tr2bl w:val="nil"/>
                  </w:tcBorders>
                  <w:vAlign w:val="center"/>
                </w:tcPr>
                <w:p w14:paraId="69E922AE">
                  <w:pPr>
                    <w:pStyle w:val="68"/>
                    <w:spacing w:line="240" w:lineRule="auto"/>
                    <w:ind w:firstLine="0" w:firstLineChars="0"/>
                    <w:jc w:val="center"/>
                    <w:rPr>
                      <w:rFonts w:hint="default" w:ascii="Times New Roman" w:hAnsi="Times New Roman" w:eastAsia="宋体" w:cs="Times New Roman"/>
                      <w:color w:val="000000" w:themeColor="text1"/>
                      <w:sz w:val="21"/>
                      <w:highlight w:val="none"/>
                      <w:lang w:val="en-US" w:eastAsia="zh-CN"/>
                      <w14:textFill>
                        <w14:solidFill>
                          <w14:schemeClr w14:val="tx1"/>
                        </w14:solidFill>
                      </w14:textFill>
                    </w:rPr>
                  </w:pPr>
                  <w:r>
                    <w:rPr>
                      <w:rFonts w:hint="eastAsia" w:cs="Times New Roman"/>
                      <w:color w:val="000000" w:themeColor="text1"/>
                      <w:sz w:val="21"/>
                      <w:highlight w:val="none"/>
                      <w:lang w:val="en-US" w:eastAsia="zh-CN"/>
                      <w14:textFill>
                        <w14:solidFill>
                          <w14:schemeClr w14:val="tx1"/>
                        </w14:solidFill>
                      </w14:textFill>
                    </w:rPr>
                    <w:t>废矿物油</w:t>
                  </w:r>
                </w:p>
              </w:tc>
              <w:tc>
                <w:tcPr>
                  <w:tcW w:w="379" w:type="pct"/>
                  <w:tcBorders>
                    <w:tl2br w:val="nil"/>
                    <w:tr2bl w:val="nil"/>
                  </w:tcBorders>
                  <w:vAlign w:val="center"/>
                </w:tcPr>
                <w:p w14:paraId="71ED34D0">
                  <w:pPr>
                    <w:pStyle w:val="68"/>
                    <w:spacing w:line="240" w:lineRule="auto"/>
                    <w:ind w:firstLine="0" w:firstLineChars="0"/>
                    <w:jc w:val="center"/>
                    <w:rPr>
                      <w:rFonts w:hint="default" w:ascii="Times New Roman" w:hAnsi="Times New Roman" w:eastAsia="宋体" w:cs="Times New Roman"/>
                      <w:color w:val="000000" w:themeColor="text1"/>
                      <w:sz w:val="21"/>
                      <w:highlight w:val="none"/>
                      <w:lang w:val="en-US" w:eastAsia="zh-CN"/>
                      <w14:textFill>
                        <w14:solidFill>
                          <w14:schemeClr w14:val="tx1"/>
                        </w14:solidFill>
                      </w14:textFill>
                    </w:rPr>
                  </w:pPr>
                  <w:r>
                    <w:rPr>
                      <w:rFonts w:hint="eastAsia" w:cs="Times New Roman"/>
                      <w:color w:val="000000" w:themeColor="text1"/>
                      <w:sz w:val="21"/>
                      <w:highlight w:val="none"/>
                      <w:lang w:val="en-US" w:eastAsia="zh-CN"/>
                      <w14:textFill>
                        <w14:solidFill>
                          <w14:schemeClr w14:val="tx1"/>
                        </w14:solidFill>
                      </w14:textFill>
                    </w:rPr>
                    <w:t>固</w:t>
                  </w:r>
                </w:p>
              </w:tc>
              <w:tc>
                <w:tcPr>
                  <w:tcW w:w="483" w:type="pct"/>
                  <w:tcBorders>
                    <w:tl2br w:val="nil"/>
                    <w:tr2bl w:val="nil"/>
                  </w:tcBorders>
                  <w:vAlign w:val="center"/>
                </w:tcPr>
                <w:p w14:paraId="68A9634E">
                  <w:pPr>
                    <w:pStyle w:val="68"/>
                    <w:spacing w:line="240" w:lineRule="auto"/>
                    <w:ind w:firstLine="0" w:firstLineChars="0"/>
                    <w:jc w:val="center"/>
                    <w:rPr>
                      <w:rFonts w:hint="eastAsia" w:ascii="Times New Roman" w:hAnsi="Times New Roman" w:eastAsia="宋体" w:cs="Times New Roman"/>
                      <w:color w:val="000000" w:themeColor="text1"/>
                      <w:sz w:val="21"/>
                      <w:highlight w:val="none"/>
                      <w:lang w:val="en-US" w:eastAsia="zh-CN"/>
                      <w14:textFill>
                        <w14:solidFill>
                          <w14:schemeClr w14:val="tx1"/>
                        </w14:solidFill>
                      </w14:textFill>
                    </w:rPr>
                  </w:pPr>
                  <w:r>
                    <w:rPr>
                      <w:rFonts w:hint="eastAsia" w:cs="Times New Roman"/>
                      <w:color w:val="000000" w:themeColor="text1"/>
                      <w:sz w:val="21"/>
                      <w:highlight w:val="none"/>
                      <w:lang w:val="en-US" w:eastAsia="zh-CN"/>
                      <w14:textFill>
                        <w14:solidFill>
                          <w14:schemeClr w14:val="tx1"/>
                        </w14:solidFill>
                      </w14:textFill>
                    </w:rPr>
                    <w:t>T/I</w:t>
                  </w:r>
                </w:p>
              </w:tc>
              <w:tc>
                <w:tcPr>
                  <w:tcW w:w="479" w:type="pct"/>
                  <w:tcBorders>
                    <w:tl2br w:val="nil"/>
                    <w:tr2bl w:val="nil"/>
                  </w:tcBorders>
                  <w:vAlign w:val="center"/>
                </w:tcPr>
                <w:p w14:paraId="255EEF99">
                  <w:pPr>
                    <w:pStyle w:val="68"/>
                    <w:spacing w:line="240" w:lineRule="auto"/>
                    <w:ind w:firstLine="0" w:firstLineChars="0"/>
                    <w:jc w:val="center"/>
                    <w:rPr>
                      <w:rFonts w:hint="default" w:ascii="Times New Roman" w:hAnsi="Times New Roman" w:eastAsia="宋体" w:cs="Times New Roman"/>
                      <w:color w:val="000000" w:themeColor="text1"/>
                      <w:sz w:val="21"/>
                      <w:highlight w:val="none"/>
                      <w:lang w:val="en-US" w:eastAsia="zh-CN"/>
                      <w14:textFill>
                        <w14:solidFill>
                          <w14:schemeClr w14:val="tx1"/>
                        </w14:solidFill>
                      </w14:textFill>
                    </w:rPr>
                  </w:pPr>
                  <w:r>
                    <w:rPr>
                      <w:rFonts w:hint="eastAsia" w:cs="Times New Roman"/>
                      <w:color w:val="000000" w:themeColor="text1"/>
                      <w:sz w:val="21"/>
                      <w:highlight w:val="none"/>
                      <w:lang w:val="en-US" w:eastAsia="zh-CN"/>
                      <w14:textFill>
                        <w14:solidFill>
                          <w14:schemeClr w14:val="tx1"/>
                        </w14:solidFill>
                      </w14:textFill>
                    </w:rPr>
                    <w:t>0.5t</w:t>
                  </w:r>
                </w:p>
              </w:tc>
              <w:tc>
                <w:tcPr>
                  <w:tcW w:w="546" w:type="pct"/>
                  <w:tcBorders>
                    <w:tl2br w:val="nil"/>
                    <w:tr2bl w:val="nil"/>
                  </w:tcBorders>
                  <w:vAlign w:val="center"/>
                </w:tcPr>
                <w:p w14:paraId="659F2CDB">
                  <w:pPr>
                    <w:pStyle w:val="68"/>
                    <w:spacing w:line="240" w:lineRule="auto"/>
                    <w:ind w:firstLine="0" w:firstLineChars="0"/>
                    <w:jc w:val="center"/>
                    <w:rPr>
                      <w:rFonts w:hint="default" w:ascii="Times New Roman" w:hAnsi="Times New Roman" w:cs="Times New Roman"/>
                      <w:color w:val="000000" w:themeColor="text1"/>
                      <w:sz w:val="21"/>
                      <w:highlight w:val="none"/>
                      <w14:textFill>
                        <w14:solidFill>
                          <w14:schemeClr w14:val="tx1"/>
                        </w14:solidFill>
                      </w14:textFill>
                    </w:rPr>
                  </w:pPr>
                  <w:r>
                    <w:rPr>
                      <w:rFonts w:hint="default" w:ascii="Times New Roman" w:hAnsi="Times New Roman" w:cs="Times New Roman"/>
                      <w:color w:val="000000" w:themeColor="text1"/>
                      <w:sz w:val="21"/>
                      <w:highlight w:val="none"/>
                      <w14:textFill>
                        <w14:solidFill>
                          <w14:schemeClr w14:val="tx1"/>
                        </w14:solidFill>
                      </w14:textFill>
                    </w:rPr>
                    <w:t>耐腐蚀的专用</w:t>
                  </w:r>
                  <w:r>
                    <w:rPr>
                      <w:rFonts w:hint="eastAsia" w:cs="Times New Roman"/>
                      <w:color w:val="000000" w:themeColor="text1"/>
                      <w:sz w:val="21"/>
                      <w:highlight w:val="none"/>
                      <w:lang w:val="en-US" w:eastAsia="zh-CN"/>
                      <w14:textFill>
                        <w14:solidFill>
                          <w14:schemeClr w14:val="tx1"/>
                        </w14:solidFill>
                      </w14:textFill>
                    </w:rPr>
                    <w:t>容器</w:t>
                  </w:r>
                  <w:r>
                    <w:rPr>
                      <w:rFonts w:hint="default" w:ascii="Times New Roman" w:hAnsi="Times New Roman" w:cs="Times New Roman"/>
                      <w:color w:val="000000" w:themeColor="text1"/>
                      <w:sz w:val="21"/>
                      <w:highlight w:val="none"/>
                      <w14:textFill>
                        <w14:solidFill>
                          <w14:schemeClr w14:val="tx1"/>
                        </w14:solidFill>
                      </w14:textFill>
                    </w:rPr>
                    <w:t>密封收集</w:t>
                  </w:r>
                </w:p>
              </w:tc>
              <w:tc>
                <w:tcPr>
                  <w:tcW w:w="701" w:type="pct"/>
                  <w:vMerge w:val="restart"/>
                  <w:tcBorders>
                    <w:tl2br w:val="nil"/>
                    <w:tr2bl w:val="nil"/>
                  </w:tcBorders>
                  <w:vAlign w:val="center"/>
                </w:tcPr>
                <w:p w14:paraId="1E917436">
                  <w:pPr>
                    <w:pStyle w:val="68"/>
                    <w:spacing w:line="240" w:lineRule="auto"/>
                    <w:ind w:firstLine="0" w:firstLineChars="0"/>
                    <w:jc w:val="center"/>
                    <w:rPr>
                      <w:rFonts w:hint="default" w:ascii="Times New Roman" w:hAnsi="Times New Roman" w:cs="Times New Roman"/>
                      <w:color w:val="000000" w:themeColor="text1"/>
                      <w:sz w:val="21"/>
                      <w:highlight w:val="none"/>
                      <w14:textFill>
                        <w14:solidFill>
                          <w14:schemeClr w14:val="tx1"/>
                        </w14:solidFill>
                      </w14:textFill>
                    </w:rPr>
                  </w:pPr>
                  <w:r>
                    <w:rPr>
                      <w:rFonts w:hint="default" w:ascii="Times New Roman" w:hAnsi="Times New Roman" w:cs="Times New Roman"/>
                      <w:color w:val="000000" w:themeColor="text1"/>
                      <w:sz w:val="21"/>
                      <w:highlight w:val="none"/>
                      <w14:textFill>
                        <w14:solidFill>
                          <w14:schemeClr w14:val="tx1"/>
                        </w14:solidFill>
                      </w14:textFill>
                    </w:rPr>
                    <w:t>危废间内暂存，由有资质单位集中处置</w:t>
                  </w:r>
                </w:p>
              </w:tc>
            </w:tr>
            <w:tr w14:paraId="0E6D1424">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650" w:type="pct"/>
                  <w:tcBorders>
                    <w:tl2br w:val="nil"/>
                    <w:tr2bl w:val="nil"/>
                  </w:tcBorders>
                  <w:vAlign w:val="center"/>
                </w:tcPr>
                <w:p w14:paraId="5CC9557D">
                  <w:pPr>
                    <w:pStyle w:val="68"/>
                    <w:spacing w:line="240" w:lineRule="auto"/>
                    <w:ind w:firstLine="0" w:firstLineChars="0"/>
                    <w:jc w:val="center"/>
                    <w:rPr>
                      <w:rFonts w:hint="default" w:ascii="Times New Roman" w:hAnsi="Times New Roman" w:cs="Times New Roman"/>
                      <w:color w:val="000000" w:themeColor="text1"/>
                      <w:sz w:val="21"/>
                      <w:highlight w:val="none"/>
                      <w14:textFill>
                        <w14:solidFill>
                          <w14:schemeClr w14:val="tx1"/>
                        </w14:solidFill>
                      </w14:textFill>
                    </w:rPr>
                  </w:pPr>
                  <w:r>
                    <w:rPr>
                      <w:rFonts w:hint="default" w:ascii="Times New Roman" w:hAnsi="Times New Roman" w:cs="Times New Roman"/>
                      <w:color w:val="000000" w:themeColor="text1"/>
                      <w:sz w:val="21"/>
                      <w:highlight w:val="none"/>
                      <w14:textFill>
                        <w14:solidFill>
                          <w14:schemeClr w14:val="tx1"/>
                        </w14:solidFill>
                      </w14:textFill>
                    </w:rPr>
                    <w:t>活性炭吸附装置</w:t>
                  </w:r>
                </w:p>
              </w:tc>
              <w:tc>
                <w:tcPr>
                  <w:tcW w:w="408" w:type="pct"/>
                  <w:tcBorders>
                    <w:tl2br w:val="nil"/>
                    <w:tr2bl w:val="nil"/>
                  </w:tcBorders>
                  <w:vAlign w:val="center"/>
                </w:tcPr>
                <w:p w14:paraId="5A81F18D">
                  <w:pPr>
                    <w:pStyle w:val="68"/>
                    <w:spacing w:line="240" w:lineRule="auto"/>
                    <w:ind w:firstLine="0" w:firstLineChars="0"/>
                    <w:jc w:val="center"/>
                    <w:rPr>
                      <w:rFonts w:hint="default" w:ascii="Times New Roman" w:hAnsi="Times New Roman" w:cs="Times New Roman"/>
                      <w:color w:val="000000" w:themeColor="text1"/>
                      <w:sz w:val="21"/>
                      <w:highlight w:val="none"/>
                      <w14:textFill>
                        <w14:solidFill>
                          <w14:schemeClr w14:val="tx1"/>
                        </w14:solidFill>
                      </w14:textFill>
                    </w:rPr>
                  </w:pPr>
                  <w:r>
                    <w:rPr>
                      <w:rFonts w:hint="default" w:ascii="Times New Roman" w:hAnsi="Times New Roman" w:cs="Times New Roman"/>
                      <w:color w:val="000000" w:themeColor="text1"/>
                      <w:sz w:val="21"/>
                      <w:highlight w:val="none"/>
                      <w14:textFill>
                        <w14:solidFill>
                          <w14:schemeClr w14:val="tx1"/>
                        </w14:solidFill>
                      </w14:textFill>
                    </w:rPr>
                    <w:t>废活性炭</w:t>
                  </w:r>
                </w:p>
              </w:tc>
              <w:tc>
                <w:tcPr>
                  <w:tcW w:w="704" w:type="pct"/>
                  <w:tcBorders>
                    <w:tl2br w:val="nil"/>
                    <w:tr2bl w:val="nil"/>
                  </w:tcBorders>
                  <w:vAlign w:val="center"/>
                </w:tcPr>
                <w:p w14:paraId="39B9CB81">
                  <w:pPr>
                    <w:pStyle w:val="68"/>
                    <w:spacing w:line="240" w:lineRule="auto"/>
                    <w:ind w:firstLine="0" w:firstLineChars="0"/>
                    <w:jc w:val="center"/>
                    <w:rPr>
                      <w:rFonts w:hint="default" w:ascii="Times New Roman" w:hAnsi="Times New Roman" w:cs="Times New Roman"/>
                      <w:color w:val="000000" w:themeColor="text1"/>
                      <w:sz w:val="21"/>
                      <w:highlight w:val="none"/>
                      <w14:textFill>
                        <w14:solidFill>
                          <w14:schemeClr w14:val="tx1"/>
                        </w14:solidFill>
                      </w14:textFill>
                    </w:rPr>
                  </w:pPr>
                  <w:r>
                    <w:rPr>
                      <w:rFonts w:hint="default" w:ascii="Times New Roman" w:hAnsi="Times New Roman" w:cs="Times New Roman"/>
                      <w:color w:val="000000" w:themeColor="text1"/>
                      <w:sz w:val="21"/>
                      <w:highlight w:val="none"/>
                      <w14:textFill>
                        <w14:solidFill>
                          <w14:schemeClr w14:val="tx1"/>
                        </w14:solidFill>
                      </w14:textFill>
                    </w:rPr>
                    <w:t>危险废物</w:t>
                  </w:r>
                </w:p>
                <w:p w14:paraId="1252CCAB">
                  <w:pPr>
                    <w:pStyle w:val="68"/>
                    <w:spacing w:line="240" w:lineRule="auto"/>
                    <w:ind w:firstLine="0" w:firstLineChars="0"/>
                    <w:jc w:val="center"/>
                    <w:rPr>
                      <w:rFonts w:hint="default" w:ascii="Times New Roman" w:hAnsi="Times New Roman" w:cs="Times New Roman"/>
                      <w:color w:val="000000" w:themeColor="text1"/>
                      <w:sz w:val="21"/>
                      <w:highlight w:val="none"/>
                      <w14:textFill>
                        <w14:solidFill>
                          <w14:schemeClr w14:val="tx1"/>
                        </w14:solidFill>
                      </w14:textFill>
                    </w:rPr>
                  </w:pPr>
                  <w:r>
                    <w:rPr>
                      <w:rFonts w:hint="default" w:ascii="Times New Roman" w:hAnsi="Times New Roman" w:cs="Times New Roman"/>
                      <w:color w:val="000000" w:themeColor="text1"/>
                      <w:sz w:val="21"/>
                      <w:highlight w:val="none"/>
                      <w14:textFill>
                        <w14:solidFill>
                          <w14:schemeClr w14:val="tx1"/>
                        </w14:solidFill>
                      </w14:textFill>
                    </w:rPr>
                    <w:t>HW49</w:t>
                  </w:r>
                </w:p>
                <w:p w14:paraId="243DF131">
                  <w:pPr>
                    <w:pStyle w:val="68"/>
                    <w:spacing w:line="240" w:lineRule="auto"/>
                    <w:ind w:firstLine="0" w:firstLineChars="0"/>
                    <w:jc w:val="center"/>
                    <w:rPr>
                      <w:rFonts w:hint="default" w:ascii="Times New Roman" w:hAnsi="Times New Roman" w:cs="Times New Roman"/>
                      <w:color w:val="000000" w:themeColor="text1"/>
                      <w:sz w:val="21"/>
                      <w:highlight w:val="none"/>
                      <w14:textFill>
                        <w14:solidFill>
                          <w14:schemeClr w14:val="tx1"/>
                        </w14:solidFill>
                      </w14:textFill>
                    </w:rPr>
                  </w:pPr>
                  <w:r>
                    <w:rPr>
                      <w:rFonts w:hint="default" w:ascii="Times New Roman" w:hAnsi="Times New Roman" w:cs="Times New Roman"/>
                      <w:color w:val="000000" w:themeColor="text1"/>
                      <w:sz w:val="21"/>
                      <w:highlight w:val="none"/>
                      <w14:textFill>
                        <w14:solidFill>
                          <w14:schemeClr w14:val="tx1"/>
                        </w14:solidFill>
                      </w14:textFill>
                    </w:rPr>
                    <w:t>900-</w:t>
                  </w:r>
                  <w:r>
                    <w:rPr>
                      <w:rFonts w:hint="eastAsia" w:cs="Times New Roman"/>
                      <w:color w:val="000000" w:themeColor="text1"/>
                      <w:sz w:val="21"/>
                      <w:highlight w:val="none"/>
                      <w:lang w:val="en-US" w:eastAsia="zh-CN"/>
                      <w14:textFill>
                        <w14:solidFill>
                          <w14:schemeClr w14:val="tx1"/>
                        </w14:solidFill>
                      </w14:textFill>
                    </w:rPr>
                    <w:t>0</w:t>
                  </w:r>
                  <w:r>
                    <w:rPr>
                      <w:rFonts w:hint="default" w:ascii="Times New Roman" w:hAnsi="Times New Roman" w:cs="Times New Roman"/>
                      <w:color w:val="000000" w:themeColor="text1"/>
                      <w:sz w:val="21"/>
                      <w:highlight w:val="none"/>
                      <w14:textFill>
                        <w14:solidFill>
                          <w14:schemeClr w14:val="tx1"/>
                        </w14:solidFill>
                      </w14:textFill>
                    </w:rPr>
                    <w:t>39-49</w:t>
                  </w:r>
                </w:p>
              </w:tc>
              <w:tc>
                <w:tcPr>
                  <w:tcW w:w="647" w:type="pct"/>
                  <w:tcBorders>
                    <w:tl2br w:val="nil"/>
                    <w:tr2bl w:val="nil"/>
                  </w:tcBorders>
                  <w:vAlign w:val="center"/>
                </w:tcPr>
                <w:p w14:paraId="6AC4D8F8">
                  <w:pPr>
                    <w:pStyle w:val="68"/>
                    <w:spacing w:line="240" w:lineRule="auto"/>
                    <w:ind w:firstLine="0" w:firstLineChars="0"/>
                    <w:jc w:val="center"/>
                    <w:rPr>
                      <w:rFonts w:hint="default" w:ascii="Times New Roman" w:hAnsi="Times New Roman" w:cs="Times New Roman"/>
                      <w:color w:val="000000" w:themeColor="text1"/>
                      <w:sz w:val="21"/>
                      <w:highlight w:val="none"/>
                      <w14:textFill>
                        <w14:solidFill>
                          <w14:schemeClr w14:val="tx1"/>
                        </w14:solidFill>
                      </w14:textFill>
                    </w:rPr>
                  </w:pPr>
                  <w:r>
                    <w:rPr>
                      <w:rFonts w:hint="default" w:ascii="Times New Roman" w:hAnsi="Times New Roman" w:cs="Times New Roman"/>
                      <w:color w:val="000000" w:themeColor="text1"/>
                      <w:sz w:val="21"/>
                      <w:highlight w:val="none"/>
                      <w14:textFill>
                        <w14:solidFill>
                          <w14:schemeClr w14:val="tx1"/>
                        </w14:solidFill>
                      </w14:textFill>
                    </w:rPr>
                    <w:t>废活性炭</w:t>
                  </w:r>
                </w:p>
              </w:tc>
              <w:tc>
                <w:tcPr>
                  <w:tcW w:w="379" w:type="pct"/>
                  <w:tcBorders>
                    <w:tl2br w:val="nil"/>
                    <w:tr2bl w:val="nil"/>
                  </w:tcBorders>
                  <w:vAlign w:val="center"/>
                </w:tcPr>
                <w:p w14:paraId="70DA66A9">
                  <w:pPr>
                    <w:pStyle w:val="68"/>
                    <w:spacing w:line="240" w:lineRule="auto"/>
                    <w:ind w:firstLine="0" w:firstLineChars="0"/>
                    <w:jc w:val="center"/>
                    <w:rPr>
                      <w:rFonts w:hint="default" w:ascii="Times New Roman" w:hAnsi="Times New Roman" w:cs="Times New Roman"/>
                      <w:color w:val="000000" w:themeColor="text1"/>
                      <w:sz w:val="21"/>
                      <w:highlight w:val="none"/>
                      <w14:textFill>
                        <w14:solidFill>
                          <w14:schemeClr w14:val="tx1"/>
                        </w14:solidFill>
                      </w14:textFill>
                    </w:rPr>
                  </w:pPr>
                  <w:r>
                    <w:rPr>
                      <w:rFonts w:hint="default" w:ascii="Times New Roman" w:hAnsi="Times New Roman" w:cs="Times New Roman"/>
                      <w:color w:val="000000" w:themeColor="text1"/>
                      <w:sz w:val="21"/>
                      <w:highlight w:val="none"/>
                      <w14:textFill>
                        <w14:solidFill>
                          <w14:schemeClr w14:val="tx1"/>
                        </w14:solidFill>
                      </w14:textFill>
                    </w:rPr>
                    <w:t>黑色固体</w:t>
                  </w:r>
                </w:p>
              </w:tc>
              <w:tc>
                <w:tcPr>
                  <w:tcW w:w="483" w:type="pct"/>
                  <w:tcBorders>
                    <w:tl2br w:val="nil"/>
                    <w:tr2bl w:val="nil"/>
                  </w:tcBorders>
                  <w:vAlign w:val="center"/>
                </w:tcPr>
                <w:p w14:paraId="171D0714">
                  <w:pPr>
                    <w:pStyle w:val="68"/>
                    <w:spacing w:line="240" w:lineRule="auto"/>
                    <w:ind w:firstLine="0" w:firstLineChars="0"/>
                    <w:jc w:val="center"/>
                    <w:rPr>
                      <w:rFonts w:hint="eastAsia" w:ascii="Times New Roman" w:hAnsi="Times New Roman" w:eastAsia="宋体" w:cs="Times New Roman"/>
                      <w:color w:val="000000" w:themeColor="text1"/>
                      <w:sz w:val="21"/>
                      <w:highlight w:val="none"/>
                      <w:lang w:eastAsia="zh-CN"/>
                      <w14:textFill>
                        <w14:solidFill>
                          <w14:schemeClr w14:val="tx1"/>
                        </w14:solidFill>
                      </w14:textFill>
                    </w:rPr>
                  </w:pPr>
                  <w:r>
                    <w:rPr>
                      <w:rFonts w:hint="eastAsia" w:cs="Times New Roman"/>
                      <w:color w:val="000000" w:themeColor="text1"/>
                      <w:sz w:val="21"/>
                      <w:highlight w:val="none"/>
                      <w:lang w:val="en-US" w:eastAsia="zh-CN"/>
                      <w14:textFill>
                        <w14:solidFill>
                          <w14:schemeClr w14:val="tx1"/>
                        </w14:solidFill>
                      </w14:textFill>
                    </w:rPr>
                    <w:t>T</w:t>
                  </w:r>
                </w:p>
              </w:tc>
              <w:tc>
                <w:tcPr>
                  <w:tcW w:w="479" w:type="pct"/>
                  <w:tcBorders>
                    <w:tl2br w:val="nil"/>
                    <w:tr2bl w:val="nil"/>
                  </w:tcBorders>
                  <w:vAlign w:val="center"/>
                </w:tcPr>
                <w:p w14:paraId="73544B68">
                  <w:pPr>
                    <w:pStyle w:val="68"/>
                    <w:spacing w:line="240" w:lineRule="auto"/>
                    <w:ind w:firstLine="0" w:firstLineChars="0"/>
                    <w:jc w:val="center"/>
                    <w:rPr>
                      <w:rFonts w:hint="default" w:ascii="Times New Roman" w:hAnsi="Times New Roman" w:cs="Times New Roman"/>
                      <w:color w:val="000000" w:themeColor="text1"/>
                      <w:sz w:val="21"/>
                      <w:highlight w:val="none"/>
                      <w14:textFill>
                        <w14:solidFill>
                          <w14:schemeClr w14:val="tx1"/>
                        </w14:solidFill>
                      </w14:textFill>
                    </w:rPr>
                  </w:pPr>
                  <w:r>
                    <w:rPr>
                      <w:rFonts w:hint="default" w:ascii="Times New Roman" w:hAnsi="Times New Roman" w:cs="Times New Roman"/>
                      <w:color w:val="000000" w:themeColor="text1"/>
                      <w:sz w:val="21"/>
                      <w:highlight w:val="none"/>
                      <w14:textFill>
                        <w14:solidFill>
                          <w14:schemeClr w14:val="tx1"/>
                        </w14:solidFill>
                      </w14:textFill>
                    </w:rPr>
                    <w:t>0.305t</w:t>
                  </w:r>
                </w:p>
              </w:tc>
              <w:tc>
                <w:tcPr>
                  <w:tcW w:w="546" w:type="pct"/>
                  <w:tcBorders>
                    <w:tl2br w:val="nil"/>
                    <w:tr2bl w:val="nil"/>
                  </w:tcBorders>
                  <w:vAlign w:val="center"/>
                </w:tcPr>
                <w:p w14:paraId="1D38FD10">
                  <w:pPr>
                    <w:pStyle w:val="68"/>
                    <w:spacing w:line="240" w:lineRule="auto"/>
                    <w:ind w:firstLine="0" w:firstLineChars="0"/>
                    <w:jc w:val="center"/>
                    <w:rPr>
                      <w:rFonts w:hint="default" w:ascii="Times New Roman" w:hAnsi="Times New Roman" w:cs="Times New Roman"/>
                      <w:color w:val="000000" w:themeColor="text1"/>
                      <w:sz w:val="21"/>
                      <w:highlight w:val="none"/>
                      <w14:textFill>
                        <w14:solidFill>
                          <w14:schemeClr w14:val="tx1"/>
                        </w14:solidFill>
                      </w14:textFill>
                    </w:rPr>
                  </w:pPr>
                  <w:r>
                    <w:rPr>
                      <w:rFonts w:hint="default" w:ascii="Times New Roman" w:hAnsi="Times New Roman" w:cs="Times New Roman"/>
                      <w:color w:val="000000" w:themeColor="text1"/>
                      <w:sz w:val="21"/>
                      <w:highlight w:val="none"/>
                      <w14:textFill>
                        <w14:solidFill>
                          <w14:schemeClr w14:val="tx1"/>
                        </w14:solidFill>
                      </w14:textFill>
                    </w:rPr>
                    <w:t>耐腐蚀的专用</w:t>
                  </w:r>
                  <w:r>
                    <w:rPr>
                      <w:rFonts w:hint="eastAsia" w:cs="Times New Roman"/>
                      <w:color w:val="000000" w:themeColor="text1"/>
                      <w:sz w:val="21"/>
                      <w:highlight w:val="none"/>
                      <w:lang w:val="en-US" w:eastAsia="zh-CN"/>
                      <w14:textFill>
                        <w14:solidFill>
                          <w14:schemeClr w14:val="tx1"/>
                        </w14:solidFill>
                      </w14:textFill>
                    </w:rPr>
                    <w:t>容器</w:t>
                  </w:r>
                  <w:r>
                    <w:rPr>
                      <w:rFonts w:hint="default" w:ascii="Times New Roman" w:hAnsi="Times New Roman" w:cs="Times New Roman"/>
                      <w:color w:val="000000" w:themeColor="text1"/>
                      <w:sz w:val="21"/>
                      <w:highlight w:val="none"/>
                      <w14:textFill>
                        <w14:solidFill>
                          <w14:schemeClr w14:val="tx1"/>
                        </w14:solidFill>
                      </w14:textFill>
                    </w:rPr>
                    <w:t>密封收集</w:t>
                  </w:r>
                </w:p>
              </w:tc>
              <w:tc>
                <w:tcPr>
                  <w:tcW w:w="701" w:type="pct"/>
                  <w:vMerge w:val="continue"/>
                  <w:tcBorders>
                    <w:tl2br w:val="nil"/>
                    <w:tr2bl w:val="nil"/>
                  </w:tcBorders>
                  <w:vAlign w:val="center"/>
                </w:tcPr>
                <w:p w14:paraId="36D3718F">
                  <w:pPr>
                    <w:pStyle w:val="68"/>
                    <w:spacing w:line="240" w:lineRule="auto"/>
                    <w:ind w:firstLine="0" w:firstLineChars="0"/>
                    <w:jc w:val="center"/>
                    <w:rPr>
                      <w:rFonts w:hint="default" w:ascii="Times New Roman" w:hAnsi="Times New Roman" w:cs="Times New Roman"/>
                      <w:color w:val="000000" w:themeColor="text1"/>
                      <w:sz w:val="21"/>
                      <w:highlight w:val="none"/>
                      <w14:textFill>
                        <w14:solidFill>
                          <w14:schemeClr w14:val="tx1"/>
                        </w14:solidFill>
                      </w14:textFill>
                    </w:rPr>
                  </w:pPr>
                </w:p>
              </w:tc>
            </w:tr>
          </w:tbl>
          <w:p w14:paraId="62779981">
            <w:pPr>
              <w:pStyle w:val="68"/>
              <w:ind w:firstLine="480"/>
              <w:rPr>
                <w:rFonts w:hint="default" w:ascii="Times New Roman" w:hAnsi="Times New Roman" w:cs="Times New Roman"/>
                <w:color w:val="000000" w:themeColor="text1"/>
                <w:highlight w:val="none"/>
                <w14:textFill>
                  <w14:solidFill>
                    <w14:schemeClr w14:val="tx1"/>
                  </w14:solidFill>
                </w14:textFill>
              </w:rPr>
            </w:pPr>
          </w:p>
          <w:p w14:paraId="3C0E54F5">
            <w:pPr>
              <w:pStyle w:val="68"/>
              <w:ind w:firstLine="0" w:firstLineChars="0"/>
              <w:rPr>
                <w:rFonts w:hint="default" w:ascii="Times New Roman" w:hAnsi="Times New Roman" w:cs="Times New Roman"/>
                <w:color w:val="0000FF"/>
                <w:highlight w:val="none"/>
              </w:rPr>
            </w:pPr>
            <w:r>
              <w:rPr>
                <w:rFonts w:hint="default" w:ascii="Times New Roman" w:hAnsi="Times New Roman" w:cs="Times New Roman"/>
                <w:b/>
                <w:color w:val="000000" w:themeColor="text1"/>
                <w:highlight w:val="none"/>
                <w14:textFill>
                  <w14:solidFill>
                    <w14:schemeClr w14:val="tx1"/>
                  </w14:solidFill>
                </w14:textFill>
              </w:rPr>
              <w:t>4.2</w:t>
            </w:r>
            <w:r>
              <w:rPr>
                <w:rFonts w:hint="default" w:ascii="Times New Roman" w:hAnsi="Times New Roman" w:cs="Times New Roman"/>
                <w:b/>
                <w:bCs w:val="0"/>
                <w:color w:val="auto"/>
                <w:highlight w:val="none"/>
              </w:rPr>
              <w:t>危险废物收集、贮存、转移、运输和处置过程环境影响分析</w:t>
            </w:r>
          </w:p>
          <w:p w14:paraId="77EC2EE2">
            <w:pPr>
              <w:pStyle w:val="68"/>
              <w:ind w:firstLine="48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（1）总体要求</w:t>
            </w:r>
          </w:p>
          <w:p w14:paraId="18FD6D78">
            <w:pPr>
              <w:pStyle w:val="68"/>
              <w:ind w:firstLine="48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fldChar w:fldCharType="begin"/>
            </w:r>
            <w:r>
              <w:rPr>
                <w:rFonts w:hint="default" w:ascii="Times New Roman" w:hAnsi="Times New Roman" w:cs="Times New Roman"/>
                <w:color w:val="000000" w:themeColor="text1"/>
                <w:highlight w:val="none"/>
                <w14:textFill>
                  <w14:solidFill>
                    <w14:schemeClr w14:val="tx1"/>
                  </w14:solidFill>
                </w14:textFill>
              </w:rPr>
              <w:instrText xml:space="preserve"> EQ \o\ac(</w:instrText>
            </w:r>
            <w:r>
              <w:rPr>
                <w:rFonts w:hint="eastAsia" w:ascii="Times New Roman" w:hAnsi="Times New Roman" w:eastAsia="宋体" w:cs="Times New Roman"/>
                <w:bCs/>
                <w:color w:val="000000" w:themeColor="text1"/>
                <w:kern w:val="2"/>
                <w:sz w:val="24"/>
                <w:szCs w:val="21"/>
                <w:highlight w:val="none"/>
                <w:lang w:val="en-US" w:eastAsia="zh-CN" w:bidi="ar-SA"/>
                <w14:textFill>
                  <w14:solidFill>
                    <w14:schemeClr w14:val="tx1"/>
                  </w14:solidFill>
                </w14:textFill>
              </w:rPr>
              <w:instrText xml:space="preserve">○</w:instrText>
            </w:r>
            <w:r>
              <w:rPr>
                <w:rFonts w:hint="default" w:ascii="Times New Roman" w:hAnsi="Times New Roman" w:cs="Times New Roman"/>
                <w:color w:val="000000" w:themeColor="text1"/>
                <w:highlight w:val="none"/>
                <w14:textFill>
                  <w14:solidFill>
                    <w14:schemeClr w14:val="tx1"/>
                  </w14:solidFill>
                </w14:textFill>
              </w:rPr>
              <w:instrText xml:space="preserve">,</w:instrText>
            </w:r>
            <w:r>
              <w:rPr>
                <w:rFonts w:hint="default" w:ascii="Times New Roman" w:hAnsi="Times New Roman" w:eastAsia="宋体" w:cs="Times New Roman"/>
                <w:bCs/>
                <w:color w:val="000000" w:themeColor="text1"/>
                <w:kern w:val="2"/>
                <w:position w:val="3"/>
                <w:sz w:val="16"/>
                <w:szCs w:val="21"/>
                <w:highlight w:val="none"/>
                <w:lang w:val="en-US" w:eastAsia="zh-CN" w:bidi="ar-SA"/>
                <w14:textFill>
                  <w14:solidFill>
                    <w14:schemeClr w14:val="tx1"/>
                  </w14:solidFill>
                </w14:textFill>
              </w:rPr>
              <w:instrText xml:space="preserve">1</w:instrText>
            </w:r>
            <w:r>
              <w:rPr>
                <w:rFonts w:hint="default" w:ascii="Times New Roman" w:hAnsi="Times New Roman" w:cs="Times New Roman"/>
                <w:color w:val="000000" w:themeColor="text1"/>
                <w:highlight w:val="none"/>
                <w14:textFill>
                  <w14:solidFill>
                    <w14:schemeClr w14:val="tx1"/>
                  </w14:solidFill>
                </w14:textFill>
              </w:rPr>
              <w:instrText xml:space="preserve">)</w:instrText>
            </w:r>
            <w:r>
              <w:rPr>
                <w:rFonts w:hint="default" w:ascii="Times New Roman" w:hAnsi="Times New Roman" w:cs="Times New Roman"/>
                <w:color w:val="000000" w:themeColor="text1"/>
                <w:highlight w:val="none"/>
                <w14:textFill>
                  <w14:solidFill>
                    <w14:schemeClr w14:val="tx1"/>
                  </w14:solidFill>
                </w14:textFill>
              </w:rPr>
              <w:fldChar w:fldCharType="end"/>
            </w:r>
            <w:r>
              <w:rPr>
                <w:rFonts w:hint="default" w:ascii="Times New Roman" w:hAnsi="Times New Roman" w:cs="Times New Roman"/>
                <w:color w:val="000000" w:themeColor="text1"/>
                <w:highlight w:val="none"/>
                <w14:textFill>
                  <w14:solidFill>
                    <w14:schemeClr w14:val="tx1"/>
                  </w14:solidFill>
                </w14:textFill>
              </w:rPr>
              <w:t xml:space="preserve">收集、运输、贮存危险废物的容器应根据其特性而设计，不易破损、变形，其所用材料能有效地防止渗漏、扩散，并耐酸腐蚀。装有危险废物的容器必须粘贴符合GB18597 中附录A所要求的危险废物标签。 </w:t>
            </w:r>
          </w:p>
          <w:p w14:paraId="02EB3514">
            <w:pPr>
              <w:pStyle w:val="68"/>
              <w:ind w:firstLine="48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fldChar w:fldCharType="begin"/>
            </w:r>
            <w:r>
              <w:rPr>
                <w:rFonts w:hint="default" w:ascii="Times New Roman" w:hAnsi="Times New Roman" w:cs="Times New Roman"/>
                <w:color w:val="000000" w:themeColor="text1"/>
                <w:highlight w:val="none"/>
                <w14:textFill>
                  <w14:solidFill>
                    <w14:schemeClr w14:val="tx1"/>
                  </w14:solidFill>
                </w14:textFill>
              </w:rPr>
              <w:instrText xml:space="preserve"> EQ \o\ac(</w:instrText>
            </w:r>
            <w:r>
              <w:rPr>
                <w:rFonts w:hint="eastAsia" w:ascii="Times New Roman" w:hAnsi="Times New Roman" w:eastAsia="宋体" w:cs="Times New Roman"/>
                <w:bCs/>
                <w:color w:val="000000" w:themeColor="text1"/>
                <w:kern w:val="2"/>
                <w:sz w:val="24"/>
                <w:szCs w:val="21"/>
                <w:highlight w:val="none"/>
                <w:lang w:val="en-US" w:eastAsia="zh-CN" w:bidi="ar-SA"/>
                <w14:textFill>
                  <w14:solidFill>
                    <w14:schemeClr w14:val="tx1"/>
                  </w14:solidFill>
                </w14:textFill>
              </w:rPr>
              <w:instrText xml:space="preserve">○</w:instrText>
            </w:r>
            <w:r>
              <w:rPr>
                <w:rFonts w:hint="default" w:ascii="Times New Roman" w:hAnsi="Times New Roman" w:cs="Times New Roman"/>
                <w:color w:val="000000" w:themeColor="text1"/>
                <w:highlight w:val="none"/>
                <w14:textFill>
                  <w14:solidFill>
                    <w14:schemeClr w14:val="tx1"/>
                  </w14:solidFill>
                </w14:textFill>
              </w:rPr>
              <w:instrText xml:space="preserve">,</w:instrText>
            </w:r>
            <w:r>
              <w:rPr>
                <w:rFonts w:hint="default" w:ascii="Times New Roman" w:hAnsi="Times New Roman" w:eastAsia="宋体" w:cs="Times New Roman"/>
                <w:bCs/>
                <w:color w:val="000000" w:themeColor="text1"/>
                <w:kern w:val="2"/>
                <w:position w:val="3"/>
                <w:sz w:val="16"/>
                <w:szCs w:val="21"/>
                <w:highlight w:val="none"/>
                <w:lang w:val="en-US" w:eastAsia="zh-CN" w:bidi="ar-SA"/>
                <w14:textFill>
                  <w14:solidFill>
                    <w14:schemeClr w14:val="tx1"/>
                  </w14:solidFill>
                </w14:textFill>
              </w:rPr>
              <w:instrText xml:space="preserve">2</w:instrText>
            </w:r>
            <w:r>
              <w:rPr>
                <w:rFonts w:hint="default" w:ascii="Times New Roman" w:hAnsi="Times New Roman" w:cs="Times New Roman"/>
                <w:color w:val="000000" w:themeColor="text1"/>
                <w:highlight w:val="none"/>
                <w14:textFill>
                  <w14:solidFill>
                    <w14:schemeClr w14:val="tx1"/>
                  </w14:solidFill>
                </w14:textFill>
              </w:rPr>
              <w:instrText xml:space="preserve">)</w:instrText>
            </w:r>
            <w:r>
              <w:rPr>
                <w:rFonts w:hint="default" w:ascii="Times New Roman" w:hAnsi="Times New Roman" w:cs="Times New Roman"/>
                <w:color w:val="000000" w:themeColor="text1"/>
                <w:highlight w:val="none"/>
                <w14:textFill>
                  <w14:solidFill>
                    <w14:schemeClr w14:val="tx1"/>
                  </w14:solidFill>
                </w14:textFill>
              </w:rPr>
              <w:fldChar w:fldCharType="end"/>
            </w:r>
            <w:r>
              <w:rPr>
                <w:rFonts w:hint="default" w:ascii="Times New Roman" w:hAnsi="Times New Roman" w:cs="Times New Roman"/>
                <w:color w:val="000000" w:themeColor="text1"/>
                <w:highlight w:val="none"/>
                <w14:textFill>
                  <w14:solidFill>
                    <w14:schemeClr w14:val="tx1"/>
                  </w14:solidFill>
                </w14:textFill>
              </w:rPr>
              <w:t>危险废物转移应执行《危险废物转移联单管理办法》有关规定。</w:t>
            </w:r>
          </w:p>
          <w:p w14:paraId="39FE516B">
            <w:pPr>
              <w:pStyle w:val="68"/>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fldChar w:fldCharType="begin"/>
            </w:r>
            <w:r>
              <w:rPr>
                <w:rFonts w:hint="default" w:ascii="Times New Roman" w:hAnsi="Times New Roman" w:cs="Times New Roman"/>
                <w:color w:val="000000" w:themeColor="text1"/>
                <w:highlight w:val="none"/>
                <w14:textFill>
                  <w14:solidFill>
                    <w14:schemeClr w14:val="tx1"/>
                  </w14:solidFill>
                </w14:textFill>
              </w:rPr>
              <w:instrText xml:space="preserve"> EQ \o\ac(</w:instrText>
            </w:r>
            <w:r>
              <w:rPr>
                <w:rFonts w:hint="eastAsia" w:ascii="Times New Roman" w:hAnsi="Times New Roman" w:eastAsia="宋体" w:cs="Times New Roman"/>
                <w:bCs/>
                <w:color w:val="000000" w:themeColor="text1"/>
                <w:kern w:val="2"/>
                <w:sz w:val="24"/>
                <w:szCs w:val="21"/>
                <w:highlight w:val="none"/>
                <w:lang w:val="en-US" w:eastAsia="zh-CN" w:bidi="ar-SA"/>
                <w14:textFill>
                  <w14:solidFill>
                    <w14:schemeClr w14:val="tx1"/>
                  </w14:solidFill>
                </w14:textFill>
              </w:rPr>
              <w:instrText xml:space="preserve">○</w:instrText>
            </w:r>
            <w:r>
              <w:rPr>
                <w:rFonts w:hint="default" w:ascii="Times New Roman" w:hAnsi="Times New Roman" w:cs="Times New Roman"/>
                <w:color w:val="000000" w:themeColor="text1"/>
                <w:highlight w:val="none"/>
                <w14:textFill>
                  <w14:solidFill>
                    <w14:schemeClr w14:val="tx1"/>
                  </w14:solidFill>
                </w14:textFill>
              </w:rPr>
              <w:instrText xml:space="preserve">,</w:instrText>
            </w:r>
            <w:r>
              <w:rPr>
                <w:rFonts w:hint="default" w:ascii="Times New Roman" w:hAnsi="Times New Roman" w:eastAsia="宋体" w:cs="Times New Roman"/>
                <w:bCs/>
                <w:color w:val="000000" w:themeColor="text1"/>
                <w:kern w:val="2"/>
                <w:position w:val="3"/>
                <w:sz w:val="16"/>
                <w:szCs w:val="21"/>
                <w:highlight w:val="none"/>
                <w:lang w:val="en-US" w:eastAsia="zh-CN" w:bidi="ar-SA"/>
                <w14:textFill>
                  <w14:solidFill>
                    <w14:schemeClr w14:val="tx1"/>
                  </w14:solidFill>
                </w14:textFill>
              </w:rPr>
              <w:instrText xml:space="preserve">3</w:instrText>
            </w:r>
            <w:r>
              <w:rPr>
                <w:rFonts w:hint="default" w:ascii="Times New Roman" w:hAnsi="Times New Roman" w:cs="Times New Roman"/>
                <w:color w:val="000000" w:themeColor="text1"/>
                <w:highlight w:val="none"/>
                <w14:textFill>
                  <w14:solidFill>
                    <w14:schemeClr w14:val="tx1"/>
                  </w14:solidFill>
                </w14:textFill>
              </w:rPr>
              <w:instrText xml:space="preserve">)</w:instrText>
            </w:r>
            <w:r>
              <w:rPr>
                <w:rFonts w:hint="default" w:ascii="Times New Roman" w:hAnsi="Times New Roman" w:cs="Times New Roman"/>
                <w:color w:val="000000" w:themeColor="text1"/>
                <w:highlight w:val="none"/>
                <w14:textFill>
                  <w14:solidFill>
                    <w14:schemeClr w14:val="tx1"/>
                  </w14:solidFill>
                </w14:textFill>
              </w:rPr>
              <w:fldChar w:fldCharType="end"/>
            </w:r>
            <w:r>
              <w:rPr>
                <w:rFonts w:hint="default" w:ascii="Times New Roman" w:hAnsi="Times New Roman" w:cs="Times New Roman"/>
                <w:color w:val="000000" w:themeColor="text1"/>
                <w:highlight w:val="none"/>
                <w14:textFill>
                  <w14:solidFill>
                    <w14:schemeClr w14:val="tx1"/>
                  </w14:solidFill>
                </w14:textFill>
              </w:rPr>
              <w:t>本项目收集贮存</w:t>
            </w:r>
            <w:r>
              <w:rPr>
                <w:rFonts w:hint="eastAsia" w:cs="Times New Roman"/>
                <w:color w:val="000000" w:themeColor="text1"/>
                <w:highlight w:val="none"/>
                <w:lang w:val="en-US" w:eastAsia="zh-CN"/>
                <w14:textFill>
                  <w14:solidFill>
                    <w14:schemeClr w14:val="tx1"/>
                  </w14:solidFill>
                </w14:textFill>
              </w:rPr>
              <w:t>的危险废物主要为本溪市内各区县机修厂</w:t>
            </w:r>
            <w:r>
              <w:rPr>
                <w:rFonts w:hint="default"/>
                <w:sz w:val="24"/>
                <w:szCs w:val="32"/>
                <w:lang w:val="en-US" w:eastAsia="zh-CN"/>
              </w:rPr>
              <w:t>、汽车维修拆解厂、4S店及当地工业企业</w:t>
            </w:r>
            <w:r>
              <w:rPr>
                <w:rFonts w:hint="eastAsia"/>
                <w:sz w:val="24"/>
                <w:szCs w:val="32"/>
                <w:lang w:val="en-US" w:eastAsia="zh-CN"/>
              </w:rPr>
              <w:t>产生的废矿物油。</w:t>
            </w:r>
            <w:r>
              <w:rPr>
                <w:rFonts w:hint="default" w:ascii="Times New Roman" w:hAnsi="Times New Roman" w:cs="Times New Roman"/>
                <w:color w:val="000000" w:themeColor="text1"/>
                <w:highlight w:val="none"/>
                <w14:textFill>
                  <w14:solidFill>
                    <w14:schemeClr w14:val="tx1"/>
                  </w14:solidFill>
                </w14:textFill>
              </w:rPr>
              <w:t xml:space="preserve">收集贮存的危险废物由有资质的单位运输处置。本项目应严格按照《危险废物贮存污染控制标准》（GB18597-2001）及2013年修改单、《危险废物收集贮存运输技术规》（HJ2025-2012）等要求收集贮存危险废物。 </w:t>
            </w:r>
          </w:p>
          <w:p w14:paraId="388E93BC">
            <w:pPr>
              <w:pStyle w:val="68"/>
              <w:ind w:firstLine="48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（2）危险废物收集要求</w:t>
            </w:r>
          </w:p>
          <w:p w14:paraId="535BDA15">
            <w:pPr>
              <w:pStyle w:val="68"/>
              <w:ind w:firstLine="48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根据《危险废物收集贮存运输技术规范》（HJ2025-2012），危险废物产生单位进行的危险废物收集包括在危险废物产生节点将危险废物集中到适当的包装容器中或运输车辆上的活动以及将已包装或装到运输车辆上的危险废物集中到危险废物产生单位内部临时贮存设施的内部转运。</w:t>
            </w:r>
          </w:p>
          <w:p w14:paraId="13EA096F">
            <w:pPr>
              <w:pStyle w:val="68"/>
              <w:ind w:firstLine="48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w:t>
            </w:r>
            <w:r>
              <w:rPr>
                <w:rFonts w:hint="eastAsia" w:cs="Times New Roman"/>
                <w:color w:val="000000" w:themeColor="text1"/>
                <w:highlight w:val="none"/>
                <w:lang w:val="en-US" w:eastAsia="zh-CN"/>
                <w14:textFill>
                  <w14:solidFill>
                    <w14:schemeClr w14:val="tx1"/>
                  </w14:solidFill>
                </w14:textFill>
              </w:rPr>
              <w:t>3</w:t>
            </w:r>
            <w:r>
              <w:rPr>
                <w:rFonts w:hint="default" w:ascii="Times New Roman" w:hAnsi="Times New Roman" w:cs="Times New Roman"/>
                <w:color w:val="000000" w:themeColor="text1"/>
                <w:highlight w:val="none"/>
                <w14:textFill>
                  <w14:solidFill>
                    <w14:schemeClr w14:val="tx1"/>
                  </w14:solidFill>
                </w14:textFill>
              </w:rPr>
              <w:t>）危险废物贮存要求</w:t>
            </w:r>
          </w:p>
          <w:p w14:paraId="5B6443AD">
            <w:pPr>
              <w:widowControl/>
              <w:spacing w:line="360" w:lineRule="auto"/>
              <w:ind w:firstLine="480" w:firstLineChars="200"/>
              <w:jc w:val="left"/>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kern w:val="0"/>
                <w:sz w:val="24"/>
                <w:highlight w:val="none"/>
                <w14:textFill>
                  <w14:solidFill>
                    <w14:schemeClr w14:val="tx1"/>
                  </w14:solidFill>
                </w14:textFill>
              </w:rPr>
              <w:t xml:space="preserve">本项目危废暂存场应按《危险废物贮存污染控制标准》（GB18597-2001） </w:t>
            </w:r>
          </w:p>
          <w:p w14:paraId="7251E49A">
            <w:pPr>
              <w:widowControl/>
              <w:spacing w:line="360" w:lineRule="auto"/>
              <w:jc w:val="left"/>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kern w:val="0"/>
                <w:sz w:val="24"/>
                <w:highlight w:val="none"/>
                <w14:textFill>
                  <w14:solidFill>
                    <w14:schemeClr w14:val="tx1"/>
                  </w14:solidFill>
                </w14:textFill>
              </w:rPr>
              <w:t>及危险废物的其他相关规定等标准进行建设，对地面及裙角进行防腐防渗，并设有泄漏液体收集系统、废气收集和净化装置。结合分析</w:t>
            </w:r>
            <w:r>
              <w:rPr>
                <w:rFonts w:hint="eastAsia" w:cs="Times New Roman"/>
                <w:color w:val="000000" w:themeColor="text1"/>
                <w:kern w:val="0"/>
                <w:sz w:val="24"/>
                <w:highlight w:val="none"/>
                <w:lang w:val="en-US" w:eastAsia="zh-CN"/>
                <w14:textFill>
                  <w14:solidFill>
                    <w14:schemeClr w14:val="tx1"/>
                  </w14:solidFill>
                </w14:textFill>
              </w:rPr>
              <w:t>本溪申源生态环保工程有限公司</w:t>
            </w:r>
            <w:r>
              <w:rPr>
                <w:rFonts w:hint="default" w:ascii="Times New Roman" w:hAnsi="Times New Roman" w:cs="Times New Roman"/>
                <w:color w:val="000000" w:themeColor="text1"/>
                <w:kern w:val="0"/>
                <w:sz w:val="24"/>
                <w:highlight w:val="none"/>
                <w14:textFill>
                  <w14:solidFill>
                    <w14:schemeClr w14:val="tx1"/>
                  </w14:solidFill>
                </w14:textFill>
              </w:rPr>
              <w:t>需要进行暂存的危废的量、贮存周期和最大暂存量，危险废物暂存间的贮存能力能够满足</w:t>
            </w:r>
            <w:r>
              <w:rPr>
                <w:rFonts w:hint="eastAsia" w:cs="Times New Roman"/>
                <w:color w:val="000000" w:themeColor="text1"/>
                <w:kern w:val="0"/>
                <w:sz w:val="24"/>
                <w:highlight w:val="none"/>
                <w:lang w:val="en-US" w:eastAsia="zh-CN"/>
                <w14:textFill>
                  <w14:solidFill>
                    <w14:schemeClr w14:val="tx1"/>
                  </w14:solidFill>
                </w14:textFill>
              </w:rPr>
              <w:t>其</w:t>
            </w:r>
            <w:r>
              <w:rPr>
                <w:rFonts w:hint="default" w:ascii="Times New Roman" w:hAnsi="Times New Roman" w:cs="Times New Roman"/>
                <w:color w:val="000000" w:themeColor="text1"/>
                <w:kern w:val="0"/>
                <w:sz w:val="24"/>
                <w:highlight w:val="none"/>
                <w14:textFill>
                  <w14:solidFill>
                    <w14:schemeClr w14:val="tx1"/>
                  </w14:solidFill>
                </w14:textFill>
              </w:rPr>
              <w:t xml:space="preserve">需求。危废库门口张贴标准规范的危险废物标识和危废信息板，屋内张贴企业《危险废物管理制度》。 </w:t>
            </w:r>
          </w:p>
          <w:p w14:paraId="21C9F383">
            <w:pPr>
              <w:pStyle w:val="68"/>
              <w:ind w:firstLine="48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此外，本项目危险废物暂存间还应满足《排污许可申请与核发技术规范 工业固体废物（试行）》（HJ1200-2021）5.2.2中自行贮存设施污染防控技术要求：</w:t>
            </w:r>
          </w:p>
          <w:p w14:paraId="36EFDC92">
            <w:pPr>
              <w:pStyle w:val="68"/>
              <w:ind w:firstLine="480"/>
              <w:rPr>
                <w:rFonts w:hint="default" w:ascii="Times New Roman" w:hAnsi="Times New Roman" w:cs="Times New Roman"/>
                <w:color w:val="000000" w:themeColor="text1"/>
                <w:szCs w:val="24"/>
                <w:highlight w:val="none"/>
                <w14:textFill>
                  <w14:solidFill>
                    <w14:schemeClr w14:val="tx1"/>
                  </w14:solidFill>
                </w14:textFill>
              </w:rPr>
            </w:pPr>
            <w:r>
              <w:rPr>
                <w:rFonts w:hint="default" w:ascii="Times New Roman" w:hAnsi="Times New Roman" w:cs="Times New Roman"/>
                <w:color w:val="000000" w:themeColor="text1"/>
                <w:szCs w:val="24"/>
                <w:highlight w:val="none"/>
                <w14:textFill>
                  <w14:solidFill>
                    <w14:schemeClr w14:val="tx1"/>
                  </w14:solidFill>
                </w14:textFill>
              </w:rPr>
              <w:fldChar w:fldCharType="begin"/>
            </w:r>
            <w:r>
              <w:rPr>
                <w:rFonts w:hint="default" w:ascii="Times New Roman" w:hAnsi="Times New Roman" w:cs="Times New Roman"/>
                <w:color w:val="000000" w:themeColor="text1"/>
                <w:szCs w:val="24"/>
                <w:highlight w:val="none"/>
                <w14:textFill>
                  <w14:solidFill>
                    <w14:schemeClr w14:val="tx1"/>
                  </w14:solidFill>
                </w14:textFill>
              </w:rPr>
              <w:instrText xml:space="preserve"> EQ \o\ac(○,</w:instrText>
            </w:r>
            <w:r>
              <w:rPr>
                <w:rFonts w:hint="default" w:ascii="Times New Roman" w:hAnsi="Times New Roman" w:cs="Times New Roman"/>
                <w:color w:val="000000" w:themeColor="text1"/>
                <w:position w:val="3"/>
                <w:sz w:val="16"/>
                <w:szCs w:val="24"/>
                <w:highlight w:val="none"/>
                <w14:textFill>
                  <w14:solidFill>
                    <w14:schemeClr w14:val="tx1"/>
                  </w14:solidFill>
                </w14:textFill>
              </w:rPr>
              <w:instrText xml:space="preserve">1</w:instrText>
            </w:r>
            <w:r>
              <w:rPr>
                <w:rFonts w:hint="default" w:ascii="Times New Roman" w:hAnsi="Times New Roman" w:cs="Times New Roman"/>
                <w:color w:val="000000" w:themeColor="text1"/>
                <w:szCs w:val="24"/>
                <w:highlight w:val="none"/>
                <w14:textFill>
                  <w14:solidFill>
                    <w14:schemeClr w14:val="tx1"/>
                  </w14:solidFill>
                </w14:textFill>
              </w:rPr>
              <w:instrText xml:space="preserve">)</w:instrText>
            </w:r>
            <w:r>
              <w:rPr>
                <w:rFonts w:hint="default" w:ascii="Times New Roman" w:hAnsi="Times New Roman" w:cs="Times New Roman"/>
                <w:color w:val="000000" w:themeColor="text1"/>
                <w:szCs w:val="24"/>
                <w:highlight w:val="none"/>
                <w14:textFill>
                  <w14:solidFill>
                    <w14:schemeClr w14:val="tx1"/>
                  </w14:solidFill>
                </w14:textFill>
              </w:rPr>
              <w:fldChar w:fldCharType="end"/>
            </w:r>
            <w:r>
              <w:rPr>
                <w:rFonts w:hint="default" w:ascii="Times New Roman" w:hAnsi="Times New Roman" w:cs="Times New Roman"/>
                <w:color w:val="000000" w:themeColor="text1"/>
                <w:szCs w:val="24"/>
                <w:highlight w:val="none"/>
                <w14:textFill>
                  <w14:solidFill>
                    <w14:schemeClr w14:val="tx1"/>
                  </w14:solidFill>
                </w14:textFill>
              </w:rPr>
              <w:t>包装容器应达到相应的强度要求并完好无损，禁止混合贮存性质不相容而未经安全性处置的危险废物；</w:t>
            </w:r>
          </w:p>
          <w:p w14:paraId="777C17B0">
            <w:pPr>
              <w:pStyle w:val="68"/>
              <w:ind w:firstLine="48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szCs w:val="24"/>
                <w:highlight w:val="none"/>
                <w14:textFill>
                  <w14:solidFill>
                    <w14:schemeClr w14:val="tx1"/>
                  </w14:solidFill>
                </w14:textFill>
              </w:rPr>
              <w:fldChar w:fldCharType="begin"/>
            </w:r>
            <w:r>
              <w:rPr>
                <w:rFonts w:hint="default" w:ascii="Times New Roman" w:hAnsi="Times New Roman" w:cs="Times New Roman"/>
                <w:color w:val="000000" w:themeColor="text1"/>
                <w:szCs w:val="24"/>
                <w:highlight w:val="none"/>
                <w14:textFill>
                  <w14:solidFill>
                    <w14:schemeClr w14:val="tx1"/>
                  </w14:solidFill>
                </w14:textFill>
              </w:rPr>
              <w:instrText xml:space="preserve"> EQ \o\ac(○,</w:instrText>
            </w:r>
            <w:r>
              <w:rPr>
                <w:rFonts w:hint="default" w:ascii="Times New Roman" w:hAnsi="Times New Roman" w:cs="Times New Roman"/>
                <w:color w:val="000000" w:themeColor="text1"/>
                <w:position w:val="3"/>
                <w:sz w:val="16"/>
                <w:szCs w:val="24"/>
                <w:highlight w:val="none"/>
                <w14:textFill>
                  <w14:solidFill>
                    <w14:schemeClr w14:val="tx1"/>
                  </w14:solidFill>
                </w14:textFill>
              </w:rPr>
              <w:instrText xml:space="preserve">2</w:instrText>
            </w:r>
            <w:r>
              <w:rPr>
                <w:rFonts w:hint="default" w:ascii="Times New Roman" w:hAnsi="Times New Roman" w:cs="Times New Roman"/>
                <w:color w:val="000000" w:themeColor="text1"/>
                <w:szCs w:val="24"/>
                <w:highlight w:val="none"/>
                <w14:textFill>
                  <w14:solidFill>
                    <w14:schemeClr w14:val="tx1"/>
                  </w14:solidFill>
                </w14:textFill>
              </w:rPr>
              <w:instrText xml:space="preserve">)</w:instrText>
            </w:r>
            <w:r>
              <w:rPr>
                <w:rFonts w:hint="default" w:ascii="Times New Roman" w:hAnsi="Times New Roman" w:cs="Times New Roman"/>
                <w:color w:val="000000" w:themeColor="text1"/>
                <w:szCs w:val="24"/>
                <w:highlight w:val="none"/>
                <w14:textFill>
                  <w14:solidFill>
                    <w14:schemeClr w14:val="tx1"/>
                  </w14:solidFill>
                </w14:textFill>
              </w:rPr>
              <w:fldChar w:fldCharType="end"/>
            </w:r>
            <w:r>
              <w:rPr>
                <w:rFonts w:hint="default" w:ascii="Times New Roman" w:hAnsi="Times New Roman" w:cs="Times New Roman"/>
                <w:color w:val="000000" w:themeColor="text1"/>
                <w:szCs w:val="24"/>
                <w:highlight w:val="none"/>
                <w14:textFill>
                  <w14:solidFill>
                    <w14:schemeClr w14:val="tx1"/>
                  </w14:solidFill>
                </w14:textFill>
              </w:rPr>
              <w:t>危险废物容器和包装物以及危险废物贮存设施、场所应按规定设置危险废物识别标志；</w:t>
            </w:r>
          </w:p>
          <w:p w14:paraId="4229DDF1">
            <w:pPr>
              <w:pStyle w:val="68"/>
              <w:ind w:firstLine="48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szCs w:val="24"/>
                <w:highlight w:val="none"/>
                <w14:textFill>
                  <w14:solidFill>
                    <w14:schemeClr w14:val="tx1"/>
                  </w14:solidFill>
                </w14:textFill>
              </w:rPr>
              <w:fldChar w:fldCharType="begin"/>
            </w:r>
            <w:r>
              <w:rPr>
                <w:rFonts w:hint="default" w:ascii="Times New Roman" w:hAnsi="Times New Roman" w:cs="Times New Roman"/>
                <w:color w:val="000000" w:themeColor="text1"/>
                <w:szCs w:val="24"/>
                <w:highlight w:val="none"/>
                <w14:textFill>
                  <w14:solidFill>
                    <w14:schemeClr w14:val="tx1"/>
                  </w14:solidFill>
                </w14:textFill>
              </w:rPr>
              <w:instrText xml:space="preserve"> EQ \o\ac(○,</w:instrText>
            </w:r>
            <w:r>
              <w:rPr>
                <w:rFonts w:hint="default" w:ascii="Times New Roman" w:hAnsi="Times New Roman" w:cs="Times New Roman"/>
                <w:color w:val="000000" w:themeColor="text1"/>
                <w:position w:val="3"/>
                <w:sz w:val="16"/>
                <w:szCs w:val="24"/>
                <w:highlight w:val="none"/>
                <w14:textFill>
                  <w14:solidFill>
                    <w14:schemeClr w14:val="tx1"/>
                  </w14:solidFill>
                </w14:textFill>
              </w:rPr>
              <w:instrText xml:space="preserve">3</w:instrText>
            </w:r>
            <w:r>
              <w:rPr>
                <w:rFonts w:hint="default" w:ascii="Times New Roman" w:hAnsi="Times New Roman" w:cs="Times New Roman"/>
                <w:color w:val="000000" w:themeColor="text1"/>
                <w:szCs w:val="24"/>
                <w:highlight w:val="none"/>
                <w14:textFill>
                  <w14:solidFill>
                    <w14:schemeClr w14:val="tx1"/>
                  </w14:solidFill>
                </w14:textFill>
              </w:rPr>
              <w:instrText xml:space="preserve">)</w:instrText>
            </w:r>
            <w:r>
              <w:rPr>
                <w:rFonts w:hint="default" w:ascii="Times New Roman" w:hAnsi="Times New Roman" w:cs="Times New Roman"/>
                <w:color w:val="000000" w:themeColor="text1"/>
                <w:szCs w:val="24"/>
                <w:highlight w:val="none"/>
                <w14:textFill>
                  <w14:solidFill>
                    <w14:schemeClr w14:val="tx1"/>
                  </w14:solidFill>
                </w14:textFill>
              </w:rPr>
              <w:fldChar w:fldCharType="end"/>
            </w:r>
            <w:r>
              <w:rPr>
                <w:rFonts w:hint="default" w:ascii="Times New Roman" w:hAnsi="Times New Roman" w:cs="Times New Roman"/>
                <w:color w:val="000000" w:themeColor="text1"/>
                <w:szCs w:val="24"/>
                <w:highlight w:val="none"/>
                <w14:textFill>
                  <w14:solidFill>
                    <w14:schemeClr w14:val="tx1"/>
                  </w14:solidFill>
                </w14:textFill>
              </w:rPr>
              <w:t>仓库式贮存设施应分开存放不相容危险废物，按危险废物的种类和特性进行分区贮存，采用防腐、防渗地面和裙脚，设置防止泄漏物质扩散至外环境的拦截、导流、收集设施；</w:t>
            </w:r>
          </w:p>
          <w:p w14:paraId="035D8A5F">
            <w:pPr>
              <w:pStyle w:val="68"/>
              <w:ind w:firstLine="48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szCs w:val="24"/>
                <w:highlight w:val="none"/>
                <w14:textFill>
                  <w14:solidFill>
                    <w14:schemeClr w14:val="tx1"/>
                  </w14:solidFill>
                </w14:textFill>
              </w:rPr>
              <w:fldChar w:fldCharType="begin"/>
            </w:r>
            <w:r>
              <w:rPr>
                <w:rFonts w:hint="default" w:ascii="Times New Roman" w:hAnsi="Times New Roman" w:cs="Times New Roman"/>
                <w:color w:val="000000" w:themeColor="text1"/>
                <w:szCs w:val="24"/>
                <w:highlight w:val="none"/>
                <w14:textFill>
                  <w14:solidFill>
                    <w14:schemeClr w14:val="tx1"/>
                  </w14:solidFill>
                </w14:textFill>
              </w:rPr>
              <w:instrText xml:space="preserve"> EQ \o\ac(○,</w:instrText>
            </w:r>
            <w:r>
              <w:rPr>
                <w:rFonts w:hint="default" w:ascii="Times New Roman" w:hAnsi="Times New Roman" w:cs="Times New Roman"/>
                <w:color w:val="000000" w:themeColor="text1"/>
                <w:position w:val="3"/>
                <w:sz w:val="16"/>
                <w:szCs w:val="24"/>
                <w:highlight w:val="none"/>
                <w14:textFill>
                  <w14:solidFill>
                    <w14:schemeClr w14:val="tx1"/>
                  </w14:solidFill>
                </w14:textFill>
              </w:rPr>
              <w:instrText xml:space="preserve">4</w:instrText>
            </w:r>
            <w:r>
              <w:rPr>
                <w:rFonts w:hint="default" w:ascii="Times New Roman" w:hAnsi="Times New Roman" w:cs="Times New Roman"/>
                <w:color w:val="000000" w:themeColor="text1"/>
                <w:szCs w:val="24"/>
                <w:highlight w:val="none"/>
                <w14:textFill>
                  <w14:solidFill>
                    <w14:schemeClr w14:val="tx1"/>
                  </w14:solidFill>
                </w14:textFill>
              </w:rPr>
              <w:instrText xml:space="preserve">)</w:instrText>
            </w:r>
            <w:r>
              <w:rPr>
                <w:rFonts w:hint="default" w:ascii="Times New Roman" w:hAnsi="Times New Roman" w:cs="Times New Roman"/>
                <w:color w:val="000000" w:themeColor="text1"/>
                <w:szCs w:val="24"/>
                <w:highlight w:val="none"/>
                <w14:textFill>
                  <w14:solidFill>
                    <w14:schemeClr w14:val="tx1"/>
                  </w14:solidFill>
                </w14:textFill>
              </w:rPr>
              <w:fldChar w:fldCharType="end"/>
            </w:r>
            <w:r>
              <w:rPr>
                <w:rFonts w:hint="default" w:ascii="Times New Roman" w:hAnsi="Times New Roman" w:cs="Times New Roman"/>
                <w:color w:val="000000" w:themeColor="text1"/>
                <w:szCs w:val="24"/>
                <w:highlight w:val="none"/>
                <w14:textFill>
                  <w14:solidFill>
                    <w14:schemeClr w14:val="tx1"/>
                  </w14:solidFill>
                </w14:textFill>
              </w:rPr>
              <w:t>贮存堆场要防风、防雨、防晒；</w:t>
            </w:r>
          </w:p>
          <w:p w14:paraId="78583A4C">
            <w:pPr>
              <w:pStyle w:val="68"/>
              <w:ind w:firstLine="48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szCs w:val="24"/>
                <w:highlight w:val="none"/>
                <w14:textFill>
                  <w14:solidFill>
                    <w14:schemeClr w14:val="tx1"/>
                  </w14:solidFill>
                </w14:textFill>
              </w:rPr>
              <w:fldChar w:fldCharType="begin"/>
            </w:r>
            <w:r>
              <w:rPr>
                <w:rFonts w:hint="default" w:ascii="Times New Roman" w:hAnsi="Times New Roman" w:cs="Times New Roman"/>
                <w:color w:val="000000" w:themeColor="text1"/>
                <w:szCs w:val="24"/>
                <w:highlight w:val="none"/>
                <w14:textFill>
                  <w14:solidFill>
                    <w14:schemeClr w14:val="tx1"/>
                  </w14:solidFill>
                </w14:textFill>
              </w:rPr>
              <w:instrText xml:space="preserve"> EQ \o\ac(○,</w:instrText>
            </w:r>
            <w:r>
              <w:rPr>
                <w:rFonts w:hint="default" w:ascii="Times New Roman" w:hAnsi="Times New Roman" w:cs="Times New Roman"/>
                <w:color w:val="000000" w:themeColor="text1"/>
                <w:position w:val="3"/>
                <w:sz w:val="16"/>
                <w:szCs w:val="24"/>
                <w:highlight w:val="none"/>
                <w14:textFill>
                  <w14:solidFill>
                    <w14:schemeClr w14:val="tx1"/>
                  </w14:solidFill>
                </w14:textFill>
              </w:rPr>
              <w:instrText xml:space="preserve">5</w:instrText>
            </w:r>
            <w:r>
              <w:rPr>
                <w:rFonts w:hint="default" w:ascii="Times New Roman" w:hAnsi="Times New Roman" w:cs="Times New Roman"/>
                <w:color w:val="000000" w:themeColor="text1"/>
                <w:szCs w:val="24"/>
                <w:highlight w:val="none"/>
                <w14:textFill>
                  <w14:solidFill>
                    <w14:schemeClr w14:val="tx1"/>
                  </w14:solidFill>
                </w14:textFill>
              </w:rPr>
              <w:instrText xml:space="preserve">)</w:instrText>
            </w:r>
            <w:r>
              <w:rPr>
                <w:rFonts w:hint="default" w:ascii="Times New Roman" w:hAnsi="Times New Roman" w:cs="Times New Roman"/>
                <w:color w:val="000000" w:themeColor="text1"/>
                <w:szCs w:val="24"/>
                <w:highlight w:val="none"/>
                <w14:textFill>
                  <w14:solidFill>
                    <w14:schemeClr w14:val="tx1"/>
                  </w14:solidFill>
                </w14:textFill>
              </w:rPr>
              <w:fldChar w:fldCharType="end"/>
            </w:r>
            <w:r>
              <w:rPr>
                <w:rFonts w:hint="default" w:ascii="Times New Roman" w:hAnsi="Times New Roman" w:cs="Times New Roman"/>
                <w:color w:val="000000" w:themeColor="text1"/>
                <w:szCs w:val="24"/>
                <w:highlight w:val="none"/>
                <w14:textFill>
                  <w14:solidFill>
                    <w14:schemeClr w14:val="tx1"/>
                  </w14:solidFill>
                </w14:textFill>
              </w:rPr>
              <w:t>从事收集、贮存、利用、处置危险废物经营活动的单位，贮存危险废物不得超过一年（报经颁发危险废物经营许可证的生态环境主管部门批准或法律法规另有规定的除外）等。</w:t>
            </w:r>
          </w:p>
          <w:p w14:paraId="1224A6CE">
            <w:pPr>
              <w:pStyle w:val="68"/>
              <w:numPr>
                <w:ilvl w:val="0"/>
                <w:numId w:val="11"/>
              </w:numPr>
              <w:ind w:firstLine="48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危险废物处置要求</w:t>
            </w:r>
          </w:p>
          <w:p w14:paraId="2879885F">
            <w:pPr>
              <w:widowControl/>
              <w:spacing w:line="360" w:lineRule="auto"/>
              <w:ind w:firstLine="480" w:firstLineChars="200"/>
              <w:jc w:val="left"/>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kern w:val="0"/>
                <w:sz w:val="24"/>
                <w:highlight w:val="none"/>
                <w14:textFill>
                  <w14:solidFill>
                    <w14:schemeClr w14:val="tx1"/>
                  </w14:solidFill>
                </w14:textFill>
              </w:rPr>
              <w:t xml:space="preserve">本项目贮存的危险废物由有资质危废处置单位进行处置，向外转移的危险废物严格按照《危险废物转移联单管理办法》（国家环境保护局令第5号）执行，建立危险废物转移联单制度。建设单位应保留危险废物转移联单5年，以备环保部门检查。 </w:t>
            </w:r>
          </w:p>
          <w:p w14:paraId="0DC02BF9">
            <w:pPr>
              <w:pStyle w:val="68"/>
              <w:numPr>
                <w:ilvl w:val="0"/>
                <w:numId w:val="11"/>
              </w:numPr>
              <w:ind w:firstLine="48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管理措施</w:t>
            </w:r>
          </w:p>
          <w:p w14:paraId="533BE333">
            <w:pPr>
              <w:widowControl/>
              <w:spacing w:line="360" w:lineRule="auto"/>
              <w:ind w:firstLine="480" w:firstLineChars="200"/>
              <w:jc w:val="left"/>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kern w:val="0"/>
                <w:sz w:val="24"/>
                <w:highlight w:val="none"/>
                <w14:textFill>
                  <w14:solidFill>
                    <w14:schemeClr w14:val="tx1"/>
                  </w14:solidFill>
                </w14:textFill>
              </w:rPr>
              <w:t>设立企业固废管理台账，规范危险废物情况的记录，记录上须注明危险废物的名称、来源、数量、特性和包装容器的类别、入库日期、存放库位、废物出库日期及接收单位名称等，确保厂内所有危险废物流向清楚规范。制度和落实危险废物管理计划，执行危险废物申报登记制度，及时向当地环保部门申报危险废物种类、产生量、流向、处置等资料，办理临时申报登记手续。定期对所暂存的危险废物包装容器及暂存设施进行检查，发现破损，应及时采取措施清理更换。危险废物贮存设施必须按照相关规定设置警示标志，盛装危险废物的容器上必须粘贴符合标准的标签。建立健全危险废物污染环境防治责任制度、危险废物岗位人员责任制度和危险废物管理制度等，并将制度张贴在危险废物暂存场。</w:t>
            </w:r>
          </w:p>
          <w:p w14:paraId="428A9C02">
            <w:pPr>
              <w:pStyle w:val="68"/>
              <w:ind w:firstLine="48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综上，本项目危险废物在收集、转运、贮存、处置过程符合相关标准及规范要求，不会对周边环境产生影响。</w:t>
            </w:r>
          </w:p>
          <w:p w14:paraId="0D6E94B3">
            <w:pPr>
              <w:pStyle w:val="68"/>
              <w:numPr>
                <w:ilvl w:val="0"/>
                <w:numId w:val="10"/>
              </w:numPr>
              <w:ind w:firstLineChars="0"/>
              <w:rPr>
                <w:rFonts w:hint="default" w:ascii="Times New Roman" w:hAnsi="Times New Roman" w:cs="Times New Roman"/>
                <w:b/>
                <w:color w:val="000000" w:themeColor="text1"/>
                <w:highlight w:val="none"/>
                <w14:textFill>
                  <w14:solidFill>
                    <w14:schemeClr w14:val="tx1"/>
                  </w14:solidFill>
                </w14:textFill>
              </w:rPr>
            </w:pPr>
            <w:r>
              <w:rPr>
                <w:rFonts w:hint="default" w:ascii="Times New Roman" w:hAnsi="Times New Roman" w:cs="Times New Roman"/>
                <w:b/>
                <w:color w:val="000000" w:themeColor="text1"/>
                <w:highlight w:val="none"/>
                <w14:textFill>
                  <w14:solidFill>
                    <w14:schemeClr w14:val="tx1"/>
                  </w14:solidFill>
                </w14:textFill>
              </w:rPr>
              <w:t>地下水、土壤</w:t>
            </w:r>
          </w:p>
          <w:p w14:paraId="22BC8CCF">
            <w:pPr>
              <w:pStyle w:val="68"/>
              <w:ind w:firstLine="0" w:firstLineChars="0"/>
              <w:rPr>
                <w:rFonts w:hint="default" w:ascii="Times New Roman" w:hAnsi="Times New Roman" w:cs="Times New Roman"/>
                <w:b/>
                <w:color w:val="000000" w:themeColor="text1"/>
                <w:highlight w:val="none"/>
                <w14:textFill>
                  <w14:solidFill>
                    <w14:schemeClr w14:val="tx1"/>
                  </w14:solidFill>
                </w14:textFill>
              </w:rPr>
            </w:pPr>
            <w:r>
              <w:rPr>
                <w:rFonts w:hint="default" w:ascii="Times New Roman" w:hAnsi="Times New Roman" w:cs="Times New Roman"/>
                <w:b/>
                <w:color w:val="000000" w:themeColor="text1"/>
                <w:highlight w:val="none"/>
                <w14:textFill>
                  <w14:solidFill>
                    <w14:schemeClr w14:val="tx1"/>
                  </w14:solidFill>
                </w14:textFill>
              </w:rPr>
              <w:t>5.1地下水</w:t>
            </w:r>
          </w:p>
          <w:p w14:paraId="18ED0FFB">
            <w:pPr>
              <w:adjustRightInd w:val="0"/>
              <w:snapToGrid w:val="0"/>
              <w:spacing w:line="360" w:lineRule="auto"/>
              <w:ind w:firstLine="480" w:firstLineChars="200"/>
              <w:rPr>
                <w:rFonts w:hint="default" w:ascii="Times New Roman" w:hAnsi="Times New Roman" w:cs="Times New Roman"/>
                <w:color w:val="000000" w:themeColor="text1"/>
                <w:sz w:val="24"/>
                <w:highlight w:val="none"/>
                <w14:textFill>
                  <w14:solidFill>
                    <w14:schemeClr w14:val="tx1"/>
                  </w14:solidFill>
                </w14:textFill>
              </w:rPr>
            </w:pPr>
            <w:r>
              <w:rPr>
                <w:rFonts w:hint="default" w:ascii="Times New Roman" w:hAnsi="Times New Roman" w:cs="Times New Roman"/>
                <w:color w:val="000000" w:themeColor="text1"/>
                <w:sz w:val="24"/>
                <w:highlight w:val="none"/>
                <w14:textFill>
                  <w14:solidFill>
                    <w14:schemeClr w14:val="tx1"/>
                  </w14:solidFill>
                </w14:textFill>
              </w:rPr>
              <w:t>为了避免泄漏事故造成地下水污染，工程设计考虑将在总图布置上严格区分污染防治区和非污染防治区，其中污染防治区分为重点污染防治区、一般污染防治区和简单防渗区。</w:t>
            </w:r>
          </w:p>
          <w:p w14:paraId="1B4EC93F">
            <w:pPr>
              <w:adjustRightInd w:val="0"/>
              <w:snapToGrid w:val="0"/>
              <w:spacing w:line="360" w:lineRule="auto"/>
              <w:ind w:firstLine="480" w:firstLineChars="200"/>
              <w:rPr>
                <w:rFonts w:hint="default" w:ascii="Times New Roman" w:hAnsi="Times New Roman" w:cs="Times New Roman"/>
                <w:color w:val="000000" w:themeColor="text1"/>
                <w:sz w:val="24"/>
                <w:highlight w:val="none"/>
                <w14:textFill>
                  <w14:solidFill>
                    <w14:schemeClr w14:val="tx1"/>
                  </w14:solidFill>
                </w14:textFill>
              </w:rPr>
            </w:pPr>
            <w:r>
              <w:rPr>
                <w:rFonts w:hint="default" w:ascii="Times New Roman" w:hAnsi="Times New Roman" w:cs="Times New Roman"/>
                <w:color w:val="000000" w:themeColor="text1"/>
                <w:sz w:val="24"/>
                <w:highlight w:val="none"/>
                <w14:textFill>
                  <w14:solidFill>
                    <w14:schemeClr w14:val="tx1"/>
                  </w14:solidFill>
                </w14:textFill>
              </w:rPr>
              <w:t>①重点防渗区：是可能会对地下水造成污染，风险程度较高，需要重点防治的区域，</w:t>
            </w:r>
            <w:r>
              <w:rPr>
                <w:rFonts w:hint="default" w:ascii="Times New Roman" w:hAnsi="Times New Roman" w:cs="Times New Roman"/>
                <w:color w:val="000000" w:themeColor="text1"/>
                <w:sz w:val="24"/>
                <w:highlight w:val="none"/>
                <w:lang w:val="en-US" w:eastAsia="zh-CN"/>
                <w14:textFill>
                  <w14:solidFill>
                    <w14:schemeClr w14:val="tx1"/>
                  </w14:solidFill>
                </w14:textFill>
              </w:rPr>
              <w:t>罐区地面、围堰、事故池的池底及池壁以及</w:t>
            </w:r>
            <w:r>
              <w:rPr>
                <w:rFonts w:hint="eastAsia" w:cs="Times New Roman"/>
                <w:color w:val="000000" w:themeColor="text1"/>
                <w:sz w:val="24"/>
                <w:highlight w:val="none"/>
                <w:lang w:val="en-US" w:eastAsia="zh-CN"/>
                <w14:textFill>
                  <w14:solidFill>
                    <w14:schemeClr w14:val="tx1"/>
                  </w14:solidFill>
                </w14:textFill>
              </w:rPr>
              <w:t>集液池</w:t>
            </w:r>
            <w:r>
              <w:rPr>
                <w:rFonts w:hint="default" w:ascii="Times New Roman" w:hAnsi="Times New Roman" w:cs="Times New Roman"/>
                <w:color w:val="000000" w:themeColor="text1"/>
                <w:sz w:val="24"/>
                <w:highlight w:val="none"/>
                <w:lang w:val="en-US" w:eastAsia="zh-CN"/>
                <w14:textFill>
                  <w14:solidFill>
                    <w14:schemeClr w14:val="tx1"/>
                  </w14:solidFill>
                </w14:textFill>
              </w:rPr>
              <w:t>的池底及池壁</w:t>
            </w:r>
            <w:r>
              <w:rPr>
                <w:rFonts w:hint="default" w:ascii="Times New Roman" w:hAnsi="Times New Roman" w:cs="Times New Roman"/>
                <w:color w:val="000000" w:themeColor="text1"/>
                <w:sz w:val="24"/>
                <w:highlight w:val="none"/>
                <w14:textFill>
                  <w14:solidFill>
                    <w14:schemeClr w14:val="tx1"/>
                  </w14:solidFill>
                </w14:textFill>
              </w:rPr>
              <w:t>等属于重点防渗区，根据《环境影响评价技术导则地下水环境》（HJ610-2016）的要求，等效黏土防渗层Mb不低于6.0m，对于混凝土中间的伸缩缝和实体基础的缝隙，通过填充柔性材料达到防渗目的，渗透系数≤1.0×10</w:t>
            </w:r>
            <w:r>
              <w:rPr>
                <w:rFonts w:hint="default" w:ascii="Times New Roman" w:hAnsi="Times New Roman" w:cs="Times New Roman"/>
                <w:color w:val="000000" w:themeColor="text1"/>
                <w:sz w:val="24"/>
                <w:highlight w:val="none"/>
                <w:vertAlign w:val="superscript"/>
                <w14:textFill>
                  <w14:solidFill>
                    <w14:schemeClr w14:val="tx1"/>
                  </w14:solidFill>
                </w14:textFill>
              </w:rPr>
              <w:t>-7</w:t>
            </w:r>
            <w:r>
              <w:rPr>
                <w:rFonts w:hint="default" w:ascii="Times New Roman" w:hAnsi="Times New Roman" w:cs="Times New Roman"/>
                <w:color w:val="000000" w:themeColor="text1"/>
                <w:sz w:val="24"/>
                <w:highlight w:val="none"/>
                <w14:textFill>
                  <w14:solidFill>
                    <w14:schemeClr w14:val="tx1"/>
                  </w14:solidFill>
                </w14:textFill>
              </w:rPr>
              <w:t>cm/s。</w:t>
            </w:r>
          </w:p>
          <w:p w14:paraId="115E4315">
            <w:pPr>
              <w:adjustRightInd w:val="0"/>
              <w:snapToGrid w:val="0"/>
              <w:spacing w:line="360" w:lineRule="auto"/>
              <w:ind w:firstLine="480" w:firstLineChars="200"/>
              <w:rPr>
                <w:rFonts w:hint="default" w:ascii="Times New Roman" w:hAnsi="Times New Roman" w:cs="Times New Roman"/>
                <w:color w:val="000000" w:themeColor="text1"/>
                <w:sz w:val="24"/>
                <w:highlight w:val="none"/>
                <w14:textFill>
                  <w14:solidFill>
                    <w14:schemeClr w14:val="tx1"/>
                  </w14:solidFill>
                </w14:textFill>
              </w:rPr>
            </w:pPr>
            <w:r>
              <w:rPr>
                <w:rFonts w:hint="default" w:ascii="Times New Roman" w:hAnsi="Times New Roman" w:cs="Times New Roman"/>
                <w:color w:val="000000" w:themeColor="text1"/>
                <w:sz w:val="24"/>
                <w:highlight w:val="none"/>
                <w14:textFill>
                  <w14:solidFill>
                    <w14:schemeClr w14:val="tx1"/>
                  </w14:solidFill>
                </w14:textFill>
              </w:rPr>
              <w:t>②一般防渗区：一般防渗区是可能会对地下水造成污染，但危害性或风险程度相对较低区域，</w:t>
            </w:r>
            <w:r>
              <w:rPr>
                <w:rFonts w:hint="eastAsia" w:cs="Times New Roman"/>
                <w:color w:val="000000" w:themeColor="text1"/>
                <w:sz w:val="24"/>
                <w:highlight w:val="none"/>
                <w:lang w:val="en-US" w:eastAsia="zh-CN"/>
                <w14:textFill>
                  <w14:solidFill>
                    <w14:schemeClr w14:val="tx1"/>
                  </w14:solidFill>
                </w14:textFill>
              </w:rPr>
              <w:t>装卸</w:t>
            </w:r>
            <w:r>
              <w:rPr>
                <w:rFonts w:hint="default" w:ascii="Times New Roman" w:hAnsi="Times New Roman" w:cs="Times New Roman"/>
                <w:color w:val="000000" w:themeColor="text1"/>
                <w:sz w:val="24"/>
                <w:highlight w:val="none"/>
                <w14:textFill>
                  <w14:solidFill>
                    <w14:schemeClr w14:val="tx1"/>
                  </w14:solidFill>
                </w14:textFill>
              </w:rPr>
              <w:t>区属于一般防渗区，抗渗混凝土厚度不小于100mm，一般污染防渗区防渗层的防渗性能不应低于1.5m厚，渗透系数≤1.0×10</w:t>
            </w:r>
            <w:r>
              <w:rPr>
                <w:rFonts w:hint="default" w:ascii="Times New Roman" w:hAnsi="Times New Roman" w:cs="Times New Roman"/>
                <w:color w:val="000000" w:themeColor="text1"/>
                <w:sz w:val="24"/>
                <w:highlight w:val="none"/>
                <w:vertAlign w:val="superscript"/>
                <w14:textFill>
                  <w14:solidFill>
                    <w14:schemeClr w14:val="tx1"/>
                  </w14:solidFill>
                </w14:textFill>
              </w:rPr>
              <w:t>-7</w:t>
            </w:r>
            <w:r>
              <w:rPr>
                <w:rFonts w:hint="default" w:ascii="Times New Roman" w:hAnsi="Times New Roman" w:cs="Times New Roman"/>
                <w:color w:val="000000" w:themeColor="text1"/>
                <w:sz w:val="24"/>
                <w:highlight w:val="none"/>
                <w14:textFill>
                  <w14:solidFill>
                    <w14:schemeClr w14:val="tx1"/>
                  </w14:solidFill>
                </w14:textFill>
              </w:rPr>
              <w:t>cm/s的粘土层的防渗性能。</w:t>
            </w:r>
          </w:p>
          <w:p w14:paraId="2A158D47">
            <w:pPr>
              <w:adjustRightInd w:val="0"/>
              <w:snapToGrid w:val="0"/>
              <w:spacing w:line="360" w:lineRule="auto"/>
              <w:ind w:firstLine="480" w:firstLineChars="200"/>
              <w:rPr>
                <w:rFonts w:hint="default" w:ascii="Times New Roman" w:hAnsi="Times New Roman" w:cs="Times New Roman"/>
                <w:color w:val="000000" w:themeColor="text1"/>
                <w:sz w:val="24"/>
                <w:highlight w:val="none"/>
                <w14:textFill>
                  <w14:solidFill>
                    <w14:schemeClr w14:val="tx1"/>
                  </w14:solidFill>
                </w14:textFill>
              </w:rPr>
            </w:pPr>
            <w:r>
              <w:rPr>
                <w:rFonts w:hint="default" w:ascii="Times New Roman" w:hAnsi="Times New Roman" w:cs="Times New Roman"/>
                <w:color w:val="000000" w:themeColor="text1"/>
                <w:sz w:val="24"/>
                <w:highlight w:val="none"/>
                <w14:textFill>
                  <w14:solidFill>
                    <w14:schemeClr w14:val="tx1"/>
                  </w14:solidFill>
                </w14:textFill>
              </w:rPr>
              <w:t>③简单防渗区：除重点防渗区和一般防渗区之外的区域属于简单防渗区，采用一般地面水泥硬化。</w:t>
            </w:r>
          </w:p>
          <w:p w14:paraId="0067C155">
            <w:pPr>
              <w:pStyle w:val="2"/>
              <w:adjustRightInd w:val="0"/>
              <w:snapToGrid w:val="0"/>
              <w:spacing w:line="360" w:lineRule="auto"/>
              <w:ind w:left="0" w:leftChars="0" w:firstLine="480"/>
              <w:rPr>
                <w:rFonts w:hint="default" w:ascii="Times New Roman" w:hAnsi="Times New Roman" w:cs="Times New Roman"/>
                <w:color w:val="000000" w:themeColor="text1"/>
                <w:sz w:val="24"/>
                <w:highlight w:val="none"/>
                <w14:textFill>
                  <w14:solidFill>
                    <w14:schemeClr w14:val="tx1"/>
                  </w14:solidFill>
                </w14:textFill>
              </w:rPr>
            </w:pPr>
            <w:r>
              <w:rPr>
                <w:rFonts w:hint="default" w:ascii="Times New Roman" w:hAnsi="Times New Roman" w:cs="Times New Roman"/>
                <w:color w:val="000000" w:themeColor="text1"/>
                <w:sz w:val="24"/>
                <w:highlight w:val="none"/>
                <w14:textFill>
                  <w14:solidFill>
                    <w14:schemeClr w14:val="tx1"/>
                  </w14:solidFill>
                </w14:textFill>
              </w:rPr>
              <w:t>本项目</w:t>
            </w:r>
            <w:r>
              <w:rPr>
                <w:rFonts w:hint="eastAsia" w:cs="Times New Roman"/>
                <w:color w:val="000000" w:themeColor="text1"/>
                <w:sz w:val="24"/>
                <w:highlight w:val="none"/>
                <w:lang w:val="en-US" w:eastAsia="zh-CN"/>
                <w14:textFill>
                  <w14:solidFill>
                    <w14:schemeClr w14:val="tx1"/>
                  </w14:solidFill>
                </w14:textFill>
              </w:rPr>
              <w:t>废矿物油贮存车间</w:t>
            </w:r>
            <w:r>
              <w:rPr>
                <w:rFonts w:hint="default" w:ascii="Times New Roman" w:hAnsi="Times New Roman" w:cs="Times New Roman"/>
                <w:color w:val="000000" w:themeColor="text1"/>
                <w:sz w:val="24"/>
                <w:highlight w:val="none"/>
                <w14:textFill>
                  <w14:solidFill>
                    <w14:schemeClr w14:val="tx1"/>
                  </w14:solidFill>
                </w14:textFill>
              </w:rPr>
              <w:t>进行分区防渗，</w:t>
            </w:r>
            <w:r>
              <w:rPr>
                <w:rFonts w:hint="eastAsia" w:cs="Times New Roman"/>
                <w:color w:val="000000" w:themeColor="text1"/>
                <w:sz w:val="24"/>
                <w:highlight w:val="none"/>
                <w:lang w:val="en-US" w:eastAsia="zh-CN"/>
                <w14:textFill>
                  <w14:solidFill>
                    <w14:schemeClr w14:val="tx1"/>
                  </w14:solidFill>
                </w14:textFill>
              </w:rPr>
              <w:t>其中罐区地面、围堰、事故池的池底及池壁以及集液池的池底及池壁</w:t>
            </w:r>
            <w:r>
              <w:rPr>
                <w:rFonts w:hint="default" w:ascii="Times New Roman" w:hAnsi="Times New Roman" w:cs="Times New Roman"/>
                <w:color w:val="000000" w:themeColor="text1"/>
                <w:sz w:val="24"/>
                <w:highlight w:val="none"/>
                <w14:textFill>
                  <w14:solidFill>
                    <w14:schemeClr w14:val="tx1"/>
                  </w14:solidFill>
                </w14:textFill>
              </w:rPr>
              <w:t>进行重点防渗，地面防渗垫层采用130mm厚C30防渗混凝土（抗渗等级≥P6），满足重点防渗区防渗要求；</w:t>
            </w:r>
            <w:r>
              <w:rPr>
                <w:rFonts w:hint="eastAsia" w:cs="Times New Roman"/>
                <w:color w:val="000000" w:themeColor="text1"/>
                <w:sz w:val="24"/>
                <w:highlight w:val="none"/>
                <w:lang w:val="en-US" w:eastAsia="zh-CN"/>
                <w14:textFill>
                  <w14:solidFill>
                    <w14:schemeClr w14:val="tx1"/>
                  </w14:solidFill>
                </w14:textFill>
              </w:rPr>
              <w:t>废矿物油贮存车间内</w:t>
            </w:r>
            <w:r>
              <w:rPr>
                <w:rFonts w:hint="default" w:ascii="Times New Roman" w:hAnsi="Times New Roman" w:cs="Times New Roman"/>
                <w:color w:val="000000" w:themeColor="text1"/>
                <w:sz w:val="24"/>
                <w:highlight w:val="none"/>
                <w14:textFill>
                  <w14:solidFill>
                    <w14:schemeClr w14:val="tx1"/>
                  </w14:solidFill>
                </w14:textFill>
              </w:rPr>
              <w:t>设</w:t>
            </w:r>
            <w:r>
              <w:rPr>
                <w:rFonts w:hint="default" w:ascii="Times New Roman" w:hAnsi="Times New Roman" w:cs="Times New Roman"/>
                <w:color w:val="auto"/>
                <w:sz w:val="24"/>
                <w:highlight w:val="none"/>
              </w:rPr>
              <w:t>置集液沟与</w:t>
            </w:r>
            <w:r>
              <w:rPr>
                <w:rFonts w:hint="eastAsia" w:cs="Times New Roman"/>
                <w:color w:val="auto"/>
                <w:sz w:val="24"/>
                <w:highlight w:val="none"/>
                <w:lang w:val="en-US" w:eastAsia="zh-CN"/>
              </w:rPr>
              <w:t>集液池</w:t>
            </w:r>
            <w:r>
              <w:rPr>
                <w:rFonts w:hint="default" w:ascii="Times New Roman" w:hAnsi="Times New Roman" w:cs="Times New Roman"/>
                <w:color w:val="auto"/>
                <w:sz w:val="24"/>
                <w:highlight w:val="none"/>
              </w:rPr>
              <w:t>，并做好防腐防渗</w:t>
            </w:r>
            <w:r>
              <w:rPr>
                <w:rFonts w:hint="default" w:ascii="Times New Roman" w:hAnsi="Times New Roman" w:cs="Times New Roman"/>
                <w:color w:val="000000" w:themeColor="text1"/>
                <w:sz w:val="24"/>
                <w:highlight w:val="none"/>
                <w14:textFill>
                  <w14:solidFill>
                    <w14:schemeClr w14:val="tx1"/>
                  </w14:solidFill>
                </w14:textFill>
              </w:rPr>
              <w:t>，以保证少量泄漏液及时收集、及时处理，以免对地下水及土壤造成污染。</w:t>
            </w:r>
          </w:p>
          <w:p w14:paraId="4480322F">
            <w:pPr>
              <w:pStyle w:val="2"/>
              <w:adjustRightInd w:val="0"/>
              <w:snapToGrid w:val="0"/>
              <w:spacing w:line="360" w:lineRule="auto"/>
              <w:ind w:left="0" w:leftChars="0" w:firstLine="480"/>
              <w:rPr>
                <w:rFonts w:hint="default" w:ascii="Times New Roman" w:hAnsi="Times New Roman" w:cs="Times New Roman"/>
                <w:color w:val="000000" w:themeColor="text1"/>
                <w:sz w:val="24"/>
                <w:highlight w:val="none"/>
                <w14:textFill>
                  <w14:solidFill>
                    <w14:schemeClr w14:val="tx1"/>
                  </w14:solidFill>
                </w14:textFill>
              </w:rPr>
            </w:pPr>
            <w:r>
              <w:rPr>
                <w:rFonts w:hint="default" w:ascii="Times New Roman" w:hAnsi="Times New Roman" w:cs="Times New Roman"/>
                <w:color w:val="000000" w:themeColor="text1"/>
                <w:sz w:val="24"/>
                <w:highlight w:val="none"/>
                <w14:textFill>
                  <w14:solidFill>
                    <w14:schemeClr w14:val="tx1"/>
                  </w14:solidFill>
                </w14:textFill>
              </w:rPr>
              <w:t>按照《环境影响评价技术导则  地下水环境》（HJ610-2016）和《给水排水构筑物工程施工及验收规范》（GB50141-2008）的要求，将厂区划分为一般防渗区和重点防渗区，分别采取不同等级的防渗。本项目区域污染分区划分详见下表。</w:t>
            </w:r>
          </w:p>
          <w:p w14:paraId="173FDABC">
            <w:pPr>
              <w:tabs>
                <w:tab w:val="left" w:pos="912"/>
              </w:tabs>
              <w:spacing w:before="122"/>
              <w:ind w:right="116" w:firstLine="422"/>
              <w:jc w:val="center"/>
              <w:rPr>
                <w:rFonts w:hint="default" w:ascii="Times New Roman" w:hAnsi="Times New Roman" w:cs="Times New Roman"/>
                <w:b/>
                <w:color w:val="000000" w:themeColor="text1"/>
                <w:highlight w:val="none"/>
                <w14:textFill>
                  <w14:solidFill>
                    <w14:schemeClr w14:val="tx1"/>
                  </w14:solidFill>
                </w14:textFill>
              </w:rPr>
            </w:pPr>
            <w:r>
              <w:rPr>
                <w:rFonts w:hint="default" w:ascii="Times New Roman" w:hAnsi="Times New Roman" w:cs="Times New Roman"/>
                <w:b/>
                <w:color w:val="000000" w:themeColor="text1"/>
                <w:highlight w:val="none"/>
                <w14:textFill>
                  <w14:solidFill>
                    <w14:schemeClr w14:val="tx1"/>
                  </w14:solidFill>
                </w14:textFill>
              </w:rPr>
              <w:t>表4-</w:t>
            </w:r>
            <w:r>
              <w:rPr>
                <w:rFonts w:hint="eastAsia" w:cs="Times New Roman"/>
                <w:b/>
                <w:color w:val="000000" w:themeColor="text1"/>
                <w:highlight w:val="none"/>
                <w:lang w:val="en-US" w:eastAsia="zh-CN"/>
                <w14:textFill>
                  <w14:solidFill>
                    <w14:schemeClr w14:val="tx1"/>
                  </w14:solidFill>
                </w14:textFill>
              </w:rPr>
              <w:t>8</w:t>
            </w:r>
            <w:r>
              <w:rPr>
                <w:rFonts w:hint="default" w:ascii="Times New Roman" w:hAnsi="Times New Roman" w:eastAsia="Times New Roman" w:cs="Times New Roman"/>
                <w:b/>
                <w:color w:val="000000" w:themeColor="text1"/>
                <w:highlight w:val="none"/>
                <w14:textFill>
                  <w14:solidFill>
                    <w14:schemeClr w14:val="tx1"/>
                  </w14:solidFill>
                </w14:textFill>
              </w:rPr>
              <w:tab/>
            </w:r>
            <w:r>
              <w:rPr>
                <w:rFonts w:hint="default" w:ascii="Times New Roman" w:hAnsi="Times New Roman" w:cs="Times New Roman"/>
                <w:b/>
                <w:color w:val="000000" w:themeColor="text1"/>
                <w:highlight w:val="none"/>
                <w14:textFill>
                  <w14:solidFill>
                    <w14:schemeClr w14:val="tx1"/>
                  </w14:solidFill>
                </w14:textFill>
              </w:rPr>
              <w:t>本项目地下</w:t>
            </w:r>
            <w:r>
              <w:rPr>
                <w:rFonts w:hint="default" w:ascii="Times New Roman" w:hAnsi="Times New Roman" w:cs="Times New Roman"/>
                <w:b/>
                <w:color w:val="000000" w:themeColor="text1"/>
                <w:spacing w:val="-3"/>
                <w:highlight w:val="none"/>
                <w14:textFill>
                  <w14:solidFill>
                    <w14:schemeClr w14:val="tx1"/>
                  </w14:solidFill>
                </w14:textFill>
              </w:rPr>
              <w:t>水</w:t>
            </w:r>
            <w:r>
              <w:rPr>
                <w:rFonts w:hint="default" w:ascii="Times New Roman" w:hAnsi="Times New Roman" w:cs="Times New Roman"/>
                <w:b/>
                <w:color w:val="000000" w:themeColor="text1"/>
                <w:highlight w:val="none"/>
                <w14:textFill>
                  <w14:solidFill>
                    <w14:schemeClr w14:val="tx1"/>
                  </w14:solidFill>
                </w14:textFill>
              </w:rPr>
              <w:t>污染防控分区一览表</w:t>
            </w:r>
          </w:p>
          <w:tbl>
            <w:tblPr>
              <w:tblStyle w:val="27"/>
              <w:tblW w:w="8703" w:type="dxa"/>
              <w:tblInd w:w="0" w:type="dxa"/>
              <w:tblBorders>
                <w:top w:val="double" w:color="000000" w:sz="4" w:space="0"/>
                <w:left w:val="none" w:color="auto" w:sz="0" w:space="0"/>
                <w:bottom w:val="double" w:color="000000" w:sz="4" w:space="0"/>
                <w:right w:val="none" w:color="auto" w:sz="0" w:space="0"/>
                <w:insideH w:val="single" w:color="000000" w:sz="4" w:space="0"/>
                <w:insideV w:val="single" w:color="000000" w:sz="6" w:space="0"/>
              </w:tblBorders>
              <w:tblLayout w:type="fixed"/>
              <w:tblCellMar>
                <w:top w:w="0" w:type="dxa"/>
                <w:left w:w="0" w:type="dxa"/>
                <w:bottom w:w="0" w:type="dxa"/>
                <w:right w:w="0" w:type="dxa"/>
              </w:tblCellMar>
            </w:tblPr>
            <w:tblGrid>
              <w:gridCol w:w="555"/>
              <w:gridCol w:w="1284"/>
              <w:gridCol w:w="1642"/>
              <w:gridCol w:w="1545"/>
              <w:gridCol w:w="3677"/>
            </w:tblGrid>
            <w:tr w14:paraId="162197EB">
              <w:tblPrEx>
                <w:tblBorders>
                  <w:top w:val="double" w:color="000000" w:sz="4" w:space="0"/>
                  <w:left w:val="none" w:color="auto" w:sz="0" w:space="0"/>
                  <w:bottom w:val="double" w:color="000000" w:sz="4" w:space="0"/>
                  <w:right w:val="none" w:color="auto" w:sz="0" w:space="0"/>
                  <w:insideH w:val="single" w:color="000000" w:sz="4" w:space="0"/>
                  <w:insideV w:val="single" w:color="000000" w:sz="6" w:space="0"/>
                </w:tblBorders>
                <w:tblCellMar>
                  <w:top w:w="0" w:type="dxa"/>
                  <w:left w:w="0" w:type="dxa"/>
                  <w:bottom w:w="0" w:type="dxa"/>
                  <w:right w:w="0" w:type="dxa"/>
                </w:tblCellMar>
              </w:tblPrEx>
              <w:trPr>
                <w:trHeight w:val="363" w:hRule="atLeast"/>
              </w:trPr>
              <w:tc>
                <w:tcPr>
                  <w:tcW w:w="555" w:type="dxa"/>
                  <w:vAlign w:val="center"/>
                </w:tcPr>
                <w:p w14:paraId="202FA538">
                  <w:pPr>
                    <w:pStyle w:val="34"/>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序号</w:t>
                  </w:r>
                </w:p>
              </w:tc>
              <w:tc>
                <w:tcPr>
                  <w:tcW w:w="1284" w:type="dxa"/>
                  <w:vAlign w:val="center"/>
                </w:tcPr>
                <w:p w14:paraId="2F0A72CE">
                  <w:pPr>
                    <w:pStyle w:val="34"/>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污染防控</w:t>
                  </w:r>
                </w:p>
                <w:p w14:paraId="28208B8E">
                  <w:pPr>
                    <w:pStyle w:val="34"/>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分区</w:t>
                  </w:r>
                </w:p>
              </w:tc>
              <w:tc>
                <w:tcPr>
                  <w:tcW w:w="1642" w:type="dxa"/>
                  <w:vAlign w:val="center"/>
                </w:tcPr>
                <w:p w14:paraId="2C025F75">
                  <w:pPr>
                    <w:pStyle w:val="34"/>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生产装置、单元名称</w:t>
                  </w:r>
                </w:p>
              </w:tc>
              <w:tc>
                <w:tcPr>
                  <w:tcW w:w="1545" w:type="dxa"/>
                  <w:vAlign w:val="center"/>
                </w:tcPr>
                <w:p w14:paraId="5C080BB8">
                  <w:pPr>
                    <w:pStyle w:val="34"/>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污染防控区域</w:t>
                  </w:r>
                </w:p>
                <w:p w14:paraId="3BA12F23">
                  <w:pPr>
                    <w:pStyle w:val="34"/>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及部位</w:t>
                  </w:r>
                </w:p>
              </w:tc>
              <w:tc>
                <w:tcPr>
                  <w:tcW w:w="3677" w:type="dxa"/>
                  <w:vAlign w:val="center"/>
                </w:tcPr>
                <w:p w14:paraId="11F28B79">
                  <w:pPr>
                    <w:pStyle w:val="34"/>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防渗要求</w:t>
                  </w:r>
                </w:p>
              </w:tc>
            </w:tr>
            <w:tr w14:paraId="355CE815">
              <w:tblPrEx>
                <w:tblBorders>
                  <w:top w:val="double" w:color="000000" w:sz="4" w:space="0"/>
                  <w:left w:val="none" w:color="auto" w:sz="0" w:space="0"/>
                  <w:bottom w:val="double" w:color="000000" w:sz="4" w:space="0"/>
                  <w:right w:val="none" w:color="auto" w:sz="0" w:space="0"/>
                  <w:insideH w:val="single" w:color="000000" w:sz="4" w:space="0"/>
                  <w:insideV w:val="single" w:color="000000" w:sz="6" w:space="0"/>
                </w:tblBorders>
                <w:tblCellMar>
                  <w:top w:w="0" w:type="dxa"/>
                  <w:left w:w="0" w:type="dxa"/>
                  <w:bottom w:w="0" w:type="dxa"/>
                  <w:right w:w="0" w:type="dxa"/>
                </w:tblCellMar>
              </w:tblPrEx>
              <w:trPr>
                <w:trHeight w:val="363" w:hRule="atLeast"/>
              </w:trPr>
              <w:tc>
                <w:tcPr>
                  <w:tcW w:w="555" w:type="dxa"/>
                  <w:vMerge w:val="restart"/>
                  <w:vAlign w:val="center"/>
                </w:tcPr>
                <w:p w14:paraId="3A4AB9D0">
                  <w:pPr>
                    <w:pStyle w:val="34"/>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1</w:t>
                  </w:r>
                </w:p>
              </w:tc>
              <w:tc>
                <w:tcPr>
                  <w:tcW w:w="1284" w:type="dxa"/>
                  <w:vMerge w:val="restart"/>
                  <w:vAlign w:val="center"/>
                </w:tcPr>
                <w:p w14:paraId="01BCF64A">
                  <w:pPr>
                    <w:pStyle w:val="34"/>
                    <w:jc w:val="both"/>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重点防渗区</w:t>
                  </w:r>
                </w:p>
              </w:tc>
              <w:tc>
                <w:tcPr>
                  <w:tcW w:w="1642" w:type="dxa"/>
                  <w:vAlign w:val="center"/>
                </w:tcPr>
                <w:p w14:paraId="157646D5">
                  <w:pPr>
                    <w:pStyle w:val="34"/>
                    <w:rPr>
                      <w:rFonts w:hint="eastAsia" w:ascii="Times New Roman" w:hAnsi="Times New Roman" w:eastAsia="宋体" w:cs="Times New Roman"/>
                      <w:color w:val="000000" w:themeColor="text1"/>
                      <w:highlight w:val="none"/>
                      <w:lang w:eastAsia="zh-CN"/>
                      <w14:textFill>
                        <w14:solidFill>
                          <w14:schemeClr w14:val="tx1"/>
                        </w14:solidFill>
                      </w14:textFill>
                    </w:rPr>
                  </w:pPr>
                  <w:r>
                    <w:rPr>
                      <w:rFonts w:hint="eastAsia" w:cs="Times New Roman"/>
                      <w:color w:val="000000" w:themeColor="text1"/>
                      <w:highlight w:val="none"/>
                      <w:lang w:val="en-US" w:eastAsia="zh-CN"/>
                      <w14:textFill>
                        <w14:solidFill>
                          <w14:schemeClr w14:val="tx1"/>
                        </w14:solidFill>
                      </w14:textFill>
                    </w:rPr>
                    <w:t>罐区</w:t>
                  </w:r>
                </w:p>
              </w:tc>
              <w:tc>
                <w:tcPr>
                  <w:tcW w:w="1545" w:type="dxa"/>
                  <w:tcBorders>
                    <w:bottom w:val="single" w:color="auto" w:sz="4" w:space="0"/>
                  </w:tcBorders>
                  <w:vAlign w:val="center"/>
                </w:tcPr>
                <w:p w14:paraId="7BB77964">
                  <w:pPr>
                    <w:pStyle w:val="34"/>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地面及裙角</w:t>
                  </w:r>
                </w:p>
              </w:tc>
              <w:tc>
                <w:tcPr>
                  <w:tcW w:w="3677" w:type="dxa"/>
                  <w:tcBorders>
                    <w:bottom w:val="single" w:color="auto" w:sz="4" w:space="0"/>
                  </w:tcBorders>
                  <w:vAlign w:val="center"/>
                </w:tcPr>
                <w:p w14:paraId="52A9DD50">
                  <w:pPr>
                    <w:pStyle w:val="34"/>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bCs/>
                      <w:color w:val="000000" w:themeColor="text1"/>
                      <w:szCs w:val="21"/>
                      <w:highlight w:val="none"/>
                      <w14:textFill>
                        <w14:solidFill>
                          <w14:schemeClr w14:val="tx1"/>
                        </w14:solidFill>
                      </w14:textFill>
                    </w:rPr>
                    <w:t>基础层采用2mm厚高密度聚乙烯，渗透系数≤1.0×10</w:t>
                  </w:r>
                  <w:r>
                    <w:rPr>
                      <w:rFonts w:hint="default" w:ascii="Times New Roman" w:hAnsi="Times New Roman" w:cs="Times New Roman"/>
                      <w:bCs/>
                      <w:color w:val="000000" w:themeColor="text1"/>
                      <w:szCs w:val="21"/>
                      <w:highlight w:val="none"/>
                      <w:vertAlign w:val="superscript"/>
                      <w14:textFill>
                        <w14:solidFill>
                          <w14:schemeClr w14:val="tx1"/>
                        </w14:solidFill>
                      </w14:textFill>
                    </w:rPr>
                    <w:t>-10</w:t>
                  </w:r>
                  <w:r>
                    <w:rPr>
                      <w:rFonts w:hint="default" w:ascii="Times New Roman" w:hAnsi="Times New Roman" w:cs="Times New Roman"/>
                      <w:bCs/>
                      <w:color w:val="000000" w:themeColor="text1"/>
                      <w:szCs w:val="21"/>
                      <w:highlight w:val="none"/>
                      <w14:textFill>
                        <w14:solidFill>
                          <w14:schemeClr w14:val="tx1"/>
                        </w14:solidFill>
                      </w14:textFill>
                    </w:rPr>
                    <w:t>cm/s</w:t>
                  </w:r>
                </w:p>
              </w:tc>
            </w:tr>
            <w:tr w14:paraId="7E0B98CF">
              <w:tblPrEx>
                <w:tblBorders>
                  <w:top w:val="double" w:color="000000" w:sz="4" w:space="0"/>
                  <w:left w:val="none" w:color="auto" w:sz="0" w:space="0"/>
                  <w:bottom w:val="double" w:color="000000" w:sz="4" w:space="0"/>
                  <w:right w:val="none" w:color="auto" w:sz="0" w:space="0"/>
                  <w:insideH w:val="single" w:color="000000" w:sz="4" w:space="0"/>
                  <w:insideV w:val="single" w:color="000000" w:sz="6" w:space="0"/>
                </w:tblBorders>
                <w:tblCellMar>
                  <w:top w:w="0" w:type="dxa"/>
                  <w:left w:w="0" w:type="dxa"/>
                  <w:bottom w:w="0" w:type="dxa"/>
                  <w:right w:w="0" w:type="dxa"/>
                </w:tblCellMar>
              </w:tblPrEx>
              <w:trPr>
                <w:trHeight w:val="363" w:hRule="atLeast"/>
              </w:trPr>
              <w:tc>
                <w:tcPr>
                  <w:tcW w:w="555" w:type="dxa"/>
                  <w:vMerge w:val="continue"/>
                  <w:vAlign w:val="center"/>
                </w:tcPr>
                <w:p w14:paraId="26D501D7">
                  <w:pPr>
                    <w:pStyle w:val="34"/>
                    <w:rPr>
                      <w:rFonts w:hint="default" w:ascii="Times New Roman" w:hAnsi="Times New Roman" w:cs="Times New Roman"/>
                      <w:color w:val="000000" w:themeColor="text1"/>
                      <w:highlight w:val="none"/>
                      <w14:textFill>
                        <w14:solidFill>
                          <w14:schemeClr w14:val="tx1"/>
                        </w14:solidFill>
                      </w14:textFill>
                    </w:rPr>
                  </w:pPr>
                </w:p>
              </w:tc>
              <w:tc>
                <w:tcPr>
                  <w:tcW w:w="1284" w:type="dxa"/>
                  <w:vMerge w:val="continue"/>
                  <w:vAlign w:val="center"/>
                </w:tcPr>
                <w:p w14:paraId="403877C8">
                  <w:pPr>
                    <w:pStyle w:val="34"/>
                    <w:jc w:val="both"/>
                    <w:rPr>
                      <w:rFonts w:hint="default" w:ascii="Times New Roman" w:hAnsi="Times New Roman" w:cs="Times New Roman"/>
                      <w:color w:val="000000" w:themeColor="text1"/>
                      <w:highlight w:val="none"/>
                      <w14:textFill>
                        <w14:solidFill>
                          <w14:schemeClr w14:val="tx1"/>
                        </w14:solidFill>
                      </w14:textFill>
                    </w:rPr>
                  </w:pPr>
                </w:p>
              </w:tc>
              <w:tc>
                <w:tcPr>
                  <w:tcW w:w="1642" w:type="dxa"/>
                  <w:vAlign w:val="center"/>
                </w:tcPr>
                <w:p w14:paraId="5BE79058">
                  <w:pPr>
                    <w:pStyle w:val="34"/>
                    <w:rPr>
                      <w:rFonts w:hint="default" w:ascii="Times New Roman" w:hAnsi="Times New Roman" w:cs="Times New Roman"/>
                      <w:color w:val="000000" w:themeColor="text1"/>
                      <w:highlight w:val="none"/>
                      <w14:textFill>
                        <w14:solidFill>
                          <w14:schemeClr w14:val="tx1"/>
                        </w14:solidFill>
                      </w14:textFill>
                    </w:rPr>
                  </w:pPr>
                  <w:r>
                    <w:rPr>
                      <w:rFonts w:hint="eastAsia" w:cs="Times New Roman"/>
                      <w:color w:val="auto"/>
                      <w:highlight w:val="none"/>
                      <w:lang w:eastAsia="zh-CN"/>
                    </w:rPr>
                    <w:t>集液池</w:t>
                  </w:r>
                  <w:r>
                    <w:rPr>
                      <w:rFonts w:hint="default" w:ascii="Times New Roman" w:hAnsi="Times New Roman" w:cs="Times New Roman"/>
                      <w:color w:val="auto"/>
                      <w:highlight w:val="none"/>
                    </w:rPr>
                    <w:t>、</w:t>
                  </w:r>
                  <w:r>
                    <w:rPr>
                      <w:rFonts w:hint="default" w:ascii="Times New Roman" w:hAnsi="Times New Roman" w:cs="Times New Roman"/>
                      <w:color w:val="000000" w:themeColor="text1"/>
                      <w:highlight w:val="none"/>
                      <w14:textFill>
                        <w14:solidFill>
                          <w14:schemeClr w14:val="tx1"/>
                        </w14:solidFill>
                      </w14:textFill>
                    </w:rPr>
                    <w:t>事故池</w:t>
                  </w:r>
                </w:p>
              </w:tc>
              <w:tc>
                <w:tcPr>
                  <w:tcW w:w="1545" w:type="dxa"/>
                  <w:tcBorders>
                    <w:top w:val="single" w:color="auto" w:sz="4" w:space="0"/>
                    <w:bottom w:val="single" w:color="auto" w:sz="4" w:space="0"/>
                  </w:tcBorders>
                  <w:vAlign w:val="center"/>
                </w:tcPr>
                <w:p w14:paraId="59E66283">
                  <w:pPr>
                    <w:pStyle w:val="34"/>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底板及壁板</w:t>
                  </w:r>
                </w:p>
              </w:tc>
              <w:tc>
                <w:tcPr>
                  <w:tcW w:w="3677" w:type="dxa"/>
                  <w:vMerge w:val="restart"/>
                  <w:tcBorders>
                    <w:top w:val="single" w:color="auto" w:sz="4" w:space="0"/>
                  </w:tcBorders>
                  <w:vAlign w:val="center"/>
                </w:tcPr>
                <w:p w14:paraId="6FA21C07">
                  <w:pPr>
                    <w:pStyle w:val="34"/>
                    <w:jc w:val="both"/>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防渗性能不应低于 6.0m厚渗透系数为</w:t>
                  </w:r>
                </w:p>
                <w:p w14:paraId="40218631">
                  <w:pPr>
                    <w:pStyle w:val="34"/>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 xml:space="preserve">1.0×10 </w:t>
                  </w:r>
                  <w:r>
                    <w:rPr>
                      <w:rFonts w:hint="default" w:ascii="Times New Roman" w:hAnsi="Times New Roman" w:cs="Times New Roman"/>
                      <w:color w:val="000000" w:themeColor="text1"/>
                      <w:highlight w:val="none"/>
                      <w:vertAlign w:val="superscript"/>
                      <w14:textFill>
                        <w14:solidFill>
                          <w14:schemeClr w14:val="tx1"/>
                        </w14:solidFill>
                      </w14:textFill>
                    </w:rPr>
                    <w:t>-7</w:t>
                  </w:r>
                  <w:r>
                    <w:rPr>
                      <w:rFonts w:hint="default" w:ascii="Times New Roman" w:hAnsi="Times New Roman" w:cs="Times New Roman"/>
                      <w:color w:val="000000" w:themeColor="text1"/>
                      <w:highlight w:val="none"/>
                      <w14:textFill>
                        <w14:solidFill>
                          <w14:schemeClr w14:val="tx1"/>
                        </w14:solidFill>
                      </w14:textFill>
                    </w:rPr>
                    <w:t>cm/s的粘土层的防渗性能。</w:t>
                  </w:r>
                </w:p>
              </w:tc>
            </w:tr>
            <w:tr w14:paraId="2BFC3B3F">
              <w:tblPrEx>
                <w:tblBorders>
                  <w:top w:val="double" w:color="000000" w:sz="4" w:space="0"/>
                  <w:left w:val="none" w:color="auto" w:sz="0" w:space="0"/>
                  <w:bottom w:val="double" w:color="000000" w:sz="4" w:space="0"/>
                  <w:right w:val="none" w:color="auto" w:sz="0" w:space="0"/>
                  <w:insideH w:val="single" w:color="000000" w:sz="4" w:space="0"/>
                  <w:insideV w:val="single" w:color="000000" w:sz="6" w:space="0"/>
                </w:tblBorders>
                <w:tblCellMar>
                  <w:top w:w="0" w:type="dxa"/>
                  <w:left w:w="0" w:type="dxa"/>
                  <w:bottom w:w="0" w:type="dxa"/>
                  <w:right w:w="0" w:type="dxa"/>
                </w:tblCellMar>
              </w:tblPrEx>
              <w:trPr>
                <w:trHeight w:val="363" w:hRule="atLeast"/>
              </w:trPr>
              <w:tc>
                <w:tcPr>
                  <w:tcW w:w="555" w:type="dxa"/>
                  <w:vMerge w:val="continue"/>
                  <w:vAlign w:val="center"/>
                </w:tcPr>
                <w:p w14:paraId="4B470830">
                  <w:pPr>
                    <w:pStyle w:val="34"/>
                    <w:rPr>
                      <w:rFonts w:hint="default" w:ascii="Times New Roman" w:hAnsi="Times New Roman" w:cs="Times New Roman"/>
                      <w:color w:val="000000" w:themeColor="text1"/>
                      <w:highlight w:val="none"/>
                      <w14:textFill>
                        <w14:solidFill>
                          <w14:schemeClr w14:val="tx1"/>
                        </w14:solidFill>
                      </w14:textFill>
                    </w:rPr>
                  </w:pPr>
                </w:p>
              </w:tc>
              <w:tc>
                <w:tcPr>
                  <w:tcW w:w="1284" w:type="dxa"/>
                  <w:vMerge w:val="continue"/>
                  <w:vAlign w:val="center"/>
                </w:tcPr>
                <w:p w14:paraId="73D8C869">
                  <w:pPr>
                    <w:pStyle w:val="34"/>
                    <w:jc w:val="both"/>
                    <w:rPr>
                      <w:rFonts w:hint="default" w:ascii="Times New Roman" w:hAnsi="Times New Roman" w:cs="Times New Roman"/>
                      <w:color w:val="000000" w:themeColor="text1"/>
                      <w:highlight w:val="none"/>
                      <w14:textFill>
                        <w14:solidFill>
                          <w14:schemeClr w14:val="tx1"/>
                        </w14:solidFill>
                      </w14:textFill>
                    </w:rPr>
                  </w:pPr>
                </w:p>
              </w:tc>
              <w:tc>
                <w:tcPr>
                  <w:tcW w:w="1642" w:type="dxa"/>
                  <w:vAlign w:val="center"/>
                </w:tcPr>
                <w:p w14:paraId="5AA1AC65">
                  <w:pPr>
                    <w:pStyle w:val="34"/>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地埋管线</w:t>
                  </w:r>
                </w:p>
              </w:tc>
              <w:tc>
                <w:tcPr>
                  <w:tcW w:w="1545" w:type="dxa"/>
                  <w:tcBorders>
                    <w:top w:val="single" w:color="auto" w:sz="4" w:space="0"/>
                    <w:bottom w:val="single" w:color="auto" w:sz="4" w:space="0"/>
                  </w:tcBorders>
                  <w:vAlign w:val="center"/>
                </w:tcPr>
                <w:p w14:paraId="7BDB33DB">
                  <w:pPr>
                    <w:pStyle w:val="34"/>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地下管道</w:t>
                  </w:r>
                </w:p>
              </w:tc>
              <w:tc>
                <w:tcPr>
                  <w:tcW w:w="3677" w:type="dxa"/>
                  <w:vMerge w:val="continue"/>
                  <w:tcBorders>
                    <w:bottom w:val="single" w:color="auto" w:sz="4" w:space="0"/>
                  </w:tcBorders>
                  <w:vAlign w:val="center"/>
                </w:tcPr>
                <w:p w14:paraId="69B58850">
                  <w:pPr>
                    <w:pStyle w:val="34"/>
                    <w:rPr>
                      <w:rFonts w:hint="default" w:ascii="Times New Roman" w:hAnsi="Times New Roman" w:cs="Times New Roman"/>
                      <w:color w:val="000000" w:themeColor="text1"/>
                      <w:highlight w:val="none"/>
                      <w14:textFill>
                        <w14:solidFill>
                          <w14:schemeClr w14:val="tx1"/>
                        </w14:solidFill>
                      </w14:textFill>
                    </w:rPr>
                  </w:pPr>
                </w:p>
              </w:tc>
            </w:tr>
            <w:tr w14:paraId="64DFA9ED">
              <w:tblPrEx>
                <w:tblBorders>
                  <w:top w:val="double" w:color="000000" w:sz="4" w:space="0"/>
                  <w:left w:val="none" w:color="auto" w:sz="0" w:space="0"/>
                  <w:bottom w:val="double" w:color="000000" w:sz="4" w:space="0"/>
                  <w:right w:val="none" w:color="auto" w:sz="0" w:space="0"/>
                  <w:insideH w:val="single" w:color="000000" w:sz="4" w:space="0"/>
                  <w:insideV w:val="single" w:color="000000" w:sz="6" w:space="0"/>
                </w:tblBorders>
                <w:tblCellMar>
                  <w:top w:w="0" w:type="dxa"/>
                  <w:left w:w="0" w:type="dxa"/>
                  <w:bottom w:w="0" w:type="dxa"/>
                  <w:right w:w="0" w:type="dxa"/>
                </w:tblCellMar>
              </w:tblPrEx>
              <w:trPr>
                <w:trHeight w:val="363" w:hRule="atLeast"/>
              </w:trPr>
              <w:tc>
                <w:tcPr>
                  <w:tcW w:w="555" w:type="dxa"/>
                  <w:vAlign w:val="center"/>
                </w:tcPr>
                <w:p w14:paraId="6C3C9B5D">
                  <w:pPr>
                    <w:pStyle w:val="34"/>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2</w:t>
                  </w:r>
                </w:p>
              </w:tc>
              <w:tc>
                <w:tcPr>
                  <w:tcW w:w="1284" w:type="dxa"/>
                  <w:vAlign w:val="center"/>
                </w:tcPr>
                <w:p w14:paraId="38BA9CD6">
                  <w:pPr>
                    <w:pStyle w:val="34"/>
                    <w:jc w:val="both"/>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一般防渗区</w:t>
                  </w:r>
                </w:p>
              </w:tc>
              <w:tc>
                <w:tcPr>
                  <w:tcW w:w="1642" w:type="dxa"/>
                  <w:vAlign w:val="center"/>
                </w:tcPr>
                <w:p w14:paraId="73F3458A">
                  <w:pPr>
                    <w:pStyle w:val="34"/>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装卸区域</w:t>
                  </w:r>
                </w:p>
              </w:tc>
              <w:tc>
                <w:tcPr>
                  <w:tcW w:w="1545" w:type="dxa"/>
                  <w:tcBorders>
                    <w:top w:val="single" w:color="auto" w:sz="4" w:space="0"/>
                  </w:tcBorders>
                  <w:vAlign w:val="center"/>
                </w:tcPr>
                <w:p w14:paraId="0B48D005">
                  <w:pPr>
                    <w:pStyle w:val="34"/>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地面</w:t>
                  </w:r>
                </w:p>
              </w:tc>
              <w:tc>
                <w:tcPr>
                  <w:tcW w:w="3677" w:type="dxa"/>
                  <w:tcBorders>
                    <w:top w:val="single" w:color="auto" w:sz="4" w:space="0"/>
                  </w:tcBorders>
                  <w:vAlign w:val="center"/>
                </w:tcPr>
                <w:p w14:paraId="5B4F301B">
                  <w:pPr>
                    <w:pStyle w:val="34"/>
                    <w:jc w:val="both"/>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防渗性能不应低于 1.5m厚渗透系数为</w:t>
                  </w:r>
                </w:p>
                <w:p w14:paraId="4BD6A17D">
                  <w:pPr>
                    <w:pStyle w:val="34"/>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 xml:space="preserve">1.0×10 </w:t>
                  </w:r>
                  <w:r>
                    <w:rPr>
                      <w:rFonts w:hint="default" w:ascii="Times New Roman" w:hAnsi="Times New Roman" w:cs="Times New Roman"/>
                      <w:color w:val="000000" w:themeColor="text1"/>
                      <w:highlight w:val="none"/>
                      <w:vertAlign w:val="superscript"/>
                      <w14:textFill>
                        <w14:solidFill>
                          <w14:schemeClr w14:val="tx1"/>
                        </w14:solidFill>
                      </w14:textFill>
                    </w:rPr>
                    <w:t>-7</w:t>
                  </w:r>
                  <w:r>
                    <w:rPr>
                      <w:rFonts w:hint="default" w:ascii="Times New Roman" w:hAnsi="Times New Roman" w:cs="Times New Roman"/>
                      <w:color w:val="000000" w:themeColor="text1"/>
                      <w:highlight w:val="none"/>
                      <w14:textFill>
                        <w14:solidFill>
                          <w14:schemeClr w14:val="tx1"/>
                        </w14:solidFill>
                      </w14:textFill>
                    </w:rPr>
                    <w:t>cm/s的粘土层的防渗性能。</w:t>
                  </w:r>
                </w:p>
              </w:tc>
            </w:tr>
          </w:tbl>
          <w:p w14:paraId="215F8603">
            <w:pPr>
              <w:pStyle w:val="2"/>
              <w:numPr>
                <w:ilvl w:val="0"/>
                <w:numId w:val="0"/>
              </w:numPr>
              <w:adjustRightInd w:val="0"/>
              <w:snapToGrid w:val="0"/>
              <w:spacing w:line="360" w:lineRule="auto"/>
              <w:ind w:firstLine="482" w:firstLineChars="200"/>
              <w:rPr>
                <w:rFonts w:hint="eastAsia" w:ascii="Times New Roman" w:hAnsi="Times New Roman" w:eastAsia="宋体" w:cs="Times New Roman"/>
                <w:b/>
                <w:bCs/>
                <w:color w:val="000000" w:themeColor="text1"/>
                <w:sz w:val="24"/>
                <w:highlight w:val="none"/>
                <w:lang w:eastAsia="zh-CN"/>
                <w14:textFill>
                  <w14:solidFill>
                    <w14:schemeClr w14:val="tx1"/>
                  </w14:solidFill>
                </w14:textFill>
              </w:rPr>
            </w:pPr>
            <w:r>
              <w:rPr>
                <w:rFonts w:hint="default" w:ascii="Times New Roman" w:hAnsi="Times New Roman" w:cs="Times New Roman"/>
                <w:b/>
                <w:bCs/>
                <w:color w:val="000000" w:themeColor="text1"/>
                <w:sz w:val="24"/>
                <w:highlight w:val="none"/>
                <w14:textFill>
                  <w14:solidFill>
                    <w14:schemeClr w14:val="tx1"/>
                  </w14:solidFill>
                </w14:textFill>
              </w:rPr>
              <w:t>一般防渗区</w:t>
            </w:r>
            <w:r>
              <w:rPr>
                <w:rFonts w:hint="eastAsia" w:cs="Times New Roman"/>
                <w:b/>
                <w:bCs/>
                <w:color w:val="000000" w:themeColor="text1"/>
                <w:sz w:val="24"/>
                <w:highlight w:val="none"/>
                <w:lang w:eastAsia="zh-CN"/>
                <w14:textFill>
                  <w14:solidFill>
                    <w14:schemeClr w14:val="tx1"/>
                  </w14:solidFill>
                </w14:textFill>
              </w:rPr>
              <w:t>：</w:t>
            </w:r>
          </w:p>
          <w:p w14:paraId="6946F9F7">
            <w:pPr>
              <w:pStyle w:val="2"/>
              <w:adjustRightInd w:val="0"/>
              <w:snapToGrid w:val="0"/>
              <w:spacing w:line="360" w:lineRule="auto"/>
              <w:ind w:left="0" w:leftChars="0" w:firstLine="480"/>
              <w:rPr>
                <w:rFonts w:hint="default" w:ascii="Times New Roman" w:hAnsi="Times New Roman" w:cs="Times New Roman"/>
                <w:color w:val="000000" w:themeColor="text1"/>
                <w:sz w:val="24"/>
                <w:highlight w:val="none"/>
                <w14:textFill>
                  <w14:solidFill>
                    <w14:schemeClr w14:val="tx1"/>
                  </w14:solidFill>
                </w14:textFill>
              </w:rPr>
            </w:pPr>
            <w:r>
              <w:rPr>
                <w:rFonts w:hint="default" w:ascii="Times New Roman" w:hAnsi="Times New Roman" w:cs="Times New Roman"/>
                <w:color w:val="000000" w:themeColor="text1"/>
                <w:sz w:val="24"/>
                <w:highlight w:val="none"/>
                <w14:textFill>
                  <w14:solidFill>
                    <w14:schemeClr w14:val="tx1"/>
                  </w14:solidFill>
                </w14:textFill>
              </w:rPr>
              <w:t>一般防渗区是对地下水环境有污染的物料或污染物泄漏后，可及时发现和处理的区域。</w:t>
            </w:r>
          </w:p>
          <w:p w14:paraId="10F9FE0C">
            <w:pPr>
              <w:pStyle w:val="2"/>
              <w:adjustRightInd w:val="0"/>
              <w:snapToGrid w:val="0"/>
              <w:spacing w:line="360" w:lineRule="auto"/>
              <w:ind w:left="0" w:leftChars="0" w:firstLine="480"/>
              <w:rPr>
                <w:rFonts w:hint="default" w:ascii="Times New Roman" w:hAnsi="Times New Roman" w:cs="Times New Roman"/>
                <w:color w:val="000000" w:themeColor="text1"/>
                <w:sz w:val="24"/>
                <w:highlight w:val="none"/>
                <w14:textFill>
                  <w14:solidFill>
                    <w14:schemeClr w14:val="tx1"/>
                  </w14:solidFill>
                </w14:textFill>
              </w:rPr>
            </w:pPr>
            <w:r>
              <w:rPr>
                <w:rFonts w:hint="default" w:ascii="Times New Roman" w:hAnsi="Times New Roman" w:cs="Times New Roman"/>
                <w:color w:val="000000" w:themeColor="text1"/>
                <w:sz w:val="24"/>
                <w:highlight w:val="none"/>
                <w14:textFill>
                  <w14:solidFill>
                    <w14:schemeClr w14:val="tx1"/>
                  </w14:solidFill>
                </w14:textFill>
              </w:rPr>
              <w:t>一般防渗区的防渗要求：参照《环境影响评价技术导则  地下水环境》（HJ610-2016），防渗性能不应低于1.5m厚渗透系数为1.0×10</w:t>
            </w:r>
            <w:r>
              <w:rPr>
                <w:rFonts w:hint="default" w:ascii="Times New Roman" w:hAnsi="Times New Roman" w:cs="Times New Roman"/>
                <w:color w:val="000000" w:themeColor="text1"/>
                <w:sz w:val="24"/>
                <w:highlight w:val="none"/>
                <w:vertAlign w:val="superscript"/>
                <w14:textFill>
                  <w14:solidFill>
                    <w14:schemeClr w14:val="tx1"/>
                  </w14:solidFill>
                </w14:textFill>
              </w:rPr>
              <w:t>-7</w:t>
            </w:r>
            <w:r>
              <w:rPr>
                <w:rFonts w:hint="default" w:ascii="Times New Roman" w:hAnsi="Times New Roman" w:cs="Times New Roman"/>
                <w:color w:val="000000" w:themeColor="text1"/>
                <w:sz w:val="24"/>
                <w:highlight w:val="none"/>
                <w14:textFill>
                  <w14:solidFill>
                    <w14:schemeClr w14:val="tx1"/>
                  </w14:solidFill>
                </w14:textFill>
              </w:rPr>
              <w:t>cm/s的粘土层的防渗性能。地面防渗层可采用粘土、抗渗混凝土、高密度聚乙烯（HDPE）膜、钠基膨润土防水毯或其他防渗性能等效的材料：①采用粘土防渗层时防渗层顶面宜采用混凝土地面或设置厚度不小于200mm的砂石层；②采用混凝土防渗层时混凝土的强度等级不应低于C25，抗渗等级不应低于P6，厚度不应小于100mm；③采用高密度聚乙烯（HDPE）膜防渗层，厚度不宜小于1.50mm，埋深不宜小于300mm。膜上、膜下应设置保护层，保护层可采用长丝无纺土工布，膜下保护层也可采用不含尖锐颗粒的砂层，厚度不宜小于l00mm。膜上保护层以上应设置砂石层，厚度不宜小于200mm。一般污染防治区的典型防渗结构见图4-2。</w:t>
            </w:r>
          </w:p>
          <w:p w14:paraId="0B797438">
            <w:pPr>
              <w:pStyle w:val="2"/>
              <w:adjustRightInd w:val="0"/>
              <w:snapToGrid w:val="0"/>
              <w:spacing w:line="360" w:lineRule="auto"/>
              <w:ind w:left="0" w:leftChars="0" w:firstLine="0" w:firstLineChars="0"/>
              <w:jc w:val="center"/>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drawing>
                <wp:inline distT="0" distB="0" distL="114300" distR="114300">
                  <wp:extent cx="2616200" cy="1898015"/>
                  <wp:effectExtent l="0" t="0" r="5080" b="6985"/>
                  <wp:docPr id="9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图片 2"/>
                          <pic:cNvPicPr>
                            <a:picLocks noChangeAspect="1"/>
                          </pic:cNvPicPr>
                        </pic:nvPicPr>
                        <pic:blipFill>
                          <a:blip r:embed="rId13" cstate="print"/>
                          <a:srcRect l="6265" t="4229" r="2670" b="885"/>
                          <a:stretch>
                            <a:fillRect/>
                          </a:stretch>
                        </pic:blipFill>
                        <pic:spPr>
                          <a:xfrm>
                            <a:off x="0" y="0"/>
                            <a:ext cx="2616200" cy="1898015"/>
                          </a:xfrm>
                          <a:prstGeom prst="rect">
                            <a:avLst/>
                          </a:prstGeom>
                          <a:noFill/>
                          <a:ln>
                            <a:noFill/>
                          </a:ln>
                        </pic:spPr>
                      </pic:pic>
                    </a:graphicData>
                  </a:graphic>
                </wp:inline>
              </w:drawing>
            </w:r>
          </w:p>
          <w:p w14:paraId="572E3708">
            <w:pPr>
              <w:pStyle w:val="2"/>
              <w:adjustRightInd w:val="0"/>
              <w:snapToGrid w:val="0"/>
              <w:spacing w:line="360" w:lineRule="auto"/>
              <w:ind w:left="0" w:leftChars="0" w:firstLine="0" w:firstLineChars="0"/>
              <w:jc w:val="center"/>
              <w:rPr>
                <w:rFonts w:hint="default" w:ascii="Times New Roman" w:hAnsi="Times New Roman" w:cs="Times New Roman"/>
                <w:b/>
                <w:bCs/>
                <w:color w:val="000000" w:themeColor="text1"/>
                <w:highlight w:val="none"/>
                <w14:textFill>
                  <w14:solidFill>
                    <w14:schemeClr w14:val="tx1"/>
                  </w14:solidFill>
                </w14:textFill>
              </w:rPr>
            </w:pPr>
            <w:r>
              <w:rPr>
                <w:rFonts w:hint="default" w:ascii="Times New Roman" w:hAnsi="Times New Roman" w:cs="Times New Roman"/>
                <w:b/>
                <w:bCs/>
                <w:color w:val="000000" w:themeColor="text1"/>
                <w:highlight w:val="none"/>
                <w14:textFill>
                  <w14:solidFill>
                    <w14:schemeClr w14:val="tx1"/>
                  </w14:solidFill>
                </w14:textFill>
              </w:rPr>
              <w:t>图4-2一般防渗区典型防渗结构示意图</w:t>
            </w:r>
          </w:p>
          <w:p w14:paraId="08F07963">
            <w:pPr>
              <w:pStyle w:val="2"/>
              <w:numPr>
                <w:ilvl w:val="0"/>
                <w:numId w:val="0"/>
              </w:numPr>
              <w:adjustRightInd w:val="0"/>
              <w:snapToGrid w:val="0"/>
              <w:spacing w:line="360" w:lineRule="auto"/>
              <w:ind w:firstLine="482" w:firstLineChars="200"/>
              <w:rPr>
                <w:rFonts w:hint="default" w:ascii="Times New Roman" w:hAnsi="Times New Roman" w:cs="Times New Roman"/>
                <w:b/>
                <w:bCs/>
                <w:color w:val="000000" w:themeColor="text1"/>
                <w:sz w:val="24"/>
                <w:highlight w:val="none"/>
                <w14:textFill>
                  <w14:solidFill>
                    <w14:schemeClr w14:val="tx1"/>
                  </w14:solidFill>
                </w14:textFill>
              </w:rPr>
            </w:pPr>
            <w:r>
              <w:rPr>
                <w:rFonts w:hint="default" w:ascii="Times New Roman" w:hAnsi="Times New Roman" w:cs="Times New Roman"/>
                <w:b/>
                <w:bCs/>
                <w:color w:val="000000" w:themeColor="text1"/>
                <w:sz w:val="24"/>
                <w:highlight w:val="none"/>
                <w14:textFill>
                  <w14:solidFill>
                    <w14:schemeClr w14:val="tx1"/>
                  </w14:solidFill>
                </w14:textFill>
              </w:rPr>
              <w:t>重点防渗区</w:t>
            </w:r>
            <w:r>
              <w:rPr>
                <w:rFonts w:hint="eastAsia" w:cs="Times New Roman"/>
                <w:b/>
                <w:bCs/>
                <w:color w:val="000000" w:themeColor="text1"/>
                <w:sz w:val="24"/>
                <w:highlight w:val="none"/>
                <w:lang w:eastAsia="zh-CN"/>
                <w14:textFill>
                  <w14:solidFill>
                    <w14:schemeClr w14:val="tx1"/>
                  </w14:solidFill>
                </w14:textFill>
              </w:rPr>
              <w:t>：</w:t>
            </w:r>
            <w:r>
              <w:rPr>
                <w:rFonts w:hint="default" w:ascii="Times New Roman" w:hAnsi="Times New Roman" w:cs="Times New Roman"/>
                <w:b/>
                <w:bCs/>
                <w:color w:val="000000" w:themeColor="text1"/>
                <w:sz w:val="24"/>
                <w:highlight w:val="none"/>
                <w14:textFill>
                  <w14:solidFill>
                    <w14:schemeClr w14:val="tx1"/>
                  </w14:solidFill>
                </w14:textFill>
              </w:rPr>
              <w:t xml:space="preserve"> </w:t>
            </w:r>
          </w:p>
          <w:p w14:paraId="7E2C0643">
            <w:pPr>
              <w:pStyle w:val="2"/>
              <w:adjustRightInd w:val="0"/>
              <w:snapToGrid w:val="0"/>
              <w:spacing w:line="360" w:lineRule="auto"/>
              <w:ind w:left="0" w:leftChars="0" w:firstLine="480"/>
              <w:rPr>
                <w:rFonts w:hint="default" w:ascii="Times New Roman" w:hAnsi="Times New Roman" w:cs="Times New Roman"/>
                <w:color w:val="000000" w:themeColor="text1"/>
                <w:sz w:val="24"/>
                <w:highlight w:val="none"/>
                <w14:textFill>
                  <w14:solidFill>
                    <w14:schemeClr w14:val="tx1"/>
                  </w14:solidFill>
                </w14:textFill>
              </w:rPr>
            </w:pPr>
            <w:r>
              <w:rPr>
                <w:rFonts w:hint="default" w:ascii="Times New Roman" w:hAnsi="Times New Roman" w:cs="Times New Roman"/>
                <w:color w:val="000000" w:themeColor="text1"/>
                <w:sz w:val="24"/>
                <w:highlight w:val="none"/>
                <w14:textFill>
                  <w14:solidFill>
                    <w14:schemeClr w14:val="tx1"/>
                  </w14:solidFill>
                </w14:textFill>
              </w:rPr>
              <w:t>重点污染防治区指位于地下或半地下的生产功能单元，污染地下水环境的 物料泄漏不容易及时发现和处理的区域。</w:t>
            </w:r>
          </w:p>
          <w:p w14:paraId="38B9D5D4">
            <w:pPr>
              <w:pStyle w:val="2"/>
              <w:adjustRightInd w:val="0"/>
              <w:snapToGrid w:val="0"/>
              <w:spacing w:line="360" w:lineRule="auto"/>
              <w:ind w:left="0" w:leftChars="0" w:firstLine="480"/>
              <w:rPr>
                <w:rFonts w:hint="default" w:ascii="Times New Roman" w:hAnsi="Times New Roman" w:cs="Times New Roman"/>
                <w:color w:val="000000" w:themeColor="text1"/>
                <w:sz w:val="24"/>
                <w:highlight w:val="none"/>
                <w14:textFill>
                  <w14:solidFill>
                    <w14:schemeClr w14:val="tx1"/>
                  </w14:solidFill>
                </w14:textFill>
              </w:rPr>
            </w:pPr>
            <w:r>
              <w:rPr>
                <w:rFonts w:hint="eastAsia" w:cs="Times New Roman"/>
                <w:color w:val="000000" w:themeColor="text1"/>
                <w:sz w:val="24"/>
                <w:highlight w:val="none"/>
                <w:lang w:val="en-US" w:eastAsia="zh-CN"/>
                <w14:textFill>
                  <w14:solidFill>
                    <w14:schemeClr w14:val="tx1"/>
                  </w14:solidFill>
                </w14:textFill>
              </w:rPr>
              <w:t>重点防渗区的防渗要求：</w:t>
            </w:r>
            <w:r>
              <w:rPr>
                <w:rFonts w:hint="default" w:ascii="Times New Roman" w:hAnsi="Times New Roman" w:cs="Times New Roman"/>
                <w:color w:val="000000" w:themeColor="text1"/>
                <w:sz w:val="24"/>
                <w:highlight w:val="none"/>
                <w14:textFill>
                  <w14:solidFill>
                    <w14:schemeClr w14:val="tx1"/>
                  </w14:solidFill>
                </w14:textFill>
              </w:rPr>
              <w:t>重点防渗区防渗层的防渗参照《环境影响评价技术导则 地下水环境》（HJ610-2016），防渗性能不应低于6.0m厚渗透系数为1.0×10</w:t>
            </w:r>
            <w:r>
              <w:rPr>
                <w:rFonts w:hint="default" w:ascii="Times New Roman" w:hAnsi="Times New Roman" w:cs="Times New Roman"/>
                <w:color w:val="000000" w:themeColor="text1"/>
                <w:sz w:val="24"/>
                <w:highlight w:val="none"/>
                <w:vertAlign w:val="superscript"/>
                <w14:textFill>
                  <w14:solidFill>
                    <w14:schemeClr w14:val="tx1"/>
                  </w14:solidFill>
                </w14:textFill>
              </w:rPr>
              <w:t>-7</w:t>
            </w:r>
            <w:r>
              <w:rPr>
                <w:rFonts w:hint="default" w:ascii="Times New Roman" w:hAnsi="Times New Roman" w:cs="Times New Roman"/>
                <w:color w:val="000000" w:themeColor="text1"/>
                <w:sz w:val="24"/>
                <w:highlight w:val="none"/>
                <w14:textFill>
                  <w14:solidFill>
                    <w14:schemeClr w14:val="tx1"/>
                  </w14:solidFill>
                </w14:textFill>
              </w:rPr>
              <w:t>cm/s的粘土层的防渗性能。</w:t>
            </w:r>
          </w:p>
          <w:p w14:paraId="4810F902">
            <w:pPr>
              <w:pStyle w:val="2"/>
              <w:adjustRightInd w:val="0"/>
              <w:snapToGrid w:val="0"/>
              <w:spacing w:line="360" w:lineRule="auto"/>
              <w:ind w:left="0" w:leftChars="0" w:firstLine="0" w:firstLineChars="0"/>
              <w:jc w:val="center"/>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drawing>
                <wp:inline distT="0" distB="0" distL="114300" distR="114300">
                  <wp:extent cx="2759710" cy="2011045"/>
                  <wp:effectExtent l="0" t="0" r="13970" b="635"/>
                  <wp:docPr id="9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图片 3"/>
                          <pic:cNvPicPr>
                            <a:picLocks noChangeAspect="1"/>
                          </pic:cNvPicPr>
                        </pic:nvPicPr>
                        <pic:blipFill>
                          <a:blip r:embed="rId14" cstate="print"/>
                          <a:srcRect l="5562" t="8563" r="11882" b="978"/>
                          <a:stretch>
                            <a:fillRect/>
                          </a:stretch>
                        </pic:blipFill>
                        <pic:spPr>
                          <a:xfrm>
                            <a:off x="0" y="0"/>
                            <a:ext cx="2759710" cy="2011045"/>
                          </a:xfrm>
                          <a:prstGeom prst="rect">
                            <a:avLst/>
                          </a:prstGeom>
                          <a:noFill/>
                          <a:ln>
                            <a:noFill/>
                          </a:ln>
                        </pic:spPr>
                      </pic:pic>
                    </a:graphicData>
                  </a:graphic>
                </wp:inline>
              </w:drawing>
            </w:r>
          </w:p>
          <w:p w14:paraId="49705211">
            <w:pPr>
              <w:pStyle w:val="2"/>
              <w:adjustRightInd w:val="0"/>
              <w:snapToGrid w:val="0"/>
              <w:spacing w:line="360" w:lineRule="auto"/>
              <w:ind w:left="0" w:leftChars="0" w:firstLine="0" w:firstLineChars="0"/>
              <w:jc w:val="center"/>
              <w:rPr>
                <w:rFonts w:hint="default" w:ascii="Times New Roman" w:hAnsi="Times New Roman" w:cs="Times New Roman"/>
                <w:b/>
                <w:bCs/>
                <w:color w:val="000000" w:themeColor="text1"/>
                <w:highlight w:val="none"/>
                <w14:textFill>
                  <w14:solidFill>
                    <w14:schemeClr w14:val="tx1"/>
                  </w14:solidFill>
                </w14:textFill>
              </w:rPr>
            </w:pPr>
            <w:r>
              <w:rPr>
                <w:rFonts w:hint="default" w:ascii="Times New Roman" w:hAnsi="Times New Roman" w:cs="Times New Roman"/>
                <w:b/>
                <w:bCs/>
                <w:color w:val="000000" w:themeColor="text1"/>
                <w:highlight w:val="none"/>
                <w14:textFill>
                  <w14:solidFill>
                    <w14:schemeClr w14:val="tx1"/>
                  </w14:solidFill>
                </w14:textFill>
              </w:rPr>
              <w:t>图4-3 重点防渗区典型防渗结构示意图</w:t>
            </w:r>
          </w:p>
          <w:p w14:paraId="2CBF2F2C">
            <w:pPr>
              <w:pStyle w:val="2"/>
              <w:adjustRightInd w:val="0"/>
              <w:snapToGrid w:val="0"/>
              <w:spacing w:line="360" w:lineRule="auto"/>
              <w:ind w:left="0" w:leftChars="0" w:firstLine="480"/>
              <w:rPr>
                <w:rFonts w:hint="default" w:ascii="Times New Roman" w:hAnsi="Times New Roman" w:cs="Times New Roman"/>
                <w:color w:val="000000" w:themeColor="text1"/>
                <w:sz w:val="24"/>
                <w:highlight w:val="none"/>
                <w14:textFill>
                  <w14:solidFill>
                    <w14:schemeClr w14:val="tx1"/>
                  </w14:solidFill>
                </w14:textFill>
              </w:rPr>
            </w:pPr>
            <w:r>
              <w:rPr>
                <w:rFonts w:hint="default" w:ascii="Times New Roman" w:hAnsi="Times New Roman" w:cs="Times New Roman"/>
                <w:color w:val="000000" w:themeColor="text1"/>
                <w:sz w:val="24"/>
                <w:highlight w:val="none"/>
                <w14:textFill>
                  <w14:solidFill>
                    <w14:schemeClr w14:val="tx1"/>
                  </w14:solidFill>
                </w14:textFill>
              </w:rPr>
              <w:t>采取以上措施后，在一定程度上可以切断地下水的污染途径，措施有效可行，对地下水环境影响较小。</w:t>
            </w:r>
          </w:p>
          <w:p w14:paraId="29F9F85D">
            <w:pPr>
              <w:pStyle w:val="2"/>
              <w:adjustRightInd w:val="0"/>
              <w:snapToGrid w:val="0"/>
              <w:spacing w:line="360" w:lineRule="auto"/>
              <w:ind w:left="0" w:leftChars="0" w:firstLine="482"/>
              <w:rPr>
                <w:rFonts w:hint="default" w:ascii="Times New Roman" w:hAnsi="Times New Roman" w:cs="Times New Roman"/>
                <w:b/>
                <w:bCs/>
                <w:color w:val="000000" w:themeColor="text1"/>
                <w:sz w:val="24"/>
                <w:highlight w:val="none"/>
                <w14:textFill>
                  <w14:solidFill>
                    <w14:schemeClr w14:val="tx1"/>
                  </w14:solidFill>
                </w14:textFill>
              </w:rPr>
            </w:pPr>
            <w:r>
              <w:rPr>
                <w:rFonts w:hint="default" w:ascii="Times New Roman" w:hAnsi="Times New Roman" w:cs="Times New Roman"/>
                <w:b/>
                <w:bCs/>
                <w:color w:val="000000" w:themeColor="text1"/>
                <w:sz w:val="24"/>
                <w:highlight w:val="none"/>
                <w14:textFill>
                  <w14:solidFill>
                    <w14:schemeClr w14:val="tx1"/>
                  </w14:solidFill>
                </w14:textFill>
              </w:rPr>
              <w:t>（4）跟踪监测计划</w:t>
            </w:r>
          </w:p>
          <w:p w14:paraId="33D98E1E">
            <w:pPr>
              <w:pStyle w:val="2"/>
              <w:adjustRightInd w:val="0"/>
              <w:snapToGrid w:val="0"/>
              <w:spacing w:line="360" w:lineRule="auto"/>
              <w:ind w:left="0" w:leftChars="0" w:firstLine="480"/>
              <w:rPr>
                <w:rFonts w:hint="default" w:ascii="Times New Roman" w:hAnsi="Times New Roman" w:cs="Times New Roman"/>
                <w:color w:val="000000" w:themeColor="text1"/>
                <w:sz w:val="24"/>
                <w:highlight w:val="none"/>
                <w14:textFill>
                  <w14:solidFill>
                    <w14:schemeClr w14:val="tx1"/>
                  </w14:solidFill>
                </w14:textFill>
              </w:rPr>
            </w:pPr>
            <w:r>
              <w:rPr>
                <w:rFonts w:hint="default" w:ascii="Times New Roman" w:hAnsi="Times New Roman" w:cs="Times New Roman"/>
                <w:color w:val="000000" w:themeColor="text1"/>
                <w:sz w:val="24"/>
                <w:highlight w:val="none"/>
                <w14:textFill>
                  <w14:solidFill>
                    <w14:schemeClr w14:val="tx1"/>
                  </w14:solidFill>
                </w14:textFill>
              </w:rPr>
              <w:t>根据《环境影响评价技术导则地下水环境》（HJ610-2016）附录A中行业分类，本项目属于“U城镇基础设施及房地产”中“151危险废物（含医疗废物）集中处置及综合利用”，编制环评报告书为I类建设项目，报告表未给出分类。结合《建设项目环境影响评价分类管理名录》（2021.1.1）的有关规定，本项目类别属于“四十七、生态保护和环境治理业”中的“101、危险废物（不含医疗废物）利用及处置仓储-其他”类别，应编制环评报告表。因此，本项目地下水环境影响评价项目类别为IV类，可不开展地下水跟踪监测。</w:t>
            </w:r>
          </w:p>
          <w:p w14:paraId="3A9823EC">
            <w:pPr>
              <w:pStyle w:val="68"/>
              <w:ind w:firstLine="0" w:firstLineChars="0"/>
              <w:rPr>
                <w:rFonts w:hint="default" w:ascii="Times New Roman" w:hAnsi="Times New Roman" w:cs="Times New Roman"/>
                <w:b/>
                <w:color w:val="000000" w:themeColor="text1"/>
                <w:highlight w:val="none"/>
                <w14:textFill>
                  <w14:solidFill>
                    <w14:schemeClr w14:val="tx1"/>
                  </w14:solidFill>
                </w14:textFill>
              </w:rPr>
            </w:pPr>
            <w:r>
              <w:rPr>
                <w:rFonts w:hint="default" w:ascii="Times New Roman" w:hAnsi="Times New Roman" w:cs="Times New Roman"/>
                <w:b/>
                <w:color w:val="000000" w:themeColor="text1"/>
                <w:highlight w:val="none"/>
                <w14:textFill>
                  <w14:solidFill>
                    <w14:schemeClr w14:val="tx1"/>
                  </w14:solidFill>
                </w14:textFill>
              </w:rPr>
              <w:t>5.2土壤</w:t>
            </w:r>
          </w:p>
          <w:p w14:paraId="6739F520">
            <w:pPr>
              <w:pStyle w:val="68"/>
              <w:ind w:firstLine="48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本项目主要为废润滑油包装桶破损，通过垂直入渗进入土壤，造成土壤影响。由于土壤本身具有的吸附和生物降解等自净作用，且废气本身产生量小，落地浓度低，所以污染物主要集中在土壤表层。</w:t>
            </w:r>
          </w:p>
          <w:p w14:paraId="2074125F">
            <w:pPr>
              <w:pStyle w:val="62"/>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表4-</w:t>
            </w:r>
            <w:r>
              <w:rPr>
                <w:rFonts w:hint="eastAsia" w:cs="Times New Roman"/>
                <w:color w:val="000000" w:themeColor="text1"/>
                <w:highlight w:val="none"/>
                <w:lang w:val="en-US" w:eastAsia="zh-CN"/>
                <w14:textFill>
                  <w14:solidFill>
                    <w14:schemeClr w14:val="tx1"/>
                  </w14:solidFill>
                </w14:textFill>
              </w:rPr>
              <w:t>9</w:t>
            </w:r>
            <w:r>
              <w:rPr>
                <w:rFonts w:hint="default" w:ascii="Times New Roman" w:hAnsi="Times New Roman" w:cs="Times New Roman"/>
                <w:color w:val="000000" w:themeColor="text1"/>
                <w:highlight w:val="none"/>
                <w14:textFill>
                  <w14:solidFill>
                    <w14:schemeClr w14:val="tx1"/>
                  </w14:solidFill>
                </w14:textFill>
              </w:rPr>
              <w:t xml:space="preserve">   建设项目土壤环境影响类型与影响途径表</w:t>
            </w:r>
          </w:p>
          <w:tbl>
            <w:tblPr>
              <w:tblStyle w:val="27"/>
              <w:tblW w:w="4999" w:type="pct"/>
              <w:tblInd w:w="0" w:type="dxa"/>
              <w:tblBorders>
                <w:top w:val="double" w:color="auto" w:sz="4" w:space="0"/>
                <w:left w:val="none" w:color="auto" w:sz="0" w:space="0"/>
                <w:bottom w:val="doub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374"/>
              <w:gridCol w:w="1146"/>
              <w:gridCol w:w="1146"/>
              <w:gridCol w:w="1146"/>
              <w:gridCol w:w="699"/>
              <w:gridCol w:w="690"/>
              <w:gridCol w:w="690"/>
              <w:gridCol w:w="690"/>
              <w:gridCol w:w="694"/>
            </w:tblGrid>
            <w:tr w14:paraId="20D07F9B">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30" w:type="pct"/>
                  <w:vMerge w:val="restart"/>
                  <w:vAlign w:val="center"/>
                </w:tcPr>
                <w:p w14:paraId="149F4AD2">
                  <w:pPr>
                    <w:pStyle w:val="2"/>
                    <w:adjustRightInd w:val="0"/>
                    <w:snapToGrid w:val="0"/>
                    <w:ind w:left="0" w:leftChars="0" w:firstLine="0" w:firstLineChars="0"/>
                    <w:jc w:val="center"/>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szCs w:val="21"/>
                      <w:highlight w:val="none"/>
                      <w14:textFill>
                        <w14:solidFill>
                          <w14:schemeClr w14:val="tx1"/>
                        </w14:solidFill>
                      </w14:textFill>
                    </w:rPr>
                    <w:t>不同时段</w:t>
                  </w:r>
                </w:p>
              </w:tc>
              <w:tc>
                <w:tcPr>
                  <w:tcW w:w="2498" w:type="pct"/>
                  <w:gridSpan w:val="4"/>
                  <w:vAlign w:val="center"/>
                </w:tcPr>
                <w:p w14:paraId="0355F5AB">
                  <w:pPr>
                    <w:pStyle w:val="2"/>
                    <w:adjustRightInd w:val="0"/>
                    <w:snapToGrid w:val="0"/>
                    <w:ind w:left="0" w:leftChars="0" w:firstLine="0" w:firstLineChars="0"/>
                    <w:jc w:val="center"/>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szCs w:val="21"/>
                      <w:highlight w:val="none"/>
                      <w14:textFill>
                        <w14:solidFill>
                          <w14:schemeClr w14:val="tx1"/>
                        </w14:solidFill>
                      </w14:textFill>
                    </w:rPr>
                    <w:t>污染影响型</w:t>
                  </w:r>
                </w:p>
              </w:tc>
              <w:tc>
                <w:tcPr>
                  <w:tcW w:w="1670" w:type="pct"/>
                  <w:gridSpan w:val="4"/>
                  <w:vAlign w:val="center"/>
                </w:tcPr>
                <w:p w14:paraId="7BCC038A">
                  <w:pPr>
                    <w:pStyle w:val="2"/>
                    <w:adjustRightInd w:val="0"/>
                    <w:snapToGrid w:val="0"/>
                    <w:ind w:left="0" w:leftChars="0" w:firstLine="0" w:firstLineChars="0"/>
                    <w:jc w:val="center"/>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szCs w:val="21"/>
                      <w:highlight w:val="none"/>
                      <w14:textFill>
                        <w14:solidFill>
                          <w14:schemeClr w14:val="tx1"/>
                        </w14:solidFill>
                      </w14:textFill>
                    </w:rPr>
                    <w:t>生态影响型</w:t>
                  </w:r>
                </w:p>
              </w:tc>
            </w:tr>
            <w:tr w14:paraId="35C654AB">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30" w:type="pct"/>
                  <w:vMerge w:val="continue"/>
                  <w:vAlign w:val="center"/>
                </w:tcPr>
                <w:p w14:paraId="5EEBCA49">
                  <w:pPr>
                    <w:pStyle w:val="2"/>
                    <w:adjustRightInd w:val="0"/>
                    <w:snapToGrid w:val="0"/>
                    <w:ind w:left="0" w:leftChars="0" w:firstLine="0" w:firstLineChars="0"/>
                    <w:jc w:val="center"/>
                    <w:rPr>
                      <w:rFonts w:hint="default" w:ascii="Times New Roman" w:hAnsi="Times New Roman" w:cs="Times New Roman"/>
                      <w:color w:val="000000" w:themeColor="text1"/>
                      <w:szCs w:val="21"/>
                      <w:highlight w:val="none"/>
                      <w14:textFill>
                        <w14:solidFill>
                          <w14:schemeClr w14:val="tx1"/>
                        </w14:solidFill>
                      </w14:textFill>
                    </w:rPr>
                  </w:pPr>
                </w:p>
              </w:tc>
              <w:tc>
                <w:tcPr>
                  <w:tcW w:w="692" w:type="pct"/>
                  <w:vAlign w:val="center"/>
                </w:tcPr>
                <w:p w14:paraId="77BD7104">
                  <w:pPr>
                    <w:pStyle w:val="2"/>
                    <w:adjustRightInd w:val="0"/>
                    <w:snapToGrid w:val="0"/>
                    <w:ind w:left="0" w:leftChars="0" w:firstLine="0" w:firstLineChars="0"/>
                    <w:jc w:val="center"/>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szCs w:val="21"/>
                      <w:highlight w:val="none"/>
                      <w14:textFill>
                        <w14:solidFill>
                          <w14:schemeClr w14:val="tx1"/>
                        </w14:solidFill>
                      </w14:textFill>
                    </w:rPr>
                    <w:t>大气沉降</w:t>
                  </w:r>
                </w:p>
              </w:tc>
              <w:tc>
                <w:tcPr>
                  <w:tcW w:w="692" w:type="pct"/>
                  <w:vAlign w:val="center"/>
                </w:tcPr>
                <w:p w14:paraId="0AD17589">
                  <w:pPr>
                    <w:pStyle w:val="2"/>
                    <w:adjustRightInd w:val="0"/>
                    <w:snapToGrid w:val="0"/>
                    <w:ind w:left="0" w:leftChars="0" w:firstLine="0" w:firstLineChars="0"/>
                    <w:jc w:val="center"/>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szCs w:val="21"/>
                      <w:highlight w:val="none"/>
                      <w14:textFill>
                        <w14:solidFill>
                          <w14:schemeClr w14:val="tx1"/>
                        </w14:solidFill>
                      </w14:textFill>
                    </w:rPr>
                    <w:t>地面漫流</w:t>
                  </w:r>
                </w:p>
              </w:tc>
              <w:tc>
                <w:tcPr>
                  <w:tcW w:w="692" w:type="pct"/>
                  <w:vAlign w:val="center"/>
                </w:tcPr>
                <w:p w14:paraId="4C1B4673">
                  <w:pPr>
                    <w:pStyle w:val="2"/>
                    <w:adjustRightInd w:val="0"/>
                    <w:snapToGrid w:val="0"/>
                    <w:ind w:left="0" w:leftChars="0" w:firstLine="0" w:firstLineChars="0"/>
                    <w:jc w:val="center"/>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szCs w:val="21"/>
                      <w:highlight w:val="none"/>
                      <w14:textFill>
                        <w14:solidFill>
                          <w14:schemeClr w14:val="tx1"/>
                        </w14:solidFill>
                      </w14:textFill>
                    </w:rPr>
                    <w:t>垂直入渗</w:t>
                  </w:r>
                </w:p>
              </w:tc>
              <w:tc>
                <w:tcPr>
                  <w:tcW w:w="420" w:type="pct"/>
                  <w:vAlign w:val="center"/>
                </w:tcPr>
                <w:p w14:paraId="679DB75B">
                  <w:pPr>
                    <w:pStyle w:val="2"/>
                    <w:adjustRightInd w:val="0"/>
                    <w:snapToGrid w:val="0"/>
                    <w:ind w:left="0" w:leftChars="0" w:firstLine="0" w:firstLineChars="0"/>
                    <w:jc w:val="center"/>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szCs w:val="21"/>
                      <w:highlight w:val="none"/>
                      <w14:textFill>
                        <w14:solidFill>
                          <w14:schemeClr w14:val="tx1"/>
                        </w14:solidFill>
                      </w14:textFill>
                    </w:rPr>
                    <w:t>其他</w:t>
                  </w:r>
                </w:p>
              </w:tc>
              <w:tc>
                <w:tcPr>
                  <w:tcW w:w="417" w:type="pct"/>
                  <w:vAlign w:val="center"/>
                </w:tcPr>
                <w:p w14:paraId="23E7222C">
                  <w:pPr>
                    <w:pStyle w:val="2"/>
                    <w:adjustRightInd w:val="0"/>
                    <w:snapToGrid w:val="0"/>
                    <w:ind w:left="0" w:leftChars="0" w:firstLine="0" w:firstLineChars="0"/>
                    <w:jc w:val="center"/>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szCs w:val="21"/>
                      <w:highlight w:val="none"/>
                      <w14:textFill>
                        <w14:solidFill>
                          <w14:schemeClr w14:val="tx1"/>
                        </w14:solidFill>
                      </w14:textFill>
                    </w:rPr>
                    <w:t>盐化</w:t>
                  </w:r>
                </w:p>
              </w:tc>
              <w:tc>
                <w:tcPr>
                  <w:tcW w:w="417" w:type="pct"/>
                  <w:vAlign w:val="center"/>
                </w:tcPr>
                <w:p w14:paraId="0DCE679A">
                  <w:pPr>
                    <w:pStyle w:val="2"/>
                    <w:adjustRightInd w:val="0"/>
                    <w:snapToGrid w:val="0"/>
                    <w:ind w:left="0" w:leftChars="0" w:firstLine="0" w:firstLineChars="0"/>
                    <w:jc w:val="center"/>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szCs w:val="21"/>
                      <w:highlight w:val="none"/>
                      <w14:textFill>
                        <w14:solidFill>
                          <w14:schemeClr w14:val="tx1"/>
                        </w14:solidFill>
                      </w14:textFill>
                    </w:rPr>
                    <w:t>碱化</w:t>
                  </w:r>
                </w:p>
              </w:tc>
              <w:tc>
                <w:tcPr>
                  <w:tcW w:w="417" w:type="pct"/>
                  <w:vAlign w:val="center"/>
                </w:tcPr>
                <w:p w14:paraId="7C692D34">
                  <w:pPr>
                    <w:pStyle w:val="2"/>
                    <w:adjustRightInd w:val="0"/>
                    <w:snapToGrid w:val="0"/>
                    <w:ind w:left="0" w:leftChars="0" w:firstLine="0" w:firstLineChars="0"/>
                    <w:jc w:val="center"/>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szCs w:val="21"/>
                      <w:highlight w:val="none"/>
                      <w14:textFill>
                        <w14:solidFill>
                          <w14:schemeClr w14:val="tx1"/>
                        </w14:solidFill>
                      </w14:textFill>
                    </w:rPr>
                    <w:t>酸化</w:t>
                  </w:r>
                </w:p>
              </w:tc>
              <w:tc>
                <w:tcPr>
                  <w:tcW w:w="417" w:type="pct"/>
                  <w:vAlign w:val="center"/>
                </w:tcPr>
                <w:p w14:paraId="558B81F1">
                  <w:pPr>
                    <w:pStyle w:val="2"/>
                    <w:adjustRightInd w:val="0"/>
                    <w:snapToGrid w:val="0"/>
                    <w:ind w:left="0" w:leftChars="0" w:firstLine="0" w:firstLineChars="0"/>
                    <w:jc w:val="center"/>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szCs w:val="21"/>
                      <w:highlight w:val="none"/>
                      <w14:textFill>
                        <w14:solidFill>
                          <w14:schemeClr w14:val="tx1"/>
                        </w14:solidFill>
                      </w14:textFill>
                    </w:rPr>
                    <w:t>其他</w:t>
                  </w:r>
                </w:p>
              </w:tc>
            </w:tr>
            <w:tr w14:paraId="3EFFE78F">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30" w:type="pct"/>
                  <w:vAlign w:val="center"/>
                </w:tcPr>
                <w:p w14:paraId="112BCE51">
                  <w:pPr>
                    <w:pStyle w:val="2"/>
                    <w:adjustRightInd w:val="0"/>
                    <w:snapToGrid w:val="0"/>
                    <w:ind w:left="0" w:leftChars="0" w:firstLine="0" w:firstLineChars="0"/>
                    <w:jc w:val="center"/>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szCs w:val="21"/>
                      <w:highlight w:val="none"/>
                      <w14:textFill>
                        <w14:solidFill>
                          <w14:schemeClr w14:val="tx1"/>
                        </w14:solidFill>
                      </w14:textFill>
                    </w:rPr>
                    <w:t>建设期</w:t>
                  </w:r>
                </w:p>
              </w:tc>
              <w:tc>
                <w:tcPr>
                  <w:tcW w:w="692" w:type="pct"/>
                  <w:vAlign w:val="center"/>
                </w:tcPr>
                <w:p w14:paraId="1CBD3B7A">
                  <w:pPr>
                    <w:pStyle w:val="2"/>
                    <w:adjustRightInd w:val="0"/>
                    <w:snapToGrid w:val="0"/>
                    <w:ind w:left="0" w:leftChars="0" w:firstLine="0" w:firstLineChars="0"/>
                    <w:jc w:val="center"/>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szCs w:val="21"/>
                      <w:highlight w:val="none"/>
                      <w14:textFill>
                        <w14:solidFill>
                          <w14:schemeClr w14:val="tx1"/>
                        </w14:solidFill>
                      </w14:textFill>
                    </w:rPr>
                    <w:t>-</w:t>
                  </w:r>
                </w:p>
              </w:tc>
              <w:tc>
                <w:tcPr>
                  <w:tcW w:w="692" w:type="pct"/>
                  <w:vAlign w:val="center"/>
                </w:tcPr>
                <w:p w14:paraId="4FE45A8D">
                  <w:pPr>
                    <w:pStyle w:val="2"/>
                    <w:adjustRightInd w:val="0"/>
                    <w:snapToGrid w:val="0"/>
                    <w:ind w:left="0" w:leftChars="0" w:firstLine="0" w:firstLineChars="0"/>
                    <w:jc w:val="center"/>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szCs w:val="21"/>
                      <w:highlight w:val="none"/>
                      <w14:textFill>
                        <w14:solidFill>
                          <w14:schemeClr w14:val="tx1"/>
                        </w14:solidFill>
                      </w14:textFill>
                    </w:rPr>
                    <w:t>-</w:t>
                  </w:r>
                </w:p>
              </w:tc>
              <w:tc>
                <w:tcPr>
                  <w:tcW w:w="692" w:type="pct"/>
                  <w:vAlign w:val="center"/>
                </w:tcPr>
                <w:p w14:paraId="2C9B67E7">
                  <w:pPr>
                    <w:pStyle w:val="2"/>
                    <w:adjustRightInd w:val="0"/>
                    <w:snapToGrid w:val="0"/>
                    <w:ind w:left="0" w:leftChars="0" w:firstLine="0" w:firstLineChars="0"/>
                    <w:jc w:val="center"/>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szCs w:val="21"/>
                      <w:highlight w:val="none"/>
                      <w14:textFill>
                        <w14:solidFill>
                          <w14:schemeClr w14:val="tx1"/>
                        </w14:solidFill>
                      </w14:textFill>
                    </w:rPr>
                    <w:t>-</w:t>
                  </w:r>
                </w:p>
              </w:tc>
              <w:tc>
                <w:tcPr>
                  <w:tcW w:w="420" w:type="pct"/>
                  <w:vAlign w:val="center"/>
                </w:tcPr>
                <w:p w14:paraId="6BD3BF6F">
                  <w:pPr>
                    <w:pStyle w:val="2"/>
                    <w:adjustRightInd w:val="0"/>
                    <w:snapToGrid w:val="0"/>
                    <w:ind w:left="0" w:leftChars="0" w:firstLine="0" w:firstLineChars="0"/>
                    <w:jc w:val="center"/>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szCs w:val="21"/>
                      <w:highlight w:val="none"/>
                      <w14:textFill>
                        <w14:solidFill>
                          <w14:schemeClr w14:val="tx1"/>
                        </w14:solidFill>
                      </w14:textFill>
                    </w:rPr>
                    <w:t>-</w:t>
                  </w:r>
                </w:p>
              </w:tc>
              <w:tc>
                <w:tcPr>
                  <w:tcW w:w="417" w:type="pct"/>
                  <w:vAlign w:val="center"/>
                </w:tcPr>
                <w:p w14:paraId="37062B59">
                  <w:pPr>
                    <w:pStyle w:val="2"/>
                    <w:adjustRightInd w:val="0"/>
                    <w:snapToGrid w:val="0"/>
                    <w:ind w:left="0" w:leftChars="0" w:firstLine="0" w:firstLineChars="0"/>
                    <w:jc w:val="center"/>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szCs w:val="21"/>
                      <w:highlight w:val="none"/>
                      <w14:textFill>
                        <w14:solidFill>
                          <w14:schemeClr w14:val="tx1"/>
                        </w14:solidFill>
                      </w14:textFill>
                    </w:rPr>
                    <w:t>-</w:t>
                  </w:r>
                </w:p>
              </w:tc>
              <w:tc>
                <w:tcPr>
                  <w:tcW w:w="417" w:type="pct"/>
                  <w:vAlign w:val="center"/>
                </w:tcPr>
                <w:p w14:paraId="42821B45">
                  <w:pPr>
                    <w:pStyle w:val="2"/>
                    <w:adjustRightInd w:val="0"/>
                    <w:snapToGrid w:val="0"/>
                    <w:ind w:left="0" w:leftChars="0" w:firstLine="0" w:firstLineChars="0"/>
                    <w:jc w:val="center"/>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szCs w:val="21"/>
                      <w:highlight w:val="none"/>
                      <w14:textFill>
                        <w14:solidFill>
                          <w14:schemeClr w14:val="tx1"/>
                        </w14:solidFill>
                      </w14:textFill>
                    </w:rPr>
                    <w:t>-</w:t>
                  </w:r>
                </w:p>
              </w:tc>
              <w:tc>
                <w:tcPr>
                  <w:tcW w:w="417" w:type="pct"/>
                  <w:vAlign w:val="center"/>
                </w:tcPr>
                <w:p w14:paraId="446CB3DE">
                  <w:pPr>
                    <w:pStyle w:val="2"/>
                    <w:adjustRightInd w:val="0"/>
                    <w:snapToGrid w:val="0"/>
                    <w:ind w:left="0" w:leftChars="0" w:firstLine="0" w:firstLineChars="0"/>
                    <w:jc w:val="center"/>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szCs w:val="21"/>
                      <w:highlight w:val="none"/>
                      <w14:textFill>
                        <w14:solidFill>
                          <w14:schemeClr w14:val="tx1"/>
                        </w14:solidFill>
                      </w14:textFill>
                    </w:rPr>
                    <w:t>-</w:t>
                  </w:r>
                </w:p>
              </w:tc>
              <w:tc>
                <w:tcPr>
                  <w:tcW w:w="417" w:type="pct"/>
                  <w:vAlign w:val="center"/>
                </w:tcPr>
                <w:p w14:paraId="34397E8D">
                  <w:pPr>
                    <w:pStyle w:val="2"/>
                    <w:adjustRightInd w:val="0"/>
                    <w:snapToGrid w:val="0"/>
                    <w:ind w:left="0" w:leftChars="0" w:firstLine="0" w:firstLineChars="0"/>
                    <w:jc w:val="center"/>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szCs w:val="21"/>
                      <w:highlight w:val="none"/>
                      <w14:textFill>
                        <w14:solidFill>
                          <w14:schemeClr w14:val="tx1"/>
                        </w14:solidFill>
                      </w14:textFill>
                    </w:rPr>
                    <w:t>-</w:t>
                  </w:r>
                </w:p>
              </w:tc>
            </w:tr>
            <w:tr w14:paraId="7F520363">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30" w:type="pct"/>
                  <w:vAlign w:val="center"/>
                </w:tcPr>
                <w:p w14:paraId="53442225">
                  <w:pPr>
                    <w:pStyle w:val="2"/>
                    <w:adjustRightInd w:val="0"/>
                    <w:snapToGrid w:val="0"/>
                    <w:ind w:left="0" w:leftChars="0" w:firstLine="0" w:firstLineChars="0"/>
                    <w:jc w:val="center"/>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szCs w:val="21"/>
                      <w:highlight w:val="none"/>
                      <w14:textFill>
                        <w14:solidFill>
                          <w14:schemeClr w14:val="tx1"/>
                        </w14:solidFill>
                      </w14:textFill>
                    </w:rPr>
                    <w:t>运营期</w:t>
                  </w:r>
                </w:p>
              </w:tc>
              <w:tc>
                <w:tcPr>
                  <w:tcW w:w="692" w:type="pct"/>
                  <w:vAlign w:val="center"/>
                </w:tcPr>
                <w:p w14:paraId="62B8EC11">
                  <w:pPr>
                    <w:pStyle w:val="2"/>
                    <w:adjustRightInd w:val="0"/>
                    <w:snapToGrid w:val="0"/>
                    <w:ind w:left="0" w:leftChars="0" w:firstLine="0" w:firstLineChars="0"/>
                    <w:jc w:val="center"/>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szCs w:val="21"/>
                      <w:highlight w:val="none"/>
                      <w14:textFill>
                        <w14:solidFill>
                          <w14:schemeClr w14:val="tx1"/>
                        </w14:solidFill>
                      </w14:textFill>
                    </w:rPr>
                    <w:t>-</w:t>
                  </w:r>
                </w:p>
              </w:tc>
              <w:tc>
                <w:tcPr>
                  <w:tcW w:w="692" w:type="pct"/>
                  <w:vAlign w:val="center"/>
                </w:tcPr>
                <w:p w14:paraId="2A121BE3">
                  <w:pPr>
                    <w:pStyle w:val="2"/>
                    <w:adjustRightInd w:val="0"/>
                    <w:snapToGrid w:val="0"/>
                    <w:ind w:left="0" w:leftChars="0" w:firstLine="0" w:firstLineChars="0"/>
                    <w:jc w:val="center"/>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szCs w:val="21"/>
                      <w:highlight w:val="none"/>
                      <w14:textFill>
                        <w14:solidFill>
                          <w14:schemeClr w14:val="tx1"/>
                        </w14:solidFill>
                      </w14:textFill>
                    </w:rPr>
                    <w:t>-</w:t>
                  </w:r>
                </w:p>
              </w:tc>
              <w:tc>
                <w:tcPr>
                  <w:tcW w:w="692" w:type="pct"/>
                  <w:vAlign w:val="center"/>
                </w:tcPr>
                <w:p w14:paraId="76AB9453">
                  <w:pPr>
                    <w:pStyle w:val="2"/>
                    <w:adjustRightInd w:val="0"/>
                    <w:snapToGrid w:val="0"/>
                    <w:ind w:left="0" w:leftChars="0" w:firstLine="0" w:firstLineChars="0"/>
                    <w:jc w:val="center"/>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szCs w:val="21"/>
                      <w:highlight w:val="none"/>
                      <w14:textFill>
                        <w14:solidFill>
                          <w14:schemeClr w14:val="tx1"/>
                        </w14:solidFill>
                      </w14:textFill>
                    </w:rPr>
                    <w:t>√</w:t>
                  </w:r>
                </w:p>
              </w:tc>
              <w:tc>
                <w:tcPr>
                  <w:tcW w:w="420" w:type="pct"/>
                  <w:vAlign w:val="center"/>
                </w:tcPr>
                <w:p w14:paraId="524EB966">
                  <w:pPr>
                    <w:pStyle w:val="2"/>
                    <w:adjustRightInd w:val="0"/>
                    <w:snapToGrid w:val="0"/>
                    <w:ind w:left="0" w:leftChars="0" w:firstLine="0" w:firstLineChars="0"/>
                    <w:jc w:val="center"/>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szCs w:val="21"/>
                      <w:highlight w:val="none"/>
                      <w14:textFill>
                        <w14:solidFill>
                          <w14:schemeClr w14:val="tx1"/>
                        </w14:solidFill>
                      </w14:textFill>
                    </w:rPr>
                    <w:t>-</w:t>
                  </w:r>
                </w:p>
              </w:tc>
              <w:tc>
                <w:tcPr>
                  <w:tcW w:w="417" w:type="pct"/>
                  <w:vAlign w:val="center"/>
                </w:tcPr>
                <w:p w14:paraId="225B97AB">
                  <w:pPr>
                    <w:pStyle w:val="2"/>
                    <w:adjustRightInd w:val="0"/>
                    <w:snapToGrid w:val="0"/>
                    <w:ind w:left="0" w:leftChars="0" w:firstLine="0" w:firstLineChars="0"/>
                    <w:jc w:val="center"/>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szCs w:val="21"/>
                      <w:highlight w:val="none"/>
                      <w14:textFill>
                        <w14:solidFill>
                          <w14:schemeClr w14:val="tx1"/>
                        </w14:solidFill>
                      </w14:textFill>
                    </w:rPr>
                    <w:t>-</w:t>
                  </w:r>
                </w:p>
              </w:tc>
              <w:tc>
                <w:tcPr>
                  <w:tcW w:w="417" w:type="pct"/>
                  <w:vAlign w:val="center"/>
                </w:tcPr>
                <w:p w14:paraId="4BAFC2AA">
                  <w:pPr>
                    <w:pStyle w:val="2"/>
                    <w:adjustRightInd w:val="0"/>
                    <w:snapToGrid w:val="0"/>
                    <w:ind w:left="0" w:leftChars="0" w:firstLine="0" w:firstLineChars="0"/>
                    <w:jc w:val="center"/>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szCs w:val="21"/>
                      <w:highlight w:val="none"/>
                      <w14:textFill>
                        <w14:solidFill>
                          <w14:schemeClr w14:val="tx1"/>
                        </w14:solidFill>
                      </w14:textFill>
                    </w:rPr>
                    <w:t>-</w:t>
                  </w:r>
                </w:p>
              </w:tc>
              <w:tc>
                <w:tcPr>
                  <w:tcW w:w="417" w:type="pct"/>
                  <w:vAlign w:val="center"/>
                </w:tcPr>
                <w:p w14:paraId="6486DD54">
                  <w:pPr>
                    <w:pStyle w:val="2"/>
                    <w:adjustRightInd w:val="0"/>
                    <w:snapToGrid w:val="0"/>
                    <w:ind w:left="0" w:leftChars="0" w:firstLine="0" w:firstLineChars="0"/>
                    <w:jc w:val="center"/>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szCs w:val="21"/>
                      <w:highlight w:val="none"/>
                      <w14:textFill>
                        <w14:solidFill>
                          <w14:schemeClr w14:val="tx1"/>
                        </w14:solidFill>
                      </w14:textFill>
                    </w:rPr>
                    <w:t>-</w:t>
                  </w:r>
                </w:p>
              </w:tc>
              <w:tc>
                <w:tcPr>
                  <w:tcW w:w="417" w:type="pct"/>
                  <w:vAlign w:val="center"/>
                </w:tcPr>
                <w:p w14:paraId="32FFDFD8">
                  <w:pPr>
                    <w:pStyle w:val="2"/>
                    <w:adjustRightInd w:val="0"/>
                    <w:snapToGrid w:val="0"/>
                    <w:ind w:left="0" w:leftChars="0" w:firstLine="0" w:firstLineChars="0"/>
                    <w:jc w:val="center"/>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szCs w:val="21"/>
                      <w:highlight w:val="none"/>
                      <w14:textFill>
                        <w14:solidFill>
                          <w14:schemeClr w14:val="tx1"/>
                        </w14:solidFill>
                      </w14:textFill>
                    </w:rPr>
                    <w:t>-</w:t>
                  </w:r>
                </w:p>
              </w:tc>
            </w:tr>
            <w:tr w14:paraId="5F7952C1">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30" w:type="pct"/>
                  <w:vAlign w:val="center"/>
                </w:tcPr>
                <w:p w14:paraId="68F43811">
                  <w:pPr>
                    <w:pStyle w:val="2"/>
                    <w:adjustRightInd w:val="0"/>
                    <w:snapToGrid w:val="0"/>
                    <w:ind w:left="0" w:leftChars="0" w:firstLine="0" w:firstLineChars="0"/>
                    <w:jc w:val="center"/>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szCs w:val="21"/>
                      <w:highlight w:val="none"/>
                      <w14:textFill>
                        <w14:solidFill>
                          <w14:schemeClr w14:val="tx1"/>
                        </w14:solidFill>
                      </w14:textFill>
                    </w:rPr>
                    <w:t>服务期满后</w:t>
                  </w:r>
                </w:p>
              </w:tc>
              <w:tc>
                <w:tcPr>
                  <w:tcW w:w="692" w:type="pct"/>
                  <w:vAlign w:val="center"/>
                </w:tcPr>
                <w:p w14:paraId="1BA07A99">
                  <w:pPr>
                    <w:pStyle w:val="2"/>
                    <w:adjustRightInd w:val="0"/>
                    <w:snapToGrid w:val="0"/>
                    <w:ind w:left="0" w:leftChars="0" w:firstLine="0" w:firstLineChars="0"/>
                    <w:jc w:val="center"/>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szCs w:val="21"/>
                      <w:highlight w:val="none"/>
                      <w14:textFill>
                        <w14:solidFill>
                          <w14:schemeClr w14:val="tx1"/>
                        </w14:solidFill>
                      </w14:textFill>
                    </w:rPr>
                    <w:t>-</w:t>
                  </w:r>
                </w:p>
              </w:tc>
              <w:tc>
                <w:tcPr>
                  <w:tcW w:w="692" w:type="pct"/>
                  <w:vAlign w:val="center"/>
                </w:tcPr>
                <w:p w14:paraId="39D17083">
                  <w:pPr>
                    <w:pStyle w:val="2"/>
                    <w:adjustRightInd w:val="0"/>
                    <w:snapToGrid w:val="0"/>
                    <w:ind w:left="0" w:leftChars="0" w:firstLine="0" w:firstLineChars="0"/>
                    <w:jc w:val="center"/>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szCs w:val="21"/>
                      <w:highlight w:val="none"/>
                      <w14:textFill>
                        <w14:solidFill>
                          <w14:schemeClr w14:val="tx1"/>
                        </w14:solidFill>
                      </w14:textFill>
                    </w:rPr>
                    <w:t>-</w:t>
                  </w:r>
                </w:p>
              </w:tc>
              <w:tc>
                <w:tcPr>
                  <w:tcW w:w="692" w:type="pct"/>
                  <w:vAlign w:val="center"/>
                </w:tcPr>
                <w:p w14:paraId="2569FDA5">
                  <w:pPr>
                    <w:pStyle w:val="2"/>
                    <w:adjustRightInd w:val="0"/>
                    <w:snapToGrid w:val="0"/>
                    <w:ind w:left="0" w:leftChars="0" w:firstLine="0" w:firstLineChars="0"/>
                    <w:jc w:val="center"/>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szCs w:val="21"/>
                      <w:highlight w:val="none"/>
                      <w14:textFill>
                        <w14:solidFill>
                          <w14:schemeClr w14:val="tx1"/>
                        </w14:solidFill>
                      </w14:textFill>
                    </w:rPr>
                    <w:t>-</w:t>
                  </w:r>
                </w:p>
              </w:tc>
              <w:tc>
                <w:tcPr>
                  <w:tcW w:w="420" w:type="pct"/>
                  <w:vAlign w:val="center"/>
                </w:tcPr>
                <w:p w14:paraId="29E9923C">
                  <w:pPr>
                    <w:pStyle w:val="2"/>
                    <w:adjustRightInd w:val="0"/>
                    <w:snapToGrid w:val="0"/>
                    <w:ind w:left="0" w:leftChars="0" w:firstLine="0" w:firstLineChars="0"/>
                    <w:jc w:val="center"/>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szCs w:val="21"/>
                      <w:highlight w:val="none"/>
                      <w14:textFill>
                        <w14:solidFill>
                          <w14:schemeClr w14:val="tx1"/>
                        </w14:solidFill>
                      </w14:textFill>
                    </w:rPr>
                    <w:t>-</w:t>
                  </w:r>
                </w:p>
              </w:tc>
              <w:tc>
                <w:tcPr>
                  <w:tcW w:w="417" w:type="pct"/>
                  <w:vAlign w:val="center"/>
                </w:tcPr>
                <w:p w14:paraId="735DA289">
                  <w:pPr>
                    <w:pStyle w:val="2"/>
                    <w:adjustRightInd w:val="0"/>
                    <w:snapToGrid w:val="0"/>
                    <w:ind w:left="0" w:leftChars="0" w:firstLine="0" w:firstLineChars="0"/>
                    <w:jc w:val="center"/>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szCs w:val="21"/>
                      <w:highlight w:val="none"/>
                      <w14:textFill>
                        <w14:solidFill>
                          <w14:schemeClr w14:val="tx1"/>
                        </w14:solidFill>
                      </w14:textFill>
                    </w:rPr>
                    <w:t>-</w:t>
                  </w:r>
                </w:p>
              </w:tc>
              <w:tc>
                <w:tcPr>
                  <w:tcW w:w="417" w:type="pct"/>
                  <w:vAlign w:val="center"/>
                </w:tcPr>
                <w:p w14:paraId="1412BFDC">
                  <w:pPr>
                    <w:pStyle w:val="2"/>
                    <w:adjustRightInd w:val="0"/>
                    <w:snapToGrid w:val="0"/>
                    <w:ind w:left="0" w:leftChars="0" w:firstLine="0" w:firstLineChars="0"/>
                    <w:jc w:val="center"/>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szCs w:val="21"/>
                      <w:highlight w:val="none"/>
                      <w14:textFill>
                        <w14:solidFill>
                          <w14:schemeClr w14:val="tx1"/>
                        </w14:solidFill>
                      </w14:textFill>
                    </w:rPr>
                    <w:t>-</w:t>
                  </w:r>
                </w:p>
              </w:tc>
              <w:tc>
                <w:tcPr>
                  <w:tcW w:w="417" w:type="pct"/>
                  <w:vAlign w:val="center"/>
                </w:tcPr>
                <w:p w14:paraId="0EC59603">
                  <w:pPr>
                    <w:pStyle w:val="2"/>
                    <w:adjustRightInd w:val="0"/>
                    <w:snapToGrid w:val="0"/>
                    <w:ind w:left="0" w:leftChars="0" w:firstLine="0" w:firstLineChars="0"/>
                    <w:jc w:val="center"/>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szCs w:val="21"/>
                      <w:highlight w:val="none"/>
                      <w14:textFill>
                        <w14:solidFill>
                          <w14:schemeClr w14:val="tx1"/>
                        </w14:solidFill>
                      </w14:textFill>
                    </w:rPr>
                    <w:t>-</w:t>
                  </w:r>
                </w:p>
              </w:tc>
              <w:tc>
                <w:tcPr>
                  <w:tcW w:w="417" w:type="pct"/>
                  <w:vAlign w:val="center"/>
                </w:tcPr>
                <w:p w14:paraId="0116210C">
                  <w:pPr>
                    <w:pStyle w:val="2"/>
                    <w:adjustRightInd w:val="0"/>
                    <w:snapToGrid w:val="0"/>
                    <w:ind w:left="0" w:leftChars="0" w:firstLine="0" w:firstLineChars="0"/>
                    <w:jc w:val="center"/>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szCs w:val="21"/>
                      <w:highlight w:val="none"/>
                      <w14:textFill>
                        <w14:solidFill>
                          <w14:schemeClr w14:val="tx1"/>
                        </w14:solidFill>
                      </w14:textFill>
                    </w:rPr>
                    <w:t>-</w:t>
                  </w:r>
                </w:p>
              </w:tc>
            </w:tr>
          </w:tbl>
          <w:p w14:paraId="0D980889">
            <w:pPr>
              <w:pStyle w:val="79"/>
              <w:spacing w:line="240" w:lineRule="auto"/>
              <w:rPr>
                <w:rFonts w:hint="default" w:ascii="Times New Roman" w:hAnsi="Times New Roman" w:eastAsia="宋体" w:cs="Times New Roman"/>
                <w:b/>
                <w:color w:val="000000" w:themeColor="text1"/>
                <w:szCs w:val="21"/>
                <w:highlight w:val="none"/>
                <w14:textFill>
                  <w14:solidFill>
                    <w14:schemeClr w14:val="tx1"/>
                  </w14:solidFill>
                </w14:textFill>
              </w:rPr>
            </w:pPr>
          </w:p>
          <w:p w14:paraId="571A459C">
            <w:pPr>
              <w:pStyle w:val="79"/>
              <w:spacing w:line="240" w:lineRule="auto"/>
              <w:rPr>
                <w:rFonts w:hint="default" w:ascii="Times New Roman" w:hAnsi="Times New Roman" w:eastAsia="宋体" w:cs="Times New Roman"/>
                <w:b/>
                <w:color w:val="000000" w:themeColor="text1"/>
                <w:szCs w:val="21"/>
                <w:highlight w:val="none"/>
                <w14:textFill>
                  <w14:solidFill>
                    <w14:schemeClr w14:val="tx1"/>
                  </w14:solidFill>
                </w14:textFill>
              </w:rPr>
            </w:pPr>
            <w:r>
              <w:rPr>
                <w:rFonts w:hint="default" w:ascii="Times New Roman" w:hAnsi="Times New Roman" w:eastAsia="宋体" w:cs="Times New Roman"/>
                <w:b/>
                <w:color w:val="000000" w:themeColor="text1"/>
                <w:szCs w:val="21"/>
                <w:highlight w:val="none"/>
                <w14:textFill>
                  <w14:solidFill>
                    <w14:schemeClr w14:val="tx1"/>
                  </w14:solidFill>
                </w14:textFill>
              </w:rPr>
              <w:t>表4-</w:t>
            </w:r>
            <w:r>
              <w:rPr>
                <w:rFonts w:hint="eastAsia" w:eastAsia="宋体" w:cs="Times New Roman"/>
                <w:b/>
                <w:color w:val="000000" w:themeColor="text1"/>
                <w:szCs w:val="21"/>
                <w:highlight w:val="none"/>
                <w:lang w:val="en-US" w:eastAsia="zh-CN"/>
                <w14:textFill>
                  <w14:solidFill>
                    <w14:schemeClr w14:val="tx1"/>
                  </w14:solidFill>
                </w14:textFill>
              </w:rPr>
              <w:t>10</w:t>
            </w:r>
            <w:r>
              <w:rPr>
                <w:rFonts w:hint="default" w:ascii="Times New Roman" w:hAnsi="Times New Roman" w:eastAsia="宋体" w:cs="Times New Roman"/>
                <w:b/>
                <w:color w:val="000000" w:themeColor="text1"/>
                <w:szCs w:val="21"/>
                <w:highlight w:val="none"/>
                <w14:textFill>
                  <w14:solidFill>
                    <w14:schemeClr w14:val="tx1"/>
                  </w14:solidFill>
                </w14:textFill>
              </w:rPr>
              <w:t xml:space="preserve">  污染影响型建设项目土壤环境影响源及影响因子识别表</w:t>
            </w:r>
          </w:p>
          <w:tbl>
            <w:tblPr>
              <w:tblStyle w:val="27"/>
              <w:tblW w:w="4998" w:type="pct"/>
              <w:tblInd w:w="0" w:type="dxa"/>
              <w:tblBorders>
                <w:top w:val="double" w:color="auto" w:sz="4" w:space="0"/>
                <w:left w:val="none" w:color="auto" w:sz="0" w:space="0"/>
                <w:bottom w:val="doub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366"/>
              <w:gridCol w:w="2041"/>
              <w:gridCol w:w="1218"/>
              <w:gridCol w:w="2430"/>
              <w:gridCol w:w="1219"/>
            </w:tblGrid>
            <w:tr w14:paraId="1B284101">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25" w:type="pct"/>
                  <w:vAlign w:val="center"/>
                </w:tcPr>
                <w:p w14:paraId="2E61135E">
                  <w:pPr>
                    <w:pStyle w:val="2"/>
                    <w:adjustRightInd w:val="0"/>
                    <w:snapToGrid w:val="0"/>
                    <w:ind w:left="0" w:leftChars="0" w:firstLine="0" w:firstLineChars="0"/>
                    <w:jc w:val="center"/>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szCs w:val="21"/>
                      <w:highlight w:val="none"/>
                      <w14:textFill>
                        <w14:solidFill>
                          <w14:schemeClr w14:val="tx1"/>
                        </w14:solidFill>
                      </w14:textFill>
                    </w:rPr>
                    <w:t>污染源</w:t>
                  </w:r>
                </w:p>
              </w:tc>
              <w:tc>
                <w:tcPr>
                  <w:tcW w:w="1233" w:type="pct"/>
                  <w:vAlign w:val="center"/>
                </w:tcPr>
                <w:p w14:paraId="5CAD0B3D">
                  <w:pPr>
                    <w:pStyle w:val="2"/>
                    <w:adjustRightInd w:val="0"/>
                    <w:snapToGrid w:val="0"/>
                    <w:ind w:left="0" w:leftChars="0" w:firstLine="0" w:firstLineChars="0"/>
                    <w:jc w:val="center"/>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szCs w:val="21"/>
                      <w:highlight w:val="none"/>
                      <w14:textFill>
                        <w14:solidFill>
                          <w14:schemeClr w14:val="tx1"/>
                        </w14:solidFill>
                      </w14:textFill>
                    </w:rPr>
                    <w:t>工艺流程/节点</w:t>
                  </w:r>
                </w:p>
              </w:tc>
              <w:tc>
                <w:tcPr>
                  <w:tcW w:w="736" w:type="pct"/>
                  <w:vAlign w:val="center"/>
                </w:tcPr>
                <w:p w14:paraId="24354A91">
                  <w:pPr>
                    <w:pStyle w:val="2"/>
                    <w:adjustRightInd w:val="0"/>
                    <w:snapToGrid w:val="0"/>
                    <w:ind w:left="0" w:leftChars="0" w:firstLine="0" w:firstLineChars="0"/>
                    <w:jc w:val="center"/>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szCs w:val="21"/>
                      <w:highlight w:val="none"/>
                      <w14:textFill>
                        <w14:solidFill>
                          <w14:schemeClr w14:val="tx1"/>
                        </w14:solidFill>
                      </w14:textFill>
                    </w:rPr>
                    <w:t>污染途径</w:t>
                  </w:r>
                </w:p>
              </w:tc>
              <w:tc>
                <w:tcPr>
                  <w:tcW w:w="1468" w:type="pct"/>
                  <w:vAlign w:val="center"/>
                </w:tcPr>
                <w:p w14:paraId="7C42F4FA">
                  <w:pPr>
                    <w:pStyle w:val="2"/>
                    <w:adjustRightInd w:val="0"/>
                    <w:snapToGrid w:val="0"/>
                    <w:ind w:left="0" w:leftChars="0" w:firstLine="0" w:firstLineChars="0"/>
                    <w:jc w:val="center"/>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szCs w:val="21"/>
                      <w:highlight w:val="none"/>
                      <w14:textFill>
                        <w14:solidFill>
                          <w14:schemeClr w14:val="tx1"/>
                        </w14:solidFill>
                      </w14:textFill>
                    </w:rPr>
                    <w:t>全部污染物指标</w:t>
                  </w:r>
                </w:p>
              </w:tc>
              <w:tc>
                <w:tcPr>
                  <w:tcW w:w="736" w:type="pct"/>
                  <w:vAlign w:val="center"/>
                </w:tcPr>
                <w:p w14:paraId="1750193F">
                  <w:pPr>
                    <w:pStyle w:val="2"/>
                    <w:adjustRightInd w:val="0"/>
                    <w:snapToGrid w:val="0"/>
                    <w:ind w:left="0" w:leftChars="0" w:firstLine="0" w:firstLineChars="0"/>
                    <w:jc w:val="center"/>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szCs w:val="21"/>
                      <w:highlight w:val="none"/>
                      <w14:textFill>
                        <w14:solidFill>
                          <w14:schemeClr w14:val="tx1"/>
                        </w14:solidFill>
                      </w14:textFill>
                    </w:rPr>
                    <w:t>特征因子</w:t>
                  </w:r>
                </w:p>
              </w:tc>
            </w:tr>
            <w:tr w14:paraId="3838CD5C">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25" w:type="pct"/>
                  <w:vAlign w:val="center"/>
                </w:tcPr>
                <w:p w14:paraId="376F723E">
                  <w:pPr>
                    <w:pStyle w:val="2"/>
                    <w:adjustRightInd w:val="0"/>
                    <w:snapToGrid w:val="0"/>
                    <w:ind w:left="0" w:leftChars="0" w:firstLine="0" w:firstLineChars="0"/>
                    <w:jc w:val="center"/>
                    <w:rPr>
                      <w:rFonts w:hint="eastAsia" w:ascii="Times New Roman" w:hAnsi="Times New Roman" w:eastAsia="宋体" w:cs="Times New Roman"/>
                      <w:color w:val="000000" w:themeColor="text1"/>
                      <w:szCs w:val="21"/>
                      <w:highlight w:val="none"/>
                      <w:lang w:eastAsia="zh-CN"/>
                      <w14:textFill>
                        <w14:solidFill>
                          <w14:schemeClr w14:val="tx1"/>
                        </w14:solidFill>
                      </w14:textFill>
                    </w:rPr>
                  </w:pPr>
                  <w:r>
                    <w:rPr>
                      <w:rFonts w:hint="eastAsia" w:cs="Times New Roman"/>
                      <w:color w:val="000000" w:themeColor="text1"/>
                      <w:szCs w:val="21"/>
                      <w:highlight w:val="none"/>
                      <w:lang w:val="en-US" w:eastAsia="zh-CN"/>
                      <w14:textFill>
                        <w14:solidFill>
                          <w14:schemeClr w14:val="tx1"/>
                        </w14:solidFill>
                      </w14:textFill>
                    </w:rPr>
                    <w:t>罐区</w:t>
                  </w:r>
                </w:p>
              </w:tc>
              <w:tc>
                <w:tcPr>
                  <w:tcW w:w="1233" w:type="pct"/>
                  <w:vAlign w:val="center"/>
                </w:tcPr>
                <w:p w14:paraId="722A513C">
                  <w:pPr>
                    <w:pStyle w:val="2"/>
                    <w:adjustRightInd w:val="0"/>
                    <w:snapToGrid w:val="0"/>
                    <w:ind w:left="0" w:leftChars="0" w:firstLine="0" w:firstLineChars="0"/>
                    <w:jc w:val="center"/>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szCs w:val="21"/>
                      <w:highlight w:val="none"/>
                      <w14:textFill>
                        <w14:solidFill>
                          <w14:schemeClr w14:val="tx1"/>
                        </w14:solidFill>
                      </w14:textFill>
                    </w:rPr>
                    <w:t>设备维修、更换</w:t>
                  </w:r>
                </w:p>
              </w:tc>
              <w:tc>
                <w:tcPr>
                  <w:tcW w:w="736" w:type="pct"/>
                  <w:vAlign w:val="center"/>
                </w:tcPr>
                <w:p w14:paraId="17D62683">
                  <w:pPr>
                    <w:pStyle w:val="2"/>
                    <w:adjustRightInd w:val="0"/>
                    <w:snapToGrid w:val="0"/>
                    <w:ind w:left="0" w:leftChars="0" w:firstLine="0" w:firstLineChars="0"/>
                    <w:jc w:val="center"/>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szCs w:val="21"/>
                      <w:highlight w:val="none"/>
                      <w14:textFill>
                        <w14:solidFill>
                          <w14:schemeClr w14:val="tx1"/>
                        </w14:solidFill>
                      </w14:textFill>
                    </w:rPr>
                    <w:t>垂直入渗</w:t>
                  </w:r>
                </w:p>
              </w:tc>
              <w:tc>
                <w:tcPr>
                  <w:tcW w:w="1468" w:type="pct"/>
                  <w:vAlign w:val="center"/>
                </w:tcPr>
                <w:p w14:paraId="65C1D332">
                  <w:pPr>
                    <w:pStyle w:val="2"/>
                    <w:adjustRightInd w:val="0"/>
                    <w:snapToGrid w:val="0"/>
                    <w:ind w:left="0" w:leftChars="0" w:firstLine="0" w:firstLineChars="0"/>
                    <w:jc w:val="center"/>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szCs w:val="21"/>
                      <w:highlight w:val="none"/>
                      <w14:textFill>
                        <w14:solidFill>
                          <w14:schemeClr w14:val="tx1"/>
                        </w14:solidFill>
                      </w14:textFill>
                    </w:rPr>
                    <w:t>废</w:t>
                  </w:r>
                  <w:r>
                    <w:rPr>
                      <w:rFonts w:hint="eastAsia" w:cs="Times New Roman"/>
                      <w:color w:val="000000" w:themeColor="text1"/>
                      <w:szCs w:val="21"/>
                      <w:highlight w:val="none"/>
                      <w:lang w:val="en-US" w:eastAsia="zh-CN"/>
                      <w14:textFill>
                        <w14:solidFill>
                          <w14:schemeClr w14:val="tx1"/>
                        </w14:solidFill>
                      </w14:textFill>
                    </w:rPr>
                    <w:t>矿物</w:t>
                  </w:r>
                  <w:r>
                    <w:rPr>
                      <w:rFonts w:hint="default" w:ascii="Times New Roman" w:hAnsi="Times New Roman" w:cs="Times New Roman"/>
                      <w:color w:val="000000" w:themeColor="text1"/>
                      <w:szCs w:val="21"/>
                      <w:highlight w:val="none"/>
                      <w14:textFill>
                        <w14:solidFill>
                          <w14:schemeClr w14:val="tx1"/>
                        </w14:solidFill>
                      </w14:textFill>
                    </w:rPr>
                    <w:t>油</w:t>
                  </w:r>
                </w:p>
              </w:tc>
              <w:tc>
                <w:tcPr>
                  <w:tcW w:w="736" w:type="pct"/>
                  <w:vAlign w:val="center"/>
                </w:tcPr>
                <w:p w14:paraId="13C013EB">
                  <w:pPr>
                    <w:pStyle w:val="2"/>
                    <w:adjustRightInd w:val="0"/>
                    <w:snapToGrid w:val="0"/>
                    <w:ind w:left="0" w:leftChars="0" w:firstLine="0" w:firstLineChars="0"/>
                    <w:jc w:val="center"/>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szCs w:val="21"/>
                      <w:highlight w:val="none"/>
                      <w14:textFill>
                        <w14:solidFill>
                          <w14:schemeClr w14:val="tx1"/>
                        </w14:solidFill>
                      </w14:textFill>
                    </w:rPr>
                    <w:t>石油烃</w:t>
                  </w:r>
                </w:p>
              </w:tc>
            </w:tr>
            <w:tr w14:paraId="4C20EFFC">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25" w:type="pct"/>
                  <w:vAlign w:val="center"/>
                </w:tcPr>
                <w:p w14:paraId="7E39C413">
                  <w:pPr>
                    <w:pStyle w:val="2"/>
                    <w:adjustRightInd w:val="0"/>
                    <w:snapToGrid w:val="0"/>
                    <w:ind w:left="0" w:leftChars="0" w:firstLine="0" w:firstLineChars="0"/>
                    <w:jc w:val="center"/>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szCs w:val="21"/>
                      <w:highlight w:val="none"/>
                      <w14:textFill>
                        <w14:solidFill>
                          <w14:schemeClr w14:val="tx1"/>
                        </w14:solidFill>
                      </w14:textFill>
                    </w:rPr>
                    <w:t>事故池</w:t>
                  </w:r>
                </w:p>
              </w:tc>
              <w:tc>
                <w:tcPr>
                  <w:tcW w:w="1233" w:type="pct"/>
                  <w:vAlign w:val="center"/>
                </w:tcPr>
                <w:p w14:paraId="533B8F72">
                  <w:pPr>
                    <w:pStyle w:val="2"/>
                    <w:adjustRightInd w:val="0"/>
                    <w:snapToGrid w:val="0"/>
                    <w:ind w:left="0" w:leftChars="0" w:firstLine="0" w:firstLineChars="0"/>
                    <w:jc w:val="center"/>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szCs w:val="21"/>
                      <w:highlight w:val="none"/>
                      <w14:textFill>
                        <w14:solidFill>
                          <w14:schemeClr w14:val="tx1"/>
                        </w14:solidFill>
                      </w14:textFill>
                    </w:rPr>
                    <w:t>事故废水贮存</w:t>
                  </w:r>
                </w:p>
              </w:tc>
              <w:tc>
                <w:tcPr>
                  <w:tcW w:w="736" w:type="pct"/>
                  <w:vAlign w:val="center"/>
                </w:tcPr>
                <w:p w14:paraId="29376C92">
                  <w:pPr>
                    <w:pStyle w:val="2"/>
                    <w:adjustRightInd w:val="0"/>
                    <w:snapToGrid w:val="0"/>
                    <w:ind w:left="0" w:leftChars="0" w:firstLine="0" w:firstLineChars="0"/>
                    <w:jc w:val="center"/>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szCs w:val="21"/>
                      <w:highlight w:val="none"/>
                      <w14:textFill>
                        <w14:solidFill>
                          <w14:schemeClr w14:val="tx1"/>
                        </w14:solidFill>
                      </w14:textFill>
                    </w:rPr>
                    <w:t>垂直入渗</w:t>
                  </w:r>
                </w:p>
              </w:tc>
              <w:tc>
                <w:tcPr>
                  <w:tcW w:w="1468" w:type="pct"/>
                  <w:vAlign w:val="center"/>
                </w:tcPr>
                <w:p w14:paraId="741928A6">
                  <w:pPr>
                    <w:pStyle w:val="2"/>
                    <w:adjustRightInd w:val="0"/>
                    <w:snapToGrid w:val="0"/>
                    <w:ind w:left="0" w:leftChars="0" w:firstLine="0" w:firstLineChars="0"/>
                    <w:jc w:val="center"/>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szCs w:val="21"/>
                      <w:highlight w:val="none"/>
                      <w14:textFill>
                        <w14:solidFill>
                          <w14:schemeClr w14:val="tx1"/>
                        </w14:solidFill>
                      </w14:textFill>
                    </w:rPr>
                    <w:t>含油废水</w:t>
                  </w:r>
                </w:p>
              </w:tc>
              <w:tc>
                <w:tcPr>
                  <w:tcW w:w="736" w:type="pct"/>
                  <w:vAlign w:val="center"/>
                </w:tcPr>
                <w:p w14:paraId="08627FA5">
                  <w:pPr>
                    <w:pStyle w:val="2"/>
                    <w:adjustRightInd w:val="0"/>
                    <w:snapToGrid w:val="0"/>
                    <w:ind w:left="0" w:leftChars="0" w:firstLine="0" w:firstLineChars="0"/>
                    <w:jc w:val="center"/>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szCs w:val="21"/>
                      <w:highlight w:val="none"/>
                      <w14:textFill>
                        <w14:solidFill>
                          <w14:schemeClr w14:val="tx1"/>
                        </w14:solidFill>
                      </w14:textFill>
                    </w:rPr>
                    <w:t>石油烃</w:t>
                  </w:r>
                </w:p>
              </w:tc>
            </w:tr>
            <w:tr w14:paraId="478709AE">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25" w:type="pct"/>
                  <w:vAlign w:val="center"/>
                </w:tcPr>
                <w:p w14:paraId="565703E2">
                  <w:pPr>
                    <w:pStyle w:val="2"/>
                    <w:adjustRightInd w:val="0"/>
                    <w:snapToGrid w:val="0"/>
                    <w:ind w:left="0" w:leftChars="0" w:firstLine="0" w:firstLineChars="0"/>
                    <w:jc w:val="center"/>
                    <w:rPr>
                      <w:rFonts w:hint="eastAsia" w:ascii="Times New Roman" w:hAnsi="Times New Roman" w:eastAsia="宋体" w:cs="Times New Roman"/>
                      <w:color w:val="000000" w:themeColor="text1"/>
                      <w:szCs w:val="21"/>
                      <w:highlight w:val="none"/>
                      <w:lang w:eastAsia="zh-CN"/>
                      <w14:textFill>
                        <w14:solidFill>
                          <w14:schemeClr w14:val="tx1"/>
                        </w14:solidFill>
                      </w14:textFill>
                    </w:rPr>
                  </w:pPr>
                  <w:r>
                    <w:rPr>
                      <w:rFonts w:hint="eastAsia" w:cs="Times New Roman"/>
                      <w:color w:val="000000" w:themeColor="text1"/>
                      <w:szCs w:val="21"/>
                      <w:highlight w:val="none"/>
                      <w:lang w:eastAsia="zh-CN"/>
                      <w14:textFill>
                        <w14:solidFill>
                          <w14:schemeClr w14:val="tx1"/>
                        </w14:solidFill>
                      </w14:textFill>
                    </w:rPr>
                    <w:t>集液池</w:t>
                  </w:r>
                </w:p>
              </w:tc>
              <w:tc>
                <w:tcPr>
                  <w:tcW w:w="1233" w:type="pct"/>
                  <w:vAlign w:val="center"/>
                </w:tcPr>
                <w:p w14:paraId="2C8A70DE">
                  <w:pPr>
                    <w:pStyle w:val="2"/>
                    <w:adjustRightInd w:val="0"/>
                    <w:snapToGrid w:val="0"/>
                    <w:ind w:left="0" w:leftChars="0" w:firstLine="0" w:firstLineChars="0"/>
                    <w:jc w:val="cente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eastAsia" w:cs="Times New Roman"/>
                      <w:color w:val="000000" w:themeColor="text1"/>
                      <w:szCs w:val="21"/>
                      <w:highlight w:val="none"/>
                      <w:lang w:val="en-US" w:eastAsia="zh-CN"/>
                      <w14:textFill>
                        <w14:solidFill>
                          <w14:schemeClr w14:val="tx1"/>
                        </w14:solidFill>
                      </w14:textFill>
                    </w:rPr>
                    <w:t>废矿物油</w:t>
                  </w:r>
                </w:p>
              </w:tc>
              <w:tc>
                <w:tcPr>
                  <w:tcW w:w="736" w:type="pct"/>
                  <w:vAlign w:val="center"/>
                </w:tcPr>
                <w:p w14:paraId="2CC5E5E3">
                  <w:pPr>
                    <w:pStyle w:val="2"/>
                    <w:adjustRightInd w:val="0"/>
                    <w:snapToGrid w:val="0"/>
                    <w:ind w:left="0" w:leftChars="0" w:firstLine="0" w:firstLineChars="0"/>
                    <w:jc w:val="center"/>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szCs w:val="21"/>
                      <w:highlight w:val="none"/>
                      <w14:textFill>
                        <w14:solidFill>
                          <w14:schemeClr w14:val="tx1"/>
                        </w14:solidFill>
                      </w14:textFill>
                    </w:rPr>
                    <w:t>垂直入渗</w:t>
                  </w:r>
                </w:p>
              </w:tc>
              <w:tc>
                <w:tcPr>
                  <w:tcW w:w="1468" w:type="pct"/>
                  <w:vAlign w:val="center"/>
                </w:tcPr>
                <w:p w14:paraId="27CED3E7">
                  <w:pPr>
                    <w:pStyle w:val="2"/>
                    <w:adjustRightInd w:val="0"/>
                    <w:snapToGrid w:val="0"/>
                    <w:ind w:left="0" w:leftChars="0" w:firstLine="0" w:firstLineChars="0"/>
                    <w:jc w:val="cente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eastAsia" w:cs="Times New Roman"/>
                      <w:color w:val="000000" w:themeColor="text1"/>
                      <w:szCs w:val="21"/>
                      <w:highlight w:val="none"/>
                      <w:lang w:val="en-US" w:eastAsia="zh-CN"/>
                      <w14:textFill>
                        <w14:solidFill>
                          <w14:schemeClr w14:val="tx1"/>
                        </w14:solidFill>
                      </w14:textFill>
                    </w:rPr>
                    <w:t>废矿物油</w:t>
                  </w:r>
                </w:p>
              </w:tc>
              <w:tc>
                <w:tcPr>
                  <w:tcW w:w="736" w:type="pct"/>
                  <w:vAlign w:val="center"/>
                </w:tcPr>
                <w:p w14:paraId="09222F6F">
                  <w:pPr>
                    <w:pStyle w:val="2"/>
                    <w:adjustRightInd w:val="0"/>
                    <w:snapToGrid w:val="0"/>
                    <w:ind w:left="0" w:leftChars="0" w:firstLine="0" w:firstLineChars="0"/>
                    <w:jc w:val="center"/>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szCs w:val="21"/>
                      <w:highlight w:val="none"/>
                      <w14:textFill>
                        <w14:solidFill>
                          <w14:schemeClr w14:val="tx1"/>
                        </w14:solidFill>
                      </w14:textFill>
                    </w:rPr>
                    <w:t>石油烃</w:t>
                  </w:r>
                </w:p>
              </w:tc>
            </w:tr>
          </w:tbl>
          <w:p w14:paraId="164038A6">
            <w:pPr>
              <w:pStyle w:val="68"/>
              <w:ind w:firstLine="480"/>
              <w:rPr>
                <w:rFonts w:hint="default" w:ascii="Times New Roman" w:hAnsi="Times New Roman" w:cs="Times New Roman"/>
                <w:color w:val="000000" w:themeColor="text1"/>
                <w:sz w:val="2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2）垂直入渗：废矿物油发生泄漏，通过垂直入渗进入土壤。当土壤孔隙较小时，由于土壤的粘度较大，废矿物油流入土壤孔隙，会堵塞土壤，降低其沉降性、过滤性和通透性，甚至会破坏土壤土质，影响寄居在土壤中的微生物生存；废矿物油还会依附在职务根系部位形成一层油状粘膜，影响根系对气体、水体及营养物质的吸收致使植物缺乏养分而死亡，更有严重的污染区域会长期寸草不生，土壤荒漠化。当孔隙较大时，废矿物油会因渗滤液的淋滤而被溶出，污染组分迁移至土壤中，渗透到土壤更深层，继而扩散到地下水或水井，污染浅层地下水，对人体健康产生风险。为此，本</w:t>
            </w:r>
            <w:r>
              <w:rPr>
                <w:rFonts w:hint="eastAsia" w:cs="Times New Roman"/>
                <w:color w:val="000000" w:themeColor="text1"/>
                <w:highlight w:val="none"/>
                <w:lang w:val="en-US" w:eastAsia="zh-CN"/>
                <w14:textFill>
                  <w14:solidFill>
                    <w14:schemeClr w14:val="tx1"/>
                  </w14:solidFill>
                </w14:textFill>
              </w:rPr>
              <w:t>项目</w:t>
            </w:r>
            <w:r>
              <w:rPr>
                <w:rFonts w:hint="eastAsia" w:cs="Times New Roman"/>
                <w:color w:val="000000" w:themeColor="text1"/>
                <w:szCs w:val="24"/>
                <w:highlight w:val="none"/>
                <w:lang w:val="en-US" w:eastAsia="zh-CN"/>
                <w14:textFill>
                  <w14:solidFill>
                    <w14:schemeClr w14:val="tx1"/>
                  </w14:solidFill>
                </w14:textFill>
              </w:rPr>
              <w:t>罐区地面、围堰、事故池的池底及池壁以及集液池的池底及池壁进行重点防渗</w:t>
            </w:r>
            <w:r>
              <w:rPr>
                <w:rFonts w:hint="default" w:ascii="Times New Roman" w:hAnsi="Times New Roman" w:cs="Times New Roman"/>
                <w:color w:val="000000" w:themeColor="text1"/>
                <w:highlight w:val="none"/>
                <w14:textFill>
                  <w14:solidFill>
                    <w14:schemeClr w14:val="tx1"/>
                  </w14:solidFill>
                </w14:textFill>
              </w:rPr>
              <w:t>，采取以上措施后，对土壤环境影响较小</w:t>
            </w:r>
            <w:r>
              <w:rPr>
                <w:rFonts w:hint="default" w:ascii="Times New Roman" w:hAnsi="Times New Roman" w:cs="Times New Roman"/>
                <w:color w:val="000000" w:themeColor="text1"/>
                <w:sz w:val="21"/>
                <w:highlight w:val="none"/>
                <w14:textFill>
                  <w14:solidFill>
                    <w14:schemeClr w14:val="tx1"/>
                  </w14:solidFill>
                </w14:textFill>
              </w:rPr>
              <w:t>。</w:t>
            </w:r>
          </w:p>
          <w:p w14:paraId="479E8631">
            <w:pPr>
              <w:pStyle w:val="68"/>
              <w:ind w:firstLine="48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综上分析，采取分区防渗，认真落实以上措施，符合现行环保政策要求，对土壤、地下水影响较小。</w:t>
            </w:r>
          </w:p>
          <w:p w14:paraId="6C7C8499">
            <w:pPr>
              <w:pStyle w:val="68"/>
              <w:ind w:firstLine="480"/>
              <w:rPr>
                <w:rFonts w:hint="default" w:ascii="Times New Roman" w:hAnsi="Times New Roman" w:cs="Times New Roman"/>
                <w:color w:val="000000" w:themeColor="text1"/>
                <w:szCs w:val="24"/>
                <w:highlight w:val="none"/>
                <w14:textFill>
                  <w14:solidFill>
                    <w14:schemeClr w14:val="tx1"/>
                  </w14:solidFill>
                </w14:textFill>
              </w:rPr>
            </w:pPr>
            <w:r>
              <w:rPr>
                <w:rFonts w:hint="default" w:ascii="Times New Roman" w:hAnsi="Times New Roman" w:cs="Times New Roman"/>
                <w:color w:val="000000" w:themeColor="text1"/>
                <w:szCs w:val="24"/>
                <w:highlight w:val="none"/>
                <w14:textFill>
                  <w14:solidFill>
                    <w14:schemeClr w14:val="tx1"/>
                  </w14:solidFill>
                </w14:textFill>
              </w:rPr>
              <w:t>（3）土壤跟踪监测</w:t>
            </w:r>
          </w:p>
          <w:p w14:paraId="2F7FEE22">
            <w:pPr>
              <w:pStyle w:val="68"/>
              <w:ind w:firstLine="480"/>
              <w:rPr>
                <w:rFonts w:hint="default" w:ascii="Times New Roman" w:hAnsi="Times New Roman" w:cs="Times New Roman"/>
                <w:color w:val="000000" w:themeColor="text1"/>
                <w:szCs w:val="24"/>
                <w:highlight w:val="none"/>
                <w14:textFill>
                  <w14:solidFill>
                    <w14:schemeClr w14:val="tx1"/>
                  </w14:solidFill>
                </w14:textFill>
              </w:rPr>
            </w:pPr>
            <w:r>
              <w:rPr>
                <w:rFonts w:hint="default" w:ascii="Times New Roman" w:hAnsi="Times New Roman" w:cs="Times New Roman"/>
                <w:color w:val="000000" w:themeColor="text1"/>
                <w:szCs w:val="24"/>
                <w:highlight w:val="none"/>
                <w14:textFill>
                  <w14:solidFill>
                    <w14:schemeClr w14:val="tx1"/>
                  </w14:solidFill>
                </w14:textFill>
              </w:rPr>
              <w:t>根据《环境影响评价技术导则 土壤环境》（HJ964-2018）中附录A：根据行业特征、工艺特点或规模大小等将建设项目分为I类、II类、III类和IV类。 本项目属于“环境和公共设施管理业”中的“其他”类别，为IV类项目。可不 开展土壤跟踪监测。</w:t>
            </w:r>
          </w:p>
          <w:p w14:paraId="770AADAC">
            <w:pPr>
              <w:pStyle w:val="68"/>
              <w:numPr>
                <w:ilvl w:val="0"/>
                <w:numId w:val="10"/>
              </w:numPr>
              <w:ind w:firstLineChars="0"/>
              <w:rPr>
                <w:rFonts w:hint="default" w:ascii="Times New Roman" w:hAnsi="Times New Roman" w:cs="Times New Roman"/>
                <w:b/>
                <w:color w:val="000000" w:themeColor="text1"/>
                <w:highlight w:val="none"/>
                <w14:textFill>
                  <w14:solidFill>
                    <w14:schemeClr w14:val="tx1"/>
                  </w14:solidFill>
                </w14:textFill>
              </w:rPr>
            </w:pPr>
            <w:r>
              <w:rPr>
                <w:rFonts w:hint="default" w:ascii="Times New Roman" w:hAnsi="Times New Roman" w:cs="Times New Roman"/>
                <w:b/>
                <w:color w:val="000000" w:themeColor="text1"/>
                <w:highlight w:val="none"/>
                <w14:textFill>
                  <w14:solidFill>
                    <w14:schemeClr w14:val="tx1"/>
                  </w14:solidFill>
                </w14:textFill>
              </w:rPr>
              <w:t>环境风险分析</w:t>
            </w:r>
          </w:p>
          <w:p w14:paraId="32E84474">
            <w:pPr>
              <w:pStyle w:val="68"/>
              <w:numPr>
                <w:ilvl w:val="0"/>
                <w:numId w:val="0"/>
              </w:numPr>
              <w:ind w:leftChars="0"/>
              <w:rPr>
                <w:rFonts w:hint="default" w:ascii="Times New Roman" w:hAnsi="Times New Roman" w:eastAsia="宋体" w:cs="Times New Roman"/>
                <w:b/>
                <w:color w:val="000000" w:themeColor="text1"/>
                <w:highlight w:val="none"/>
                <w:lang w:val="en-US" w:eastAsia="zh-CN"/>
                <w14:textFill>
                  <w14:solidFill>
                    <w14:schemeClr w14:val="tx1"/>
                  </w14:solidFill>
                </w14:textFill>
              </w:rPr>
            </w:pPr>
            <w:r>
              <w:rPr>
                <w:rFonts w:hint="eastAsia" w:cs="Times New Roman"/>
                <w:b/>
                <w:color w:val="000000" w:themeColor="text1"/>
                <w:highlight w:val="none"/>
                <w:lang w:val="en-US" w:eastAsia="zh-CN"/>
                <w14:textFill>
                  <w14:solidFill>
                    <w14:schemeClr w14:val="tx1"/>
                  </w14:solidFill>
                </w14:textFill>
              </w:rPr>
              <w:t>6.1 评价工作等级判定</w:t>
            </w:r>
          </w:p>
          <w:p w14:paraId="18037988">
            <w:pPr>
              <w:keepNext w:val="0"/>
              <w:keepLines w:val="0"/>
              <w:widowControl/>
              <w:suppressLineNumbers w:val="0"/>
              <w:spacing w:line="360" w:lineRule="auto"/>
              <w:jc w:val="left"/>
            </w:pPr>
            <w:r>
              <w:rPr>
                <w:rFonts w:hint="eastAsia" w:cs="Times New Roman"/>
                <w:color w:val="000000"/>
                <w:kern w:val="0"/>
                <w:sz w:val="24"/>
                <w:szCs w:val="24"/>
                <w:lang w:val="en-US" w:eastAsia="zh-CN" w:bidi="ar"/>
              </w:rPr>
              <w:t>（1）</w:t>
            </w:r>
            <w:r>
              <w:rPr>
                <w:rFonts w:hint="eastAsia" w:ascii="宋体" w:hAnsi="宋体" w:cs="宋体"/>
                <w:color w:val="000000"/>
                <w:kern w:val="0"/>
                <w:sz w:val="24"/>
                <w:szCs w:val="24"/>
                <w:lang w:val="en-US" w:eastAsia="zh-CN" w:bidi="ar"/>
              </w:rPr>
              <w:t>风险潜势初判</w:t>
            </w:r>
            <w:r>
              <w:rPr>
                <w:rFonts w:hint="eastAsia" w:ascii="宋体" w:hAnsi="宋体" w:eastAsia="宋体" w:cs="宋体"/>
                <w:color w:val="000000"/>
                <w:kern w:val="0"/>
                <w:sz w:val="24"/>
                <w:szCs w:val="24"/>
                <w:lang w:val="en-US" w:eastAsia="zh-CN" w:bidi="ar"/>
              </w:rPr>
              <w:t xml:space="preserve"> </w:t>
            </w:r>
          </w:p>
          <w:p w14:paraId="5DBB7F64">
            <w:pPr>
              <w:keepNext w:val="0"/>
              <w:keepLines w:val="0"/>
              <w:widowControl/>
              <w:suppressLineNumbers w:val="0"/>
              <w:spacing w:line="360" w:lineRule="auto"/>
              <w:ind w:firstLine="480" w:firstLineChars="200"/>
              <w:jc w:val="left"/>
            </w:pPr>
            <w:r>
              <w:rPr>
                <w:rFonts w:hint="eastAsia" w:ascii="宋体" w:hAnsi="宋体" w:eastAsia="宋体" w:cs="宋体"/>
                <w:color w:val="000000"/>
                <w:kern w:val="0"/>
                <w:sz w:val="24"/>
                <w:szCs w:val="24"/>
                <w:lang w:val="en-US" w:eastAsia="zh-CN" w:bidi="ar"/>
              </w:rPr>
              <w:t>根据《建设项目环境风险评价技术导则》（</w:t>
            </w:r>
            <w:r>
              <w:rPr>
                <w:rFonts w:hint="default" w:ascii="Times New Roman" w:hAnsi="Times New Roman" w:eastAsia="宋体" w:cs="Times New Roman"/>
                <w:color w:val="000000"/>
                <w:kern w:val="0"/>
                <w:sz w:val="24"/>
                <w:szCs w:val="24"/>
                <w:lang w:val="en-US" w:eastAsia="zh-CN" w:bidi="ar"/>
              </w:rPr>
              <w:t>HJ169-2018</w:t>
            </w:r>
            <w:r>
              <w:rPr>
                <w:rFonts w:hint="eastAsia" w:ascii="宋体" w:hAnsi="宋体" w:eastAsia="宋体" w:cs="宋体"/>
                <w:color w:val="000000"/>
                <w:kern w:val="0"/>
                <w:sz w:val="24"/>
                <w:szCs w:val="24"/>
                <w:lang w:val="en-US" w:eastAsia="zh-CN" w:bidi="ar"/>
              </w:rPr>
              <w:t xml:space="preserve">）中规定，计算所涉及的每种危险物质在厂界内的最大存在总量与其在附录 </w:t>
            </w:r>
            <w:r>
              <w:rPr>
                <w:rFonts w:hint="default" w:ascii="Times New Roman" w:hAnsi="Times New Roman" w:eastAsia="宋体" w:cs="Times New Roman"/>
                <w:color w:val="000000"/>
                <w:kern w:val="0"/>
                <w:sz w:val="24"/>
                <w:szCs w:val="24"/>
                <w:lang w:val="en-US" w:eastAsia="zh-CN" w:bidi="ar"/>
              </w:rPr>
              <w:t xml:space="preserve">B </w:t>
            </w:r>
            <w:r>
              <w:rPr>
                <w:rFonts w:hint="eastAsia" w:ascii="宋体" w:hAnsi="宋体" w:eastAsia="宋体" w:cs="宋体"/>
                <w:color w:val="000000"/>
                <w:kern w:val="0"/>
                <w:sz w:val="24"/>
                <w:szCs w:val="24"/>
                <w:lang w:val="en-US" w:eastAsia="zh-CN" w:bidi="ar"/>
              </w:rPr>
              <w:t xml:space="preserve">中对应临界量的比值 </w:t>
            </w:r>
            <w:r>
              <w:rPr>
                <w:rFonts w:hint="default" w:ascii="Times New Roman" w:hAnsi="Times New Roman" w:eastAsia="宋体" w:cs="Times New Roman"/>
                <w:color w:val="000000"/>
                <w:kern w:val="0"/>
                <w:sz w:val="24"/>
                <w:szCs w:val="24"/>
                <w:lang w:val="en-US" w:eastAsia="zh-CN" w:bidi="ar"/>
              </w:rPr>
              <w:t>Q</w:t>
            </w:r>
            <w:r>
              <w:rPr>
                <w:rFonts w:hint="eastAsia" w:ascii="宋体" w:hAnsi="宋体" w:eastAsia="宋体" w:cs="宋体"/>
                <w:color w:val="000000"/>
                <w:kern w:val="0"/>
                <w:sz w:val="24"/>
                <w:szCs w:val="24"/>
                <w:lang w:val="en-US" w:eastAsia="zh-CN" w:bidi="ar"/>
              </w:rPr>
              <w:t xml:space="preserve">。 </w:t>
            </w:r>
          </w:p>
          <w:p w14:paraId="67094845">
            <w:pPr>
              <w:keepNext w:val="0"/>
              <w:keepLines w:val="0"/>
              <w:widowControl/>
              <w:suppressLineNumbers w:val="0"/>
              <w:spacing w:line="360" w:lineRule="auto"/>
              <w:jc w:val="center"/>
            </w:pPr>
            <w:r>
              <w:rPr>
                <w:rFonts w:hint="default" w:ascii="Times New Roman" w:hAnsi="Times New Roman" w:eastAsia="宋体" w:cs="Times New Roman"/>
                <w:color w:val="000000"/>
                <w:kern w:val="0"/>
                <w:sz w:val="24"/>
                <w:szCs w:val="24"/>
                <w:lang w:val="en-US" w:eastAsia="zh-CN" w:bidi="ar"/>
              </w:rPr>
              <w:t>Q=q1/Q1+ q2/Q2+…+qn/Qn</w:t>
            </w:r>
          </w:p>
          <w:p w14:paraId="3041EEEF">
            <w:pPr>
              <w:keepNext w:val="0"/>
              <w:keepLines w:val="0"/>
              <w:widowControl/>
              <w:suppressLineNumbers w:val="0"/>
              <w:spacing w:line="360" w:lineRule="auto"/>
              <w:ind w:firstLine="480" w:firstLineChars="200"/>
              <w:jc w:val="left"/>
            </w:pPr>
            <w:r>
              <w:rPr>
                <w:rFonts w:hint="eastAsia" w:ascii="宋体" w:hAnsi="宋体" w:eastAsia="宋体" w:cs="宋体"/>
                <w:color w:val="000000"/>
                <w:kern w:val="0"/>
                <w:sz w:val="24"/>
                <w:szCs w:val="24"/>
                <w:lang w:val="en-US" w:eastAsia="zh-CN" w:bidi="ar"/>
              </w:rPr>
              <w:t>式中：</w:t>
            </w:r>
            <w:r>
              <w:rPr>
                <w:rFonts w:hint="default" w:ascii="Times New Roman" w:hAnsi="Times New Roman" w:eastAsia="宋体" w:cs="Times New Roman"/>
                <w:color w:val="000000"/>
                <w:kern w:val="0"/>
                <w:sz w:val="24"/>
                <w:szCs w:val="24"/>
                <w:lang w:val="en-US" w:eastAsia="zh-CN" w:bidi="ar"/>
              </w:rPr>
              <w:t>q1</w:t>
            </w:r>
            <w:r>
              <w:rPr>
                <w:rFonts w:hint="eastAsia" w:ascii="宋体" w:hAnsi="宋体" w:eastAsia="宋体" w:cs="宋体"/>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q2</w:t>
            </w:r>
            <w:r>
              <w:rPr>
                <w:rFonts w:hint="eastAsia" w:ascii="宋体" w:hAnsi="宋体" w:eastAsia="宋体" w:cs="宋体"/>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w:t>
            </w:r>
            <w:r>
              <w:rPr>
                <w:rFonts w:hint="eastAsia" w:ascii="宋体" w:hAnsi="宋体" w:eastAsia="宋体" w:cs="宋体"/>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qn—</w:t>
            </w:r>
            <w:r>
              <w:rPr>
                <w:rFonts w:hint="eastAsia" w:ascii="宋体" w:hAnsi="宋体" w:eastAsia="宋体" w:cs="宋体"/>
                <w:color w:val="000000"/>
                <w:kern w:val="0"/>
                <w:sz w:val="24"/>
                <w:szCs w:val="24"/>
                <w:lang w:val="en-US" w:eastAsia="zh-CN" w:bidi="ar"/>
              </w:rPr>
              <w:t>每种危险化学品实际存在量，</w:t>
            </w:r>
            <w:r>
              <w:rPr>
                <w:rFonts w:hint="default" w:ascii="Times New Roman" w:hAnsi="Times New Roman" w:eastAsia="宋体" w:cs="Times New Roman"/>
                <w:color w:val="000000"/>
                <w:kern w:val="0"/>
                <w:sz w:val="24"/>
                <w:szCs w:val="24"/>
                <w:lang w:val="en-US" w:eastAsia="zh-CN" w:bidi="ar"/>
              </w:rPr>
              <w:t>t</w:t>
            </w:r>
            <w:r>
              <w:rPr>
                <w:rFonts w:hint="eastAsia" w:ascii="宋体" w:hAnsi="宋体" w:eastAsia="宋体" w:cs="宋体"/>
                <w:color w:val="000000"/>
                <w:kern w:val="0"/>
                <w:sz w:val="24"/>
                <w:szCs w:val="24"/>
                <w:lang w:val="en-US" w:eastAsia="zh-CN" w:bidi="ar"/>
              </w:rPr>
              <w:t xml:space="preserve">； </w:t>
            </w:r>
          </w:p>
          <w:p w14:paraId="6BC49C27">
            <w:pPr>
              <w:keepNext w:val="0"/>
              <w:keepLines w:val="0"/>
              <w:widowControl/>
              <w:suppressLineNumbers w:val="0"/>
              <w:spacing w:line="360" w:lineRule="auto"/>
              <w:ind w:firstLine="1200" w:firstLineChars="500"/>
              <w:jc w:val="left"/>
            </w:pPr>
            <w:r>
              <w:rPr>
                <w:rFonts w:hint="default" w:ascii="Times New Roman" w:hAnsi="Times New Roman" w:eastAsia="宋体" w:cs="Times New Roman"/>
                <w:color w:val="000000"/>
                <w:kern w:val="0"/>
                <w:sz w:val="24"/>
                <w:szCs w:val="24"/>
                <w:lang w:val="en-US" w:eastAsia="zh-CN" w:bidi="ar"/>
              </w:rPr>
              <w:t>Q1</w:t>
            </w:r>
            <w:r>
              <w:rPr>
                <w:rFonts w:hint="eastAsia" w:ascii="宋体" w:hAnsi="宋体" w:eastAsia="宋体" w:cs="宋体"/>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Q2</w:t>
            </w:r>
            <w:r>
              <w:rPr>
                <w:rFonts w:hint="eastAsia" w:ascii="宋体" w:hAnsi="宋体" w:eastAsia="宋体" w:cs="宋体"/>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w:t>
            </w:r>
            <w:r>
              <w:rPr>
                <w:rFonts w:hint="eastAsia" w:ascii="宋体" w:hAnsi="宋体" w:eastAsia="宋体" w:cs="宋体"/>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Qn—</w:t>
            </w:r>
            <w:r>
              <w:rPr>
                <w:rFonts w:hint="eastAsia" w:ascii="宋体" w:hAnsi="宋体" w:eastAsia="宋体" w:cs="宋体"/>
                <w:color w:val="000000"/>
                <w:kern w:val="0"/>
                <w:sz w:val="24"/>
                <w:szCs w:val="24"/>
                <w:lang w:val="en-US" w:eastAsia="zh-CN" w:bidi="ar"/>
              </w:rPr>
              <w:t>与各危险化学品相对应的临界量，</w:t>
            </w:r>
            <w:r>
              <w:rPr>
                <w:rFonts w:hint="default" w:ascii="Times New Roman" w:hAnsi="Times New Roman" w:eastAsia="宋体" w:cs="Times New Roman"/>
                <w:color w:val="000000"/>
                <w:kern w:val="0"/>
                <w:sz w:val="24"/>
                <w:szCs w:val="24"/>
                <w:lang w:val="en-US" w:eastAsia="zh-CN" w:bidi="ar"/>
              </w:rPr>
              <w:t>t</w:t>
            </w:r>
            <w:r>
              <w:rPr>
                <w:rFonts w:hint="eastAsia" w:ascii="宋体" w:hAnsi="宋体" w:eastAsia="宋体" w:cs="宋体"/>
                <w:color w:val="000000"/>
                <w:kern w:val="0"/>
                <w:sz w:val="24"/>
                <w:szCs w:val="24"/>
                <w:lang w:val="en-US" w:eastAsia="zh-CN" w:bidi="ar"/>
              </w:rPr>
              <w:t xml:space="preserve">； </w:t>
            </w:r>
          </w:p>
          <w:p w14:paraId="69EF1E74">
            <w:pPr>
              <w:keepNext w:val="0"/>
              <w:keepLines w:val="0"/>
              <w:widowControl/>
              <w:suppressLineNumbers w:val="0"/>
              <w:spacing w:line="360" w:lineRule="auto"/>
              <w:ind w:firstLine="480" w:firstLineChars="200"/>
              <w:jc w:val="left"/>
            </w:pPr>
            <w:r>
              <w:rPr>
                <w:rFonts w:hint="eastAsia" w:ascii="宋体" w:hAnsi="宋体" w:eastAsia="宋体" w:cs="宋体"/>
                <w:color w:val="000000"/>
                <w:kern w:val="0"/>
                <w:sz w:val="24"/>
                <w:szCs w:val="24"/>
                <w:lang w:val="en-US" w:eastAsia="zh-CN" w:bidi="ar"/>
              </w:rPr>
              <w:t>本项目涉及风险物质为</w:t>
            </w:r>
            <w:r>
              <w:rPr>
                <w:rFonts w:hint="eastAsia" w:ascii="Times New Roman" w:hAnsi="Times New Roman" w:eastAsia="宋体" w:cs="Times New Roman"/>
                <w:color w:val="000000"/>
                <w:kern w:val="0"/>
                <w:sz w:val="24"/>
                <w:szCs w:val="24"/>
                <w:lang w:val="en-US" w:eastAsia="zh-CN" w:bidi="ar"/>
              </w:rPr>
              <w:t>“</w:t>
            </w:r>
            <w:r>
              <w:rPr>
                <w:rFonts w:hint="eastAsia" w:ascii="宋体" w:hAnsi="宋体" w:eastAsia="宋体" w:cs="宋体"/>
                <w:color w:val="000000"/>
                <w:kern w:val="0"/>
                <w:sz w:val="24"/>
                <w:szCs w:val="24"/>
                <w:lang w:val="en-US" w:eastAsia="zh-CN" w:bidi="ar"/>
              </w:rPr>
              <w:t>油类物质（矿物油类）</w:t>
            </w:r>
            <w:r>
              <w:rPr>
                <w:rFonts w:hint="eastAsia" w:ascii="Times New Roman" w:hAnsi="Times New Roman" w:eastAsia="宋体" w:cs="Times New Roman"/>
                <w:color w:val="000000"/>
                <w:kern w:val="0"/>
                <w:sz w:val="24"/>
                <w:szCs w:val="24"/>
                <w:lang w:val="en-US" w:eastAsia="zh-CN" w:bidi="ar"/>
              </w:rPr>
              <w:t>”</w:t>
            </w:r>
            <w:r>
              <w:rPr>
                <w:rFonts w:hint="eastAsia" w:ascii="宋体" w:hAnsi="宋体" w:eastAsia="宋体" w:cs="宋体"/>
                <w:color w:val="000000"/>
                <w:kern w:val="0"/>
                <w:sz w:val="24"/>
                <w:szCs w:val="24"/>
                <w:lang w:val="en-US" w:eastAsia="zh-CN" w:bidi="ar"/>
              </w:rPr>
              <w:t>，其临界量为</w:t>
            </w:r>
            <w:r>
              <w:rPr>
                <w:rFonts w:hint="default" w:ascii="Times New Roman" w:hAnsi="Times New Roman" w:eastAsia="宋体" w:cs="Times New Roman"/>
                <w:color w:val="000000"/>
                <w:kern w:val="0"/>
                <w:sz w:val="24"/>
                <w:szCs w:val="24"/>
                <w:lang w:val="en-US" w:eastAsia="zh-CN" w:bidi="ar"/>
              </w:rPr>
              <w:t>2500</w:t>
            </w:r>
            <w:r>
              <w:rPr>
                <w:rFonts w:hint="eastAsia" w:ascii="宋体" w:hAnsi="宋体" w:eastAsia="宋体" w:cs="宋体"/>
                <w:color w:val="000000"/>
                <w:kern w:val="0"/>
                <w:sz w:val="24"/>
                <w:szCs w:val="24"/>
                <w:lang w:val="en-US" w:eastAsia="zh-CN" w:bidi="ar"/>
              </w:rPr>
              <w:t>吨，厂区内油品最大储存量为</w:t>
            </w:r>
            <w:r>
              <w:rPr>
                <w:rFonts w:hint="eastAsia" w:cs="Times New Roman"/>
                <w:color w:val="000000"/>
                <w:kern w:val="0"/>
                <w:sz w:val="24"/>
                <w:szCs w:val="24"/>
                <w:lang w:val="en-US" w:eastAsia="zh-CN" w:bidi="ar"/>
              </w:rPr>
              <w:t>95.04</w:t>
            </w:r>
            <w:r>
              <w:rPr>
                <w:rFonts w:hint="default" w:ascii="Times New Roman" w:hAnsi="Times New Roman" w:eastAsia="宋体" w:cs="Times New Roman"/>
                <w:color w:val="000000"/>
                <w:kern w:val="0"/>
                <w:sz w:val="24"/>
                <w:szCs w:val="24"/>
                <w:lang w:val="en-US" w:eastAsia="zh-CN" w:bidi="ar"/>
              </w:rPr>
              <w:t>t/a</w:t>
            </w:r>
            <w:r>
              <w:rPr>
                <w:rFonts w:hint="eastAsia" w:ascii="宋体" w:hAnsi="宋体" w:eastAsia="宋体" w:cs="宋体"/>
                <w:color w:val="000000"/>
                <w:kern w:val="0"/>
                <w:sz w:val="24"/>
                <w:szCs w:val="24"/>
                <w:lang w:val="en-US" w:eastAsia="zh-CN" w:bidi="ar"/>
              </w:rPr>
              <w:t xml:space="preserve">。 </w:t>
            </w:r>
          </w:p>
          <w:p w14:paraId="3E48203D">
            <w:pPr>
              <w:keepNext w:val="0"/>
              <w:keepLines w:val="0"/>
              <w:widowControl/>
              <w:suppressLineNumbers w:val="0"/>
              <w:spacing w:line="360" w:lineRule="auto"/>
              <w:ind w:firstLine="480" w:firstLineChars="200"/>
              <w:jc w:val="left"/>
            </w:pPr>
            <w:r>
              <w:rPr>
                <w:rFonts w:hint="eastAsia" w:ascii="宋体" w:hAnsi="宋体" w:eastAsia="宋体" w:cs="宋体"/>
                <w:color w:val="000000"/>
                <w:kern w:val="0"/>
                <w:sz w:val="24"/>
                <w:szCs w:val="24"/>
                <w:lang w:val="en-US" w:eastAsia="zh-CN" w:bidi="ar"/>
              </w:rPr>
              <w:t>则，</w:t>
            </w:r>
            <w:r>
              <w:rPr>
                <w:rFonts w:hint="default" w:ascii="Times New Roman" w:hAnsi="Times New Roman" w:eastAsia="宋体" w:cs="Times New Roman"/>
                <w:color w:val="000000"/>
                <w:kern w:val="0"/>
                <w:sz w:val="24"/>
                <w:szCs w:val="24"/>
                <w:lang w:val="en-US" w:eastAsia="zh-CN" w:bidi="ar"/>
              </w:rPr>
              <w:t>Q=</w:t>
            </w:r>
            <w:r>
              <w:rPr>
                <w:rFonts w:hint="eastAsia" w:cs="Times New Roman"/>
                <w:color w:val="000000"/>
                <w:kern w:val="0"/>
                <w:sz w:val="24"/>
                <w:szCs w:val="24"/>
                <w:lang w:val="en-US" w:eastAsia="zh-CN" w:bidi="ar"/>
              </w:rPr>
              <w:t>95.04</w:t>
            </w:r>
            <w:r>
              <w:rPr>
                <w:rFonts w:hint="default" w:ascii="Times New Roman" w:hAnsi="Times New Roman" w:eastAsia="宋体" w:cs="Times New Roman"/>
                <w:color w:val="000000"/>
                <w:kern w:val="0"/>
                <w:sz w:val="24"/>
                <w:szCs w:val="24"/>
                <w:lang w:val="en-US" w:eastAsia="zh-CN" w:bidi="ar"/>
              </w:rPr>
              <w:t>/2500=0.03</w:t>
            </w:r>
            <w:r>
              <w:rPr>
                <w:rFonts w:hint="eastAsia" w:cs="Times New Roman"/>
                <w:color w:val="000000"/>
                <w:kern w:val="0"/>
                <w:sz w:val="24"/>
                <w:szCs w:val="24"/>
                <w:lang w:val="en-US" w:eastAsia="zh-CN" w:bidi="ar"/>
              </w:rPr>
              <w:t>8</w:t>
            </w:r>
            <w:r>
              <w:rPr>
                <w:rFonts w:hint="eastAsia" w:ascii="宋体" w:hAnsi="宋体" w:eastAsia="宋体" w:cs="宋体"/>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Q</w:t>
            </w:r>
            <w:r>
              <w:rPr>
                <w:rFonts w:hint="eastAsia" w:ascii="宋体" w:hAnsi="宋体" w:eastAsia="宋体" w:cs="宋体"/>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1</w:t>
            </w:r>
            <w:r>
              <w:rPr>
                <w:rFonts w:hint="eastAsia" w:cs="Times New Roman"/>
                <w:color w:val="000000"/>
                <w:kern w:val="0"/>
                <w:sz w:val="24"/>
                <w:szCs w:val="24"/>
                <w:lang w:val="en-US" w:eastAsia="zh-CN" w:bidi="ar"/>
              </w:rPr>
              <w:t>，本项目环境风险潜势为I</w:t>
            </w:r>
            <w:r>
              <w:rPr>
                <w:rFonts w:hint="eastAsia" w:ascii="宋体" w:hAnsi="宋体" w:eastAsia="宋体" w:cs="宋体"/>
                <w:color w:val="000000"/>
                <w:kern w:val="0"/>
                <w:sz w:val="24"/>
                <w:szCs w:val="24"/>
                <w:lang w:val="en-US" w:eastAsia="zh-CN" w:bidi="ar"/>
              </w:rPr>
              <w:t xml:space="preserve">。 </w:t>
            </w:r>
          </w:p>
          <w:p w14:paraId="21834A8D">
            <w:pPr>
              <w:keepNext w:val="0"/>
              <w:keepLines w:val="0"/>
              <w:widowControl/>
              <w:suppressLineNumbers w:val="0"/>
              <w:spacing w:line="360" w:lineRule="auto"/>
              <w:jc w:val="left"/>
            </w:pPr>
            <w:r>
              <w:rPr>
                <w:rFonts w:hint="eastAsia" w:ascii="宋体" w:hAnsi="宋体" w:eastAsia="宋体" w:cs="宋体"/>
                <w:color w:val="000000"/>
                <w:kern w:val="0"/>
                <w:sz w:val="24"/>
                <w:szCs w:val="24"/>
                <w:lang w:val="en-US" w:eastAsia="zh-CN" w:bidi="ar"/>
              </w:rPr>
              <w:t>（</w:t>
            </w:r>
            <w:r>
              <w:rPr>
                <w:rFonts w:hint="eastAsia" w:cs="Times New Roman"/>
                <w:color w:val="000000"/>
                <w:kern w:val="0"/>
                <w:sz w:val="24"/>
                <w:szCs w:val="24"/>
                <w:lang w:val="en-US" w:eastAsia="zh-CN" w:bidi="ar"/>
              </w:rPr>
              <w:t>2</w:t>
            </w:r>
            <w:r>
              <w:rPr>
                <w:rFonts w:hint="eastAsia" w:ascii="宋体" w:hAnsi="宋体" w:eastAsia="宋体" w:cs="宋体"/>
                <w:color w:val="000000"/>
                <w:kern w:val="0"/>
                <w:sz w:val="24"/>
                <w:szCs w:val="24"/>
                <w:lang w:val="en-US" w:eastAsia="zh-CN" w:bidi="ar"/>
              </w:rPr>
              <w:t xml:space="preserve">）评价工作等级 </w:t>
            </w:r>
          </w:p>
          <w:p w14:paraId="3FEE6EF3">
            <w:pPr>
              <w:keepNext w:val="0"/>
              <w:keepLines w:val="0"/>
              <w:widowControl/>
              <w:suppressLineNumbers w:val="0"/>
              <w:spacing w:line="360" w:lineRule="auto"/>
              <w:ind w:firstLine="480" w:firstLineChars="200"/>
              <w:jc w:val="left"/>
            </w:pPr>
            <w:r>
              <w:rPr>
                <w:rFonts w:hint="eastAsia" w:ascii="宋体" w:hAnsi="宋体" w:eastAsia="宋体" w:cs="宋体"/>
                <w:color w:val="000000"/>
                <w:kern w:val="0"/>
                <w:sz w:val="24"/>
                <w:szCs w:val="24"/>
                <w:lang w:val="en-US" w:eastAsia="zh-CN" w:bidi="ar"/>
              </w:rPr>
              <w:t>根据《建设项目环境风险评价技术导则》（</w:t>
            </w:r>
            <w:r>
              <w:rPr>
                <w:rFonts w:hint="default" w:ascii="Times New Roman" w:hAnsi="Times New Roman" w:eastAsia="宋体" w:cs="Times New Roman"/>
                <w:color w:val="000000"/>
                <w:kern w:val="0"/>
                <w:sz w:val="24"/>
                <w:szCs w:val="24"/>
                <w:lang w:val="en-US" w:eastAsia="zh-CN" w:bidi="ar"/>
              </w:rPr>
              <w:t>HJ169-2018</w:t>
            </w:r>
            <w:r>
              <w:rPr>
                <w:rFonts w:hint="eastAsia" w:ascii="宋体" w:hAnsi="宋体" w:eastAsia="宋体" w:cs="宋体"/>
                <w:color w:val="000000"/>
                <w:kern w:val="0"/>
                <w:sz w:val="24"/>
                <w:szCs w:val="24"/>
                <w:lang w:val="en-US" w:eastAsia="zh-CN" w:bidi="ar"/>
              </w:rPr>
              <w:t>）标准所列物质，本项目营运过程中不存在重大危险源，且不属于环境敏感区域。</w:t>
            </w:r>
            <w:r>
              <w:rPr>
                <w:rFonts w:hint="default" w:ascii="Times New Roman" w:hAnsi="Times New Roman" w:eastAsia="宋体" w:cs="Times New Roman"/>
                <w:color w:val="000000"/>
                <w:kern w:val="0"/>
                <w:sz w:val="24"/>
                <w:szCs w:val="24"/>
                <w:lang w:val="en-US" w:eastAsia="zh-CN" w:bidi="ar"/>
              </w:rPr>
              <w:t>Q</w:t>
            </w:r>
            <w:r>
              <w:rPr>
                <w:rFonts w:hint="eastAsia" w:ascii="宋体" w:hAnsi="宋体" w:eastAsia="宋体" w:cs="宋体"/>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1</w:t>
            </w:r>
            <w:r>
              <w:rPr>
                <w:rFonts w:hint="eastAsia" w:ascii="宋体" w:hAnsi="宋体" w:eastAsia="宋体" w:cs="宋体"/>
                <w:color w:val="000000"/>
                <w:kern w:val="0"/>
                <w:sz w:val="24"/>
                <w:szCs w:val="24"/>
                <w:lang w:val="en-US" w:eastAsia="zh-CN" w:bidi="ar"/>
              </w:rPr>
              <w:t>，该项目环境风险潜势为</w:t>
            </w:r>
            <w:r>
              <w:rPr>
                <w:rFonts w:hint="default" w:ascii="Times New Roman" w:hAnsi="Times New Roman" w:eastAsia="宋体" w:cs="Times New Roman"/>
                <w:color w:val="000000"/>
                <w:kern w:val="0"/>
                <w:sz w:val="24"/>
                <w:szCs w:val="24"/>
                <w:lang w:val="en-US" w:eastAsia="zh-CN" w:bidi="ar"/>
              </w:rPr>
              <w:t>Ⅰ</w:t>
            </w:r>
            <w:r>
              <w:rPr>
                <w:rFonts w:hint="eastAsia" w:ascii="宋体" w:hAnsi="宋体" w:eastAsia="宋体" w:cs="宋体"/>
                <w:color w:val="000000"/>
                <w:kern w:val="0"/>
                <w:sz w:val="24"/>
                <w:szCs w:val="24"/>
                <w:lang w:val="en-US" w:eastAsia="zh-CN" w:bidi="ar"/>
              </w:rPr>
              <w:t>，可开展简单分析。</w:t>
            </w:r>
          </w:p>
          <w:p w14:paraId="5C8B912E">
            <w:pPr>
              <w:pStyle w:val="68"/>
              <w:ind w:left="0" w:leftChars="0" w:firstLine="0" w:firstLineChars="0"/>
              <w:rPr>
                <w:rFonts w:hint="default" w:ascii="Times New Roman" w:hAnsi="Times New Roman" w:cs="Times New Roman"/>
                <w:b/>
                <w:bCs w:val="0"/>
                <w:color w:val="000000" w:themeColor="text1"/>
                <w:szCs w:val="24"/>
                <w:highlight w:val="none"/>
                <w14:textFill>
                  <w14:solidFill>
                    <w14:schemeClr w14:val="tx1"/>
                  </w14:solidFill>
                </w14:textFill>
              </w:rPr>
            </w:pPr>
            <w:r>
              <w:rPr>
                <w:rFonts w:hint="eastAsia" w:cs="Times New Roman"/>
                <w:b/>
                <w:bCs w:val="0"/>
                <w:color w:val="000000" w:themeColor="text1"/>
                <w:szCs w:val="24"/>
                <w:highlight w:val="none"/>
                <w:lang w:val="en-US" w:eastAsia="zh-CN"/>
                <w14:textFill>
                  <w14:solidFill>
                    <w14:schemeClr w14:val="tx1"/>
                  </w14:solidFill>
                </w14:textFill>
              </w:rPr>
              <w:t>6.2</w:t>
            </w:r>
            <w:r>
              <w:rPr>
                <w:rFonts w:hint="default" w:ascii="Times New Roman" w:hAnsi="Times New Roman" w:cs="Times New Roman"/>
                <w:b/>
                <w:bCs w:val="0"/>
                <w:color w:val="000000" w:themeColor="text1"/>
                <w:szCs w:val="24"/>
                <w:highlight w:val="none"/>
                <w:lang w:val="en-US" w:eastAsia="zh-CN"/>
                <w14:textFill>
                  <w14:solidFill>
                    <w14:schemeClr w14:val="tx1"/>
                  </w14:solidFill>
                </w14:textFill>
              </w:rPr>
              <w:t xml:space="preserve">环境风险识别 </w:t>
            </w:r>
          </w:p>
          <w:p w14:paraId="5E78D9A9">
            <w:pPr>
              <w:pStyle w:val="68"/>
              <w:ind w:firstLine="480"/>
              <w:rPr>
                <w:rFonts w:hint="default" w:ascii="Times New Roman" w:hAnsi="Times New Roman" w:cs="Times New Roman"/>
                <w:color w:val="000000" w:themeColor="text1"/>
                <w:szCs w:val="24"/>
                <w:highlight w:val="none"/>
                <w14:textFill>
                  <w14:solidFill>
                    <w14:schemeClr w14:val="tx1"/>
                  </w14:solidFill>
                </w14:textFill>
              </w:rPr>
            </w:pPr>
            <w:r>
              <w:rPr>
                <w:rFonts w:hint="default" w:ascii="Times New Roman" w:hAnsi="Times New Roman" w:cs="Times New Roman"/>
                <w:color w:val="000000" w:themeColor="text1"/>
                <w:szCs w:val="24"/>
                <w:highlight w:val="none"/>
                <w:lang w:val="en-US" w:eastAsia="zh-CN"/>
                <w14:textFill>
                  <w14:solidFill>
                    <w14:schemeClr w14:val="tx1"/>
                  </w14:solidFill>
                </w14:textFill>
              </w:rPr>
              <w:t xml:space="preserve">环保设备损坏等引发的伴生/次生污染物排放储罐发生破裂，导致废矿物油泄露排入外环境，对环境产生不良影响，以及储罐发生破裂，导致废矿物油泄露发生火灾爆炸事故，对环境产生不良影响。 </w:t>
            </w:r>
          </w:p>
          <w:p w14:paraId="5DA22DF8">
            <w:pPr>
              <w:pStyle w:val="68"/>
              <w:ind w:left="0" w:leftChars="0" w:firstLine="0" w:firstLineChars="0"/>
              <w:rPr>
                <w:rFonts w:hint="default" w:ascii="Times New Roman" w:hAnsi="Times New Roman" w:cs="Times New Roman"/>
                <w:b/>
                <w:bCs w:val="0"/>
                <w:color w:val="000000" w:themeColor="text1"/>
                <w:szCs w:val="24"/>
                <w:highlight w:val="none"/>
                <w14:textFill>
                  <w14:solidFill>
                    <w14:schemeClr w14:val="tx1"/>
                  </w14:solidFill>
                </w14:textFill>
              </w:rPr>
            </w:pPr>
            <w:r>
              <w:rPr>
                <w:rFonts w:hint="eastAsia" w:cs="Times New Roman"/>
                <w:b/>
                <w:bCs w:val="0"/>
                <w:color w:val="000000" w:themeColor="text1"/>
                <w:szCs w:val="24"/>
                <w:highlight w:val="none"/>
                <w:lang w:val="en-US" w:eastAsia="zh-CN"/>
                <w14:textFill>
                  <w14:solidFill>
                    <w14:schemeClr w14:val="tx1"/>
                  </w14:solidFill>
                </w14:textFill>
              </w:rPr>
              <w:t>6.3</w:t>
            </w:r>
            <w:r>
              <w:rPr>
                <w:rFonts w:hint="default" w:ascii="Times New Roman" w:hAnsi="Times New Roman" w:cs="Times New Roman"/>
                <w:b/>
                <w:bCs w:val="0"/>
                <w:color w:val="000000" w:themeColor="text1"/>
                <w:szCs w:val="24"/>
                <w:highlight w:val="none"/>
                <w:lang w:val="en-US" w:eastAsia="zh-CN"/>
                <w14:textFill>
                  <w14:solidFill>
                    <w14:schemeClr w14:val="tx1"/>
                  </w14:solidFill>
                </w14:textFill>
              </w:rPr>
              <w:t xml:space="preserve">环境风险分析 </w:t>
            </w:r>
          </w:p>
          <w:p w14:paraId="5227D672">
            <w:pPr>
              <w:pStyle w:val="68"/>
              <w:ind w:firstLine="480"/>
              <w:rPr>
                <w:rFonts w:hint="default" w:ascii="Times New Roman" w:hAnsi="Times New Roman" w:cs="Times New Roman"/>
                <w:color w:val="000000" w:themeColor="text1"/>
                <w:szCs w:val="24"/>
                <w:highlight w:val="none"/>
                <w:lang w:val="en-US" w:eastAsia="zh-CN"/>
                <w14:textFill>
                  <w14:solidFill>
                    <w14:schemeClr w14:val="tx1"/>
                  </w14:solidFill>
                </w14:textFill>
              </w:rPr>
            </w:pPr>
            <w:r>
              <w:rPr>
                <w:rFonts w:hint="default" w:ascii="Times New Roman" w:hAnsi="Times New Roman" w:cs="Times New Roman"/>
                <w:color w:val="000000" w:themeColor="text1"/>
                <w:szCs w:val="24"/>
                <w:highlight w:val="none"/>
                <w:lang w:val="en-US" w:eastAsia="zh-CN"/>
                <w14:textFill>
                  <w14:solidFill>
                    <w14:schemeClr w14:val="tx1"/>
                  </w14:solidFill>
                </w14:textFill>
              </w:rPr>
              <w:t>（1）油罐、油泵及装卸油桶以及其他废物泄漏环境风险事件后果分析本企业储油罐区、油泵及装卸区涉及废矿物油，均布置在室内，储油罐为地上储罐。废矿物油贮存区和固体废物贮存区地面按要求设置了地差、防渗系统、导流槽。 废矿物油贮存区设置了围堰</w:t>
            </w:r>
            <w:r>
              <w:rPr>
                <w:rFonts w:hint="eastAsia" w:cs="Times New Roman"/>
                <w:color w:val="000000" w:themeColor="text1"/>
                <w:szCs w:val="24"/>
                <w:highlight w:val="none"/>
                <w:lang w:val="en-US" w:eastAsia="zh-CN"/>
                <w14:textFill>
                  <w14:solidFill>
                    <w14:schemeClr w14:val="tx1"/>
                  </w14:solidFill>
                </w14:textFill>
              </w:rPr>
              <w:t>，规格10</w:t>
            </w:r>
            <w:r>
              <w:rPr>
                <w:rFonts w:hint="default" w:cs="Times New Roman"/>
                <w:color w:val="000000" w:themeColor="text1"/>
                <w:szCs w:val="24"/>
                <w:highlight w:val="none"/>
                <w:lang w:val="en-US" w:eastAsia="zh-CN"/>
                <w14:textFill>
                  <w14:solidFill>
                    <w14:schemeClr w14:val="tx1"/>
                  </w14:solidFill>
                </w14:textFill>
              </w:rPr>
              <w:t>m</w:t>
            </w:r>
            <w:r>
              <w:rPr>
                <w:rFonts w:hint="default" w:ascii="Arial" w:hAnsi="Arial" w:cs="Arial"/>
                <w:color w:val="000000" w:themeColor="text1"/>
                <w:szCs w:val="24"/>
                <w:highlight w:val="none"/>
                <w:lang w:val="en-US" w:eastAsia="zh-CN"/>
                <w14:textFill>
                  <w14:solidFill>
                    <w14:schemeClr w14:val="tx1"/>
                  </w14:solidFill>
                </w14:textFill>
              </w:rPr>
              <w:t>×</w:t>
            </w:r>
            <w:r>
              <w:rPr>
                <w:rFonts w:hint="default" w:cs="Times New Roman"/>
                <w:color w:val="000000" w:themeColor="text1"/>
                <w:szCs w:val="24"/>
                <w:highlight w:val="none"/>
                <w:lang w:val="en-US" w:eastAsia="zh-CN"/>
                <w14:textFill>
                  <w14:solidFill>
                    <w14:schemeClr w14:val="tx1"/>
                  </w14:solidFill>
                </w14:textFill>
              </w:rPr>
              <w:t>1</w:t>
            </w:r>
            <w:r>
              <w:rPr>
                <w:rFonts w:hint="eastAsia" w:cs="Times New Roman"/>
                <w:color w:val="000000" w:themeColor="text1"/>
                <w:szCs w:val="24"/>
                <w:highlight w:val="none"/>
                <w:lang w:val="en-US" w:eastAsia="zh-CN"/>
                <w14:textFill>
                  <w14:solidFill>
                    <w14:schemeClr w14:val="tx1"/>
                  </w14:solidFill>
                </w14:textFill>
              </w:rPr>
              <w:t>2</w:t>
            </w:r>
            <w:r>
              <w:rPr>
                <w:rFonts w:hint="default" w:cs="Times New Roman"/>
                <w:color w:val="000000" w:themeColor="text1"/>
                <w:szCs w:val="24"/>
                <w:highlight w:val="none"/>
                <w:lang w:val="en-US" w:eastAsia="zh-CN"/>
                <w14:textFill>
                  <w14:solidFill>
                    <w14:schemeClr w14:val="tx1"/>
                  </w14:solidFill>
                </w14:textFill>
              </w:rPr>
              <w:t>m</w:t>
            </w:r>
            <w:r>
              <w:rPr>
                <w:rFonts w:hint="default" w:ascii="Arial" w:hAnsi="Arial" w:cs="Arial"/>
                <w:color w:val="000000" w:themeColor="text1"/>
                <w:szCs w:val="24"/>
                <w:highlight w:val="none"/>
                <w:lang w:val="en-US" w:eastAsia="zh-CN"/>
                <w14:textFill>
                  <w14:solidFill>
                    <w14:schemeClr w14:val="tx1"/>
                  </w14:solidFill>
                </w14:textFill>
              </w:rPr>
              <w:t>×</w:t>
            </w:r>
            <w:r>
              <w:rPr>
                <w:rFonts w:hint="default" w:cs="Times New Roman"/>
                <w:color w:val="000000" w:themeColor="text1"/>
                <w:szCs w:val="24"/>
                <w:highlight w:val="none"/>
                <w:lang w:val="en-US" w:eastAsia="zh-CN"/>
                <w14:textFill>
                  <w14:solidFill>
                    <w14:schemeClr w14:val="tx1"/>
                  </w14:solidFill>
                </w14:textFill>
              </w:rPr>
              <w:t>1</w:t>
            </w:r>
            <w:r>
              <w:rPr>
                <w:rFonts w:hint="eastAsia" w:cs="Times New Roman"/>
                <w:color w:val="000000" w:themeColor="text1"/>
                <w:szCs w:val="24"/>
                <w:highlight w:val="none"/>
                <w:lang w:val="en-US" w:eastAsia="zh-CN"/>
                <w14:textFill>
                  <w14:solidFill>
                    <w14:schemeClr w14:val="tx1"/>
                  </w14:solidFill>
                </w14:textFill>
              </w:rPr>
              <w:t>.2</w:t>
            </w:r>
            <w:r>
              <w:rPr>
                <w:rFonts w:hint="default" w:cs="Times New Roman"/>
                <w:color w:val="000000" w:themeColor="text1"/>
                <w:szCs w:val="24"/>
                <w:highlight w:val="none"/>
                <w:lang w:val="en-US" w:eastAsia="zh-CN"/>
                <w14:textFill>
                  <w14:solidFill>
                    <w14:schemeClr w14:val="tx1"/>
                  </w14:solidFill>
                </w14:textFill>
              </w:rPr>
              <w:t>m</w:t>
            </w:r>
            <w:r>
              <w:rPr>
                <w:rFonts w:hint="eastAsia" w:cs="Times New Roman"/>
                <w:color w:val="000000" w:themeColor="text1"/>
                <w:szCs w:val="24"/>
                <w:highlight w:val="none"/>
                <w:lang w:val="en-US" w:eastAsia="zh-CN"/>
                <w14:textFill>
                  <w14:solidFill>
                    <w14:schemeClr w14:val="tx1"/>
                  </w14:solidFill>
                </w14:textFill>
              </w:rPr>
              <w:t>（</w:t>
            </w:r>
            <w:r>
              <w:rPr>
                <w:rFonts w:hint="default" w:cs="Times New Roman"/>
                <w:color w:val="000000" w:themeColor="text1"/>
                <w:szCs w:val="24"/>
                <w:highlight w:val="none"/>
                <w:lang w:val="en-US" w:eastAsia="zh-CN"/>
                <w14:textFill>
                  <w14:solidFill>
                    <w14:schemeClr w14:val="tx1"/>
                  </w14:solidFill>
                </w14:textFill>
              </w:rPr>
              <w:t>长</w:t>
            </w:r>
            <w:r>
              <w:rPr>
                <w:rFonts w:hint="default" w:ascii="Arial" w:hAnsi="Arial" w:cs="Arial"/>
                <w:color w:val="000000" w:themeColor="text1"/>
                <w:szCs w:val="24"/>
                <w:highlight w:val="none"/>
                <w:lang w:val="en-US" w:eastAsia="zh-CN"/>
                <w14:textFill>
                  <w14:solidFill>
                    <w14:schemeClr w14:val="tx1"/>
                  </w14:solidFill>
                </w14:textFill>
              </w:rPr>
              <w:t>×</w:t>
            </w:r>
            <w:r>
              <w:rPr>
                <w:rFonts w:hint="default" w:cs="Times New Roman"/>
                <w:color w:val="000000" w:themeColor="text1"/>
                <w:szCs w:val="24"/>
                <w:highlight w:val="none"/>
                <w:lang w:val="en-US" w:eastAsia="zh-CN"/>
                <w14:textFill>
                  <w14:solidFill>
                    <w14:schemeClr w14:val="tx1"/>
                  </w14:solidFill>
                </w14:textFill>
              </w:rPr>
              <w:t>宽</w:t>
            </w:r>
            <w:r>
              <w:rPr>
                <w:rFonts w:hint="default" w:ascii="Arial" w:hAnsi="Arial" w:cs="Arial"/>
                <w:color w:val="000000" w:themeColor="text1"/>
                <w:szCs w:val="24"/>
                <w:highlight w:val="none"/>
                <w:lang w:val="en-US" w:eastAsia="zh-CN"/>
                <w14:textFill>
                  <w14:solidFill>
                    <w14:schemeClr w14:val="tx1"/>
                  </w14:solidFill>
                </w14:textFill>
              </w:rPr>
              <w:t>×</w:t>
            </w:r>
            <w:r>
              <w:rPr>
                <w:rFonts w:hint="default" w:cs="Times New Roman"/>
                <w:color w:val="000000" w:themeColor="text1"/>
                <w:szCs w:val="24"/>
                <w:highlight w:val="none"/>
                <w:lang w:val="en-US" w:eastAsia="zh-CN"/>
                <w14:textFill>
                  <w14:solidFill>
                    <w14:schemeClr w14:val="tx1"/>
                  </w14:solidFill>
                </w14:textFill>
              </w:rPr>
              <w:t>高</w:t>
            </w:r>
            <w:r>
              <w:rPr>
                <w:rFonts w:hint="eastAsia" w:cs="Times New Roman"/>
                <w:color w:val="000000" w:themeColor="text1"/>
                <w:szCs w:val="24"/>
                <w:highlight w:val="none"/>
                <w:lang w:val="en-US" w:eastAsia="zh-CN"/>
                <w14:textFill>
                  <w14:solidFill>
                    <w14:schemeClr w14:val="tx1"/>
                  </w14:solidFill>
                </w14:textFill>
              </w:rPr>
              <w:t>）</w:t>
            </w:r>
            <w:r>
              <w:rPr>
                <w:rFonts w:hint="default" w:ascii="Times New Roman" w:hAnsi="Times New Roman" w:cs="Times New Roman"/>
                <w:color w:val="000000" w:themeColor="text1"/>
                <w:szCs w:val="24"/>
                <w:highlight w:val="none"/>
                <w:lang w:val="en-US" w:eastAsia="zh-CN"/>
                <w14:textFill>
                  <w14:solidFill>
                    <w14:schemeClr w14:val="tx1"/>
                  </w14:solidFill>
                </w14:textFill>
              </w:rPr>
              <w:t>，环绕废矿物油贮存区，形成应急池体容积约</w:t>
            </w:r>
            <w:r>
              <w:rPr>
                <w:rFonts w:hint="eastAsia" w:cs="Times New Roman"/>
                <w:color w:val="000000" w:themeColor="text1"/>
                <w:szCs w:val="24"/>
                <w:highlight w:val="none"/>
                <w:lang w:val="en-US" w:eastAsia="zh-CN"/>
                <w14:textFill>
                  <w14:solidFill>
                    <w14:schemeClr w14:val="tx1"/>
                  </w14:solidFill>
                </w14:textFill>
              </w:rPr>
              <w:t>144</w:t>
            </w:r>
            <w:r>
              <w:rPr>
                <w:rFonts w:hint="default" w:ascii="Times New Roman" w:hAnsi="Times New Roman" w:cs="Times New Roman"/>
                <w:color w:val="000000" w:themeColor="text1"/>
                <w:szCs w:val="24"/>
                <w:highlight w:val="none"/>
                <w:lang w:val="en-US" w:eastAsia="zh-CN"/>
                <w14:textFill>
                  <w14:solidFill>
                    <w14:schemeClr w14:val="tx1"/>
                  </w14:solidFill>
                </w14:textFill>
              </w:rPr>
              <w:t>m</w:t>
            </w:r>
            <w:r>
              <w:rPr>
                <w:rFonts w:hint="default" w:ascii="Times New Roman" w:hAnsi="Times New Roman" w:cs="Times New Roman"/>
                <w:color w:val="000000" w:themeColor="text1"/>
                <w:szCs w:val="24"/>
                <w:highlight w:val="none"/>
                <w:vertAlign w:val="superscript"/>
                <w:lang w:val="en-US" w:eastAsia="zh-CN"/>
                <w14:textFill>
                  <w14:solidFill>
                    <w14:schemeClr w14:val="tx1"/>
                  </w14:solidFill>
                </w14:textFill>
              </w:rPr>
              <w:t>3</w:t>
            </w:r>
            <w:r>
              <w:rPr>
                <w:rFonts w:hint="default" w:ascii="Times New Roman" w:hAnsi="Times New Roman" w:cs="Times New Roman"/>
                <w:color w:val="000000" w:themeColor="text1"/>
                <w:szCs w:val="24"/>
                <w:highlight w:val="none"/>
                <w:lang w:val="en-US" w:eastAsia="zh-CN"/>
                <w14:textFill>
                  <w14:solidFill>
                    <w14:schemeClr w14:val="tx1"/>
                  </w14:solidFill>
                </w14:textFill>
              </w:rPr>
              <w:t>、且设置了3</w:t>
            </w:r>
            <w:r>
              <w:rPr>
                <w:rFonts w:hint="eastAsia" w:cs="Times New Roman"/>
                <w:color w:val="000000" w:themeColor="text1"/>
                <w:szCs w:val="24"/>
                <w:highlight w:val="none"/>
                <w:lang w:val="en-US" w:eastAsia="zh-CN"/>
                <w14:textFill>
                  <w14:solidFill>
                    <w14:schemeClr w14:val="tx1"/>
                  </w14:solidFill>
                </w14:textFill>
              </w:rPr>
              <w:t>8.5</w:t>
            </w:r>
            <w:r>
              <w:rPr>
                <w:rFonts w:hint="default" w:ascii="Times New Roman" w:hAnsi="Times New Roman" w:cs="Times New Roman"/>
                <w:color w:val="000000" w:themeColor="text1"/>
                <w:szCs w:val="24"/>
                <w:highlight w:val="none"/>
                <w:lang w:val="en-US" w:eastAsia="zh-CN"/>
                <w14:textFill>
                  <w14:solidFill>
                    <w14:schemeClr w14:val="tx1"/>
                  </w14:solidFill>
                </w14:textFill>
              </w:rPr>
              <w:t>m</w:t>
            </w:r>
            <w:r>
              <w:rPr>
                <w:rFonts w:hint="default" w:ascii="Times New Roman" w:hAnsi="Times New Roman" w:cs="Times New Roman"/>
                <w:color w:val="000000" w:themeColor="text1"/>
                <w:szCs w:val="24"/>
                <w:highlight w:val="none"/>
                <w:vertAlign w:val="superscript"/>
                <w:lang w:val="en-US" w:eastAsia="zh-CN"/>
                <w14:textFill>
                  <w14:solidFill>
                    <w14:schemeClr w14:val="tx1"/>
                  </w14:solidFill>
                </w14:textFill>
              </w:rPr>
              <w:t>3</w:t>
            </w:r>
            <w:r>
              <w:rPr>
                <w:rFonts w:hint="eastAsia" w:cs="Times New Roman"/>
                <w:color w:val="000000" w:themeColor="text1"/>
                <w:szCs w:val="24"/>
                <w:highlight w:val="none"/>
                <w:lang w:val="en-US" w:eastAsia="zh-CN"/>
                <w14:textFill>
                  <w14:solidFill>
                    <w14:schemeClr w14:val="tx1"/>
                  </w14:solidFill>
                </w14:textFill>
              </w:rPr>
              <w:t>事故池，罐区地面、围堰、事故池的池底及池壁以及集液池的池底及池壁进行重点防渗</w:t>
            </w:r>
            <w:r>
              <w:rPr>
                <w:rFonts w:hint="default" w:ascii="Times New Roman" w:hAnsi="Times New Roman" w:cs="Times New Roman"/>
                <w:color w:val="000000" w:themeColor="text1"/>
                <w:szCs w:val="24"/>
                <w:highlight w:val="none"/>
                <w:lang w:val="en-US" w:eastAsia="zh-CN"/>
                <w14:textFill>
                  <w14:solidFill>
                    <w14:schemeClr w14:val="tx1"/>
                  </w14:solidFill>
                </w14:textFill>
              </w:rPr>
              <w:t>，</w:t>
            </w:r>
            <w:r>
              <w:rPr>
                <w:rFonts w:hint="eastAsia" w:cs="Times New Roman"/>
                <w:color w:val="000000" w:themeColor="text1"/>
                <w:szCs w:val="24"/>
                <w:highlight w:val="none"/>
                <w:lang w:val="en-US" w:eastAsia="zh-CN"/>
                <w14:textFill>
                  <w14:solidFill>
                    <w14:schemeClr w14:val="tx1"/>
                  </w14:solidFill>
                </w14:textFill>
              </w:rPr>
              <w:t>其他危险废物</w:t>
            </w:r>
            <w:r>
              <w:rPr>
                <w:rFonts w:hint="default" w:ascii="Times New Roman" w:hAnsi="Times New Roman" w:cs="Times New Roman"/>
                <w:color w:val="000000" w:themeColor="text1"/>
                <w:szCs w:val="24"/>
                <w:highlight w:val="none"/>
                <w:lang w:val="en-US" w:eastAsia="zh-CN"/>
                <w14:textFill>
                  <w14:solidFill>
                    <w14:schemeClr w14:val="tx1"/>
                  </w14:solidFill>
                </w14:textFill>
              </w:rPr>
              <w:t xml:space="preserve">贮存区间设置有托盘。发生泄漏时，其影响范围基本在储油罐区及装卸区内，不会进入外环境。 </w:t>
            </w:r>
          </w:p>
          <w:p w14:paraId="33619ACD">
            <w:pPr>
              <w:pStyle w:val="68"/>
              <w:ind w:firstLine="480"/>
              <w:rPr>
                <w:rFonts w:hint="default" w:ascii="Times New Roman" w:hAnsi="Times New Roman" w:cs="Times New Roman"/>
                <w:color w:val="000000" w:themeColor="text1"/>
                <w:szCs w:val="24"/>
                <w:highlight w:val="none"/>
                <w14:textFill>
                  <w14:solidFill>
                    <w14:schemeClr w14:val="tx1"/>
                  </w14:solidFill>
                </w14:textFill>
              </w:rPr>
            </w:pPr>
            <w:r>
              <w:rPr>
                <w:rFonts w:hint="default" w:ascii="Times New Roman" w:hAnsi="Times New Roman" w:cs="Times New Roman"/>
                <w:color w:val="000000" w:themeColor="text1"/>
                <w:szCs w:val="24"/>
                <w:highlight w:val="none"/>
                <w:lang w:val="en-US" w:eastAsia="zh-CN"/>
                <w14:textFill>
                  <w14:solidFill>
                    <w14:schemeClr w14:val="tx1"/>
                  </w14:solidFill>
                </w14:textFill>
              </w:rPr>
              <w:t xml:space="preserve">（2）油罐、油泵及装卸油桶火灾环境风险事件后果分析 </w:t>
            </w:r>
          </w:p>
          <w:p w14:paraId="21278C21">
            <w:pPr>
              <w:pStyle w:val="68"/>
              <w:ind w:firstLine="480"/>
              <w:rPr>
                <w:rFonts w:hint="default" w:ascii="Times New Roman" w:hAnsi="Times New Roman" w:cs="Times New Roman"/>
                <w:color w:val="000000" w:themeColor="text1"/>
                <w:szCs w:val="24"/>
                <w:highlight w:val="none"/>
                <w14:textFill>
                  <w14:solidFill>
                    <w14:schemeClr w14:val="tx1"/>
                  </w14:solidFill>
                </w14:textFill>
              </w:rPr>
            </w:pPr>
            <w:r>
              <w:rPr>
                <w:rFonts w:hint="default" w:ascii="Times New Roman" w:hAnsi="Times New Roman" w:cs="Times New Roman"/>
                <w:color w:val="000000" w:themeColor="text1"/>
                <w:szCs w:val="24"/>
                <w:highlight w:val="none"/>
                <w:lang w:val="en-US" w:eastAsia="zh-CN"/>
                <w14:textFill>
                  <w14:solidFill>
                    <w14:schemeClr w14:val="tx1"/>
                  </w14:solidFill>
                </w14:textFill>
              </w:rPr>
              <w:t xml:space="preserve">本企业内目前未设置独立的消防废水池，一旦废矿物油发生火灾，火势较小可从储油罐区或装卸区内部灭火时，所产生的消防废水将通过储油罐区地差自流入罐区事故应急池。消防废水主要污染因子为SS、石油类，拟用管道后通过市政污水管网送入污水处理厂。 </w:t>
            </w:r>
          </w:p>
          <w:p w14:paraId="475574E9">
            <w:pPr>
              <w:pStyle w:val="68"/>
              <w:ind w:firstLine="480"/>
              <w:rPr>
                <w:rFonts w:hint="default" w:ascii="Times New Roman" w:hAnsi="Times New Roman" w:cs="Times New Roman"/>
                <w:color w:val="000000" w:themeColor="text1"/>
                <w:szCs w:val="24"/>
                <w:highlight w:val="none"/>
                <w14:textFill>
                  <w14:solidFill>
                    <w14:schemeClr w14:val="tx1"/>
                  </w14:solidFill>
                </w14:textFill>
              </w:rPr>
            </w:pPr>
            <w:r>
              <w:rPr>
                <w:rFonts w:hint="default" w:ascii="Times New Roman" w:hAnsi="Times New Roman" w:cs="Times New Roman"/>
                <w:color w:val="000000" w:themeColor="text1"/>
                <w:szCs w:val="24"/>
                <w:highlight w:val="none"/>
                <w:lang w:val="en-US" w:eastAsia="zh-CN"/>
                <w14:textFill>
                  <w14:solidFill>
                    <w14:schemeClr w14:val="tx1"/>
                  </w14:solidFill>
                </w14:textFill>
              </w:rPr>
              <w:t xml:space="preserve">（3）火灾爆炸发生废水外泄的环境风险事件后果分析 </w:t>
            </w:r>
          </w:p>
          <w:p w14:paraId="7E945357">
            <w:pPr>
              <w:pStyle w:val="68"/>
              <w:ind w:firstLine="480"/>
              <w:rPr>
                <w:rFonts w:hint="default" w:ascii="Times New Roman" w:hAnsi="Times New Roman" w:cs="Times New Roman"/>
                <w:color w:val="000000" w:themeColor="text1"/>
                <w:szCs w:val="24"/>
                <w:highlight w:val="none"/>
                <w14:textFill>
                  <w14:solidFill>
                    <w14:schemeClr w14:val="tx1"/>
                  </w14:solidFill>
                </w14:textFill>
              </w:rPr>
            </w:pPr>
            <w:r>
              <w:rPr>
                <w:rFonts w:hint="default" w:ascii="Times New Roman" w:hAnsi="Times New Roman" w:cs="Times New Roman"/>
                <w:color w:val="000000" w:themeColor="text1"/>
                <w:szCs w:val="24"/>
                <w:highlight w:val="none"/>
                <w:lang w:val="en-US" w:eastAsia="zh-CN"/>
                <w14:textFill>
                  <w14:solidFill>
                    <w14:schemeClr w14:val="tx1"/>
                  </w14:solidFill>
                </w14:textFill>
              </w:rPr>
              <w:t>灭火产生的消防废水中含有油类进入雨水系统则会污染</w:t>
            </w:r>
            <w:r>
              <w:rPr>
                <w:rFonts w:hint="eastAsia" w:cs="Times New Roman"/>
                <w:color w:val="000000" w:themeColor="text1"/>
                <w:szCs w:val="24"/>
                <w:highlight w:val="none"/>
                <w:lang w:val="en-US" w:eastAsia="zh-CN"/>
                <w14:textFill>
                  <w14:solidFill>
                    <w14:schemeClr w14:val="tx1"/>
                  </w14:solidFill>
                </w14:textFill>
              </w:rPr>
              <w:t>地表水</w:t>
            </w:r>
            <w:r>
              <w:rPr>
                <w:rFonts w:hint="default" w:ascii="Times New Roman" w:hAnsi="Times New Roman" w:cs="Times New Roman"/>
                <w:color w:val="000000" w:themeColor="text1"/>
                <w:szCs w:val="24"/>
                <w:highlight w:val="none"/>
                <w:lang w:val="en-US" w:eastAsia="zh-CN"/>
                <w14:textFill>
                  <w14:solidFill>
                    <w14:schemeClr w14:val="tx1"/>
                  </w14:solidFill>
                </w14:textFill>
              </w:rPr>
              <w:t>水质。根据《建筑设计防火规范》（GB50016-2014）要求：“室内消火栓用水量15L/s，室外消火栓系统用水量20L/S，火灾持续2h，则消防水共计288m</w:t>
            </w:r>
            <w:r>
              <w:rPr>
                <w:rFonts w:hint="eastAsia" w:cs="Times New Roman"/>
                <w:color w:val="000000" w:themeColor="text1"/>
                <w:szCs w:val="24"/>
                <w:highlight w:val="none"/>
                <w:vertAlign w:val="superscript"/>
                <w:lang w:val="en-US" w:eastAsia="zh-CN"/>
                <w14:textFill>
                  <w14:solidFill>
                    <w14:schemeClr w14:val="tx1"/>
                  </w14:solidFill>
                </w14:textFill>
              </w:rPr>
              <w:t>3</w:t>
            </w:r>
            <w:r>
              <w:rPr>
                <w:rFonts w:hint="default" w:ascii="Times New Roman" w:hAnsi="Times New Roman" w:cs="Times New Roman"/>
                <w:color w:val="000000" w:themeColor="text1"/>
                <w:szCs w:val="24"/>
                <w:highlight w:val="none"/>
                <w:lang w:val="en-US" w:eastAsia="zh-CN"/>
                <w14:textFill>
                  <w14:solidFill>
                    <w14:schemeClr w14:val="tx1"/>
                  </w14:solidFill>
                </w14:textFill>
              </w:rPr>
              <w:t>，消防废水通过运输车将消防废水送至污水处理厂处理。</w:t>
            </w:r>
          </w:p>
          <w:p w14:paraId="321BE039">
            <w:pPr>
              <w:pStyle w:val="68"/>
              <w:ind w:left="0" w:leftChars="0" w:firstLine="0" w:firstLineChars="0"/>
              <w:rPr>
                <w:rFonts w:hint="default" w:ascii="Times New Roman" w:hAnsi="Times New Roman" w:cs="Times New Roman"/>
                <w:b/>
                <w:bCs w:val="0"/>
                <w:color w:val="000000" w:themeColor="text1"/>
                <w:szCs w:val="24"/>
                <w:highlight w:val="none"/>
                <w14:textFill>
                  <w14:solidFill>
                    <w14:schemeClr w14:val="tx1"/>
                  </w14:solidFill>
                </w14:textFill>
              </w:rPr>
            </w:pPr>
            <w:r>
              <w:rPr>
                <w:rFonts w:hint="eastAsia" w:cs="Times New Roman"/>
                <w:b/>
                <w:bCs w:val="0"/>
                <w:color w:val="000000" w:themeColor="text1"/>
                <w:szCs w:val="24"/>
                <w:highlight w:val="none"/>
                <w:lang w:val="en-US" w:eastAsia="zh-CN"/>
                <w14:textFill>
                  <w14:solidFill>
                    <w14:schemeClr w14:val="tx1"/>
                  </w14:solidFill>
                </w14:textFill>
              </w:rPr>
              <w:t>6.4</w:t>
            </w:r>
            <w:r>
              <w:rPr>
                <w:rFonts w:hint="default" w:ascii="Times New Roman" w:hAnsi="Times New Roman" w:cs="Times New Roman"/>
                <w:b/>
                <w:bCs w:val="0"/>
                <w:color w:val="000000" w:themeColor="text1"/>
                <w:szCs w:val="24"/>
                <w:highlight w:val="none"/>
                <w:lang w:val="en-US" w:eastAsia="zh-CN"/>
                <w14:textFill>
                  <w14:solidFill>
                    <w14:schemeClr w14:val="tx1"/>
                  </w14:solidFill>
                </w14:textFill>
              </w:rPr>
              <w:t xml:space="preserve">环境风险防范措施及应急要求 </w:t>
            </w:r>
          </w:p>
          <w:p w14:paraId="5FAABD10">
            <w:pPr>
              <w:pStyle w:val="68"/>
              <w:ind w:firstLine="480"/>
              <w:rPr>
                <w:rFonts w:hint="default" w:ascii="Times New Roman" w:hAnsi="Times New Roman" w:cs="Times New Roman"/>
                <w:color w:val="000000" w:themeColor="text1"/>
                <w:szCs w:val="24"/>
                <w:highlight w:val="none"/>
                <w14:textFill>
                  <w14:solidFill>
                    <w14:schemeClr w14:val="tx1"/>
                  </w14:solidFill>
                </w14:textFill>
              </w:rPr>
            </w:pPr>
            <w:r>
              <w:rPr>
                <w:rFonts w:hint="default" w:ascii="Times New Roman" w:hAnsi="Times New Roman" w:cs="Times New Roman"/>
                <w:color w:val="000000" w:themeColor="text1"/>
                <w:szCs w:val="24"/>
                <w:highlight w:val="none"/>
                <w:lang w:val="en-US" w:eastAsia="zh-CN"/>
                <w14:textFill>
                  <w14:solidFill>
                    <w14:schemeClr w14:val="tx1"/>
                  </w14:solidFill>
                </w14:textFill>
              </w:rPr>
              <w:t xml:space="preserve">（1）贮存过程中泄漏事故的风险防范措施： </w:t>
            </w:r>
          </w:p>
          <w:p w14:paraId="64DA72CA">
            <w:pPr>
              <w:pStyle w:val="68"/>
              <w:ind w:firstLine="480"/>
              <w:rPr>
                <w:rFonts w:hint="default" w:ascii="Times New Roman" w:hAnsi="Times New Roman" w:cs="Times New Roman"/>
                <w:color w:val="000000" w:themeColor="text1"/>
                <w:szCs w:val="24"/>
                <w:highlight w:val="none"/>
                <w14:textFill>
                  <w14:solidFill>
                    <w14:schemeClr w14:val="tx1"/>
                  </w14:solidFill>
                </w14:textFill>
              </w:rPr>
            </w:pPr>
            <w:r>
              <w:rPr>
                <w:rFonts w:hint="default" w:ascii="Times New Roman" w:hAnsi="Times New Roman" w:cs="Times New Roman"/>
                <w:color w:val="000000" w:themeColor="text1"/>
                <w:szCs w:val="24"/>
                <w:highlight w:val="none"/>
                <w:lang w:val="en-US" w:eastAsia="zh-CN"/>
                <w14:textFill>
                  <w14:solidFill>
                    <w14:schemeClr w14:val="tx1"/>
                  </w14:solidFill>
                </w14:textFill>
              </w:rPr>
              <w:t>①企业应加强管理，每天安排人员对储罐区进行巡查，杜绝废矿物油储罐区的</w:t>
            </w:r>
            <w:r>
              <w:rPr>
                <w:rFonts w:hint="eastAsia" w:cs="Times New Roman"/>
                <w:color w:val="000000" w:themeColor="text1"/>
                <w:szCs w:val="24"/>
                <w:highlight w:val="none"/>
                <w:lang w:val="en-US" w:eastAsia="zh-CN"/>
                <w14:textFill>
                  <w14:solidFill>
                    <w14:schemeClr w14:val="tx1"/>
                  </w14:solidFill>
                </w14:textFill>
              </w:rPr>
              <w:t>“</w:t>
            </w:r>
            <w:r>
              <w:rPr>
                <w:rFonts w:hint="default" w:ascii="Times New Roman" w:hAnsi="Times New Roman" w:cs="Times New Roman"/>
                <w:color w:val="000000" w:themeColor="text1"/>
                <w:szCs w:val="24"/>
                <w:highlight w:val="none"/>
                <w:lang w:val="en-US" w:eastAsia="zh-CN"/>
                <w14:textFill>
                  <w14:solidFill>
                    <w14:schemeClr w14:val="tx1"/>
                  </w14:solidFill>
                </w14:textFill>
              </w:rPr>
              <w:t>跑、冒、滴、漏</w:t>
            </w:r>
            <w:r>
              <w:rPr>
                <w:rFonts w:hint="eastAsia" w:cs="Times New Roman"/>
                <w:color w:val="000000" w:themeColor="text1"/>
                <w:szCs w:val="24"/>
                <w:highlight w:val="none"/>
                <w:lang w:val="en-US" w:eastAsia="zh-CN"/>
                <w14:textFill>
                  <w14:solidFill>
                    <w14:schemeClr w14:val="tx1"/>
                  </w14:solidFill>
                </w14:textFill>
              </w:rPr>
              <w:t>”</w:t>
            </w:r>
            <w:r>
              <w:rPr>
                <w:rFonts w:hint="default" w:ascii="Times New Roman" w:hAnsi="Times New Roman" w:cs="Times New Roman"/>
                <w:color w:val="000000" w:themeColor="text1"/>
                <w:szCs w:val="24"/>
                <w:highlight w:val="none"/>
                <w:lang w:val="en-US" w:eastAsia="zh-CN"/>
                <w14:textFill>
                  <w14:solidFill>
                    <w14:schemeClr w14:val="tx1"/>
                  </w14:solidFill>
                </w14:textFill>
              </w:rPr>
              <w:t>现象。一旦发生泄漏事故，立即用吸油毡进行覆盖，然后对吸油毡进行收集，作为危险废物委托处理。若泄漏量较大时，利用围堰暂存泄漏的废矿物油，并用软管连接围堰和油罐车，将废矿物油泵入油罐车，运往</w:t>
            </w:r>
            <w:r>
              <w:rPr>
                <w:rFonts w:hint="eastAsia" w:cs="Times New Roman"/>
                <w:color w:val="000000" w:themeColor="text1"/>
                <w:szCs w:val="24"/>
                <w:highlight w:val="none"/>
                <w:lang w:val="en-US" w:eastAsia="zh-CN"/>
                <w14:textFill>
                  <w14:solidFill>
                    <w14:schemeClr w14:val="tx1"/>
                  </w14:solidFill>
                </w14:textFill>
              </w:rPr>
              <w:t>有资质</w:t>
            </w:r>
            <w:r>
              <w:rPr>
                <w:rFonts w:hint="default" w:ascii="Times New Roman" w:hAnsi="Times New Roman" w:cs="Times New Roman"/>
                <w:color w:val="000000" w:themeColor="text1"/>
                <w:szCs w:val="24"/>
                <w:highlight w:val="none"/>
                <w:lang w:val="en-US" w:eastAsia="zh-CN"/>
                <w14:textFill>
                  <w14:solidFill>
                    <w14:schemeClr w14:val="tx1"/>
                  </w14:solidFill>
                </w14:textFill>
              </w:rPr>
              <w:t xml:space="preserve">单位处理。 </w:t>
            </w:r>
          </w:p>
          <w:p w14:paraId="4B17D2F2">
            <w:pPr>
              <w:pStyle w:val="68"/>
              <w:ind w:firstLine="480"/>
              <w:rPr>
                <w:rFonts w:hint="default" w:ascii="Times New Roman" w:hAnsi="Times New Roman" w:cs="Times New Roman"/>
                <w:color w:val="000000" w:themeColor="text1"/>
                <w:szCs w:val="24"/>
                <w:highlight w:val="none"/>
                <w14:textFill>
                  <w14:solidFill>
                    <w14:schemeClr w14:val="tx1"/>
                  </w14:solidFill>
                </w14:textFill>
              </w:rPr>
            </w:pPr>
            <w:r>
              <w:rPr>
                <w:rFonts w:hint="default" w:ascii="Times New Roman" w:hAnsi="Times New Roman" w:cs="Times New Roman"/>
                <w:color w:val="000000" w:themeColor="text1"/>
                <w:szCs w:val="24"/>
                <w:highlight w:val="none"/>
                <w:lang w:val="en-US" w:eastAsia="zh-CN"/>
                <w14:textFill>
                  <w14:solidFill>
                    <w14:schemeClr w14:val="tx1"/>
                  </w14:solidFill>
                </w14:textFill>
              </w:rPr>
              <w:t xml:space="preserve">②废矿物油罐区严格按《危险废物贮存污染控制标准》（GB18597-2001）及其修改单和《废矿物油回收利用污染控制技规范》（HJ607-2011）的贮存要求设计，储存区应设置围堰。应严格按照《建筑设计防火规范》（GB50016-2014）等标准规范执行，围堤应有足够的容量，应使用不透水材料加固（如混凝土等）：围堤应该进行检查和维修：尽量避免因维修而对围堤造成缺口；油罐应采用“弱顶”结构，利于爆炸事故时泄压：储罐组防火堤的人行踏步不应少于两处，且应处于不同的方位上；库内防雷接地、防静电接地、电气设备的工作接地、保护接地的接地等，宜共用接地装置，其接地电阻不应大于4欧姆。 </w:t>
            </w:r>
          </w:p>
          <w:p w14:paraId="2E644591">
            <w:pPr>
              <w:pStyle w:val="68"/>
              <w:ind w:firstLine="480"/>
              <w:rPr>
                <w:rFonts w:hint="default" w:ascii="Times New Roman" w:hAnsi="Times New Roman" w:cs="Times New Roman"/>
                <w:color w:val="000000" w:themeColor="text1"/>
                <w:szCs w:val="24"/>
                <w:highlight w:val="none"/>
                <w:lang w:val="en-US" w:eastAsia="zh-CN"/>
                <w14:textFill>
                  <w14:solidFill>
                    <w14:schemeClr w14:val="tx1"/>
                  </w14:solidFill>
                </w14:textFill>
              </w:rPr>
            </w:pPr>
            <w:r>
              <w:rPr>
                <w:rFonts w:hint="default" w:ascii="Times New Roman" w:hAnsi="Times New Roman" w:cs="Times New Roman"/>
                <w:color w:val="000000" w:themeColor="text1"/>
                <w:szCs w:val="24"/>
                <w:highlight w:val="none"/>
                <w:lang w:val="en-US" w:eastAsia="zh-CN"/>
                <w14:textFill>
                  <w14:solidFill>
                    <w14:schemeClr w14:val="tx1"/>
                  </w14:solidFill>
                </w14:textFill>
              </w:rPr>
              <w:t xml:space="preserve">③对每次收集的废矿物油，按照《危险废物贮存污染控制标准》（GB18597-2001） 及其修改单，必须由具有危险废物处理资质的单位认定该废矿物油可以贮存的，才可接受贮存。 </w:t>
            </w:r>
          </w:p>
          <w:p w14:paraId="0B09E886">
            <w:pPr>
              <w:pStyle w:val="68"/>
              <w:ind w:firstLine="480"/>
              <w:rPr>
                <w:rFonts w:hint="eastAsia" w:cs="Times New Roman"/>
                <w:color w:val="000000" w:themeColor="text1"/>
                <w:szCs w:val="24"/>
                <w:highlight w:val="none"/>
                <w:lang w:val="en-US" w:eastAsia="zh-CN"/>
                <w14:textFill>
                  <w14:solidFill>
                    <w14:schemeClr w14:val="tx1"/>
                  </w14:solidFill>
                </w14:textFill>
              </w:rPr>
            </w:pPr>
            <w:r>
              <w:rPr>
                <w:rFonts w:hint="eastAsia" w:cs="Times New Roman"/>
                <w:color w:val="000000" w:themeColor="text1"/>
                <w:szCs w:val="24"/>
                <w:highlight w:val="none"/>
                <w:lang w:val="en-US" w:eastAsia="zh-CN"/>
                <w14:textFill>
                  <w14:solidFill>
                    <w14:schemeClr w14:val="tx1"/>
                  </w14:solidFill>
                </w14:textFill>
              </w:rPr>
              <w:t>事故排放措施</w:t>
            </w:r>
          </w:p>
          <w:p w14:paraId="76FA32CC">
            <w:pPr>
              <w:pStyle w:val="68"/>
              <w:numPr>
                <w:ilvl w:val="0"/>
                <w:numId w:val="13"/>
              </w:numPr>
              <w:ind w:firstLine="480"/>
              <w:rPr>
                <w:rFonts w:hint="default" w:cs="Times New Roman"/>
                <w:color w:val="000000" w:themeColor="text1"/>
                <w:szCs w:val="24"/>
                <w:highlight w:val="none"/>
                <w:lang w:val="en-US" w:eastAsia="zh-CN"/>
                <w14:textFill>
                  <w14:solidFill>
                    <w14:schemeClr w14:val="tx1"/>
                  </w14:solidFill>
                </w14:textFill>
              </w:rPr>
            </w:pPr>
            <w:r>
              <w:rPr>
                <w:rFonts w:hint="default" w:cs="Times New Roman"/>
                <w:color w:val="000000" w:themeColor="text1"/>
                <w:szCs w:val="24"/>
                <w:highlight w:val="none"/>
                <w:lang w:val="en-US" w:eastAsia="zh-CN"/>
                <w14:textFill>
                  <w14:solidFill>
                    <w14:schemeClr w14:val="tx1"/>
                  </w14:solidFill>
                </w14:textFill>
              </w:rPr>
              <w:t>紧急切断设施</w:t>
            </w:r>
          </w:p>
          <w:p w14:paraId="5F80B8FB">
            <w:pPr>
              <w:pStyle w:val="68"/>
              <w:numPr>
                <w:ilvl w:val="0"/>
                <w:numId w:val="0"/>
              </w:numPr>
              <w:ind w:firstLine="480" w:firstLineChars="200"/>
              <w:rPr>
                <w:rFonts w:hint="default" w:cs="Times New Roman"/>
                <w:color w:val="000000" w:themeColor="text1"/>
                <w:szCs w:val="24"/>
                <w:highlight w:val="none"/>
                <w:lang w:val="en-US" w:eastAsia="zh-CN"/>
                <w14:textFill>
                  <w14:solidFill>
                    <w14:schemeClr w14:val="tx1"/>
                  </w14:solidFill>
                </w14:textFill>
              </w:rPr>
            </w:pPr>
            <w:r>
              <w:rPr>
                <w:rFonts w:hint="default" w:cs="Times New Roman"/>
                <w:color w:val="000000" w:themeColor="text1"/>
                <w:szCs w:val="24"/>
                <w:highlight w:val="none"/>
                <w:lang w:val="en-US" w:eastAsia="zh-CN"/>
                <w14:textFill>
                  <w14:solidFill>
                    <w14:schemeClr w14:val="tx1"/>
                  </w14:solidFill>
                </w14:textFill>
              </w:rPr>
              <w:t>该项目废油灌装过程中，设置有紧急切断设施。</w:t>
            </w:r>
          </w:p>
          <w:p w14:paraId="0F809EAA">
            <w:pPr>
              <w:pStyle w:val="68"/>
              <w:numPr>
                <w:ilvl w:val="0"/>
                <w:numId w:val="13"/>
              </w:numPr>
              <w:ind w:firstLine="480"/>
              <w:rPr>
                <w:rFonts w:hint="default" w:cs="Times New Roman"/>
                <w:color w:val="000000" w:themeColor="text1"/>
                <w:szCs w:val="24"/>
                <w:highlight w:val="none"/>
                <w:lang w:val="en-US" w:eastAsia="zh-CN"/>
                <w14:textFill>
                  <w14:solidFill>
                    <w14:schemeClr w14:val="tx1"/>
                  </w14:solidFill>
                </w14:textFill>
              </w:rPr>
            </w:pPr>
            <w:r>
              <w:rPr>
                <w:rFonts w:hint="default" w:cs="Times New Roman"/>
                <w:color w:val="000000" w:themeColor="text1"/>
                <w:szCs w:val="24"/>
                <w:highlight w:val="none"/>
                <w:lang w:val="en-US" w:eastAsia="zh-CN"/>
                <w14:textFill>
                  <w14:solidFill>
                    <w14:schemeClr w14:val="tx1"/>
                  </w14:solidFill>
                </w14:textFill>
              </w:rPr>
              <w:t xml:space="preserve"> 事故应急池（围堰） </w:t>
            </w:r>
          </w:p>
          <w:p w14:paraId="0A4AA9BB">
            <w:pPr>
              <w:pStyle w:val="68"/>
              <w:numPr>
                <w:ilvl w:val="0"/>
                <w:numId w:val="0"/>
              </w:numPr>
              <w:ind w:firstLine="480" w:firstLineChars="200"/>
              <w:rPr>
                <w:rFonts w:hint="default" w:cs="Times New Roman"/>
                <w:color w:val="000000" w:themeColor="text1"/>
                <w:szCs w:val="24"/>
                <w:highlight w:val="none"/>
                <w:lang w:val="en-US" w:eastAsia="zh-CN"/>
                <w14:textFill>
                  <w14:solidFill>
                    <w14:schemeClr w14:val="tx1"/>
                  </w14:solidFill>
                </w14:textFill>
              </w:rPr>
            </w:pPr>
            <w:r>
              <w:rPr>
                <w:rFonts w:hint="default" w:cs="Times New Roman"/>
                <w:color w:val="000000" w:themeColor="text1"/>
                <w:szCs w:val="24"/>
                <w:highlight w:val="none"/>
                <w:lang w:val="en-US" w:eastAsia="zh-CN"/>
                <w14:textFill>
                  <w14:solidFill>
                    <w14:schemeClr w14:val="tx1"/>
                  </w14:solidFill>
                </w14:textFill>
              </w:rPr>
              <w:t>事故应急池根据《化工建设项目环境保护设计规范》（GB50483-2009）和《事故状态下水体污染的预防与控制技术要求》（Q/SY1190-2009）中的相关规定设置。事故池主要用于区内发生事故或火灾时，控制、收集和存放污染事故水（包括污染雨水）及污染消防水。污染事故水及污染消防水通过雨水的管道收集。项目应急事故池拟设于</w:t>
            </w:r>
            <w:r>
              <w:rPr>
                <w:rFonts w:hint="eastAsia" w:cs="Times New Roman"/>
                <w:color w:val="auto"/>
                <w:szCs w:val="24"/>
                <w:highlight w:val="none"/>
                <w:lang w:val="en-US" w:eastAsia="zh-CN"/>
              </w:rPr>
              <w:t>厂房西侧</w:t>
            </w:r>
            <w:r>
              <w:rPr>
                <w:rFonts w:hint="default" w:cs="Times New Roman"/>
                <w:color w:val="000000" w:themeColor="text1"/>
                <w:szCs w:val="24"/>
                <w:highlight w:val="none"/>
                <w:lang w:val="en-US" w:eastAsia="zh-CN"/>
                <w14:textFill>
                  <w14:solidFill>
                    <w14:schemeClr w14:val="tx1"/>
                  </w14:solidFill>
                </w14:textFill>
              </w:rPr>
              <w:t>，主要用于收集火灾事故的是消防废水，应做好防渗漏处理，确保环境安全，应急废水收集管道应满足防腐、防渗漏要求，地面应进行防渗漏处理。本项目的应急事故池主要用于收集消防废水，由于消防废水成分复杂，直接进入下水道会造成二次污染，所以消防废水经消防废水收集池收集后应委托专业公司进行拉运处理。</w:t>
            </w:r>
          </w:p>
          <w:p w14:paraId="7A95D234">
            <w:pPr>
              <w:pStyle w:val="68"/>
              <w:numPr>
                <w:ilvl w:val="0"/>
                <w:numId w:val="0"/>
              </w:numPr>
              <w:ind w:firstLine="480" w:firstLineChars="200"/>
              <w:rPr>
                <w:rFonts w:hint="default" w:cs="Times New Roman"/>
                <w:color w:val="000000" w:themeColor="text1"/>
                <w:szCs w:val="24"/>
                <w:highlight w:val="none"/>
                <w:lang w:val="en-US" w:eastAsia="zh-CN"/>
                <w14:textFill>
                  <w14:solidFill>
                    <w14:schemeClr w14:val="tx1"/>
                  </w14:solidFill>
                </w14:textFill>
              </w:rPr>
            </w:pPr>
            <w:r>
              <w:rPr>
                <w:rFonts w:hint="default" w:cs="Times New Roman"/>
                <w:color w:val="000000" w:themeColor="text1"/>
                <w:szCs w:val="24"/>
                <w:highlight w:val="none"/>
                <w:lang w:val="en-US" w:eastAsia="zh-CN"/>
                <w14:textFill>
                  <w14:solidFill>
                    <w14:schemeClr w14:val="tx1"/>
                  </w14:solidFill>
                </w14:textFill>
              </w:rPr>
              <w:t>根据《石化企业水体环境风险防控技术要求》（Q/SH 0729-2018）中对事故应急池大小的规定：</w:t>
            </w:r>
          </w:p>
          <w:p w14:paraId="15361EE4">
            <w:pPr>
              <w:pStyle w:val="68"/>
              <w:numPr>
                <w:ilvl w:val="0"/>
                <w:numId w:val="0"/>
              </w:numPr>
              <w:ind w:firstLine="480" w:firstLineChars="200"/>
              <w:rPr>
                <w:rFonts w:hint="default" w:cs="Times New Roman"/>
                <w:color w:val="000000" w:themeColor="text1"/>
                <w:szCs w:val="24"/>
                <w:highlight w:val="none"/>
                <w:lang w:val="en-US" w:eastAsia="zh-CN"/>
                <w14:textFill>
                  <w14:solidFill>
                    <w14:schemeClr w14:val="tx1"/>
                  </w14:solidFill>
                </w14:textFill>
              </w:rPr>
            </w:pPr>
            <w:r>
              <w:rPr>
                <w:rFonts w:hint="default" w:cs="Times New Roman"/>
                <w:color w:val="000000" w:themeColor="text1"/>
                <w:szCs w:val="24"/>
                <w:highlight w:val="none"/>
                <w:lang w:val="en-US" w:eastAsia="zh-CN"/>
                <w14:textFill>
                  <w14:solidFill>
                    <w14:schemeClr w14:val="tx1"/>
                  </w14:solidFill>
                </w14:textFill>
              </w:rPr>
              <w:t>V</w:t>
            </w:r>
            <w:r>
              <w:rPr>
                <w:rFonts w:hint="default" w:cs="Times New Roman"/>
                <w:color w:val="000000" w:themeColor="text1"/>
                <w:szCs w:val="24"/>
                <w:highlight w:val="none"/>
                <w:vertAlign w:val="subscript"/>
                <w:lang w:val="en-US" w:eastAsia="zh-CN"/>
                <w14:textFill>
                  <w14:solidFill>
                    <w14:schemeClr w14:val="tx1"/>
                  </w14:solidFill>
                </w14:textFill>
              </w:rPr>
              <w:t>总</w:t>
            </w:r>
            <w:r>
              <w:rPr>
                <w:rFonts w:hint="default" w:cs="Times New Roman"/>
                <w:color w:val="000000" w:themeColor="text1"/>
                <w:szCs w:val="24"/>
                <w:highlight w:val="none"/>
                <w:lang w:val="en-US" w:eastAsia="zh-CN"/>
                <w14:textFill>
                  <w14:solidFill>
                    <w14:schemeClr w14:val="tx1"/>
                  </w14:solidFill>
                </w14:textFill>
              </w:rPr>
              <w:t>=（V</w:t>
            </w:r>
            <w:r>
              <w:rPr>
                <w:rFonts w:hint="default" w:cs="Times New Roman"/>
                <w:color w:val="000000" w:themeColor="text1"/>
                <w:szCs w:val="24"/>
                <w:highlight w:val="none"/>
                <w:vertAlign w:val="subscript"/>
                <w:lang w:val="en-US" w:eastAsia="zh-CN"/>
                <w14:textFill>
                  <w14:solidFill>
                    <w14:schemeClr w14:val="tx1"/>
                  </w14:solidFill>
                </w14:textFill>
              </w:rPr>
              <w:t>1</w:t>
            </w:r>
            <w:r>
              <w:rPr>
                <w:rFonts w:hint="default" w:cs="Times New Roman"/>
                <w:color w:val="000000" w:themeColor="text1"/>
                <w:szCs w:val="24"/>
                <w:highlight w:val="none"/>
                <w:lang w:val="en-US" w:eastAsia="zh-CN"/>
                <w14:textFill>
                  <w14:solidFill>
                    <w14:schemeClr w14:val="tx1"/>
                  </w14:solidFill>
                </w14:textFill>
              </w:rPr>
              <w:t>+V</w:t>
            </w:r>
            <w:r>
              <w:rPr>
                <w:rFonts w:hint="default" w:cs="Times New Roman"/>
                <w:color w:val="000000" w:themeColor="text1"/>
                <w:szCs w:val="24"/>
                <w:highlight w:val="none"/>
                <w:vertAlign w:val="subscript"/>
                <w:lang w:val="en-US" w:eastAsia="zh-CN"/>
                <w14:textFill>
                  <w14:solidFill>
                    <w14:schemeClr w14:val="tx1"/>
                  </w14:solidFill>
                </w14:textFill>
              </w:rPr>
              <w:t>2</w:t>
            </w:r>
            <w:r>
              <w:rPr>
                <w:rFonts w:hint="default" w:cs="Times New Roman"/>
                <w:color w:val="000000" w:themeColor="text1"/>
                <w:szCs w:val="24"/>
                <w:highlight w:val="none"/>
                <w:lang w:val="en-US" w:eastAsia="zh-CN"/>
                <w14:textFill>
                  <w14:solidFill>
                    <w14:schemeClr w14:val="tx1"/>
                  </w14:solidFill>
                </w14:textFill>
              </w:rPr>
              <w:t>-V</w:t>
            </w:r>
            <w:r>
              <w:rPr>
                <w:rFonts w:hint="default" w:cs="Times New Roman"/>
                <w:color w:val="000000" w:themeColor="text1"/>
                <w:szCs w:val="24"/>
                <w:highlight w:val="none"/>
                <w:vertAlign w:val="subscript"/>
                <w:lang w:val="en-US" w:eastAsia="zh-CN"/>
                <w14:textFill>
                  <w14:solidFill>
                    <w14:schemeClr w14:val="tx1"/>
                  </w14:solidFill>
                </w14:textFill>
              </w:rPr>
              <w:t>3</w:t>
            </w:r>
            <w:r>
              <w:rPr>
                <w:rFonts w:hint="default" w:cs="Times New Roman"/>
                <w:color w:val="000000" w:themeColor="text1"/>
                <w:szCs w:val="24"/>
                <w:highlight w:val="none"/>
                <w:lang w:val="en-US" w:eastAsia="zh-CN"/>
                <w14:textFill>
                  <w14:solidFill>
                    <w14:schemeClr w14:val="tx1"/>
                  </w14:solidFill>
                </w14:textFill>
              </w:rPr>
              <w:t>）max+V</w:t>
            </w:r>
            <w:r>
              <w:rPr>
                <w:rFonts w:hint="default" w:cs="Times New Roman"/>
                <w:color w:val="000000" w:themeColor="text1"/>
                <w:szCs w:val="24"/>
                <w:highlight w:val="none"/>
                <w:vertAlign w:val="subscript"/>
                <w:lang w:val="en-US" w:eastAsia="zh-CN"/>
                <w14:textFill>
                  <w14:solidFill>
                    <w14:schemeClr w14:val="tx1"/>
                  </w14:solidFill>
                </w14:textFill>
              </w:rPr>
              <w:t>4</w:t>
            </w:r>
            <w:r>
              <w:rPr>
                <w:rFonts w:hint="default" w:cs="Times New Roman"/>
                <w:color w:val="000000" w:themeColor="text1"/>
                <w:szCs w:val="24"/>
                <w:highlight w:val="none"/>
                <w:lang w:val="en-US" w:eastAsia="zh-CN"/>
                <w14:textFill>
                  <w14:solidFill>
                    <w14:schemeClr w14:val="tx1"/>
                  </w14:solidFill>
                </w14:textFill>
              </w:rPr>
              <w:t>+V</w:t>
            </w:r>
            <w:r>
              <w:rPr>
                <w:rFonts w:hint="default" w:cs="Times New Roman"/>
                <w:color w:val="000000" w:themeColor="text1"/>
                <w:szCs w:val="24"/>
                <w:highlight w:val="none"/>
                <w:vertAlign w:val="subscript"/>
                <w:lang w:val="en-US" w:eastAsia="zh-CN"/>
                <w14:textFill>
                  <w14:solidFill>
                    <w14:schemeClr w14:val="tx1"/>
                  </w14:solidFill>
                </w14:textFill>
              </w:rPr>
              <w:t>5</w:t>
            </w:r>
            <w:r>
              <w:rPr>
                <w:rFonts w:hint="default" w:cs="Times New Roman"/>
                <w:color w:val="000000" w:themeColor="text1"/>
                <w:szCs w:val="24"/>
                <w:highlight w:val="none"/>
                <w:lang w:val="en-US" w:eastAsia="zh-CN"/>
                <w14:textFill>
                  <w14:solidFill>
                    <w14:schemeClr w14:val="tx1"/>
                  </w14:solidFill>
                </w14:textFill>
              </w:rPr>
              <w:t xml:space="preserve"> </w:t>
            </w:r>
          </w:p>
          <w:p w14:paraId="10AA65DA">
            <w:pPr>
              <w:pStyle w:val="68"/>
              <w:numPr>
                <w:ilvl w:val="0"/>
                <w:numId w:val="0"/>
              </w:numPr>
              <w:ind w:firstLine="480" w:firstLineChars="200"/>
              <w:rPr>
                <w:rFonts w:hint="default" w:cs="Times New Roman"/>
                <w:color w:val="000000" w:themeColor="text1"/>
                <w:szCs w:val="24"/>
                <w:highlight w:val="none"/>
                <w:lang w:val="en-US" w:eastAsia="zh-CN"/>
                <w14:textFill>
                  <w14:solidFill>
                    <w14:schemeClr w14:val="tx1"/>
                  </w14:solidFill>
                </w14:textFill>
              </w:rPr>
            </w:pPr>
            <w:r>
              <w:rPr>
                <w:rFonts w:hint="eastAsia" w:cs="Times New Roman"/>
                <w:color w:val="000000" w:themeColor="text1"/>
                <w:szCs w:val="24"/>
                <w:highlight w:val="none"/>
                <w:lang w:val="en-US" w:eastAsia="zh-CN"/>
                <w14:textFill>
                  <w14:solidFill>
                    <w14:schemeClr w14:val="tx1"/>
                  </w14:solidFill>
                </w14:textFill>
              </w:rPr>
              <w:t>式中：</w:t>
            </w:r>
            <w:r>
              <w:rPr>
                <w:rFonts w:hint="default" w:cs="Times New Roman"/>
                <w:color w:val="000000" w:themeColor="text1"/>
                <w:szCs w:val="24"/>
                <w:highlight w:val="none"/>
                <w:lang w:val="en-US" w:eastAsia="zh-CN"/>
                <w14:textFill>
                  <w14:solidFill>
                    <w14:schemeClr w14:val="tx1"/>
                  </w14:solidFill>
                </w14:textFill>
              </w:rPr>
              <w:t>V</w:t>
            </w:r>
            <w:r>
              <w:rPr>
                <w:rFonts w:hint="default" w:cs="Times New Roman"/>
                <w:color w:val="000000" w:themeColor="text1"/>
                <w:szCs w:val="24"/>
                <w:highlight w:val="none"/>
                <w:vertAlign w:val="subscript"/>
                <w:lang w:val="en-US" w:eastAsia="zh-CN"/>
                <w14:textFill>
                  <w14:solidFill>
                    <w14:schemeClr w14:val="tx1"/>
                  </w14:solidFill>
                </w14:textFill>
              </w:rPr>
              <w:t>1</w:t>
            </w:r>
            <w:r>
              <w:rPr>
                <w:rFonts w:hint="default" w:cs="Times New Roman"/>
                <w:color w:val="000000" w:themeColor="text1"/>
                <w:szCs w:val="24"/>
                <w:highlight w:val="none"/>
                <w:lang w:val="en-US" w:eastAsia="zh-CN"/>
                <w14:textFill>
                  <w14:solidFill>
                    <w14:schemeClr w14:val="tx1"/>
                  </w14:solidFill>
                </w14:textFill>
              </w:rPr>
              <w:t>——收集系统范围内发生事故的一个罐组或一套装置的物料量</w:t>
            </w:r>
            <w:r>
              <w:rPr>
                <w:rFonts w:hint="eastAsia" w:cs="Times New Roman"/>
                <w:color w:val="000000" w:themeColor="text1"/>
                <w:szCs w:val="24"/>
                <w:highlight w:val="none"/>
                <w:lang w:val="en-US" w:eastAsia="zh-CN"/>
                <w14:textFill>
                  <w14:solidFill>
                    <w14:schemeClr w14:val="tx1"/>
                  </w14:solidFill>
                </w14:textFill>
              </w:rPr>
              <w:t>。</w:t>
            </w:r>
            <w:r>
              <w:rPr>
                <w:rFonts w:hint="default" w:cs="Times New Roman"/>
                <w:color w:val="000000" w:themeColor="text1"/>
                <w:szCs w:val="24"/>
                <w:highlight w:val="none"/>
                <w:lang w:val="en-US" w:eastAsia="zh-CN"/>
                <w14:textFill>
                  <w14:solidFill>
                    <w14:schemeClr w14:val="tx1"/>
                  </w14:solidFill>
                </w14:textFill>
              </w:rPr>
              <w:t>本项目设有废矿物油储罐，罐组最大容积为</w:t>
            </w:r>
            <w:r>
              <w:rPr>
                <w:rFonts w:hint="eastAsia" w:cs="Times New Roman"/>
                <w:color w:val="000000" w:themeColor="text1"/>
                <w:szCs w:val="24"/>
                <w:highlight w:val="none"/>
                <w:lang w:val="en-US" w:eastAsia="zh-CN"/>
                <w14:textFill>
                  <w14:solidFill>
                    <w14:schemeClr w14:val="tx1"/>
                  </w14:solidFill>
                </w14:textFill>
              </w:rPr>
              <w:t>60</w:t>
            </w:r>
            <w:r>
              <w:rPr>
                <w:rFonts w:hint="default" w:cs="Times New Roman"/>
                <w:color w:val="000000" w:themeColor="text1"/>
                <w:szCs w:val="24"/>
                <w:highlight w:val="none"/>
                <w:lang w:val="en-US" w:eastAsia="zh-CN"/>
                <w14:textFill>
                  <w14:solidFill>
                    <w14:schemeClr w14:val="tx1"/>
                  </w14:solidFill>
                </w14:textFill>
              </w:rPr>
              <w:t>m</w:t>
            </w:r>
            <w:r>
              <w:rPr>
                <w:rFonts w:hint="default" w:cs="Times New Roman"/>
                <w:color w:val="000000" w:themeColor="text1"/>
                <w:szCs w:val="24"/>
                <w:highlight w:val="none"/>
                <w:vertAlign w:val="superscript"/>
                <w:lang w:val="en-US" w:eastAsia="zh-CN"/>
                <w14:textFill>
                  <w14:solidFill>
                    <w14:schemeClr w14:val="tx1"/>
                  </w14:solidFill>
                </w14:textFill>
              </w:rPr>
              <w:t>3</w:t>
            </w:r>
            <w:r>
              <w:rPr>
                <w:rFonts w:hint="default" w:cs="Times New Roman"/>
                <w:color w:val="000000" w:themeColor="text1"/>
                <w:szCs w:val="24"/>
                <w:highlight w:val="none"/>
                <w:lang w:val="en-US" w:eastAsia="zh-CN"/>
                <w14:textFill>
                  <w14:solidFill>
                    <w14:schemeClr w14:val="tx1"/>
                  </w14:solidFill>
                </w14:textFill>
              </w:rPr>
              <w:t>，因此V</w:t>
            </w:r>
            <w:r>
              <w:rPr>
                <w:rFonts w:hint="default" w:cs="Times New Roman"/>
                <w:color w:val="000000" w:themeColor="text1"/>
                <w:szCs w:val="24"/>
                <w:highlight w:val="none"/>
                <w:vertAlign w:val="subscript"/>
                <w:lang w:val="en-US" w:eastAsia="zh-CN"/>
                <w14:textFill>
                  <w14:solidFill>
                    <w14:schemeClr w14:val="tx1"/>
                  </w14:solidFill>
                </w14:textFill>
              </w:rPr>
              <w:t>1</w:t>
            </w:r>
            <w:r>
              <w:rPr>
                <w:rFonts w:hint="eastAsia" w:cs="Times New Roman"/>
                <w:color w:val="000000" w:themeColor="text1"/>
                <w:szCs w:val="24"/>
                <w:highlight w:val="none"/>
                <w:lang w:val="en-US" w:eastAsia="zh-CN"/>
                <w14:textFill>
                  <w14:solidFill>
                    <w14:schemeClr w14:val="tx1"/>
                  </w14:solidFill>
                </w14:textFill>
              </w:rPr>
              <w:t>=60</w:t>
            </w:r>
            <w:r>
              <w:rPr>
                <w:rFonts w:hint="default" w:cs="Times New Roman"/>
                <w:color w:val="000000" w:themeColor="text1"/>
                <w:szCs w:val="24"/>
                <w:highlight w:val="none"/>
                <w:lang w:val="en-US" w:eastAsia="zh-CN"/>
                <w14:textFill>
                  <w14:solidFill>
                    <w14:schemeClr w14:val="tx1"/>
                  </w14:solidFill>
                </w14:textFill>
              </w:rPr>
              <w:t>m</w:t>
            </w:r>
            <w:r>
              <w:rPr>
                <w:rFonts w:hint="default" w:cs="Times New Roman"/>
                <w:color w:val="000000" w:themeColor="text1"/>
                <w:szCs w:val="24"/>
                <w:highlight w:val="none"/>
                <w:vertAlign w:val="superscript"/>
                <w:lang w:val="en-US" w:eastAsia="zh-CN"/>
                <w14:textFill>
                  <w14:solidFill>
                    <w14:schemeClr w14:val="tx1"/>
                  </w14:solidFill>
                </w14:textFill>
              </w:rPr>
              <w:t>3</w:t>
            </w:r>
            <w:r>
              <w:rPr>
                <w:rFonts w:hint="default" w:cs="Times New Roman"/>
                <w:color w:val="000000" w:themeColor="text1"/>
                <w:szCs w:val="24"/>
                <w:highlight w:val="none"/>
                <w:lang w:val="en-US" w:eastAsia="zh-CN"/>
                <w14:textFill>
                  <w14:solidFill>
                    <w14:schemeClr w14:val="tx1"/>
                  </w14:solidFill>
                </w14:textFill>
              </w:rPr>
              <w:t>。</w:t>
            </w:r>
          </w:p>
          <w:p w14:paraId="0FC3B577">
            <w:pPr>
              <w:pStyle w:val="68"/>
              <w:numPr>
                <w:ilvl w:val="0"/>
                <w:numId w:val="0"/>
              </w:numPr>
              <w:ind w:firstLine="1200" w:firstLineChars="500"/>
              <w:rPr>
                <w:rFonts w:hint="default" w:cs="Times New Roman"/>
                <w:color w:val="000000" w:themeColor="text1"/>
                <w:szCs w:val="24"/>
                <w:highlight w:val="none"/>
                <w:lang w:val="en-US" w:eastAsia="zh-CN"/>
                <w14:textFill>
                  <w14:solidFill>
                    <w14:schemeClr w14:val="tx1"/>
                  </w14:solidFill>
                </w14:textFill>
              </w:rPr>
            </w:pPr>
            <w:r>
              <w:rPr>
                <w:rFonts w:hint="default" w:cs="Times New Roman"/>
                <w:color w:val="000000" w:themeColor="text1"/>
                <w:szCs w:val="24"/>
                <w:highlight w:val="none"/>
                <w:lang w:val="en-US" w:eastAsia="zh-CN"/>
                <w14:textFill>
                  <w14:solidFill>
                    <w14:schemeClr w14:val="tx1"/>
                  </w14:solidFill>
                </w14:textFill>
              </w:rPr>
              <w:t>V</w:t>
            </w:r>
            <w:r>
              <w:rPr>
                <w:rFonts w:hint="default" w:cs="Times New Roman"/>
                <w:color w:val="000000" w:themeColor="text1"/>
                <w:szCs w:val="24"/>
                <w:highlight w:val="none"/>
                <w:vertAlign w:val="subscript"/>
                <w:lang w:val="en-US" w:eastAsia="zh-CN"/>
                <w14:textFill>
                  <w14:solidFill>
                    <w14:schemeClr w14:val="tx1"/>
                  </w14:solidFill>
                </w14:textFill>
              </w:rPr>
              <w:t>2</w:t>
            </w:r>
            <w:r>
              <w:rPr>
                <w:rFonts w:hint="default" w:cs="Times New Roman"/>
                <w:color w:val="000000" w:themeColor="text1"/>
                <w:szCs w:val="24"/>
                <w:highlight w:val="none"/>
                <w:lang w:val="en-US" w:eastAsia="zh-CN"/>
                <w14:textFill>
                  <w14:solidFill>
                    <w14:schemeClr w14:val="tx1"/>
                  </w14:solidFill>
                </w14:textFill>
              </w:rPr>
              <w:t>——发生事故的储罐或装置的消防水量，m</w:t>
            </w:r>
            <w:r>
              <w:rPr>
                <w:rFonts w:hint="default" w:cs="Times New Roman"/>
                <w:color w:val="000000" w:themeColor="text1"/>
                <w:szCs w:val="24"/>
                <w:highlight w:val="none"/>
                <w:vertAlign w:val="superscript"/>
                <w:lang w:val="en-US" w:eastAsia="zh-CN"/>
                <w14:textFill>
                  <w14:solidFill>
                    <w14:schemeClr w14:val="tx1"/>
                  </w14:solidFill>
                </w14:textFill>
              </w:rPr>
              <w:t>3</w:t>
            </w:r>
            <w:r>
              <w:rPr>
                <w:rFonts w:hint="default" w:cs="Times New Roman"/>
                <w:color w:val="000000" w:themeColor="text1"/>
                <w:szCs w:val="24"/>
                <w:highlight w:val="none"/>
                <w:lang w:val="en-US" w:eastAsia="zh-CN"/>
                <w14:textFill>
                  <w14:solidFill>
                    <w14:schemeClr w14:val="tx1"/>
                  </w14:solidFill>
                </w14:textFill>
              </w:rPr>
              <w:t>。根据《石油化工企业防火设计规范》 （GB50160-2008），事故状态下的消防用水总量估算：可燃液体地上卧式罐宜采用移动式水枪冷却。冷却面积应按罐表面积计算。供水强度：着火罐不应小于6L/min·m</w:t>
            </w:r>
            <w:r>
              <w:rPr>
                <w:rFonts w:hint="default" w:cs="Times New Roman"/>
                <w:color w:val="000000" w:themeColor="text1"/>
                <w:szCs w:val="24"/>
                <w:highlight w:val="none"/>
                <w:vertAlign w:val="superscript"/>
                <w:lang w:val="en-US" w:eastAsia="zh-CN"/>
                <w14:textFill>
                  <w14:solidFill>
                    <w14:schemeClr w14:val="tx1"/>
                  </w14:solidFill>
                </w14:textFill>
              </w:rPr>
              <w:t>2</w:t>
            </w:r>
            <w:r>
              <w:rPr>
                <w:rFonts w:hint="default" w:cs="Times New Roman"/>
                <w:color w:val="000000" w:themeColor="text1"/>
                <w:szCs w:val="24"/>
                <w:highlight w:val="none"/>
                <w:lang w:val="en-US" w:eastAsia="zh-CN"/>
                <w14:textFill>
                  <w14:solidFill>
                    <w14:schemeClr w14:val="tx1"/>
                  </w14:solidFill>
                </w14:textFill>
              </w:rPr>
              <w:t>、邻近罐不应小于3L/min·m</w:t>
            </w:r>
            <w:r>
              <w:rPr>
                <w:rFonts w:hint="default" w:cs="Times New Roman"/>
                <w:color w:val="000000" w:themeColor="text1"/>
                <w:szCs w:val="24"/>
                <w:highlight w:val="none"/>
                <w:vertAlign w:val="superscript"/>
                <w:lang w:val="en-US" w:eastAsia="zh-CN"/>
                <w14:textFill>
                  <w14:solidFill>
                    <w14:schemeClr w14:val="tx1"/>
                  </w14:solidFill>
                </w14:textFill>
              </w:rPr>
              <w:t>2</w:t>
            </w:r>
            <w:r>
              <w:rPr>
                <w:rFonts w:hint="default" w:cs="Times New Roman"/>
                <w:color w:val="000000" w:themeColor="text1"/>
                <w:szCs w:val="24"/>
                <w:highlight w:val="none"/>
                <w:lang w:val="en-US" w:eastAsia="zh-CN"/>
                <w14:textFill>
                  <w14:solidFill>
                    <w14:schemeClr w14:val="tx1"/>
                  </w14:solidFill>
                </w14:textFill>
              </w:rPr>
              <w:t>，本项目储罐区</w:t>
            </w:r>
            <w:r>
              <w:rPr>
                <w:rFonts w:hint="eastAsia" w:cs="Times New Roman"/>
                <w:color w:val="000000" w:themeColor="text1"/>
                <w:szCs w:val="24"/>
                <w:highlight w:val="none"/>
                <w:lang w:val="en-US" w:eastAsia="zh-CN"/>
                <w14:textFill>
                  <w14:solidFill>
                    <w14:schemeClr w14:val="tx1"/>
                  </w14:solidFill>
                </w14:textFill>
              </w:rPr>
              <w:t>2</w:t>
            </w:r>
            <w:r>
              <w:rPr>
                <w:rFonts w:hint="default" w:cs="Times New Roman"/>
                <w:color w:val="000000" w:themeColor="text1"/>
                <w:szCs w:val="24"/>
                <w:highlight w:val="none"/>
                <w:lang w:val="en-US" w:eastAsia="zh-CN"/>
                <w14:textFill>
                  <w14:solidFill>
                    <w14:schemeClr w14:val="tx1"/>
                  </w14:solidFill>
                </w14:textFill>
              </w:rPr>
              <w:t>个储罐规格</w:t>
            </w:r>
            <w:r>
              <w:rPr>
                <w:rFonts w:hint="eastAsia" w:ascii="微软雅黑" w:hAnsi="微软雅黑" w:eastAsia="微软雅黑" w:cs="微软雅黑"/>
                <w:color w:val="000000" w:themeColor="text1"/>
                <w:szCs w:val="24"/>
                <w:highlight w:val="none"/>
                <w:lang w:val="en-US" w:eastAsia="zh-CN"/>
                <w14:textFill>
                  <w14:solidFill>
                    <w14:schemeClr w14:val="tx1"/>
                  </w14:solidFill>
                </w14:textFill>
              </w:rPr>
              <w:t>Φ</w:t>
            </w:r>
            <w:r>
              <w:rPr>
                <w:rFonts w:hint="eastAsia" w:cs="Times New Roman"/>
                <w:color w:val="000000" w:themeColor="text1"/>
                <w:szCs w:val="24"/>
                <w:highlight w:val="none"/>
                <w:lang w:val="en-US" w:eastAsia="zh-CN"/>
                <w14:textFill>
                  <w14:solidFill>
                    <w14:schemeClr w14:val="tx1"/>
                  </w14:solidFill>
                </w14:textFill>
              </w:rPr>
              <w:t>2.9</w:t>
            </w:r>
            <w:r>
              <w:rPr>
                <w:rFonts w:hint="default" w:cs="Times New Roman"/>
                <w:color w:val="000000" w:themeColor="text1"/>
                <w:szCs w:val="24"/>
                <w:highlight w:val="none"/>
                <w:lang w:val="en-US" w:eastAsia="zh-CN"/>
                <w14:textFill>
                  <w14:solidFill>
                    <w14:schemeClr w14:val="tx1"/>
                  </w14:solidFill>
                </w14:textFill>
              </w:rPr>
              <w:t>×</w:t>
            </w:r>
            <w:r>
              <w:rPr>
                <w:rFonts w:hint="eastAsia" w:cs="Times New Roman"/>
                <w:color w:val="000000" w:themeColor="text1"/>
                <w:szCs w:val="24"/>
                <w:highlight w:val="none"/>
                <w:lang w:val="en-US" w:eastAsia="zh-CN"/>
                <w14:textFill>
                  <w14:solidFill>
                    <w14:schemeClr w14:val="tx1"/>
                  </w14:solidFill>
                </w14:textFill>
              </w:rPr>
              <w:t>10.5</w:t>
            </w:r>
            <w:r>
              <w:rPr>
                <w:rFonts w:hint="default" w:cs="Times New Roman"/>
                <w:color w:val="000000" w:themeColor="text1"/>
                <w:szCs w:val="24"/>
                <w:highlight w:val="none"/>
                <w:lang w:val="en-US" w:eastAsia="zh-CN"/>
                <w14:textFill>
                  <w14:solidFill>
                    <w14:schemeClr w14:val="tx1"/>
                  </w14:solidFill>
                </w14:textFill>
              </w:rPr>
              <w:t>m，每个表面积为</w:t>
            </w:r>
            <w:r>
              <w:rPr>
                <w:rFonts w:hint="eastAsia" w:cs="Times New Roman"/>
                <w:color w:val="000000" w:themeColor="text1"/>
                <w:szCs w:val="24"/>
                <w:highlight w:val="none"/>
                <w:lang w:val="en-US" w:eastAsia="zh-CN"/>
                <w14:textFill>
                  <w14:solidFill>
                    <w14:schemeClr w14:val="tx1"/>
                  </w14:solidFill>
                </w14:textFill>
              </w:rPr>
              <w:t>109.7</w:t>
            </w:r>
            <w:r>
              <w:rPr>
                <w:rFonts w:hint="default" w:cs="Times New Roman"/>
                <w:color w:val="000000" w:themeColor="text1"/>
                <w:szCs w:val="24"/>
                <w:highlight w:val="none"/>
                <w:lang w:val="en-US" w:eastAsia="zh-CN"/>
                <w14:textFill>
                  <w14:solidFill>
                    <w14:schemeClr w14:val="tx1"/>
                  </w14:solidFill>
                </w14:textFill>
              </w:rPr>
              <w:t>m</w:t>
            </w:r>
            <w:r>
              <w:rPr>
                <w:rFonts w:hint="default" w:cs="Times New Roman"/>
                <w:color w:val="000000" w:themeColor="text1"/>
                <w:szCs w:val="24"/>
                <w:highlight w:val="none"/>
                <w:vertAlign w:val="superscript"/>
                <w:lang w:val="en-US" w:eastAsia="zh-CN"/>
                <w14:textFill>
                  <w14:solidFill>
                    <w14:schemeClr w14:val="tx1"/>
                  </w14:solidFill>
                </w14:textFill>
              </w:rPr>
              <w:t>2</w:t>
            </w:r>
            <w:r>
              <w:rPr>
                <w:rFonts w:hint="default" w:cs="Times New Roman"/>
                <w:color w:val="000000" w:themeColor="text1"/>
                <w:szCs w:val="24"/>
                <w:highlight w:val="none"/>
                <w:lang w:val="en-US" w:eastAsia="zh-CN"/>
                <w14:textFill>
                  <w14:solidFill>
                    <w14:schemeClr w14:val="tx1"/>
                  </w14:solidFill>
                </w14:textFill>
              </w:rPr>
              <w:t>。本次按火灾延续时间按2</w:t>
            </w:r>
            <w:r>
              <w:rPr>
                <w:rFonts w:hint="eastAsia" w:cs="Times New Roman"/>
                <w:color w:val="000000" w:themeColor="text1"/>
                <w:szCs w:val="24"/>
                <w:highlight w:val="none"/>
                <w:lang w:val="en-US" w:eastAsia="zh-CN"/>
                <w14:textFill>
                  <w14:solidFill>
                    <w14:schemeClr w14:val="tx1"/>
                  </w14:solidFill>
                </w14:textFill>
              </w:rPr>
              <w:t>h</w:t>
            </w:r>
            <w:r>
              <w:rPr>
                <w:rFonts w:hint="default" w:cs="Times New Roman"/>
                <w:color w:val="000000" w:themeColor="text1"/>
                <w:szCs w:val="24"/>
                <w:highlight w:val="none"/>
                <w:lang w:val="en-US" w:eastAsia="zh-CN"/>
                <w14:textFill>
                  <w14:solidFill>
                    <w14:schemeClr w14:val="tx1"/>
                  </w14:solidFill>
                </w14:textFill>
              </w:rPr>
              <w:t>计，则最大消防废水量V=（6×</w:t>
            </w:r>
            <w:r>
              <w:rPr>
                <w:rFonts w:hint="eastAsia" w:cs="Times New Roman"/>
                <w:color w:val="000000" w:themeColor="text1"/>
                <w:szCs w:val="24"/>
                <w:highlight w:val="none"/>
                <w:lang w:val="en-US" w:eastAsia="zh-CN"/>
                <w14:textFill>
                  <w14:solidFill>
                    <w14:schemeClr w14:val="tx1"/>
                  </w14:solidFill>
                </w14:textFill>
              </w:rPr>
              <w:t>109.7</w:t>
            </w:r>
            <w:r>
              <w:rPr>
                <w:rFonts w:hint="default" w:cs="Times New Roman"/>
                <w:color w:val="000000" w:themeColor="text1"/>
                <w:szCs w:val="24"/>
                <w:highlight w:val="none"/>
                <w:lang w:val="en-US" w:eastAsia="zh-CN"/>
                <w14:textFill>
                  <w14:solidFill>
                    <w14:schemeClr w14:val="tx1"/>
                  </w14:solidFill>
                </w14:textFill>
              </w:rPr>
              <w:t>×120+3×</w:t>
            </w:r>
            <w:r>
              <w:rPr>
                <w:rFonts w:hint="eastAsia" w:cs="Times New Roman"/>
                <w:color w:val="000000" w:themeColor="text1"/>
                <w:szCs w:val="24"/>
                <w:highlight w:val="none"/>
                <w:lang w:val="en-US" w:eastAsia="zh-CN"/>
                <w14:textFill>
                  <w14:solidFill>
                    <w14:schemeClr w14:val="tx1"/>
                  </w14:solidFill>
                </w14:textFill>
              </w:rPr>
              <w:t>109.7</w:t>
            </w:r>
            <w:r>
              <w:rPr>
                <w:rFonts w:hint="default" w:cs="Times New Roman"/>
                <w:color w:val="000000" w:themeColor="text1"/>
                <w:szCs w:val="24"/>
                <w:highlight w:val="none"/>
                <w:lang w:val="en-US" w:eastAsia="zh-CN"/>
                <w14:textFill>
                  <w14:solidFill>
                    <w14:schemeClr w14:val="tx1"/>
                  </w14:solidFill>
                </w14:textFill>
              </w:rPr>
              <w:t>×120）/1000m</w:t>
            </w:r>
            <w:r>
              <w:rPr>
                <w:rFonts w:hint="default" w:cs="Times New Roman"/>
                <w:color w:val="000000" w:themeColor="text1"/>
                <w:szCs w:val="24"/>
                <w:highlight w:val="none"/>
                <w:vertAlign w:val="superscript"/>
                <w:lang w:val="en-US" w:eastAsia="zh-CN"/>
                <w14:textFill>
                  <w14:solidFill>
                    <w14:schemeClr w14:val="tx1"/>
                  </w14:solidFill>
                </w14:textFill>
              </w:rPr>
              <w:t>3</w:t>
            </w:r>
            <w:r>
              <w:rPr>
                <w:rFonts w:hint="default" w:cs="Times New Roman"/>
                <w:color w:val="000000" w:themeColor="text1"/>
                <w:szCs w:val="24"/>
                <w:highlight w:val="none"/>
                <w:lang w:val="en-US" w:eastAsia="zh-CN"/>
                <w14:textFill>
                  <w14:solidFill>
                    <w14:schemeClr w14:val="tx1"/>
                  </w14:solidFill>
                </w14:textFill>
              </w:rPr>
              <w:t>=11</w:t>
            </w:r>
            <w:r>
              <w:rPr>
                <w:rFonts w:hint="eastAsia" w:cs="Times New Roman"/>
                <w:color w:val="000000" w:themeColor="text1"/>
                <w:szCs w:val="24"/>
                <w:highlight w:val="none"/>
                <w:lang w:val="en-US" w:eastAsia="zh-CN"/>
                <w14:textFill>
                  <w14:solidFill>
                    <w14:schemeClr w14:val="tx1"/>
                  </w14:solidFill>
                </w14:textFill>
              </w:rPr>
              <w:t>8.5</w:t>
            </w:r>
            <w:r>
              <w:rPr>
                <w:rFonts w:hint="default" w:cs="Times New Roman"/>
                <w:color w:val="000000" w:themeColor="text1"/>
                <w:szCs w:val="24"/>
                <w:highlight w:val="none"/>
                <w:lang w:val="en-US" w:eastAsia="zh-CN"/>
                <w14:textFill>
                  <w14:solidFill>
                    <w14:schemeClr w14:val="tx1"/>
                  </w14:solidFill>
                </w14:textFill>
              </w:rPr>
              <w:t>m</w:t>
            </w:r>
            <w:r>
              <w:rPr>
                <w:rFonts w:hint="default" w:cs="Times New Roman"/>
                <w:color w:val="000000" w:themeColor="text1"/>
                <w:szCs w:val="24"/>
                <w:highlight w:val="none"/>
                <w:vertAlign w:val="superscript"/>
                <w:lang w:val="en-US" w:eastAsia="zh-CN"/>
                <w14:textFill>
                  <w14:solidFill>
                    <w14:schemeClr w14:val="tx1"/>
                  </w14:solidFill>
                </w14:textFill>
              </w:rPr>
              <w:t>3</w:t>
            </w:r>
            <w:r>
              <w:rPr>
                <w:rFonts w:hint="default" w:cs="Times New Roman"/>
                <w:color w:val="000000" w:themeColor="text1"/>
                <w:szCs w:val="24"/>
                <w:highlight w:val="none"/>
                <w:lang w:val="en-US" w:eastAsia="zh-CN"/>
                <w14:textFill>
                  <w14:solidFill>
                    <w14:schemeClr w14:val="tx1"/>
                  </w14:solidFill>
                </w14:textFill>
              </w:rPr>
              <w:t>。</w:t>
            </w:r>
          </w:p>
          <w:p w14:paraId="0AEFE595">
            <w:pPr>
              <w:pStyle w:val="68"/>
              <w:numPr>
                <w:ilvl w:val="0"/>
                <w:numId w:val="0"/>
              </w:numPr>
              <w:ind w:firstLine="1200" w:firstLineChars="500"/>
              <w:rPr>
                <w:rFonts w:hint="default" w:cs="Times New Roman"/>
                <w:color w:val="000000" w:themeColor="text1"/>
                <w:szCs w:val="24"/>
                <w:highlight w:val="none"/>
                <w:lang w:val="en-US" w:eastAsia="zh-CN"/>
                <w14:textFill>
                  <w14:solidFill>
                    <w14:schemeClr w14:val="tx1"/>
                  </w14:solidFill>
                </w14:textFill>
              </w:rPr>
            </w:pPr>
            <w:r>
              <w:rPr>
                <w:rFonts w:hint="default" w:cs="Times New Roman"/>
                <w:color w:val="000000" w:themeColor="text1"/>
                <w:szCs w:val="24"/>
                <w:highlight w:val="none"/>
                <w:lang w:val="en-US" w:eastAsia="zh-CN"/>
                <w14:textFill>
                  <w14:solidFill>
                    <w14:schemeClr w14:val="tx1"/>
                  </w14:solidFill>
                </w14:textFill>
              </w:rPr>
              <w:t>V</w:t>
            </w:r>
            <w:r>
              <w:rPr>
                <w:rFonts w:hint="default" w:cs="Times New Roman"/>
                <w:color w:val="000000" w:themeColor="text1"/>
                <w:szCs w:val="24"/>
                <w:highlight w:val="none"/>
                <w:vertAlign w:val="subscript"/>
                <w:lang w:val="en-US" w:eastAsia="zh-CN"/>
                <w14:textFill>
                  <w14:solidFill>
                    <w14:schemeClr w14:val="tx1"/>
                  </w14:solidFill>
                </w14:textFill>
              </w:rPr>
              <w:t>3</w:t>
            </w:r>
            <w:r>
              <w:rPr>
                <w:rFonts w:hint="default" w:cs="Times New Roman"/>
                <w:color w:val="000000" w:themeColor="text1"/>
                <w:szCs w:val="24"/>
                <w:highlight w:val="none"/>
                <w:lang w:val="en-US" w:eastAsia="zh-CN"/>
                <w14:textFill>
                  <w14:solidFill>
                    <w14:schemeClr w14:val="tx1"/>
                  </w14:solidFill>
                </w14:textFill>
              </w:rPr>
              <w:t>——发生事故时可以转输到其他储存或处理设施的物料量，m</w:t>
            </w:r>
            <w:r>
              <w:rPr>
                <w:rFonts w:hint="default" w:cs="Times New Roman"/>
                <w:color w:val="000000" w:themeColor="text1"/>
                <w:szCs w:val="24"/>
                <w:highlight w:val="none"/>
                <w:vertAlign w:val="superscript"/>
                <w:lang w:val="en-US" w:eastAsia="zh-CN"/>
                <w14:textFill>
                  <w14:solidFill>
                    <w14:schemeClr w14:val="tx1"/>
                  </w14:solidFill>
                </w14:textFill>
              </w:rPr>
              <w:t>3</w:t>
            </w:r>
            <w:r>
              <w:rPr>
                <w:rFonts w:hint="default" w:cs="Times New Roman"/>
                <w:color w:val="000000" w:themeColor="text1"/>
                <w:szCs w:val="24"/>
                <w:highlight w:val="none"/>
                <w:lang w:val="en-US" w:eastAsia="zh-CN"/>
                <w14:textFill>
                  <w14:solidFill>
                    <w14:schemeClr w14:val="tx1"/>
                  </w14:solidFill>
                </w14:textFill>
              </w:rPr>
              <w:t>。项目储罐周围设有围堰，规格尺寸为</w:t>
            </w:r>
            <w:r>
              <w:rPr>
                <w:rFonts w:hint="eastAsia" w:cs="Times New Roman"/>
                <w:color w:val="000000" w:themeColor="text1"/>
                <w:szCs w:val="24"/>
                <w:highlight w:val="none"/>
                <w:lang w:val="en-US" w:eastAsia="zh-CN"/>
                <w14:textFill>
                  <w14:solidFill>
                    <w14:schemeClr w14:val="tx1"/>
                  </w14:solidFill>
                </w14:textFill>
              </w:rPr>
              <w:t>10</w:t>
            </w:r>
            <w:r>
              <w:rPr>
                <w:rFonts w:hint="default" w:cs="Times New Roman"/>
                <w:color w:val="000000" w:themeColor="text1"/>
                <w:szCs w:val="24"/>
                <w:highlight w:val="none"/>
                <w:lang w:val="en-US" w:eastAsia="zh-CN"/>
                <w14:textFill>
                  <w14:solidFill>
                    <w14:schemeClr w14:val="tx1"/>
                  </w14:solidFill>
                </w14:textFill>
              </w:rPr>
              <w:t>m</w:t>
            </w:r>
            <w:r>
              <w:rPr>
                <w:rFonts w:hint="default" w:ascii="Arial" w:hAnsi="Arial" w:cs="Arial"/>
                <w:color w:val="000000" w:themeColor="text1"/>
                <w:szCs w:val="24"/>
                <w:highlight w:val="none"/>
                <w:lang w:val="en-US" w:eastAsia="zh-CN"/>
                <w14:textFill>
                  <w14:solidFill>
                    <w14:schemeClr w14:val="tx1"/>
                  </w14:solidFill>
                </w14:textFill>
              </w:rPr>
              <w:t>×</w:t>
            </w:r>
            <w:r>
              <w:rPr>
                <w:rFonts w:hint="default" w:cs="Times New Roman"/>
                <w:color w:val="000000" w:themeColor="text1"/>
                <w:szCs w:val="24"/>
                <w:highlight w:val="none"/>
                <w:lang w:val="en-US" w:eastAsia="zh-CN"/>
                <w14:textFill>
                  <w14:solidFill>
                    <w14:schemeClr w14:val="tx1"/>
                  </w14:solidFill>
                </w14:textFill>
              </w:rPr>
              <w:t>1</w:t>
            </w:r>
            <w:r>
              <w:rPr>
                <w:rFonts w:hint="eastAsia" w:cs="Times New Roman"/>
                <w:color w:val="000000" w:themeColor="text1"/>
                <w:szCs w:val="24"/>
                <w:highlight w:val="none"/>
                <w:lang w:val="en-US" w:eastAsia="zh-CN"/>
                <w14:textFill>
                  <w14:solidFill>
                    <w14:schemeClr w14:val="tx1"/>
                  </w14:solidFill>
                </w14:textFill>
              </w:rPr>
              <w:t>2</w:t>
            </w:r>
            <w:r>
              <w:rPr>
                <w:rFonts w:hint="default" w:cs="Times New Roman"/>
                <w:color w:val="000000" w:themeColor="text1"/>
                <w:szCs w:val="24"/>
                <w:highlight w:val="none"/>
                <w:lang w:val="en-US" w:eastAsia="zh-CN"/>
                <w14:textFill>
                  <w14:solidFill>
                    <w14:schemeClr w14:val="tx1"/>
                  </w14:solidFill>
                </w14:textFill>
              </w:rPr>
              <w:t>m</w:t>
            </w:r>
            <w:r>
              <w:rPr>
                <w:rFonts w:hint="default" w:ascii="Arial" w:hAnsi="Arial" w:cs="Arial"/>
                <w:color w:val="000000" w:themeColor="text1"/>
                <w:szCs w:val="24"/>
                <w:highlight w:val="none"/>
                <w:lang w:val="en-US" w:eastAsia="zh-CN"/>
                <w14:textFill>
                  <w14:solidFill>
                    <w14:schemeClr w14:val="tx1"/>
                  </w14:solidFill>
                </w14:textFill>
              </w:rPr>
              <w:t>×</w:t>
            </w:r>
            <w:r>
              <w:rPr>
                <w:rFonts w:hint="default" w:cs="Times New Roman"/>
                <w:color w:val="000000" w:themeColor="text1"/>
                <w:szCs w:val="24"/>
                <w:highlight w:val="none"/>
                <w:lang w:val="en-US" w:eastAsia="zh-CN"/>
                <w14:textFill>
                  <w14:solidFill>
                    <w14:schemeClr w14:val="tx1"/>
                  </w14:solidFill>
                </w14:textFill>
              </w:rPr>
              <w:t>1</w:t>
            </w:r>
            <w:r>
              <w:rPr>
                <w:rFonts w:hint="eastAsia" w:cs="Times New Roman"/>
                <w:color w:val="000000" w:themeColor="text1"/>
                <w:szCs w:val="24"/>
                <w:highlight w:val="none"/>
                <w:lang w:val="en-US" w:eastAsia="zh-CN"/>
                <w14:textFill>
                  <w14:solidFill>
                    <w14:schemeClr w14:val="tx1"/>
                  </w14:solidFill>
                </w14:textFill>
              </w:rPr>
              <w:t>.2</w:t>
            </w:r>
            <w:r>
              <w:rPr>
                <w:rFonts w:hint="default" w:cs="Times New Roman"/>
                <w:color w:val="000000" w:themeColor="text1"/>
                <w:szCs w:val="24"/>
                <w:highlight w:val="none"/>
                <w:lang w:val="en-US" w:eastAsia="zh-CN"/>
                <w14:textFill>
                  <w14:solidFill>
                    <w14:schemeClr w14:val="tx1"/>
                  </w14:solidFill>
                </w14:textFill>
              </w:rPr>
              <w:t>m</w:t>
            </w:r>
            <w:r>
              <w:rPr>
                <w:rFonts w:hint="eastAsia" w:cs="Times New Roman"/>
                <w:color w:val="000000" w:themeColor="text1"/>
                <w:szCs w:val="24"/>
                <w:highlight w:val="none"/>
                <w:lang w:val="en-US" w:eastAsia="zh-CN"/>
                <w14:textFill>
                  <w14:solidFill>
                    <w14:schemeClr w14:val="tx1"/>
                  </w14:solidFill>
                </w14:textFill>
              </w:rPr>
              <w:t>（</w:t>
            </w:r>
            <w:r>
              <w:rPr>
                <w:rFonts w:hint="default" w:cs="Times New Roman"/>
                <w:color w:val="000000" w:themeColor="text1"/>
                <w:szCs w:val="24"/>
                <w:highlight w:val="none"/>
                <w:lang w:val="en-US" w:eastAsia="zh-CN"/>
                <w14:textFill>
                  <w14:solidFill>
                    <w14:schemeClr w14:val="tx1"/>
                  </w14:solidFill>
                </w14:textFill>
              </w:rPr>
              <w:t>长</w:t>
            </w:r>
            <w:r>
              <w:rPr>
                <w:rFonts w:hint="default" w:ascii="Arial" w:hAnsi="Arial" w:cs="Arial"/>
                <w:color w:val="000000" w:themeColor="text1"/>
                <w:szCs w:val="24"/>
                <w:highlight w:val="none"/>
                <w:lang w:val="en-US" w:eastAsia="zh-CN"/>
                <w14:textFill>
                  <w14:solidFill>
                    <w14:schemeClr w14:val="tx1"/>
                  </w14:solidFill>
                </w14:textFill>
              </w:rPr>
              <w:t>×</w:t>
            </w:r>
            <w:r>
              <w:rPr>
                <w:rFonts w:hint="default" w:cs="Times New Roman"/>
                <w:color w:val="000000" w:themeColor="text1"/>
                <w:szCs w:val="24"/>
                <w:highlight w:val="none"/>
                <w:lang w:val="en-US" w:eastAsia="zh-CN"/>
                <w14:textFill>
                  <w14:solidFill>
                    <w14:schemeClr w14:val="tx1"/>
                  </w14:solidFill>
                </w14:textFill>
              </w:rPr>
              <w:t>宽</w:t>
            </w:r>
            <w:r>
              <w:rPr>
                <w:rFonts w:hint="default" w:ascii="Arial" w:hAnsi="Arial" w:cs="Arial"/>
                <w:color w:val="000000" w:themeColor="text1"/>
                <w:szCs w:val="24"/>
                <w:highlight w:val="none"/>
                <w:lang w:val="en-US" w:eastAsia="zh-CN"/>
                <w14:textFill>
                  <w14:solidFill>
                    <w14:schemeClr w14:val="tx1"/>
                  </w14:solidFill>
                </w14:textFill>
              </w:rPr>
              <w:t>×</w:t>
            </w:r>
            <w:r>
              <w:rPr>
                <w:rFonts w:hint="default" w:cs="Times New Roman"/>
                <w:color w:val="000000" w:themeColor="text1"/>
                <w:szCs w:val="24"/>
                <w:highlight w:val="none"/>
                <w:lang w:val="en-US" w:eastAsia="zh-CN"/>
                <w14:textFill>
                  <w14:solidFill>
                    <w14:schemeClr w14:val="tx1"/>
                  </w14:solidFill>
                </w14:textFill>
              </w:rPr>
              <w:t>高</w:t>
            </w:r>
            <w:r>
              <w:rPr>
                <w:rFonts w:hint="eastAsia" w:cs="Times New Roman"/>
                <w:color w:val="000000" w:themeColor="text1"/>
                <w:szCs w:val="24"/>
                <w:highlight w:val="none"/>
                <w:lang w:val="en-US" w:eastAsia="zh-CN"/>
                <w14:textFill>
                  <w14:solidFill>
                    <w14:schemeClr w14:val="tx1"/>
                  </w14:solidFill>
                </w14:textFill>
              </w:rPr>
              <w:t>）</w:t>
            </w:r>
            <w:r>
              <w:rPr>
                <w:rFonts w:hint="default" w:cs="Times New Roman"/>
                <w:color w:val="000000" w:themeColor="text1"/>
                <w:szCs w:val="24"/>
                <w:highlight w:val="none"/>
                <w:lang w:val="en-US" w:eastAsia="zh-CN"/>
                <w14:textFill>
                  <w14:solidFill>
                    <w14:schemeClr w14:val="tx1"/>
                  </w14:solidFill>
                </w14:textFill>
              </w:rPr>
              <w:t>，总容积约为</w:t>
            </w:r>
            <w:r>
              <w:rPr>
                <w:rFonts w:hint="eastAsia" w:cs="Times New Roman"/>
                <w:color w:val="000000" w:themeColor="text1"/>
                <w:szCs w:val="24"/>
                <w:highlight w:val="none"/>
                <w:lang w:val="en-US" w:eastAsia="zh-CN"/>
                <w14:textFill>
                  <w14:solidFill>
                    <w14:schemeClr w14:val="tx1"/>
                  </w14:solidFill>
                </w14:textFill>
              </w:rPr>
              <w:t>144</w:t>
            </w:r>
            <w:r>
              <w:rPr>
                <w:rFonts w:hint="default" w:cs="Times New Roman"/>
                <w:color w:val="000000" w:themeColor="text1"/>
                <w:szCs w:val="24"/>
                <w:highlight w:val="none"/>
                <w:lang w:val="en-US" w:eastAsia="zh-CN"/>
                <w14:textFill>
                  <w14:solidFill>
                    <w14:schemeClr w14:val="tx1"/>
                  </w14:solidFill>
                </w14:textFill>
              </w:rPr>
              <w:t>m</w:t>
            </w:r>
            <w:r>
              <w:rPr>
                <w:rFonts w:hint="default" w:cs="Times New Roman"/>
                <w:color w:val="000000" w:themeColor="text1"/>
                <w:szCs w:val="24"/>
                <w:highlight w:val="none"/>
                <w:vertAlign w:val="superscript"/>
                <w:lang w:val="en-US" w:eastAsia="zh-CN"/>
                <w14:textFill>
                  <w14:solidFill>
                    <w14:schemeClr w14:val="tx1"/>
                  </w14:solidFill>
                </w14:textFill>
              </w:rPr>
              <w:t>3</w:t>
            </w:r>
            <w:r>
              <w:rPr>
                <w:rFonts w:hint="default" w:cs="Times New Roman"/>
                <w:color w:val="000000" w:themeColor="text1"/>
                <w:szCs w:val="24"/>
                <w:highlight w:val="none"/>
                <w:lang w:val="en-US" w:eastAsia="zh-CN"/>
                <w14:textFill>
                  <w14:solidFill>
                    <w14:schemeClr w14:val="tx1"/>
                  </w14:solidFill>
                </w14:textFill>
              </w:rPr>
              <w:t>，故V</w:t>
            </w:r>
            <w:r>
              <w:rPr>
                <w:rFonts w:hint="default" w:cs="Times New Roman"/>
                <w:color w:val="000000" w:themeColor="text1"/>
                <w:szCs w:val="24"/>
                <w:highlight w:val="none"/>
                <w:vertAlign w:val="subscript"/>
                <w:lang w:val="en-US" w:eastAsia="zh-CN"/>
                <w14:textFill>
                  <w14:solidFill>
                    <w14:schemeClr w14:val="tx1"/>
                  </w14:solidFill>
                </w14:textFill>
              </w:rPr>
              <w:t>3</w:t>
            </w:r>
            <w:r>
              <w:rPr>
                <w:rFonts w:hint="default" w:cs="Times New Roman"/>
                <w:color w:val="000000" w:themeColor="text1"/>
                <w:szCs w:val="24"/>
                <w:highlight w:val="none"/>
                <w:lang w:val="en-US" w:eastAsia="zh-CN"/>
                <w14:textFill>
                  <w14:solidFill>
                    <w14:schemeClr w14:val="tx1"/>
                  </w14:solidFill>
                </w14:textFill>
              </w:rPr>
              <w:t>为</w:t>
            </w:r>
            <w:r>
              <w:rPr>
                <w:rFonts w:hint="eastAsia" w:cs="Times New Roman"/>
                <w:color w:val="000000" w:themeColor="text1"/>
                <w:szCs w:val="24"/>
                <w:highlight w:val="none"/>
                <w:lang w:val="en-US" w:eastAsia="zh-CN"/>
                <w14:textFill>
                  <w14:solidFill>
                    <w14:schemeClr w14:val="tx1"/>
                  </w14:solidFill>
                </w14:textFill>
              </w:rPr>
              <w:t>144</w:t>
            </w:r>
            <w:r>
              <w:rPr>
                <w:rFonts w:hint="default" w:cs="Times New Roman"/>
                <w:color w:val="000000" w:themeColor="text1"/>
                <w:szCs w:val="24"/>
                <w:highlight w:val="none"/>
                <w:lang w:val="en-US" w:eastAsia="zh-CN"/>
                <w14:textFill>
                  <w14:solidFill>
                    <w14:schemeClr w14:val="tx1"/>
                  </w14:solidFill>
                </w14:textFill>
              </w:rPr>
              <w:t>m</w:t>
            </w:r>
            <w:r>
              <w:rPr>
                <w:rFonts w:hint="default" w:cs="Times New Roman"/>
                <w:color w:val="000000" w:themeColor="text1"/>
                <w:szCs w:val="24"/>
                <w:highlight w:val="none"/>
                <w:vertAlign w:val="superscript"/>
                <w:lang w:val="en-US" w:eastAsia="zh-CN"/>
                <w14:textFill>
                  <w14:solidFill>
                    <w14:schemeClr w14:val="tx1"/>
                  </w14:solidFill>
                </w14:textFill>
              </w:rPr>
              <w:t>3</w:t>
            </w:r>
            <w:r>
              <w:rPr>
                <w:rFonts w:hint="default" w:cs="Times New Roman"/>
                <w:color w:val="000000" w:themeColor="text1"/>
                <w:szCs w:val="24"/>
                <w:highlight w:val="none"/>
                <w:lang w:val="en-US" w:eastAsia="zh-CN"/>
                <w14:textFill>
                  <w14:solidFill>
                    <w14:schemeClr w14:val="tx1"/>
                  </w14:solidFill>
                </w14:textFill>
              </w:rPr>
              <w:t>。</w:t>
            </w:r>
          </w:p>
          <w:p w14:paraId="71A21BEE">
            <w:pPr>
              <w:pStyle w:val="68"/>
              <w:numPr>
                <w:ilvl w:val="0"/>
                <w:numId w:val="0"/>
              </w:numPr>
              <w:ind w:firstLine="1200" w:firstLineChars="500"/>
              <w:rPr>
                <w:rFonts w:hint="default" w:cs="Times New Roman"/>
                <w:color w:val="000000" w:themeColor="text1"/>
                <w:szCs w:val="24"/>
                <w:highlight w:val="none"/>
                <w:lang w:val="en-US" w:eastAsia="zh-CN"/>
                <w14:textFill>
                  <w14:solidFill>
                    <w14:schemeClr w14:val="tx1"/>
                  </w14:solidFill>
                </w14:textFill>
              </w:rPr>
            </w:pPr>
            <w:r>
              <w:rPr>
                <w:rFonts w:hint="default" w:cs="Times New Roman"/>
                <w:color w:val="000000" w:themeColor="text1"/>
                <w:szCs w:val="24"/>
                <w:highlight w:val="none"/>
                <w:lang w:val="en-US" w:eastAsia="zh-CN"/>
                <w14:textFill>
                  <w14:solidFill>
                    <w14:schemeClr w14:val="tx1"/>
                  </w14:solidFill>
                </w14:textFill>
              </w:rPr>
              <w:t>V</w:t>
            </w:r>
            <w:r>
              <w:rPr>
                <w:rFonts w:hint="default" w:cs="Times New Roman"/>
                <w:color w:val="000000" w:themeColor="text1"/>
                <w:szCs w:val="24"/>
                <w:highlight w:val="none"/>
                <w:vertAlign w:val="subscript"/>
                <w:lang w:val="en-US" w:eastAsia="zh-CN"/>
                <w14:textFill>
                  <w14:solidFill>
                    <w14:schemeClr w14:val="tx1"/>
                  </w14:solidFill>
                </w14:textFill>
              </w:rPr>
              <w:t>4</w:t>
            </w:r>
            <w:r>
              <w:rPr>
                <w:rFonts w:hint="default" w:cs="Times New Roman"/>
                <w:color w:val="000000" w:themeColor="text1"/>
                <w:szCs w:val="24"/>
                <w:highlight w:val="none"/>
                <w:lang w:val="en-US" w:eastAsia="zh-CN"/>
                <w14:textFill>
                  <w14:solidFill>
                    <w14:schemeClr w14:val="tx1"/>
                  </w14:solidFill>
                </w14:textFill>
              </w:rPr>
              <w:t>——发生事故时仍必须进入该收集系统的生产废水量，m</w:t>
            </w:r>
            <w:r>
              <w:rPr>
                <w:rFonts w:hint="default" w:cs="Times New Roman"/>
                <w:color w:val="000000" w:themeColor="text1"/>
                <w:szCs w:val="24"/>
                <w:highlight w:val="none"/>
                <w:vertAlign w:val="superscript"/>
                <w:lang w:val="en-US" w:eastAsia="zh-CN"/>
                <w14:textFill>
                  <w14:solidFill>
                    <w14:schemeClr w14:val="tx1"/>
                  </w14:solidFill>
                </w14:textFill>
              </w:rPr>
              <w:t>3</w:t>
            </w:r>
            <w:r>
              <w:rPr>
                <w:rFonts w:hint="default" w:cs="Times New Roman"/>
                <w:color w:val="000000" w:themeColor="text1"/>
                <w:szCs w:val="24"/>
                <w:highlight w:val="none"/>
                <w:lang w:val="en-US" w:eastAsia="zh-CN"/>
                <w14:textFill>
                  <w14:solidFill>
                    <w14:schemeClr w14:val="tx1"/>
                  </w14:solidFill>
                </w14:textFill>
              </w:rPr>
              <w:t>。项目生产过程无废水产生及排放，即V</w:t>
            </w:r>
            <w:r>
              <w:rPr>
                <w:rFonts w:hint="default" w:cs="Times New Roman"/>
                <w:color w:val="000000" w:themeColor="text1"/>
                <w:szCs w:val="24"/>
                <w:highlight w:val="none"/>
                <w:vertAlign w:val="subscript"/>
                <w:lang w:val="en-US" w:eastAsia="zh-CN"/>
                <w14:textFill>
                  <w14:solidFill>
                    <w14:schemeClr w14:val="tx1"/>
                  </w14:solidFill>
                </w14:textFill>
              </w:rPr>
              <w:t>4</w:t>
            </w:r>
            <w:r>
              <w:rPr>
                <w:rFonts w:hint="default" w:cs="Times New Roman"/>
                <w:color w:val="000000" w:themeColor="text1"/>
                <w:szCs w:val="24"/>
                <w:highlight w:val="none"/>
                <w:lang w:val="en-US" w:eastAsia="zh-CN"/>
                <w14:textFill>
                  <w14:solidFill>
                    <w14:schemeClr w14:val="tx1"/>
                  </w14:solidFill>
                </w14:textFill>
              </w:rPr>
              <w:t>为0m</w:t>
            </w:r>
            <w:r>
              <w:rPr>
                <w:rFonts w:hint="default" w:cs="Times New Roman"/>
                <w:color w:val="000000" w:themeColor="text1"/>
                <w:szCs w:val="24"/>
                <w:highlight w:val="none"/>
                <w:vertAlign w:val="superscript"/>
                <w:lang w:val="en-US" w:eastAsia="zh-CN"/>
                <w14:textFill>
                  <w14:solidFill>
                    <w14:schemeClr w14:val="tx1"/>
                  </w14:solidFill>
                </w14:textFill>
              </w:rPr>
              <w:t>3</w:t>
            </w:r>
            <w:r>
              <w:rPr>
                <w:rFonts w:hint="default" w:cs="Times New Roman"/>
                <w:color w:val="000000" w:themeColor="text1"/>
                <w:szCs w:val="24"/>
                <w:highlight w:val="none"/>
                <w:lang w:val="en-US" w:eastAsia="zh-CN"/>
                <w14:textFill>
                  <w14:solidFill>
                    <w14:schemeClr w14:val="tx1"/>
                  </w14:solidFill>
                </w14:textFill>
              </w:rPr>
              <w:t>。</w:t>
            </w:r>
          </w:p>
          <w:p w14:paraId="5E3FE828">
            <w:pPr>
              <w:pStyle w:val="68"/>
              <w:numPr>
                <w:ilvl w:val="0"/>
                <w:numId w:val="0"/>
              </w:numPr>
              <w:ind w:firstLine="1200" w:firstLineChars="500"/>
              <w:rPr>
                <w:rFonts w:hint="eastAsia" w:cs="Times New Roman"/>
                <w:color w:val="000000" w:themeColor="text1"/>
                <w:szCs w:val="24"/>
                <w:highlight w:val="none"/>
                <w:lang w:val="en-US" w:eastAsia="zh-CN"/>
                <w14:textFill>
                  <w14:solidFill>
                    <w14:schemeClr w14:val="tx1"/>
                  </w14:solidFill>
                </w14:textFill>
              </w:rPr>
            </w:pPr>
            <w:r>
              <w:rPr>
                <w:rFonts w:hint="default" w:cs="Times New Roman"/>
                <w:color w:val="000000" w:themeColor="text1"/>
                <w:szCs w:val="24"/>
                <w:highlight w:val="none"/>
                <w:lang w:val="en-US" w:eastAsia="zh-CN"/>
                <w14:textFill>
                  <w14:solidFill>
                    <w14:schemeClr w14:val="tx1"/>
                  </w14:solidFill>
                </w14:textFill>
              </w:rPr>
              <w:t>V</w:t>
            </w:r>
            <w:r>
              <w:rPr>
                <w:rFonts w:hint="default" w:cs="Times New Roman"/>
                <w:color w:val="000000" w:themeColor="text1"/>
                <w:szCs w:val="24"/>
                <w:highlight w:val="none"/>
                <w:vertAlign w:val="subscript"/>
                <w:lang w:val="en-US" w:eastAsia="zh-CN"/>
                <w14:textFill>
                  <w14:solidFill>
                    <w14:schemeClr w14:val="tx1"/>
                  </w14:solidFill>
                </w14:textFill>
              </w:rPr>
              <w:t>5</w:t>
            </w:r>
            <w:r>
              <w:rPr>
                <w:rFonts w:hint="default" w:cs="Times New Roman"/>
                <w:color w:val="000000" w:themeColor="text1"/>
                <w:szCs w:val="24"/>
                <w:highlight w:val="none"/>
                <w:lang w:val="en-US" w:eastAsia="zh-CN"/>
                <w14:textFill>
                  <w14:solidFill>
                    <w14:schemeClr w14:val="tx1"/>
                  </w14:solidFill>
                </w14:textFill>
              </w:rPr>
              <w:t>——发生事故时可能进入该收集系统的降雨量，m</w:t>
            </w:r>
            <w:r>
              <w:rPr>
                <w:rFonts w:hint="default" w:cs="Times New Roman"/>
                <w:color w:val="000000" w:themeColor="text1"/>
                <w:szCs w:val="24"/>
                <w:highlight w:val="none"/>
                <w:vertAlign w:val="superscript"/>
                <w:lang w:val="en-US" w:eastAsia="zh-CN"/>
                <w14:textFill>
                  <w14:solidFill>
                    <w14:schemeClr w14:val="tx1"/>
                  </w14:solidFill>
                </w14:textFill>
              </w:rPr>
              <w:t>3</w:t>
            </w:r>
            <w:r>
              <w:rPr>
                <w:rFonts w:hint="default" w:cs="Times New Roman"/>
                <w:color w:val="000000" w:themeColor="text1"/>
                <w:szCs w:val="24"/>
                <w:highlight w:val="none"/>
                <w:lang w:val="en-US" w:eastAsia="zh-CN"/>
                <w14:textFill>
                  <w14:solidFill>
                    <w14:schemeClr w14:val="tx1"/>
                  </w14:solidFill>
                </w14:textFill>
              </w:rPr>
              <w:t>。V</w:t>
            </w:r>
            <w:r>
              <w:rPr>
                <w:rFonts w:hint="default" w:cs="Times New Roman"/>
                <w:color w:val="000000" w:themeColor="text1"/>
                <w:szCs w:val="24"/>
                <w:highlight w:val="none"/>
                <w:vertAlign w:val="subscript"/>
                <w:lang w:val="en-US" w:eastAsia="zh-CN"/>
                <w14:textFill>
                  <w14:solidFill>
                    <w14:schemeClr w14:val="tx1"/>
                  </w14:solidFill>
                </w14:textFill>
              </w:rPr>
              <w:t>5</w:t>
            </w:r>
            <w:r>
              <w:rPr>
                <w:rFonts w:hint="default" w:cs="Times New Roman"/>
                <w:color w:val="000000" w:themeColor="text1"/>
                <w:szCs w:val="24"/>
                <w:highlight w:val="none"/>
                <w:lang w:val="en-US" w:eastAsia="zh-CN"/>
                <w14:textFill>
                  <w14:solidFill>
                    <w14:schemeClr w14:val="tx1"/>
                  </w14:solidFill>
                </w14:textFill>
              </w:rPr>
              <w:t>=10q</w:t>
            </w:r>
            <w:r>
              <w:rPr>
                <w:rFonts w:hint="default" w:ascii="Arial" w:hAnsi="Arial" w:cs="Arial"/>
                <w:color w:val="000000" w:themeColor="text1"/>
                <w:szCs w:val="24"/>
                <w:highlight w:val="none"/>
                <w:lang w:val="en-US" w:eastAsia="zh-CN"/>
                <w14:textFill>
                  <w14:solidFill>
                    <w14:schemeClr w14:val="tx1"/>
                  </w14:solidFill>
                </w14:textFill>
              </w:rPr>
              <w:t>×</w:t>
            </w:r>
            <w:r>
              <w:rPr>
                <w:rFonts w:hint="default" w:cs="Times New Roman"/>
                <w:color w:val="000000" w:themeColor="text1"/>
                <w:szCs w:val="24"/>
                <w:highlight w:val="none"/>
                <w:lang w:val="en-US" w:eastAsia="zh-CN"/>
                <w14:textFill>
                  <w14:solidFill>
                    <w14:schemeClr w14:val="tx1"/>
                  </w14:solidFill>
                </w14:textFill>
              </w:rPr>
              <w:t>Ft式中：q——降雨强度，mm；按平均日降雨量；（qa——年平均降雨量，mm；</w:t>
            </w:r>
            <w:r>
              <w:rPr>
                <w:rFonts w:hint="eastAsia" w:cs="Times New Roman"/>
                <w:color w:val="000000" w:themeColor="text1"/>
                <w:szCs w:val="24"/>
                <w:highlight w:val="none"/>
                <w:lang w:val="en-US" w:eastAsia="zh-CN"/>
                <w14:textFill>
                  <w14:solidFill>
                    <w14:schemeClr w14:val="tx1"/>
                  </w14:solidFill>
                </w14:textFill>
              </w:rPr>
              <w:t>本溪</w:t>
            </w:r>
            <w:r>
              <w:rPr>
                <w:rFonts w:hint="default" w:cs="Times New Roman"/>
                <w:color w:val="000000" w:themeColor="text1"/>
                <w:szCs w:val="24"/>
                <w:highlight w:val="none"/>
                <w:lang w:val="en-US" w:eastAsia="zh-CN"/>
                <w14:textFill>
                  <w14:solidFill>
                    <w14:schemeClr w14:val="tx1"/>
                  </w14:solidFill>
                </w14:textFill>
              </w:rPr>
              <w:t>市年平均降雨量为</w:t>
            </w:r>
            <w:r>
              <w:rPr>
                <w:rFonts w:hint="eastAsia" w:cs="Times New Roman"/>
                <w:color w:val="000000" w:themeColor="text1"/>
                <w:szCs w:val="24"/>
                <w:highlight w:val="none"/>
                <w:lang w:val="en-US" w:eastAsia="zh-CN"/>
                <w14:textFill>
                  <w14:solidFill>
                    <w14:schemeClr w14:val="tx1"/>
                  </w14:solidFill>
                </w14:textFill>
              </w:rPr>
              <w:t>793.7</w:t>
            </w:r>
            <w:r>
              <w:rPr>
                <w:rFonts w:hint="default" w:cs="Times New Roman"/>
                <w:color w:val="000000" w:themeColor="text1"/>
                <w:szCs w:val="24"/>
                <w:highlight w:val="none"/>
                <w:lang w:val="en-US" w:eastAsia="zh-CN"/>
                <w14:textFill>
                  <w14:solidFill>
                    <w14:schemeClr w14:val="tx1"/>
                  </w14:solidFill>
                </w14:textFill>
              </w:rPr>
              <w:t>mm，qa=</w:t>
            </w:r>
            <w:r>
              <w:rPr>
                <w:rFonts w:hint="eastAsia" w:cs="Times New Roman"/>
                <w:color w:val="000000" w:themeColor="text1"/>
                <w:szCs w:val="24"/>
                <w:highlight w:val="none"/>
                <w:lang w:val="en-US" w:eastAsia="zh-CN"/>
                <w14:textFill>
                  <w14:solidFill>
                    <w14:schemeClr w14:val="tx1"/>
                  </w14:solidFill>
                </w14:textFill>
              </w:rPr>
              <w:t>793.7</w:t>
            </w:r>
            <w:r>
              <w:rPr>
                <w:rFonts w:hint="default" w:cs="Times New Roman"/>
                <w:color w:val="000000" w:themeColor="text1"/>
                <w:szCs w:val="24"/>
                <w:highlight w:val="none"/>
                <w:lang w:val="en-US" w:eastAsia="zh-CN"/>
                <w14:textFill>
                  <w14:solidFill>
                    <w14:schemeClr w14:val="tx1"/>
                  </w14:solidFill>
                </w14:textFill>
              </w:rPr>
              <w:t>mm；n——年平均降雨日数。n取150天；）F——必须进入事故废水收集系统的雨水汇水面积，ha；F=0.</w:t>
            </w:r>
            <w:r>
              <w:rPr>
                <w:rFonts w:hint="eastAsia" w:cs="Times New Roman"/>
                <w:color w:val="000000" w:themeColor="text1"/>
                <w:szCs w:val="24"/>
                <w:highlight w:val="none"/>
                <w:lang w:val="en-US" w:eastAsia="zh-CN"/>
                <w14:textFill>
                  <w14:solidFill>
                    <w14:schemeClr w14:val="tx1"/>
                  </w14:solidFill>
                </w14:textFill>
              </w:rPr>
              <w:t>05</w:t>
            </w:r>
            <w:r>
              <w:rPr>
                <w:rFonts w:hint="default" w:cs="Times New Roman"/>
                <w:color w:val="000000" w:themeColor="text1"/>
                <w:szCs w:val="24"/>
                <w:highlight w:val="none"/>
                <w:lang w:val="en-US" w:eastAsia="zh-CN"/>
                <w14:textFill>
                  <w14:solidFill>
                    <w14:schemeClr w14:val="tx1"/>
                  </w14:solidFill>
                </w14:textFill>
              </w:rPr>
              <w:t>ha；t——降雨持续时间，h；t=1.5h（取发生事故时降雨持续时间为1.5h）；V5=10qFt</w:t>
            </w:r>
            <w:r>
              <w:rPr>
                <w:rFonts w:hint="eastAsia" w:cs="Times New Roman"/>
                <w:color w:val="000000" w:themeColor="text1"/>
                <w:szCs w:val="24"/>
                <w:highlight w:val="none"/>
                <w:lang w:val="en-US" w:eastAsia="zh-CN"/>
                <w14:textFill>
                  <w14:solidFill>
                    <w14:schemeClr w14:val="tx1"/>
                  </w14:solidFill>
                </w14:textFill>
              </w:rPr>
              <w:t>=4</w:t>
            </w:r>
            <w:r>
              <w:rPr>
                <w:rFonts w:hint="default" w:cs="Times New Roman"/>
                <w:color w:val="000000" w:themeColor="text1"/>
                <w:szCs w:val="24"/>
                <w:highlight w:val="none"/>
                <w:lang w:val="en-US" w:eastAsia="zh-CN"/>
                <w14:textFill>
                  <w14:solidFill>
                    <w14:schemeClr w14:val="tx1"/>
                  </w14:solidFill>
                </w14:textFill>
              </w:rPr>
              <w:t>m</w:t>
            </w:r>
            <w:r>
              <w:rPr>
                <w:rFonts w:hint="default" w:cs="Times New Roman"/>
                <w:color w:val="000000" w:themeColor="text1"/>
                <w:szCs w:val="24"/>
                <w:highlight w:val="none"/>
                <w:vertAlign w:val="superscript"/>
                <w:lang w:val="en-US" w:eastAsia="zh-CN"/>
                <w14:textFill>
                  <w14:solidFill>
                    <w14:schemeClr w14:val="tx1"/>
                  </w14:solidFill>
                </w14:textFill>
              </w:rPr>
              <w:t>3</w:t>
            </w:r>
            <w:r>
              <w:rPr>
                <w:rFonts w:hint="eastAsia" w:cs="Times New Roman"/>
                <w:color w:val="000000" w:themeColor="text1"/>
                <w:szCs w:val="24"/>
                <w:highlight w:val="none"/>
                <w:lang w:val="en-US" w:eastAsia="zh-CN"/>
                <w14:textFill>
                  <w14:solidFill>
                    <w14:schemeClr w14:val="tx1"/>
                  </w14:solidFill>
                </w14:textFill>
              </w:rPr>
              <w:t>。</w:t>
            </w:r>
          </w:p>
          <w:p w14:paraId="2599317A">
            <w:pPr>
              <w:pStyle w:val="68"/>
              <w:numPr>
                <w:ilvl w:val="0"/>
                <w:numId w:val="0"/>
              </w:numPr>
              <w:ind w:firstLine="480" w:firstLineChars="200"/>
              <w:rPr>
                <w:rFonts w:hint="default" w:cs="Times New Roman"/>
                <w:color w:val="000000" w:themeColor="text1"/>
                <w:szCs w:val="24"/>
                <w:highlight w:val="none"/>
                <w:lang w:val="en-US" w:eastAsia="zh-CN"/>
                <w14:textFill>
                  <w14:solidFill>
                    <w14:schemeClr w14:val="tx1"/>
                  </w14:solidFill>
                </w14:textFill>
              </w:rPr>
            </w:pPr>
            <w:r>
              <w:rPr>
                <w:rFonts w:hint="default" w:cs="Times New Roman"/>
                <w:color w:val="000000" w:themeColor="text1"/>
                <w:szCs w:val="24"/>
                <w:highlight w:val="none"/>
                <w:lang w:val="en-US" w:eastAsia="zh-CN"/>
                <w14:textFill>
                  <w14:solidFill>
                    <w14:schemeClr w14:val="tx1"/>
                  </w14:solidFill>
                </w14:textFill>
              </w:rPr>
              <w:t>综上，则V</w:t>
            </w:r>
            <w:r>
              <w:rPr>
                <w:rFonts w:hint="default" w:cs="Times New Roman"/>
                <w:color w:val="000000" w:themeColor="text1"/>
                <w:szCs w:val="24"/>
                <w:highlight w:val="none"/>
                <w:vertAlign w:val="subscript"/>
                <w:lang w:val="en-US" w:eastAsia="zh-CN"/>
                <w14:textFill>
                  <w14:solidFill>
                    <w14:schemeClr w14:val="tx1"/>
                  </w14:solidFill>
                </w14:textFill>
              </w:rPr>
              <w:t>总</w:t>
            </w:r>
            <w:r>
              <w:rPr>
                <w:rFonts w:hint="default" w:cs="Times New Roman"/>
                <w:color w:val="000000" w:themeColor="text1"/>
                <w:szCs w:val="24"/>
                <w:highlight w:val="none"/>
                <w:lang w:val="en-US" w:eastAsia="zh-CN"/>
                <w14:textFill>
                  <w14:solidFill>
                    <w14:schemeClr w14:val="tx1"/>
                  </w14:solidFill>
                </w14:textFill>
              </w:rPr>
              <w:t>=（</w:t>
            </w:r>
            <w:r>
              <w:rPr>
                <w:rFonts w:hint="eastAsia" w:cs="Times New Roman"/>
                <w:color w:val="000000" w:themeColor="text1"/>
                <w:szCs w:val="24"/>
                <w:highlight w:val="none"/>
                <w:lang w:val="en-US" w:eastAsia="zh-CN"/>
                <w14:textFill>
                  <w14:solidFill>
                    <w14:schemeClr w14:val="tx1"/>
                  </w14:solidFill>
                </w14:textFill>
              </w:rPr>
              <w:t>60</w:t>
            </w:r>
            <w:r>
              <w:rPr>
                <w:rFonts w:hint="default" w:cs="Times New Roman"/>
                <w:color w:val="000000" w:themeColor="text1"/>
                <w:szCs w:val="24"/>
                <w:highlight w:val="none"/>
                <w:lang w:val="en-US" w:eastAsia="zh-CN"/>
                <w14:textFill>
                  <w14:solidFill>
                    <w14:schemeClr w14:val="tx1"/>
                  </w14:solidFill>
                </w14:textFill>
              </w:rPr>
              <w:t>+11</w:t>
            </w:r>
            <w:r>
              <w:rPr>
                <w:rFonts w:hint="eastAsia" w:cs="Times New Roman"/>
                <w:color w:val="000000" w:themeColor="text1"/>
                <w:szCs w:val="24"/>
                <w:highlight w:val="none"/>
                <w:lang w:val="en-US" w:eastAsia="zh-CN"/>
                <w14:textFill>
                  <w14:solidFill>
                    <w14:schemeClr w14:val="tx1"/>
                  </w14:solidFill>
                </w14:textFill>
              </w:rPr>
              <w:t>8.5</w:t>
            </w:r>
            <w:r>
              <w:rPr>
                <w:rFonts w:hint="default" w:cs="Times New Roman"/>
                <w:color w:val="000000" w:themeColor="text1"/>
                <w:szCs w:val="24"/>
                <w:highlight w:val="none"/>
                <w:lang w:val="en-US" w:eastAsia="zh-CN"/>
                <w14:textFill>
                  <w14:solidFill>
                    <w14:schemeClr w14:val="tx1"/>
                  </w14:solidFill>
                </w14:textFill>
              </w:rPr>
              <w:t>-</w:t>
            </w:r>
            <w:r>
              <w:rPr>
                <w:rFonts w:hint="eastAsia" w:cs="Times New Roman"/>
                <w:color w:val="000000" w:themeColor="text1"/>
                <w:szCs w:val="24"/>
                <w:highlight w:val="none"/>
                <w:lang w:val="en-US" w:eastAsia="zh-CN"/>
                <w14:textFill>
                  <w14:solidFill>
                    <w14:schemeClr w14:val="tx1"/>
                  </w14:solidFill>
                </w14:textFill>
              </w:rPr>
              <w:t>144</w:t>
            </w:r>
            <w:r>
              <w:rPr>
                <w:rFonts w:hint="default" w:cs="Times New Roman"/>
                <w:color w:val="000000" w:themeColor="text1"/>
                <w:szCs w:val="24"/>
                <w:highlight w:val="none"/>
                <w:lang w:val="en-US" w:eastAsia="zh-CN"/>
                <w14:textFill>
                  <w14:solidFill>
                    <w14:schemeClr w14:val="tx1"/>
                  </w14:solidFill>
                </w14:textFill>
              </w:rPr>
              <w:t>）+0+</w:t>
            </w:r>
            <w:r>
              <w:rPr>
                <w:rFonts w:hint="eastAsia" w:cs="Times New Roman"/>
                <w:color w:val="000000" w:themeColor="text1"/>
                <w:szCs w:val="24"/>
                <w:highlight w:val="none"/>
                <w:lang w:val="en-US" w:eastAsia="zh-CN"/>
                <w14:textFill>
                  <w14:solidFill>
                    <w14:schemeClr w14:val="tx1"/>
                  </w14:solidFill>
                </w14:textFill>
              </w:rPr>
              <w:t>4</w:t>
            </w:r>
            <w:r>
              <w:rPr>
                <w:rFonts w:hint="default" w:cs="Times New Roman"/>
                <w:color w:val="000000" w:themeColor="text1"/>
                <w:szCs w:val="24"/>
                <w:highlight w:val="none"/>
                <w:lang w:val="en-US" w:eastAsia="zh-CN"/>
                <w14:textFill>
                  <w14:solidFill>
                    <w14:schemeClr w14:val="tx1"/>
                  </w14:solidFill>
                </w14:textFill>
              </w:rPr>
              <w:t>=</w:t>
            </w:r>
            <w:r>
              <w:rPr>
                <w:rFonts w:hint="eastAsia" w:cs="Times New Roman"/>
                <w:color w:val="000000" w:themeColor="text1"/>
                <w:szCs w:val="24"/>
                <w:highlight w:val="none"/>
                <w:lang w:val="en-US" w:eastAsia="zh-CN"/>
                <w14:textFill>
                  <w14:solidFill>
                    <w14:schemeClr w14:val="tx1"/>
                  </w14:solidFill>
                </w14:textFill>
              </w:rPr>
              <w:t>38.5</w:t>
            </w:r>
            <w:r>
              <w:rPr>
                <w:rFonts w:hint="default" w:cs="Times New Roman"/>
                <w:color w:val="000000" w:themeColor="text1"/>
                <w:szCs w:val="24"/>
                <w:highlight w:val="none"/>
                <w:lang w:val="en-US" w:eastAsia="zh-CN"/>
                <w14:textFill>
                  <w14:solidFill>
                    <w14:schemeClr w14:val="tx1"/>
                  </w14:solidFill>
                </w14:textFill>
              </w:rPr>
              <w:t>m</w:t>
            </w:r>
            <w:r>
              <w:rPr>
                <w:rFonts w:hint="default" w:cs="Times New Roman"/>
                <w:color w:val="000000" w:themeColor="text1"/>
                <w:szCs w:val="24"/>
                <w:highlight w:val="none"/>
                <w:vertAlign w:val="superscript"/>
                <w:lang w:val="en-US" w:eastAsia="zh-CN"/>
                <w14:textFill>
                  <w14:solidFill>
                    <w14:schemeClr w14:val="tx1"/>
                  </w14:solidFill>
                </w14:textFill>
              </w:rPr>
              <w:t>3</w:t>
            </w:r>
            <w:r>
              <w:rPr>
                <w:rFonts w:hint="default" w:cs="Times New Roman"/>
                <w:color w:val="000000" w:themeColor="text1"/>
                <w:szCs w:val="24"/>
                <w:highlight w:val="none"/>
                <w:lang w:val="en-US" w:eastAsia="zh-CN"/>
                <w14:textFill>
                  <w14:solidFill>
                    <w14:schemeClr w14:val="tx1"/>
                  </w14:solidFill>
                </w14:textFill>
              </w:rPr>
              <w:t>，即建设单位设置有效容积为</w:t>
            </w:r>
            <w:r>
              <w:rPr>
                <w:rFonts w:hint="eastAsia" w:cs="Times New Roman"/>
                <w:color w:val="000000" w:themeColor="text1"/>
                <w:szCs w:val="24"/>
                <w:highlight w:val="none"/>
                <w:lang w:val="en-US" w:eastAsia="zh-CN"/>
                <w14:textFill>
                  <w14:solidFill>
                    <w14:schemeClr w14:val="tx1"/>
                  </w14:solidFill>
                </w14:textFill>
              </w:rPr>
              <w:t>38.5</w:t>
            </w:r>
            <w:r>
              <w:rPr>
                <w:rFonts w:hint="default" w:cs="Times New Roman"/>
                <w:color w:val="000000" w:themeColor="text1"/>
                <w:szCs w:val="24"/>
                <w:highlight w:val="none"/>
                <w:lang w:val="en-US" w:eastAsia="zh-CN"/>
                <w14:textFill>
                  <w14:solidFill>
                    <w14:schemeClr w14:val="tx1"/>
                  </w14:solidFill>
                </w14:textFill>
              </w:rPr>
              <w:t>m</w:t>
            </w:r>
            <w:r>
              <w:rPr>
                <w:rFonts w:hint="default" w:cs="Times New Roman"/>
                <w:color w:val="000000" w:themeColor="text1"/>
                <w:szCs w:val="24"/>
                <w:highlight w:val="none"/>
                <w:vertAlign w:val="superscript"/>
                <w:lang w:val="en-US" w:eastAsia="zh-CN"/>
                <w14:textFill>
                  <w14:solidFill>
                    <w14:schemeClr w14:val="tx1"/>
                  </w14:solidFill>
                </w14:textFill>
              </w:rPr>
              <w:t>3</w:t>
            </w:r>
            <w:r>
              <w:rPr>
                <w:rFonts w:hint="default" w:cs="Times New Roman"/>
                <w:color w:val="000000" w:themeColor="text1"/>
                <w:szCs w:val="24"/>
                <w:highlight w:val="none"/>
                <w:lang w:val="en-US" w:eastAsia="zh-CN"/>
                <w14:textFill>
                  <w14:solidFill>
                    <w14:schemeClr w14:val="tx1"/>
                  </w14:solidFill>
                </w14:textFill>
              </w:rPr>
              <w:t>的事故应急池，可满足收集泄漏、火灾事故时的废水</w:t>
            </w:r>
            <w:r>
              <w:rPr>
                <w:rFonts w:hint="eastAsia" w:cs="Times New Roman"/>
                <w:color w:val="000000" w:themeColor="text1"/>
                <w:szCs w:val="24"/>
                <w:highlight w:val="none"/>
                <w:lang w:val="en-US" w:eastAsia="zh-CN"/>
                <w14:textFill>
                  <w14:solidFill>
                    <w14:schemeClr w14:val="tx1"/>
                  </w14:solidFill>
                </w14:textFill>
              </w:rPr>
              <w:t>，</w:t>
            </w:r>
            <w:r>
              <w:rPr>
                <w:rFonts w:hint="default" w:cs="Times New Roman"/>
                <w:color w:val="000000" w:themeColor="text1"/>
                <w:szCs w:val="24"/>
                <w:highlight w:val="none"/>
                <w:lang w:val="en-US" w:eastAsia="zh-CN"/>
                <w14:textFill>
                  <w14:solidFill>
                    <w14:schemeClr w14:val="tx1"/>
                  </w14:solidFill>
                </w14:textFill>
              </w:rPr>
              <w:t>避免废水外流进入周围环境。</w:t>
            </w:r>
          </w:p>
          <w:p w14:paraId="39EEC986">
            <w:pPr>
              <w:pStyle w:val="68"/>
              <w:ind w:firstLine="480"/>
              <w:rPr>
                <w:rFonts w:hint="default" w:ascii="Times New Roman" w:hAnsi="Times New Roman" w:cs="Times New Roman"/>
                <w:color w:val="000000" w:themeColor="text1"/>
                <w:szCs w:val="24"/>
                <w:highlight w:val="none"/>
                <w14:textFill>
                  <w14:solidFill>
                    <w14:schemeClr w14:val="tx1"/>
                  </w14:solidFill>
                </w14:textFill>
              </w:rPr>
            </w:pPr>
            <w:r>
              <w:rPr>
                <w:rFonts w:hint="default" w:ascii="Times New Roman" w:hAnsi="Times New Roman" w:cs="Times New Roman"/>
                <w:color w:val="000000" w:themeColor="text1"/>
                <w:szCs w:val="24"/>
                <w:highlight w:val="none"/>
                <w:lang w:val="en-US" w:eastAsia="zh-CN"/>
                <w14:textFill>
                  <w14:solidFill>
                    <w14:schemeClr w14:val="tx1"/>
                  </w14:solidFill>
                </w14:textFill>
              </w:rPr>
              <w:t xml:space="preserve">（2）贮存过程中火灾事故的风险防范措施 </w:t>
            </w:r>
          </w:p>
          <w:p w14:paraId="2B4A9E98">
            <w:pPr>
              <w:pStyle w:val="68"/>
              <w:ind w:firstLine="480"/>
              <w:rPr>
                <w:rFonts w:hint="default" w:ascii="Times New Roman" w:hAnsi="Times New Roman" w:cs="Times New Roman"/>
                <w:color w:val="000000" w:themeColor="text1"/>
                <w:szCs w:val="24"/>
                <w:highlight w:val="none"/>
                <w14:textFill>
                  <w14:solidFill>
                    <w14:schemeClr w14:val="tx1"/>
                  </w14:solidFill>
                </w14:textFill>
              </w:rPr>
            </w:pPr>
            <w:r>
              <w:rPr>
                <w:rFonts w:hint="default" w:ascii="Times New Roman" w:hAnsi="Times New Roman" w:cs="Times New Roman"/>
                <w:color w:val="000000" w:themeColor="text1"/>
                <w:szCs w:val="24"/>
                <w:highlight w:val="none"/>
                <w:lang w:val="en-US" w:eastAsia="zh-CN"/>
                <w14:textFill>
                  <w14:solidFill>
                    <w14:schemeClr w14:val="tx1"/>
                  </w14:solidFill>
                </w14:textFill>
              </w:rPr>
              <w:t xml:space="preserve">①废矿物油储罐区旁边禁止有热源和明火，禁止员工在厂内吸烟。 </w:t>
            </w:r>
          </w:p>
          <w:p w14:paraId="0FF29C95">
            <w:pPr>
              <w:pStyle w:val="68"/>
              <w:ind w:firstLine="480"/>
              <w:rPr>
                <w:rFonts w:hint="default" w:ascii="Times New Roman" w:hAnsi="Times New Roman" w:cs="Times New Roman"/>
                <w:color w:val="000000" w:themeColor="text1"/>
                <w:szCs w:val="24"/>
                <w:highlight w:val="none"/>
                <w14:textFill>
                  <w14:solidFill>
                    <w14:schemeClr w14:val="tx1"/>
                  </w14:solidFill>
                </w14:textFill>
              </w:rPr>
            </w:pPr>
            <w:r>
              <w:rPr>
                <w:rFonts w:hint="default" w:ascii="Times New Roman" w:hAnsi="Times New Roman" w:cs="Times New Roman"/>
                <w:color w:val="000000" w:themeColor="text1"/>
                <w:szCs w:val="24"/>
                <w:highlight w:val="none"/>
                <w:lang w:val="en-US" w:eastAsia="zh-CN"/>
                <w14:textFill>
                  <w14:solidFill>
                    <w14:schemeClr w14:val="tx1"/>
                  </w14:solidFill>
                </w14:textFill>
              </w:rPr>
              <w:t xml:space="preserve">②储罐区必须设有明显的标志。 </w:t>
            </w:r>
          </w:p>
          <w:p w14:paraId="55B96286">
            <w:pPr>
              <w:pStyle w:val="68"/>
              <w:ind w:firstLine="480"/>
              <w:rPr>
                <w:rFonts w:hint="default" w:ascii="Times New Roman" w:hAnsi="Times New Roman" w:cs="Times New Roman"/>
                <w:color w:val="000000" w:themeColor="text1"/>
                <w:szCs w:val="24"/>
                <w:highlight w:val="none"/>
                <w14:textFill>
                  <w14:solidFill>
                    <w14:schemeClr w14:val="tx1"/>
                  </w14:solidFill>
                </w14:textFill>
              </w:rPr>
            </w:pPr>
            <w:r>
              <w:rPr>
                <w:rFonts w:hint="default" w:ascii="Times New Roman" w:hAnsi="Times New Roman" w:cs="Times New Roman"/>
                <w:color w:val="000000" w:themeColor="text1"/>
                <w:szCs w:val="24"/>
                <w:highlight w:val="none"/>
                <w:lang w:val="en-US" w:eastAsia="zh-CN"/>
                <w14:textFill>
                  <w14:solidFill>
                    <w14:schemeClr w14:val="tx1"/>
                  </w14:solidFill>
                </w14:textFill>
              </w:rPr>
              <w:t xml:space="preserve">③项目储罐区的消防设施、用电设施等必须符合国家规定的安全要求，采用冷光源及防爆灯具。 </w:t>
            </w:r>
          </w:p>
          <w:p w14:paraId="30E982F6">
            <w:pPr>
              <w:pStyle w:val="68"/>
              <w:ind w:firstLine="480"/>
              <w:rPr>
                <w:rFonts w:hint="default" w:ascii="Times New Roman" w:hAnsi="Times New Roman" w:cs="Times New Roman"/>
                <w:color w:val="000000" w:themeColor="text1"/>
                <w:szCs w:val="24"/>
                <w:highlight w:val="none"/>
                <w14:textFill>
                  <w14:solidFill>
                    <w14:schemeClr w14:val="tx1"/>
                  </w14:solidFill>
                </w14:textFill>
              </w:rPr>
            </w:pPr>
            <w:r>
              <w:rPr>
                <w:rFonts w:hint="default" w:ascii="Times New Roman" w:hAnsi="Times New Roman" w:cs="Times New Roman"/>
                <w:color w:val="000000" w:themeColor="text1"/>
                <w:szCs w:val="24"/>
                <w:highlight w:val="none"/>
                <w:lang w:val="en-US" w:eastAsia="zh-CN"/>
                <w14:textFill>
                  <w14:solidFill>
                    <w14:schemeClr w14:val="tx1"/>
                  </w14:solidFill>
                </w14:textFill>
              </w:rPr>
              <w:t xml:space="preserve">④管理人员必须经过专业知识培训，熟悉贮存物品的特性、事故处理办法和防护知识，同时，必须配备有关的个人防护用品。 </w:t>
            </w:r>
          </w:p>
          <w:p w14:paraId="2210E1D6">
            <w:pPr>
              <w:pStyle w:val="68"/>
              <w:ind w:firstLine="480"/>
              <w:rPr>
                <w:rFonts w:hint="default" w:ascii="Times New Roman" w:hAnsi="Times New Roman" w:cs="Times New Roman"/>
                <w:color w:val="000000" w:themeColor="text1"/>
                <w:szCs w:val="24"/>
                <w:highlight w:val="none"/>
                <w14:textFill>
                  <w14:solidFill>
                    <w14:schemeClr w14:val="tx1"/>
                  </w14:solidFill>
                </w14:textFill>
              </w:rPr>
            </w:pPr>
            <w:r>
              <w:rPr>
                <w:rFonts w:hint="default" w:ascii="Times New Roman" w:hAnsi="Times New Roman" w:cs="Times New Roman"/>
                <w:color w:val="000000" w:themeColor="text1"/>
                <w:szCs w:val="24"/>
                <w:highlight w:val="none"/>
                <w:lang w:val="en-US" w:eastAsia="zh-CN"/>
                <w14:textFill>
                  <w14:solidFill>
                    <w14:schemeClr w14:val="tx1"/>
                  </w14:solidFill>
                </w14:textFill>
              </w:rPr>
              <w:t xml:space="preserve">⑤当仓库发生火灾肘，开启事故应急池，使消防废水全部进入事故应急池。事故结束后应急池内的消防废水应处理达标后排放。 </w:t>
            </w:r>
          </w:p>
          <w:p w14:paraId="1EA94187">
            <w:pPr>
              <w:pStyle w:val="68"/>
              <w:ind w:firstLine="480"/>
              <w:rPr>
                <w:rFonts w:hint="default" w:ascii="Times New Roman" w:hAnsi="Times New Roman" w:cs="Times New Roman"/>
                <w:color w:val="000000" w:themeColor="text1"/>
                <w:szCs w:val="24"/>
                <w:highlight w:val="none"/>
                <w14:textFill>
                  <w14:solidFill>
                    <w14:schemeClr w14:val="tx1"/>
                  </w14:solidFill>
                </w14:textFill>
              </w:rPr>
            </w:pPr>
            <w:r>
              <w:rPr>
                <w:rFonts w:hint="default" w:ascii="Times New Roman" w:hAnsi="Times New Roman" w:cs="Times New Roman"/>
                <w:color w:val="000000" w:themeColor="text1"/>
                <w:szCs w:val="24"/>
                <w:highlight w:val="none"/>
                <w:lang w:val="en-US" w:eastAsia="zh-CN"/>
                <w14:textFill>
                  <w14:solidFill>
                    <w14:schemeClr w14:val="tx1"/>
                  </w14:solidFill>
                </w14:textFill>
              </w:rPr>
              <w:t>⑥要严格遵守有关贮存的安全规定，具体包括《仓库防火安全管理规则》、《建筑设计防火规范》、《危险废物收集、贮存、运输技术规范》等。</w:t>
            </w:r>
          </w:p>
          <w:p w14:paraId="3D9F796E">
            <w:pPr>
              <w:pStyle w:val="68"/>
              <w:ind w:firstLine="48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szCs w:val="24"/>
                <w:highlight w:val="none"/>
                <w14:textFill>
                  <w14:solidFill>
                    <w14:schemeClr w14:val="tx1"/>
                  </w14:solidFill>
                </w14:textFill>
              </w:rPr>
              <w:t>项目运行过程中具有潜在的事故风险，要从建设、生产、贮存、转运等方面积极采取防范措施，为防范事故和减少危害，需制定环境风险应急预案。当 出现事故时，采取对应的应急措施，必要时采取社会应急措施控制事件和减少 对环境造成的危害。在认真落实评价中所提出的风险防范措施以及风险应急预 案，工程的事故风险是可控的，风险水平是可以接受的。</w:t>
            </w:r>
          </w:p>
        </w:tc>
      </w:tr>
    </w:tbl>
    <w:p w14:paraId="51E6805D">
      <w:pPr>
        <w:adjustRightInd w:val="0"/>
        <w:snapToGrid w:val="0"/>
        <w:spacing w:line="360" w:lineRule="auto"/>
        <w:ind w:firstLine="562"/>
        <w:rPr>
          <w:rFonts w:hint="default" w:ascii="Times New Roman" w:hAnsi="Times New Roman" w:cs="Times New Roman"/>
          <w:b/>
          <w:color w:val="000000" w:themeColor="text1"/>
          <w:kern w:val="0"/>
          <w:sz w:val="28"/>
          <w:szCs w:val="28"/>
          <w:highlight w:val="none"/>
          <w14:textFill>
            <w14:solidFill>
              <w14:schemeClr w14:val="tx1"/>
            </w14:solidFill>
          </w14:textFill>
        </w:rPr>
        <w:sectPr>
          <w:pgSz w:w="11907" w:h="16840"/>
          <w:pgMar w:top="1701" w:right="1531" w:bottom="2127" w:left="1531" w:header="851" w:footer="1304" w:gutter="0"/>
          <w:pgBorders>
            <w:top w:val="none" w:sz="0" w:space="0"/>
            <w:left w:val="none" w:sz="0" w:space="0"/>
            <w:bottom w:val="none" w:sz="0" w:space="0"/>
            <w:right w:val="none" w:sz="0" w:space="0"/>
          </w:pgBorders>
          <w:cols w:space="720" w:num="1"/>
          <w:docGrid w:linePitch="312" w:charSpace="0"/>
        </w:sectPr>
      </w:pPr>
    </w:p>
    <w:p w14:paraId="4E79EAA7">
      <w:pPr>
        <w:pStyle w:val="23"/>
        <w:jc w:val="center"/>
        <w:outlineLvl w:val="0"/>
        <w:rPr>
          <w:rFonts w:hint="default" w:ascii="Times New Roman" w:hAnsi="Times New Roman" w:eastAsia="黑体" w:cs="Times New Roman"/>
          <w:snapToGrid w:val="0"/>
          <w:color w:val="000000" w:themeColor="text1"/>
          <w:sz w:val="30"/>
          <w:szCs w:val="30"/>
          <w:highlight w:val="none"/>
          <w14:textFill>
            <w14:solidFill>
              <w14:schemeClr w14:val="tx1"/>
            </w14:solidFill>
          </w14:textFill>
        </w:rPr>
      </w:pPr>
      <w:r>
        <w:rPr>
          <w:rFonts w:hint="default" w:ascii="Times New Roman" w:hAnsi="Times New Roman" w:eastAsia="黑体" w:cs="Times New Roman"/>
          <w:snapToGrid w:val="0"/>
          <w:color w:val="000000" w:themeColor="text1"/>
          <w:sz w:val="30"/>
          <w:szCs w:val="30"/>
          <w:highlight w:val="none"/>
          <w14:textFill>
            <w14:solidFill>
              <w14:schemeClr w14:val="tx1"/>
            </w14:solidFill>
          </w14:textFill>
        </w:rPr>
        <w:t>五、</w:t>
      </w:r>
      <w:bookmarkStart w:id="19" w:name="_Hlk54167917"/>
      <w:r>
        <w:rPr>
          <w:rFonts w:hint="default" w:ascii="Times New Roman" w:hAnsi="Times New Roman" w:eastAsia="黑体" w:cs="Times New Roman"/>
          <w:snapToGrid w:val="0"/>
          <w:color w:val="000000" w:themeColor="text1"/>
          <w:sz w:val="30"/>
          <w:szCs w:val="30"/>
          <w:highlight w:val="none"/>
          <w14:textFill>
            <w14:solidFill>
              <w14:schemeClr w14:val="tx1"/>
            </w14:solidFill>
          </w14:textFill>
        </w:rPr>
        <w:t>环境保护措施监督检查清单</w:t>
      </w:r>
      <w:bookmarkEnd w:id="19"/>
    </w:p>
    <w:tbl>
      <w:tblPr>
        <w:tblStyle w:val="27"/>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8"/>
        <w:gridCol w:w="1755"/>
        <w:gridCol w:w="1407"/>
        <w:gridCol w:w="1559"/>
        <w:gridCol w:w="2301"/>
      </w:tblGrid>
      <w:tr w14:paraId="7FFD01E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778" w:type="dxa"/>
            <w:tcBorders>
              <w:tl2br w:val="single" w:color="auto" w:sz="4" w:space="0"/>
            </w:tcBorders>
          </w:tcPr>
          <w:p w14:paraId="14F67B60">
            <w:pPr>
              <w:adjustRightInd w:val="0"/>
              <w:snapToGrid w:val="0"/>
              <w:ind w:firstLine="945" w:firstLineChars="450"/>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szCs w:val="21"/>
                <w:highlight w:val="none"/>
                <w14:textFill>
                  <w14:solidFill>
                    <w14:schemeClr w14:val="tx1"/>
                  </w14:solidFill>
                </w14:textFill>
              </w:rPr>
              <w:t>内容</w:t>
            </w:r>
          </w:p>
          <w:p w14:paraId="7D51DBB6">
            <w:pPr>
              <w:adjustRightInd w:val="0"/>
              <w:snapToGrid w:val="0"/>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szCs w:val="21"/>
                <w:highlight w:val="none"/>
                <w14:textFill>
                  <w14:solidFill>
                    <w14:schemeClr w14:val="tx1"/>
                  </w14:solidFill>
                </w14:textFill>
              </w:rPr>
              <w:t>要素</w:t>
            </w:r>
          </w:p>
        </w:tc>
        <w:tc>
          <w:tcPr>
            <w:tcW w:w="1755" w:type="dxa"/>
            <w:vAlign w:val="center"/>
          </w:tcPr>
          <w:p w14:paraId="10937E61">
            <w:pPr>
              <w:adjustRightInd w:val="0"/>
              <w:snapToGrid w:val="0"/>
              <w:jc w:val="center"/>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szCs w:val="21"/>
                <w:highlight w:val="none"/>
                <w14:textFill>
                  <w14:solidFill>
                    <w14:schemeClr w14:val="tx1"/>
                  </w14:solidFill>
                </w14:textFill>
              </w:rPr>
              <w:t>排放口(编号、</w:t>
            </w:r>
          </w:p>
          <w:p w14:paraId="063599A5">
            <w:pPr>
              <w:adjustRightInd w:val="0"/>
              <w:snapToGrid w:val="0"/>
              <w:jc w:val="center"/>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szCs w:val="21"/>
                <w:highlight w:val="none"/>
                <w14:textFill>
                  <w14:solidFill>
                    <w14:schemeClr w14:val="tx1"/>
                  </w14:solidFill>
                </w14:textFill>
              </w:rPr>
              <w:t>名称)/污染源</w:t>
            </w:r>
          </w:p>
        </w:tc>
        <w:tc>
          <w:tcPr>
            <w:tcW w:w="1407" w:type="dxa"/>
            <w:vAlign w:val="center"/>
          </w:tcPr>
          <w:p w14:paraId="75B17B19">
            <w:pPr>
              <w:adjustRightInd w:val="0"/>
              <w:snapToGrid w:val="0"/>
              <w:jc w:val="center"/>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szCs w:val="21"/>
                <w:highlight w:val="none"/>
                <w14:textFill>
                  <w14:solidFill>
                    <w14:schemeClr w14:val="tx1"/>
                  </w14:solidFill>
                </w14:textFill>
              </w:rPr>
              <w:t>污染物项目</w:t>
            </w:r>
          </w:p>
        </w:tc>
        <w:tc>
          <w:tcPr>
            <w:tcW w:w="1559" w:type="dxa"/>
            <w:vAlign w:val="center"/>
          </w:tcPr>
          <w:p w14:paraId="0E9F39F9">
            <w:pPr>
              <w:adjustRightInd w:val="0"/>
              <w:snapToGrid w:val="0"/>
              <w:jc w:val="center"/>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szCs w:val="21"/>
                <w:highlight w:val="none"/>
                <w14:textFill>
                  <w14:solidFill>
                    <w14:schemeClr w14:val="tx1"/>
                  </w14:solidFill>
                </w14:textFill>
              </w:rPr>
              <w:t>环境保护措施</w:t>
            </w:r>
          </w:p>
        </w:tc>
        <w:tc>
          <w:tcPr>
            <w:tcW w:w="2301" w:type="dxa"/>
            <w:vAlign w:val="center"/>
          </w:tcPr>
          <w:p w14:paraId="6CB5CBC5">
            <w:pPr>
              <w:adjustRightInd w:val="0"/>
              <w:snapToGrid w:val="0"/>
              <w:jc w:val="center"/>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szCs w:val="21"/>
                <w:highlight w:val="none"/>
                <w14:textFill>
                  <w14:solidFill>
                    <w14:schemeClr w14:val="tx1"/>
                  </w14:solidFill>
                </w14:textFill>
              </w:rPr>
              <w:t>执行标准</w:t>
            </w:r>
          </w:p>
        </w:tc>
      </w:tr>
      <w:tr w14:paraId="3341EB8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1778" w:type="dxa"/>
            <w:vMerge w:val="restart"/>
            <w:vAlign w:val="center"/>
          </w:tcPr>
          <w:p w14:paraId="60F2F7B2">
            <w:pPr>
              <w:adjustRightInd w:val="0"/>
              <w:snapToGrid w:val="0"/>
              <w:jc w:val="center"/>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szCs w:val="21"/>
                <w:highlight w:val="none"/>
                <w14:textFill>
                  <w14:solidFill>
                    <w14:schemeClr w14:val="tx1"/>
                  </w14:solidFill>
                </w14:textFill>
              </w:rPr>
              <w:t>大气环境</w:t>
            </w:r>
          </w:p>
        </w:tc>
        <w:tc>
          <w:tcPr>
            <w:tcW w:w="1755" w:type="dxa"/>
            <w:vAlign w:val="center"/>
          </w:tcPr>
          <w:p w14:paraId="3FFAAEB3">
            <w:pPr>
              <w:pStyle w:val="34"/>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szCs w:val="21"/>
                <w:highlight w:val="none"/>
                <w14:textFill>
                  <w14:solidFill>
                    <w14:schemeClr w14:val="tx1"/>
                  </w14:solidFill>
                </w14:textFill>
              </w:rPr>
              <w:t>DA001</w:t>
            </w:r>
          </w:p>
        </w:tc>
        <w:tc>
          <w:tcPr>
            <w:tcW w:w="1407" w:type="dxa"/>
            <w:vAlign w:val="center"/>
          </w:tcPr>
          <w:p w14:paraId="5F2A1F68">
            <w:pPr>
              <w:pStyle w:val="34"/>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szCs w:val="21"/>
                <w:highlight w:val="none"/>
                <w14:textFill>
                  <w14:solidFill>
                    <w14:schemeClr w14:val="tx1"/>
                  </w14:solidFill>
                </w14:textFill>
              </w:rPr>
              <w:t>NMHC</w:t>
            </w:r>
          </w:p>
        </w:tc>
        <w:tc>
          <w:tcPr>
            <w:tcW w:w="1559" w:type="dxa"/>
            <w:vAlign w:val="center"/>
          </w:tcPr>
          <w:p w14:paraId="24420A3A">
            <w:pPr>
              <w:pStyle w:val="34"/>
              <w:rPr>
                <w:rFonts w:hint="default" w:ascii="Times New Roman" w:hAnsi="Times New Roman" w:cs="Times New Roman"/>
                <w:color w:val="000000" w:themeColor="text1"/>
                <w:szCs w:val="21"/>
                <w:highlight w:val="none"/>
                <w14:textFill>
                  <w14:solidFill>
                    <w14:schemeClr w14:val="tx1"/>
                  </w14:solidFill>
                </w14:textFill>
              </w:rPr>
            </w:pPr>
            <w:r>
              <w:rPr>
                <w:rFonts w:hint="eastAsia" w:cs="Times New Roman"/>
                <w:color w:val="000000" w:themeColor="text1"/>
                <w:szCs w:val="21"/>
                <w:highlight w:val="none"/>
                <w:lang w:val="en-US" w:eastAsia="zh-CN"/>
                <w14:textFill>
                  <w14:solidFill>
                    <w14:schemeClr w14:val="tx1"/>
                  </w14:solidFill>
                </w14:textFill>
              </w:rPr>
              <w:t>管道</w:t>
            </w:r>
            <w:r>
              <w:rPr>
                <w:rFonts w:hint="default" w:ascii="Times New Roman" w:hAnsi="Times New Roman" w:cs="Times New Roman"/>
                <w:color w:val="000000" w:themeColor="text1"/>
                <w:szCs w:val="21"/>
                <w:highlight w:val="none"/>
                <w14:textFill>
                  <w14:solidFill>
                    <w14:schemeClr w14:val="tx1"/>
                  </w14:solidFill>
                </w14:textFill>
              </w:rPr>
              <w:t>收集+二级活性炭吸附装置+15m高排气筒</w:t>
            </w:r>
          </w:p>
        </w:tc>
        <w:tc>
          <w:tcPr>
            <w:tcW w:w="2301" w:type="dxa"/>
            <w:vAlign w:val="center"/>
          </w:tcPr>
          <w:p w14:paraId="079E845D">
            <w:pPr>
              <w:adjustRightInd w:val="0"/>
              <w:snapToGrid w:val="0"/>
              <w:jc w:val="center"/>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szCs w:val="21"/>
                <w:highlight w:val="none"/>
                <w14:textFill>
                  <w14:solidFill>
                    <w14:schemeClr w14:val="tx1"/>
                  </w14:solidFill>
                </w14:textFill>
              </w:rPr>
              <w:t>大气污染物综合排放标准》 （GB16297-1996）</w:t>
            </w:r>
          </w:p>
        </w:tc>
      </w:tr>
      <w:tr w14:paraId="540C7D3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62" w:hRule="atLeast"/>
          <w:jc w:val="center"/>
        </w:trPr>
        <w:tc>
          <w:tcPr>
            <w:tcW w:w="1778" w:type="dxa"/>
            <w:vMerge w:val="continue"/>
            <w:vAlign w:val="center"/>
          </w:tcPr>
          <w:p w14:paraId="482E9041">
            <w:pPr>
              <w:adjustRightInd w:val="0"/>
              <w:snapToGrid w:val="0"/>
              <w:jc w:val="center"/>
              <w:rPr>
                <w:rFonts w:hint="default" w:ascii="Times New Roman" w:hAnsi="Times New Roman" w:cs="Times New Roman"/>
                <w:color w:val="000000" w:themeColor="text1"/>
                <w:szCs w:val="21"/>
                <w:highlight w:val="none"/>
                <w14:textFill>
                  <w14:solidFill>
                    <w14:schemeClr w14:val="tx1"/>
                  </w14:solidFill>
                </w14:textFill>
              </w:rPr>
            </w:pPr>
          </w:p>
        </w:tc>
        <w:tc>
          <w:tcPr>
            <w:tcW w:w="1755" w:type="dxa"/>
            <w:vAlign w:val="center"/>
          </w:tcPr>
          <w:p w14:paraId="4A40CA8A">
            <w:pPr>
              <w:pStyle w:val="34"/>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szCs w:val="21"/>
                <w:highlight w:val="none"/>
                <w14:textFill>
                  <w14:solidFill>
                    <w14:schemeClr w14:val="tx1"/>
                  </w14:solidFill>
                </w14:textFill>
              </w:rPr>
              <w:t>无组织排放</w:t>
            </w:r>
          </w:p>
        </w:tc>
        <w:tc>
          <w:tcPr>
            <w:tcW w:w="1407" w:type="dxa"/>
            <w:vAlign w:val="center"/>
          </w:tcPr>
          <w:p w14:paraId="62D7F10B">
            <w:pPr>
              <w:pStyle w:val="34"/>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szCs w:val="21"/>
                <w:highlight w:val="none"/>
                <w14:textFill>
                  <w14:solidFill>
                    <w14:schemeClr w14:val="tx1"/>
                  </w14:solidFill>
                </w14:textFill>
              </w:rPr>
              <w:t>NMHC</w:t>
            </w:r>
          </w:p>
        </w:tc>
        <w:tc>
          <w:tcPr>
            <w:tcW w:w="1559" w:type="dxa"/>
            <w:vAlign w:val="center"/>
          </w:tcPr>
          <w:p w14:paraId="2E4652FD">
            <w:pPr>
              <w:pStyle w:val="34"/>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szCs w:val="21"/>
                <w:highlight w:val="none"/>
                <w14:textFill>
                  <w14:solidFill>
                    <w14:schemeClr w14:val="tx1"/>
                  </w14:solidFill>
                </w14:textFill>
              </w:rPr>
              <w:t>/</w:t>
            </w:r>
          </w:p>
        </w:tc>
        <w:tc>
          <w:tcPr>
            <w:tcW w:w="2301" w:type="dxa"/>
            <w:vAlign w:val="center"/>
          </w:tcPr>
          <w:p w14:paraId="6AB7EBCC">
            <w:pPr>
              <w:adjustRightInd w:val="0"/>
              <w:snapToGrid w:val="0"/>
              <w:jc w:val="center"/>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szCs w:val="21"/>
                <w:highlight w:val="none"/>
                <w14:textFill>
                  <w14:solidFill>
                    <w14:schemeClr w14:val="tx1"/>
                  </w14:solidFill>
                </w14:textFill>
              </w:rPr>
              <w:t>厂区内《挥发性有机物无组织排放控制标准》（GB37822-2019）；</w:t>
            </w:r>
          </w:p>
          <w:p w14:paraId="15769550">
            <w:pPr>
              <w:adjustRightInd w:val="0"/>
              <w:snapToGrid w:val="0"/>
              <w:jc w:val="center"/>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szCs w:val="21"/>
                <w:highlight w:val="none"/>
                <w14:textFill>
                  <w14:solidFill>
                    <w14:schemeClr w14:val="tx1"/>
                  </w14:solidFill>
                </w14:textFill>
              </w:rPr>
              <w:t>厂界《大气污染物综合排放标准》（GB16297-1996）</w:t>
            </w:r>
          </w:p>
        </w:tc>
      </w:tr>
      <w:tr w14:paraId="2B73FB4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1778" w:type="dxa"/>
            <w:vAlign w:val="center"/>
          </w:tcPr>
          <w:p w14:paraId="48B51CCD">
            <w:pPr>
              <w:adjustRightInd w:val="0"/>
              <w:snapToGrid w:val="0"/>
              <w:jc w:val="center"/>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szCs w:val="21"/>
                <w:highlight w:val="none"/>
                <w14:textFill>
                  <w14:solidFill>
                    <w14:schemeClr w14:val="tx1"/>
                  </w14:solidFill>
                </w14:textFill>
              </w:rPr>
              <w:t>地表水环境</w:t>
            </w:r>
          </w:p>
        </w:tc>
        <w:tc>
          <w:tcPr>
            <w:tcW w:w="1755" w:type="dxa"/>
            <w:vAlign w:val="center"/>
          </w:tcPr>
          <w:p w14:paraId="353BE894">
            <w:pPr>
              <w:pStyle w:val="34"/>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eastAsia" w:cs="Times New Roman"/>
                <w:color w:val="000000" w:themeColor="text1"/>
                <w:szCs w:val="21"/>
                <w:highlight w:val="none"/>
                <w:lang w:val="en-US" w:eastAsia="zh-CN"/>
                <w14:textFill>
                  <w14:solidFill>
                    <w14:schemeClr w14:val="tx1"/>
                  </w14:solidFill>
                </w14:textFill>
              </w:rPr>
              <w:t>生活污水</w:t>
            </w:r>
          </w:p>
        </w:tc>
        <w:tc>
          <w:tcPr>
            <w:tcW w:w="1407" w:type="dxa"/>
            <w:vAlign w:val="center"/>
          </w:tcPr>
          <w:p w14:paraId="27B83C6F">
            <w:pPr>
              <w:pStyle w:val="34"/>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eastAsia" w:cs="Times New Roman"/>
                <w:color w:val="000000" w:themeColor="text1"/>
                <w:szCs w:val="21"/>
                <w:highlight w:val="none"/>
                <w:lang w:val="en-US" w:eastAsia="zh-CN"/>
                <w14:textFill>
                  <w14:solidFill>
                    <w14:schemeClr w14:val="tx1"/>
                  </w14:solidFill>
                </w14:textFill>
              </w:rPr>
              <w:t>COD、NH</w:t>
            </w:r>
            <w:r>
              <w:rPr>
                <w:rFonts w:hint="eastAsia" w:cs="Times New Roman"/>
                <w:color w:val="000000" w:themeColor="text1"/>
                <w:szCs w:val="21"/>
                <w:highlight w:val="none"/>
                <w:vertAlign w:val="subscript"/>
                <w:lang w:val="en-US" w:eastAsia="zh-CN"/>
                <w14:textFill>
                  <w14:solidFill>
                    <w14:schemeClr w14:val="tx1"/>
                  </w14:solidFill>
                </w14:textFill>
              </w:rPr>
              <w:t>3</w:t>
            </w:r>
            <w:r>
              <w:rPr>
                <w:rFonts w:hint="eastAsia" w:cs="Times New Roman"/>
                <w:color w:val="000000" w:themeColor="text1"/>
                <w:szCs w:val="21"/>
                <w:highlight w:val="none"/>
                <w:lang w:val="en-US" w:eastAsia="zh-CN"/>
                <w14:textFill>
                  <w14:solidFill>
                    <w14:schemeClr w14:val="tx1"/>
                  </w14:solidFill>
                </w14:textFill>
              </w:rPr>
              <w:t>-N</w:t>
            </w:r>
          </w:p>
        </w:tc>
        <w:tc>
          <w:tcPr>
            <w:tcW w:w="1559" w:type="dxa"/>
            <w:vAlign w:val="center"/>
          </w:tcPr>
          <w:p w14:paraId="136DBC5D">
            <w:pPr>
              <w:pStyle w:val="34"/>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pPr>
            <w:r>
              <w:rPr>
                <w:rFonts w:hint="eastAsia" w:cs="Times New Roman"/>
                <w:color w:val="000000" w:themeColor="text1"/>
                <w:szCs w:val="21"/>
                <w:highlight w:val="none"/>
                <w:lang w:val="en-US" w:eastAsia="zh-CN"/>
                <w14:textFill>
                  <w14:solidFill>
                    <w14:schemeClr w14:val="tx1"/>
                  </w14:solidFill>
                </w14:textFill>
              </w:rPr>
              <w:t>防渗旱厕</w:t>
            </w:r>
          </w:p>
        </w:tc>
        <w:tc>
          <w:tcPr>
            <w:tcW w:w="2301" w:type="dxa"/>
            <w:vAlign w:val="center"/>
          </w:tcPr>
          <w:p w14:paraId="6DE8ACEE">
            <w:pPr>
              <w:pStyle w:val="34"/>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szCs w:val="21"/>
                <w:highlight w:val="none"/>
                <w14:textFill>
                  <w14:solidFill>
                    <w14:schemeClr w14:val="tx1"/>
                  </w14:solidFill>
                </w14:textFill>
              </w:rPr>
              <w:t>/</w:t>
            </w:r>
          </w:p>
        </w:tc>
      </w:tr>
      <w:tr w14:paraId="03B7610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778" w:type="dxa"/>
            <w:vAlign w:val="center"/>
          </w:tcPr>
          <w:p w14:paraId="7478A9EE">
            <w:pPr>
              <w:adjustRightInd w:val="0"/>
              <w:snapToGrid w:val="0"/>
              <w:jc w:val="center"/>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szCs w:val="21"/>
                <w:highlight w:val="none"/>
                <w14:textFill>
                  <w14:solidFill>
                    <w14:schemeClr w14:val="tx1"/>
                  </w14:solidFill>
                </w14:textFill>
              </w:rPr>
              <w:t>声环境</w:t>
            </w:r>
          </w:p>
        </w:tc>
        <w:tc>
          <w:tcPr>
            <w:tcW w:w="1755" w:type="dxa"/>
            <w:vAlign w:val="center"/>
          </w:tcPr>
          <w:p w14:paraId="7440937C">
            <w:pPr>
              <w:pStyle w:val="34"/>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szCs w:val="21"/>
                <w:highlight w:val="none"/>
                <w14:textFill>
                  <w14:solidFill>
                    <w14:schemeClr w14:val="tx1"/>
                  </w14:solidFill>
                </w14:textFill>
              </w:rPr>
              <w:t>厂界噪声</w:t>
            </w:r>
          </w:p>
        </w:tc>
        <w:tc>
          <w:tcPr>
            <w:tcW w:w="1407" w:type="dxa"/>
            <w:vAlign w:val="center"/>
          </w:tcPr>
          <w:p w14:paraId="0F8B1FFD">
            <w:pPr>
              <w:pStyle w:val="34"/>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szCs w:val="21"/>
                <w:highlight w:val="none"/>
                <w14:textFill>
                  <w14:solidFill>
                    <w14:schemeClr w14:val="tx1"/>
                  </w14:solidFill>
                </w14:textFill>
              </w:rPr>
              <w:t>设备噪声、车辆噪声</w:t>
            </w:r>
          </w:p>
        </w:tc>
        <w:tc>
          <w:tcPr>
            <w:tcW w:w="1559" w:type="dxa"/>
            <w:vAlign w:val="center"/>
          </w:tcPr>
          <w:p w14:paraId="42861842">
            <w:pPr>
              <w:pStyle w:val="34"/>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szCs w:val="21"/>
                <w:highlight w:val="none"/>
                <w14:textFill>
                  <w14:solidFill>
                    <w14:schemeClr w14:val="tx1"/>
                  </w14:solidFill>
                </w14:textFill>
              </w:rPr>
              <w:t>基础减震、距离衰减</w:t>
            </w:r>
          </w:p>
        </w:tc>
        <w:tc>
          <w:tcPr>
            <w:tcW w:w="2301" w:type="dxa"/>
            <w:vAlign w:val="center"/>
          </w:tcPr>
          <w:p w14:paraId="29AE5A04">
            <w:pPr>
              <w:adjustRightInd w:val="0"/>
              <w:snapToGrid w:val="0"/>
              <w:jc w:val="center"/>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szCs w:val="21"/>
                <w:highlight w:val="none"/>
                <w14:textFill>
                  <w14:solidFill>
                    <w14:schemeClr w14:val="tx1"/>
                  </w14:solidFill>
                </w14:textFill>
              </w:rPr>
              <w:t>《工业企业厂界环境噪声排放标准》（GB12348-2008）中3类</w:t>
            </w:r>
          </w:p>
        </w:tc>
      </w:tr>
      <w:tr w14:paraId="701375E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778" w:type="dxa"/>
            <w:vAlign w:val="center"/>
          </w:tcPr>
          <w:p w14:paraId="186DDA0B">
            <w:pPr>
              <w:adjustRightInd w:val="0"/>
              <w:snapToGrid w:val="0"/>
              <w:jc w:val="center"/>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szCs w:val="21"/>
                <w:highlight w:val="none"/>
                <w14:textFill>
                  <w14:solidFill>
                    <w14:schemeClr w14:val="tx1"/>
                  </w14:solidFill>
                </w14:textFill>
              </w:rPr>
              <w:t>电磁辐射</w:t>
            </w:r>
          </w:p>
        </w:tc>
        <w:tc>
          <w:tcPr>
            <w:tcW w:w="1755" w:type="dxa"/>
            <w:vAlign w:val="center"/>
          </w:tcPr>
          <w:p w14:paraId="1C6152F6">
            <w:pPr>
              <w:adjustRightInd w:val="0"/>
              <w:snapToGrid w:val="0"/>
              <w:jc w:val="center"/>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szCs w:val="21"/>
                <w:highlight w:val="none"/>
                <w14:textFill>
                  <w14:solidFill>
                    <w14:schemeClr w14:val="tx1"/>
                  </w14:solidFill>
                </w14:textFill>
              </w:rPr>
              <w:t>/</w:t>
            </w:r>
          </w:p>
        </w:tc>
        <w:tc>
          <w:tcPr>
            <w:tcW w:w="1407" w:type="dxa"/>
            <w:vAlign w:val="center"/>
          </w:tcPr>
          <w:p w14:paraId="6F0DDFEB">
            <w:pPr>
              <w:adjustRightInd w:val="0"/>
              <w:snapToGrid w:val="0"/>
              <w:jc w:val="center"/>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szCs w:val="21"/>
                <w:highlight w:val="none"/>
                <w14:textFill>
                  <w14:solidFill>
                    <w14:schemeClr w14:val="tx1"/>
                  </w14:solidFill>
                </w14:textFill>
              </w:rPr>
              <w:t>/</w:t>
            </w:r>
          </w:p>
        </w:tc>
        <w:tc>
          <w:tcPr>
            <w:tcW w:w="1559" w:type="dxa"/>
            <w:vAlign w:val="center"/>
          </w:tcPr>
          <w:p w14:paraId="20BE53BD">
            <w:pPr>
              <w:adjustRightInd w:val="0"/>
              <w:snapToGrid w:val="0"/>
              <w:jc w:val="center"/>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szCs w:val="21"/>
                <w:highlight w:val="none"/>
                <w14:textFill>
                  <w14:solidFill>
                    <w14:schemeClr w14:val="tx1"/>
                  </w14:solidFill>
                </w14:textFill>
              </w:rPr>
              <w:t>/</w:t>
            </w:r>
          </w:p>
        </w:tc>
        <w:tc>
          <w:tcPr>
            <w:tcW w:w="2301" w:type="dxa"/>
            <w:vAlign w:val="center"/>
          </w:tcPr>
          <w:p w14:paraId="3DAE82ED">
            <w:pPr>
              <w:adjustRightInd w:val="0"/>
              <w:snapToGrid w:val="0"/>
              <w:jc w:val="center"/>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szCs w:val="21"/>
                <w:highlight w:val="none"/>
                <w14:textFill>
                  <w14:solidFill>
                    <w14:schemeClr w14:val="tx1"/>
                  </w14:solidFill>
                </w14:textFill>
              </w:rPr>
              <w:t>/</w:t>
            </w:r>
          </w:p>
        </w:tc>
      </w:tr>
      <w:tr w14:paraId="1815720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31" w:hRule="atLeast"/>
          <w:jc w:val="center"/>
        </w:trPr>
        <w:tc>
          <w:tcPr>
            <w:tcW w:w="1778" w:type="dxa"/>
            <w:vAlign w:val="center"/>
          </w:tcPr>
          <w:p w14:paraId="6C2547BF">
            <w:pPr>
              <w:adjustRightInd w:val="0"/>
              <w:snapToGrid w:val="0"/>
              <w:jc w:val="center"/>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szCs w:val="21"/>
                <w:highlight w:val="none"/>
                <w14:textFill>
                  <w14:solidFill>
                    <w14:schemeClr w14:val="tx1"/>
                  </w14:solidFill>
                </w14:textFill>
              </w:rPr>
              <w:t>固体废物</w:t>
            </w:r>
          </w:p>
        </w:tc>
        <w:tc>
          <w:tcPr>
            <w:tcW w:w="7022" w:type="dxa"/>
            <w:gridSpan w:val="4"/>
            <w:vAlign w:val="center"/>
          </w:tcPr>
          <w:p w14:paraId="783E5C47">
            <w:pPr>
              <w:adjustRightInd w:val="0"/>
              <w:snapToGrid w:val="0"/>
              <w:jc w:val="both"/>
              <w:rPr>
                <w:rFonts w:hint="eastAsia" w:cs="Times New Roman"/>
                <w:color w:val="000000" w:themeColor="text1"/>
                <w:szCs w:val="21"/>
                <w:highlight w:val="none"/>
                <w:lang w:val="en-US" w:eastAsia="zh-CN"/>
                <w14:textFill>
                  <w14:solidFill>
                    <w14:schemeClr w14:val="tx1"/>
                  </w14:solidFill>
                </w14:textFill>
              </w:rPr>
            </w:pPr>
            <w:r>
              <w:rPr>
                <w:rFonts w:hint="eastAsia" w:cs="Times New Roman"/>
                <w:color w:val="000000" w:themeColor="text1"/>
                <w:szCs w:val="21"/>
                <w:highlight w:val="none"/>
                <w:lang w:val="en-US" w:eastAsia="zh-CN"/>
                <w14:textFill>
                  <w14:solidFill>
                    <w14:schemeClr w14:val="tx1"/>
                  </w14:solidFill>
                </w14:textFill>
              </w:rPr>
              <w:t>生活垃圾、含油废抹布及劳保用品由环卫部门定期清运；</w:t>
            </w:r>
          </w:p>
          <w:p w14:paraId="7B0DA078">
            <w:pPr>
              <w:adjustRightInd w:val="0"/>
              <w:snapToGrid w:val="0"/>
              <w:jc w:val="both"/>
              <w:rPr>
                <w:rFonts w:hint="eastAsia" w:ascii="Times New Roman" w:hAnsi="Times New Roman" w:eastAsia="宋体" w:cs="Times New Roman"/>
                <w:color w:val="000000" w:themeColor="text1"/>
                <w:szCs w:val="21"/>
                <w:highlight w:val="none"/>
                <w:lang w:eastAsia="zh-CN"/>
                <w14:textFill>
                  <w14:solidFill>
                    <w14:schemeClr w14:val="tx1"/>
                  </w14:solidFill>
                </w14:textFill>
              </w:rPr>
            </w:pPr>
            <w:r>
              <w:rPr>
                <w:rFonts w:hint="eastAsia" w:cs="Times New Roman"/>
                <w:color w:val="000000" w:themeColor="text1"/>
                <w:szCs w:val="21"/>
                <w:highlight w:val="none"/>
                <w:lang w:val="en-US" w:eastAsia="zh-CN"/>
                <w14:textFill>
                  <w14:solidFill>
                    <w14:schemeClr w14:val="tx1"/>
                  </w14:solidFill>
                </w14:textFill>
              </w:rPr>
              <w:t>清罐油泥、</w:t>
            </w:r>
            <w:r>
              <w:rPr>
                <w:rFonts w:hint="default" w:ascii="Times New Roman" w:hAnsi="Times New Roman" w:cs="Times New Roman"/>
                <w:color w:val="000000" w:themeColor="text1"/>
                <w:szCs w:val="21"/>
                <w:highlight w:val="none"/>
                <w14:textFill>
                  <w14:solidFill>
                    <w14:schemeClr w14:val="tx1"/>
                  </w14:solidFill>
                </w14:textFill>
              </w:rPr>
              <w:t>废活性炭暂存危废</w:t>
            </w:r>
            <w:r>
              <w:rPr>
                <w:rFonts w:hint="eastAsia" w:cs="Times New Roman"/>
                <w:color w:val="000000" w:themeColor="text1"/>
                <w:szCs w:val="21"/>
                <w:highlight w:val="none"/>
                <w:lang w:val="en-US" w:eastAsia="zh-CN"/>
                <w14:textFill>
                  <w14:solidFill>
                    <w14:schemeClr w14:val="tx1"/>
                  </w14:solidFill>
                </w14:textFill>
              </w:rPr>
              <w:t>暂存区域</w:t>
            </w:r>
            <w:r>
              <w:rPr>
                <w:rFonts w:hint="default" w:ascii="Times New Roman" w:hAnsi="Times New Roman" w:cs="Times New Roman"/>
                <w:color w:val="000000" w:themeColor="text1"/>
                <w:szCs w:val="21"/>
                <w:highlight w:val="none"/>
                <w14:textFill>
                  <w14:solidFill>
                    <w14:schemeClr w14:val="tx1"/>
                  </w14:solidFill>
                </w14:textFill>
              </w:rPr>
              <w:t>内，定期委托有资质单位集中转运、处置</w:t>
            </w:r>
            <w:r>
              <w:rPr>
                <w:rFonts w:hint="eastAsia" w:cs="Times New Roman"/>
                <w:color w:val="000000" w:themeColor="text1"/>
                <w:szCs w:val="21"/>
                <w:highlight w:val="none"/>
                <w:lang w:eastAsia="zh-CN"/>
                <w14:textFill>
                  <w14:solidFill>
                    <w14:schemeClr w14:val="tx1"/>
                  </w14:solidFill>
                </w14:textFill>
              </w:rPr>
              <w:t>。</w:t>
            </w:r>
          </w:p>
        </w:tc>
      </w:tr>
      <w:tr w14:paraId="7CA320C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516" w:hRule="atLeast"/>
          <w:jc w:val="center"/>
        </w:trPr>
        <w:tc>
          <w:tcPr>
            <w:tcW w:w="1778" w:type="dxa"/>
            <w:vAlign w:val="center"/>
          </w:tcPr>
          <w:p w14:paraId="7AC7328F">
            <w:pPr>
              <w:adjustRightInd w:val="0"/>
              <w:snapToGrid w:val="0"/>
              <w:jc w:val="center"/>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szCs w:val="21"/>
                <w:highlight w:val="none"/>
                <w14:textFill>
                  <w14:solidFill>
                    <w14:schemeClr w14:val="tx1"/>
                  </w14:solidFill>
                </w14:textFill>
              </w:rPr>
              <w:t>土壤及地下水</w:t>
            </w:r>
          </w:p>
          <w:p w14:paraId="35D31C52">
            <w:pPr>
              <w:adjustRightInd w:val="0"/>
              <w:snapToGrid w:val="0"/>
              <w:jc w:val="center"/>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szCs w:val="21"/>
                <w:highlight w:val="none"/>
                <w14:textFill>
                  <w14:solidFill>
                    <w14:schemeClr w14:val="tx1"/>
                  </w14:solidFill>
                </w14:textFill>
              </w:rPr>
              <w:t>污染防治措施</w:t>
            </w:r>
          </w:p>
        </w:tc>
        <w:tc>
          <w:tcPr>
            <w:tcW w:w="7022" w:type="dxa"/>
            <w:gridSpan w:val="4"/>
            <w:vAlign w:val="center"/>
          </w:tcPr>
          <w:p w14:paraId="309DFBC6">
            <w:pPr>
              <w:adjustRightInd w:val="0"/>
              <w:snapToGrid w:val="0"/>
              <w:jc w:val="left"/>
              <w:rPr>
                <w:rFonts w:hint="default" w:ascii="Times New Roman" w:hAnsi="Times New Roman" w:cs="Times New Roman"/>
                <w:bCs/>
                <w:color w:val="000000" w:themeColor="text1"/>
                <w:szCs w:val="21"/>
                <w:highlight w:val="none"/>
                <w14:textFill>
                  <w14:solidFill>
                    <w14:schemeClr w14:val="tx1"/>
                  </w14:solidFill>
                </w14:textFill>
              </w:rPr>
            </w:pPr>
            <w:r>
              <w:rPr>
                <w:rFonts w:hint="eastAsia" w:cs="Times New Roman"/>
                <w:bCs/>
                <w:color w:val="000000" w:themeColor="text1"/>
                <w:szCs w:val="21"/>
                <w:highlight w:val="none"/>
                <w:lang w:val="en-US" w:eastAsia="zh-CN"/>
                <w14:textFill>
                  <w14:solidFill>
                    <w14:schemeClr w14:val="tx1"/>
                  </w14:solidFill>
                </w14:textFill>
              </w:rPr>
              <w:t>废矿物油贮存车间内罐区地面及围堰</w:t>
            </w:r>
            <w:r>
              <w:rPr>
                <w:rFonts w:hint="default" w:ascii="Times New Roman" w:hAnsi="Times New Roman" w:cs="Times New Roman"/>
                <w:bCs/>
                <w:color w:val="000000" w:themeColor="text1"/>
                <w:szCs w:val="21"/>
                <w:highlight w:val="none"/>
                <w14:textFill>
                  <w14:solidFill>
                    <w14:schemeClr w14:val="tx1"/>
                  </w14:solidFill>
                </w14:textFill>
              </w:rPr>
              <w:t>做重点防渗，基础层采用2mm厚高密度聚乙烯，渗透系数≤1.0×10</w:t>
            </w:r>
            <w:r>
              <w:rPr>
                <w:rFonts w:hint="default" w:ascii="Times New Roman" w:hAnsi="Times New Roman" w:cs="Times New Roman"/>
                <w:bCs/>
                <w:color w:val="000000" w:themeColor="text1"/>
                <w:szCs w:val="21"/>
                <w:highlight w:val="none"/>
                <w:vertAlign w:val="superscript"/>
                <w14:textFill>
                  <w14:solidFill>
                    <w14:schemeClr w14:val="tx1"/>
                  </w14:solidFill>
                </w14:textFill>
              </w:rPr>
              <w:t>-10</w:t>
            </w:r>
            <w:r>
              <w:rPr>
                <w:rFonts w:hint="default" w:ascii="Times New Roman" w:hAnsi="Times New Roman" w:cs="Times New Roman"/>
                <w:bCs/>
                <w:color w:val="000000" w:themeColor="text1"/>
                <w:szCs w:val="21"/>
                <w:highlight w:val="none"/>
                <w14:textFill>
                  <w14:solidFill>
                    <w14:schemeClr w14:val="tx1"/>
                  </w14:solidFill>
                </w14:textFill>
              </w:rPr>
              <w:t>cm/s，事故池、</w:t>
            </w:r>
            <w:r>
              <w:rPr>
                <w:rFonts w:hint="eastAsia" w:cs="Times New Roman"/>
                <w:bCs/>
                <w:color w:val="000000" w:themeColor="text1"/>
                <w:szCs w:val="21"/>
                <w:highlight w:val="none"/>
                <w:lang w:eastAsia="zh-CN"/>
                <w14:textFill>
                  <w14:solidFill>
                    <w14:schemeClr w14:val="tx1"/>
                  </w14:solidFill>
                </w14:textFill>
              </w:rPr>
              <w:t>集液池</w:t>
            </w:r>
            <w:r>
              <w:rPr>
                <w:rFonts w:hint="default" w:ascii="Times New Roman" w:hAnsi="Times New Roman" w:cs="Times New Roman"/>
                <w:bCs/>
                <w:color w:val="000000" w:themeColor="text1"/>
                <w:szCs w:val="21"/>
                <w:highlight w:val="none"/>
                <w14:textFill>
                  <w14:solidFill>
                    <w14:schemeClr w14:val="tx1"/>
                  </w14:solidFill>
                </w14:textFill>
              </w:rPr>
              <w:t>等效黏土防渗层≥6.0m，渗透系数≤1.0×10</w:t>
            </w:r>
            <w:r>
              <w:rPr>
                <w:rFonts w:hint="default" w:ascii="Times New Roman" w:hAnsi="Times New Roman" w:cs="Times New Roman"/>
                <w:bCs/>
                <w:color w:val="000000" w:themeColor="text1"/>
                <w:szCs w:val="21"/>
                <w:highlight w:val="none"/>
                <w:vertAlign w:val="superscript"/>
                <w14:textFill>
                  <w14:solidFill>
                    <w14:schemeClr w14:val="tx1"/>
                  </w14:solidFill>
                </w14:textFill>
              </w:rPr>
              <w:t>-7</w:t>
            </w:r>
            <w:r>
              <w:rPr>
                <w:rFonts w:hint="default" w:ascii="Times New Roman" w:hAnsi="Times New Roman" w:cs="Times New Roman"/>
                <w:bCs/>
                <w:color w:val="000000" w:themeColor="text1"/>
                <w:szCs w:val="21"/>
                <w:highlight w:val="none"/>
                <w14:textFill>
                  <w14:solidFill>
                    <w14:schemeClr w14:val="tx1"/>
                  </w14:solidFill>
                </w14:textFill>
              </w:rPr>
              <w:t>cm/s。</w:t>
            </w:r>
          </w:p>
          <w:p w14:paraId="1544D122">
            <w:pPr>
              <w:adjustRightInd w:val="0"/>
              <w:snapToGrid w:val="0"/>
              <w:jc w:val="left"/>
              <w:rPr>
                <w:rFonts w:hint="default" w:ascii="Times New Roman" w:hAnsi="Times New Roman" w:cs="Times New Roman"/>
                <w:color w:val="000000" w:themeColor="text1"/>
                <w:szCs w:val="21"/>
                <w:highlight w:val="none"/>
                <w14:textFill>
                  <w14:solidFill>
                    <w14:schemeClr w14:val="tx1"/>
                  </w14:solidFill>
                </w14:textFill>
              </w:rPr>
            </w:pPr>
            <w:r>
              <w:rPr>
                <w:rFonts w:hint="eastAsia" w:cs="Times New Roman"/>
                <w:color w:val="000000" w:themeColor="text1"/>
                <w:highlight w:val="none"/>
                <w:lang w:val="en-US" w:eastAsia="zh-CN"/>
                <w14:textFill>
                  <w14:solidFill>
                    <w14:schemeClr w14:val="tx1"/>
                  </w14:solidFill>
                </w14:textFill>
              </w:rPr>
              <w:t>装卸区做一般防渗，</w:t>
            </w:r>
            <w:r>
              <w:rPr>
                <w:rFonts w:hint="default" w:ascii="Times New Roman" w:hAnsi="Times New Roman" w:cs="Times New Roman"/>
                <w:bCs/>
                <w:color w:val="000000" w:themeColor="text1"/>
                <w:szCs w:val="21"/>
                <w:highlight w:val="none"/>
                <w14:textFill>
                  <w14:solidFill>
                    <w14:schemeClr w14:val="tx1"/>
                  </w14:solidFill>
                </w14:textFill>
              </w:rPr>
              <w:t>等效黏土防渗层≥</w:t>
            </w:r>
            <w:r>
              <w:rPr>
                <w:rFonts w:hint="eastAsia" w:ascii="Times New Roman" w:hAnsi="Times New Roman" w:cs="Times New Roman"/>
                <w:bCs/>
                <w:color w:val="000000" w:themeColor="text1"/>
                <w:szCs w:val="21"/>
                <w:highlight w:val="none"/>
                <w:lang w:val="en-US" w:eastAsia="zh-CN"/>
                <w14:textFill>
                  <w14:solidFill>
                    <w14:schemeClr w14:val="tx1"/>
                  </w14:solidFill>
                </w14:textFill>
              </w:rPr>
              <w:t>1.5</w:t>
            </w:r>
            <w:r>
              <w:rPr>
                <w:rFonts w:hint="default" w:ascii="Times New Roman" w:hAnsi="Times New Roman" w:cs="Times New Roman"/>
                <w:bCs/>
                <w:color w:val="000000" w:themeColor="text1"/>
                <w:szCs w:val="21"/>
                <w:highlight w:val="none"/>
                <w14:textFill>
                  <w14:solidFill>
                    <w14:schemeClr w14:val="tx1"/>
                  </w14:solidFill>
                </w14:textFill>
              </w:rPr>
              <w:t>m，渗透系数≤1.0×10</w:t>
            </w:r>
            <w:r>
              <w:rPr>
                <w:rFonts w:hint="default" w:ascii="Times New Roman" w:hAnsi="Times New Roman" w:cs="Times New Roman"/>
                <w:bCs/>
                <w:color w:val="000000" w:themeColor="text1"/>
                <w:szCs w:val="21"/>
                <w:highlight w:val="none"/>
                <w:vertAlign w:val="superscript"/>
                <w14:textFill>
                  <w14:solidFill>
                    <w14:schemeClr w14:val="tx1"/>
                  </w14:solidFill>
                </w14:textFill>
              </w:rPr>
              <w:t>-7</w:t>
            </w:r>
            <w:r>
              <w:rPr>
                <w:rFonts w:hint="default" w:ascii="Times New Roman" w:hAnsi="Times New Roman" w:cs="Times New Roman"/>
                <w:bCs/>
                <w:color w:val="000000" w:themeColor="text1"/>
                <w:szCs w:val="21"/>
                <w:highlight w:val="none"/>
                <w14:textFill>
                  <w14:solidFill>
                    <w14:schemeClr w14:val="tx1"/>
                  </w14:solidFill>
                </w14:textFill>
              </w:rPr>
              <w:t>cm/s。</w:t>
            </w:r>
          </w:p>
        </w:tc>
      </w:tr>
      <w:tr w14:paraId="71D9D16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41" w:hRule="atLeast"/>
          <w:jc w:val="center"/>
        </w:trPr>
        <w:tc>
          <w:tcPr>
            <w:tcW w:w="1778" w:type="dxa"/>
            <w:vAlign w:val="center"/>
          </w:tcPr>
          <w:p w14:paraId="73278669">
            <w:pPr>
              <w:adjustRightInd w:val="0"/>
              <w:snapToGrid w:val="0"/>
              <w:jc w:val="center"/>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szCs w:val="21"/>
                <w:highlight w:val="none"/>
                <w14:textFill>
                  <w14:solidFill>
                    <w14:schemeClr w14:val="tx1"/>
                  </w14:solidFill>
                </w14:textFill>
              </w:rPr>
              <w:t>生态保护措施</w:t>
            </w:r>
          </w:p>
        </w:tc>
        <w:tc>
          <w:tcPr>
            <w:tcW w:w="7022" w:type="dxa"/>
            <w:gridSpan w:val="4"/>
            <w:vAlign w:val="center"/>
          </w:tcPr>
          <w:p w14:paraId="5A58D8C8">
            <w:pPr>
              <w:adjustRightInd w:val="0"/>
              <w:snapToGrid w:val="0"/>
              <w:jc w:val="center"/>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bCs/>
                <w:color w:val="000000" w:themeColor="text1"/>
                <w:szCs w:val="21"/>
                <w:highlight w:val="none"/>
                <w14:textFill>
                  <w14:solidFill>
                    <w14:schemeClr w14:val="tx1"/>
                  </w14:solidFill>
                </w14:textFill>
              </w:rPr>
              <w:t>--</w:t>
            </w:r>
          </w:p>
        </w:tc>
      </w:tr>
      <w:tr w14:paraId="203C20F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778" w:type="dxa"/>
            <w:vAlign w:val="center"/>
          </w:tcPr>
          <w:p w14:paraId="3AFD8A8F">
            <w:pPr>
              <w:adjustRightInd w:val="0"/>
              <w:snapToGrid w:val="0"/>
              <w:jc w:val="center"/>
              <w:rPr>
                <w:rFonts w:hint="default" w:ascii="Times New Roman" w:hAnsi="Times New Roman" w:cs="Times New Roman"/>
                <w:color w:val="000000" w:themeColor="text1"/>
                <w:spacing w:val="-8"/>
                <w:szCs w:val="21"/>
                <w:highlight w:val="none"/>
                <w14:textFill>
                  <w14:solidFill>
                    <w14:schemeClr w14:val="tx1"/>
                  </w14:solidFill>
                </w14:textFill>
              </w:rPr>
            </w:pPr>
            <w:r>
              <w:rPr>
                <w:rFonts w:hint="default" w:ascii="Times New Roman" w:hAnsi="Times New Roman" w:cs="Times New Roman"/>
                <w:color w:val="000000" w:themeColor="text1"/>
                <w:spacing w:val="-8"/>
                <w:szCs w:val="21"/>
                <w:highlight w:val="none"/>
                <w14:textFill>
                  <w14:solidFill>
                    <w14:schemeClr w14:val="tx1"/>
                  </w14:solidFill>
                </w14:textFill>
              </w:rPr>
              <w:t>环境风险</w:t>
            </w:r>
          </w:p>
          <w:p w14:paraId="7B1C9B2C">
            <w:pPr>
              <w:adjustRightInd w:val="0"/>
              <w:snapToGrid w:val="0"/>
              <w:jc w:val="center"/>
              <w:rPr>
                <w:rFonts w:hint="default" w:ascii="Times New Roman" w:hAnsi="Times New Roman" w:cs="Times New Roman"/>
                <w:color w:val="000000" w:themeColor="text1"/>
                <w:spacing w:val="-8"/>
                <w:szCs w:val="21"/>
                <w:highlight w:val="none"/>
                <w14:textFill>
                  <w14:solidFill>
                    <w14:schemeClr w14:val="tx1"/>
                  </w14:solidFill>
                </w14:textFill>
              </w:rPr>
            </w:pPr>
            <w:r>
              <w:rPr>
                <w:rFonts w:hint="default" w:ascii="Times New Roman" w:hAnsi="Times New Roman" w:cs="Times New Roman"/>
                <w:color w:val="000000" w:themeColor="text1"/>
                <w:spacing w:val="-8"/>
                <w:szCs w:val="21"/>
                <w:highlight w:val="none"/>
                <w14:textFill>
                  <w14:solidFill>
                    <w14:schemeClr w14:val="tx1"/>
                  </w14:solidFill>
                </w14:textFill>
              </w:rPr>
              <w:t>防范措施</w:t>
            </w:r>
          </w:p>
        </w:tc>
        <w:tc>
          <w:tcPr>
            <w:tcW w:w="7022" w:type="dxa"/>
            <w:gridSpan w:val="4"/>
            <w:vAlign w:val="center"/>
          </w:tcPr>
          <w:p w14:paraId="4BEE6CBB">
            <w:pPr>
              <w:keepNext w:val="0"/>
              <w:keepLines w:val="0"/>
              <w:widowControl/>
              <w:suppressLineNumbers w:val="0"/>
              <w:ind w:firstLine="420" w:firstLineChars="200"/>
              <w:jc w:val="left"/>
              <w:rPr>
                <w:sz w:val="22"/>
                <w:szCs w:val="28"/>
              </w:rPr>
            </w:pPr>
            <w:r>
              <w:rPr>
                <w:rFonts w:hint="eastAsia" w:ascii="宋体" w:hAnsi="宋体" w:eastAsia="宋体" w:cs="宋体"/>
                <w:color w:val="000000"/>
                <w:kern w:val="0"/>
                <w:sz w:val="21"/>
                <w:szCs w:val="21"/>
                <w:lang w:val="en-US" w:eastAsia="zh-CN" w:bidi="ar"/>
              </w:rPr>
              <w:t>各暂存区出口、车间出口设置有高漫坡；应急截污沟与应急事故池相连接；设置消防沙池；车间内设有应急物资，配套吸油毡、灭火器、应急泵等应急物资。</w:t>
            </w:r>
          </w:p>
          <w:p w14:paraId="4090A0E7">
            <w:pPr>
              <w:adjustRightInd w:val="0"/>
              <w:snapToGrid w:val="0"/>
              <w:ind w:firstLine="420" w:firstLineChars="200"/>
              <w:jc w:val="left"/>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szCs w:val="21"/>
                <w:highlight w:val="none"/>
                <w14:textFill>
                  <w14:solidFill>
                    <w14:schemeClr w14:val="tx1"/>
                  </w14:solidFill>
                </w14:textFill>
              </w:rPr>
              <w:t>同时，应制订有较完善的风险应急预案，使各部门在事故发生后能有步骤、有秩序地采取各项应急措施，</w:t>
            </w:r>
          </w:p>
          <w:p w14:paraId="145046FD">
            <w:pPr>
              <w:adjustRightInd w:val="0"/>
              <w:snapToGrid w:val="0"/>
              <w:ind w:firstLine="420" w:firstLineChars="200"/>
              <w:jc w:val="left"/>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szCs w:val="21"/>
                <w:highlight w:val="none"/>
                <w14:textFill>
                  <w14:solidFill>
                    <w14:schemeClr w14:val="tx1"/>
                  </w14:solidFill>
                </w14:textFill>
              </w:rPr>
              <w:t>此外，建设单位应根据可能发生的事故，按照《企业事业单位突发环境事件应急预案备案管理办法（试行）》及《辽宁省突发环境事件应急预案备案行业名录（试行）》的要求，制定有效应急预案。</w:t>
            </w:r>
          </w:p>
        </w:tc>
      </w:tr>
      <w:tr w14:paraId="1C17F36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95" w:hRule="atLeast"/>
          <w:jc w:val="center"/>
        </w:trPr>
        <w:tc>
          <w:tcPr>
            <w:tcW w:w="1778" w:type="dxa"/>
            <w:vAlign w:val="center"/>
          </w:tcPr>
          <w:p w14:paraId="4B19F3A3">
            <w:pPr>
              <w:adjustRightInd w:val="0"/>
              <w:snapToGrid w:val="0"/>
              <w:jc w:val="center"/>
              <w:rPr>
                <w:rFonts w:hint="default" w:ascii="Times New Roman" w:hAnsi="Times New Roman" w:cs="Times New Roman"/>
                <w:color w:val="000000" w:themeColor="text1"/>
                <w:spacing w:val="-8"/>
                <w:szCs w:val="21"/>
                <w:highlight w:val="none"/>
                <w14:textFill>
                  <w14:solidFill>
                    <w14:schemeClr w14:val="tx1"/>
                  </w14:solidFill>
                </w14:textFill>
              </w:rPr>
            </w:pPr>
            <w:r>
              <w:rPr>
                <w:rFonts w:hint="default" w:ascii="Times New Roman" w:hAnsi="Times New Roman" w:cs="Times New Roman"/>
                <w:color w:val="000000" w:themeColor="text1"/>
                <w:spacing w:val="-8"/>
                <w:szCs w:val="21"/>
                <w:highlight w:val="none"/>
                <w14:textFill>
                  <w14:solidFill>
                    <w14:schemeClr w14:val="tx1"/>
                  </w14:solidFill>
                </w14:textFill>
              </w:rPr>
              <w:t>其他环境</w:t>
            </w:r>
          </w:p>
          <w:p w14:paraId="726362A4">
            <w:pPr>
              <w:adjustRightInd w:val="0"/>
              <w:snapToGrid w:val="0"/>
              <w:jc w:val="center"/>
              <w:rPr>
                <w:rFonts w:hint="default" w:ascii="Times New Roman" w:hAnsi="Times New Roman" w:cs="Times New Roman"/>
                <w:color w:val="000000" w:themeColor="text1"/>
                <w:spacing w:val="-8"/>
                <w:szCs w:val="21"/>
                <w:highlight w:val="none"/>
                <w14:textFill>
                  <w14:solidFill>
                    <w14:schemeClr w14:val="tx1"/>
                  </w14:solidFill>
                </w14:textFill>
              </w:rPr>
            </w:pPr>
            <w:r>
              <w:rPr>
                <w:rFonts w:hint="default" w:ascii="Times New Roman" w:hAnsi="Times New Roman" w:cs="Times New Roman"/>
                <w:color w:val="000000" w:themeColor="text1"/>
                <w:spacing w:val="-8"/>
                <w:szCs w:val="21"/>
                <w:highlight w:val="none"/>
                <w14:textFill>
                  <w14:solidFill>
                    <w14:schemeClr w14:val="tx1"/>
                  </w14:solidFill>
                </w14:textFill>
              </w:rPr>
              <w:t>管理要求</w:t>
            </w:r>
          </w:p>
        </w:tc>
        <w:tc>
          <w:tcPr>
            <w:tcW w:w="7022" w:type="dxa"/>
            <w:gridSpan w:val="4"/>
            <w:vAlign w:val="center"/>
          </w:tcPr>
          <w:p w14:paraId="15FF0214">
            <w:pPr>
              <w:numPr>
                <w:ilvl w:val="0"/>
                <w:numId w:val="14"/>
              </w:numPr>
              <w:adjustRightInd w:val="0"/>
              <w:snapToGrid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危险废物暂存间按环保管理要求悬挂符合规范的标识牌</w:t>
            </w:r>
          </w:p>
          <w:p w14:paraId="3928B1E2">
            <w:pPr>
              <w:numPr>
                <w:ilvl w:val="0"/>
                <w:numId w:val="14"/>
              </w:numPr>
              <w:adjustRightInd w:val="0"/>
              <w:snapToGrid w:val="0"/>
              <w:jc w:val="left"/>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项目建成后排污前，根据《固定污染源排污许可分类管理名录》申领排污许可证并定期开展废气、噪声监测；</w:t>
            </w:r>
          </w:p>
          <w:p w14:paraId="4379B6A9">
            <w:pPr>
              <w:numPr>
                <w:ilvl w:val="0"/>
                <w:numId w:val="14"/>
              </w:numPr>
              <w:adjustRightInd w:val="0"/>
              <w:snapToGrid w:val="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危废处理建立台账、保存转移联单；</w:t>
            </w:r>
          </w:p>
          <w:p w14:paraId="2793097A">
            <w:pPr>
              <w:pStyle w:val="18"/>
              <w:numPr>
                <w:ilvl w:val="0"/>
                <w:numId w:val="14"/>
              </w:numPr>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排污口规范化</w:t>
            </w:r>
          </w:p>
          <w:p w14:paraId="524DE0D3">
            <w:pPr>
              <w:numPr>
                <w:ilvl w:val="0"/>
                <w:numId w:val="15"/>
              </w:numPr>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排污口规范化要求</w:t>
            </w:r>
          </w:p>
          <w:p w14:paraId="55B482DB">
            <w:pPr>
              <w:pStyle w:val="18"/>
              <w:ind w:firstLine="420" w:firstLineChars="20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 xml:space="preserve">根据《关于开展排污口规范化整治工作的通知》（国家环保总局环发 </w:t>
            </w:r>
          </w:p>
          <w:p w14:paraId="6B456F6D">
            <w:pPr>
              <w:pStyle w:val="18"/>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[1999]24 号）文件的规定“一切新建、扩建、改建的排污单位必须在建设污染治理设施的同时建设规范化排污口，作为落实环境保护“三同时”制度的必要组成和项目验收内容之一。”因此环评对本项目排污口提出如下规范化要求：</w:t>
            </w:r>
          </w:p>
          <w:p w14:paraId="5A4612BA">
            <w:pPr>
              <w:pStyle w:val="18"/>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 xml:space="preserve">①废气排放口 </w:t>
            </w:r>
          </w:p>
          <w:p w14:paraId="5F52D4B6">
            <w:pPr>
              <w:pStyle w:val="18"/>
              <w:ind w:firstLine="420" w:firstLineChars="20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 xml:space="preserve">本项目在排气筒 处应设置采样口，以便日常监测。采样口的设置应符合《污染源监测技术规范》要求并便于采样监测，安装环境图形标志。 </w:t>
            </w:r>
          </w:p>
          <w:p w14:paraId="4A54504E">
            <w:pPr>
              <w:pStyle w:val="18"/>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 xml:space="preserve">②噪声排放源 </w:t>
            </w:r>
          </w:p>
          <w:p w14:paraId="11A96214">
            <w:pPr>
              <w:pStyle w:val="18"/>
              <w:ind w:firstLine="420" w:firstLineChars="20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 xml:space="preserve">噪声排放源的环境保护图形符号分别为提示图形符号和警告图形符号，图形符号的设置应按照 GB15562.1-1995 设置。 </w:t>
            </w:r>
          </w:p>
          <w:p w14:paraId="00BF74FF">
            <w:pPr>
              <w:pStyle w:val="18"/>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 xml:space="preserve">③固体废物贮存（处置）场 </w:t>
            </w:r>
          </w:p>
          <w:p w14:paraId="3299F03C">
            <w:pPr>
              <w:pStyle w:val="18"/>
              <w:ind w:firstLine="420" w:firstLineChars="20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固体废物贮存（处置）场的环境保护图形符号分别为提示图形符号和警告图形符号，图形符号的设置应按照 GB15562.2-1995 设置。</w:t>
            </w:r>
          </w:p>
          <w:p w14:paraId="1B8A6FE2">
            <w:pPr>
              <w:pStyle w:val="18"/>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drawing>
                <wp:inline distT="0" distB="0" distL="114300" distR="114300">
                  <wp:extent cx="4316730" cy="4408805"/>
                  <wp:effectExtent l="0" t="0" r="11430" b="10795"/>
                  <wp:docPr id="12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图片 2"/>
                          <pic:cNvPicPr>
                            <a:picLocks noChangeAspect="1"/>
                          </pic:cNvPicPr>
                        </pic:nvPicPr>
                        <pic:blipFill>
                          <a:blip r:embed="rId15" cstate="print"/>
                          <a:stretch>
                            <a:fillRect/>
                          </a:stretch>
                        </pic:blipFill>
                        <pic:spPr>
                          <a:xfrm>
                            <a:off x="0" y="0"/>
                            <a:ext cx="4316730" cy="4408805"/>
                          </a:xfrm>
                          <a:prstGeom prst="rect">
                            <a:avLst/>
                          </a:prstGeom>
                          <a:noFill/>
                          <a:ln>
                            <a:noFill/>
                          </a:ln>
                        </pic:spPr>
                      </pic:pic>
                    </a:graphicData>
                  </a:graphic>
                </wp:inline>
              </w:drawing>
            </w:r>
          </w:p>
          <w:p w14:paraId="6BCAF74B">
            <w:pPr>
              <w:widowControl/>
              <w:jc w:val="left"/>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kern w:val="0"/>
                <w:szCs w:val="21"/>
                <w:highlight w:val="none"/>
                <w14:textFill>
                  <w14:solidFill>
                    <w14:schemeClr w14:val="tx1"/>
                  </w14:solidFill>
                </w14:textFill>
              </w:rPr>
              <w:t xml:space="preserve">（2）排污口规范化管理 </w:t>
            </w:r>
          </w:p>
          <w:p w14:paraId="0F033426">
            <w:pPr>
              <w:widowControl/>
              <w:ind w:firstLine="210" w:firstLineChars="100"/>
              <w:jc w:val="left"/>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kern w:val="0"/>
                <w:szCs w:val="21"/>
                <w:highlight w:val="none"/>
                <w14:textFill>
                  <w14:solidFill>
                    <w14:schemeClr w14:val="tx1"/>
                  </w14:solidFill>
                </w14:textFill>
              </w:rPr>
              <w:t xml:space="preserve">①建设单位应在各排污口处设立较明显的排污口标志牌，其上应注明主要排放污染物的名称以警示周围群众。 </w:t>
            </w:r>
          </w:p>
          <w:p w14:paraId="6A7389E5">
            <w:pPr>
              <w:widowControl/>
              <w:ind w:firstLine="420" w:firstLineChars="200"/>
              <w:jc w:val="left"/>
              <w:rPr>
                <w:rFonts w:hint="default" w:ascii="Times New Roman" w:hAnsi="Times New Roman" w:cs="Times New Roman"/>
                <w:color w:val="000000" w:themeColor="text1"/>
                <w:kern w:val="0"/>
                <w:szCs w:val="21"/>
                <w:highlight w:val="none"/>
                <w14:textFill>
                  <w14:solidFill>
                    <w14:schemeClr w14:val="tx1"/>
                  </w14:solidFill>
                </w14:textFill>
              </w:rPr>
            </w:pPr>
            <w:r>
              <w:rPr>
                <w:rFonts w:hint="default" w:ascii="Times New Roman" w:hAnsi="Times New Roman" w:cs="Times New Roman"/>
                <w:color w:val="000000" w:themeColor="text1"/>
                <w:kern w:val="0"/>
                <w:szCs w:val="21"/>
                <w:highlight w:val="none"/>
                <w14:textFill>
                  <w14:solidFill>
                    <w14:schemeClr w14:val="tx1"/>
                  </w14:solidFill>
                </w14:textFill>
              </w:rPr>
              <w:t>②建设单位应如实填写《中华人民共和国规范化排污口标志登记证》的有关内容，由环保主管部门签发登记证。</w:t>
            </w:r>
          </w:p>
          <w:p w14:paraId="66ED887E">
            <w:pPr>
              <w:widowControl/>
              <w:ind w:firstLine="420" w:firstLineChars="200"/>
              <w:jc w:val="left"/>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kern w:val="0"/>
                <w:szCs w:val="21"/>
                <w:highlight w:val="none"/>
                <w14:textFill>
                  <w14:solidFill>
                    <w14:schemeClr w14:val="tx1"/>
                  </w14:solidFill>
                </w14:textFill>
              </w:rPr>
              <w:t>③建设单位应将有关排污口的情况，如：排污口的性质、编号，排污口的位置；主要排放的污染物种类、数量、浓度、排放规律、排放去向；污染治理设施的运行情况等进行建档管理，并报送环保主管部门备案</w:t>
            </w:r>
          </w:p>
          <w:p w14:paraId="0A3BC073">
            <w:pPr>
              <w:pStyle w:val="18"/>
              <w:rPr>
                <w:rFonts w:hint="default" w:ascii="Times New Roman" w:hAnsi="Times New Roman" w:cs="Times New Roman"/>
                <w:color w:val="000000" w:themeColor="text1"/>
                <w:highlight w:val="none"/>
                <w14:textFill>
                  <w14:solidFill>
                    <w14:schemeClr w14:val="tx1"/>
                  </w14:solidFill>
                </w14:textFill>
              </w:rPr>
            </w:pPr>
          </w:p>
        </w:tc>
      </w:tr>
    </w:tbl>
    <w:p w14:paraId="364A58EB">
      <w:pPr>
        <w:pStyle w:val="23"/>
        <w:jc w:val="center"/>
        <w:outlineLvl w:val="0"/>
        <w:rPr>
          <w:rFonts w:hint="default" w:ascii="Times New Roman" w:hAnsi="Times New Roman" w:eastAsia="黑体" w:cs="Times New Roman"/>
          <w:snapToGrid w:val="0"/>
          <w:color w:val="000000" w:themeColor="text1"/>
          <w:sz w:val="30"/>
          <w:szCs w:val="30"/>
          <w:highlight w:val="none"/>
          <w14:textFill>
            <w14:solidFill>
              <w14:schemeClr w14:val="tx1"/>
            </w14:solidFill>
          </w14:textFill>
        </w:rPr>
      </w:pPr>
      <w:r>
        <w:rPr>
          <w:rFonts w:hint="default" w:ascii="Times New Roman" w:hAnsi="Times New Roman" w:cs="Times New Roman"/>
          <w:snapToGrid w:val="0"/>
          <w:color w:val="000000" w:themeColor="text1"/>
          <w:highlight w:val="none"/>
          <w14:textFill>
            <w14:solidFill>
              <w14:schemeClr w14:val="tx1"/>
            </w14:solidFill>
          </w14:textFill>
        </w:rPr>
        <w:br w:type="page"/>
      </w:r>
      <w:r>
        <w:rPr>
          <w:rFonts w:hint="default" w:ascii="Times New Roman" w:hAnsi="Times New Roman" w:eastAsia="黑体" w:cs="Times New Roman"/>
          <w:snapToGrid w:val="0"/>
          <w:color w:val="000000" w:themeColor="text1"/>
          <w:sz w:val="30"/>
          <w:szCs w:val="30"/>
          <w:highlight w:val="none"/>
          <w14:textFill>
            <w14:solidFill>
              <w14:schemeClr w14:val="tx1"/>
            </w14:solidFill>
          </w14:textFill>
        </w:rPr>
        <w:t>六、结论</w:t>
      </w:r>
    </w:p>
    <w:tbl>
      <w:tblPr>
        <w:tblStyle w:val="27"/>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865"/>
      </w:tblGrid>
      <w:tr w14:paraId="7398126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991" w:hRule="atLeast"/>
          <w:jc w:val="center"/>
        </w:trPr>
        <w:tc>
          <w:tcPr>
            <w:tcW w:w="8865" w:type="dxa"/>
            <w:vAlign w:val="center"/>
          </w:tcPr>
          <w:p w14:paraId="5B37C04F">
            <w:pPr>
              <w:pStyle w:val="68"/>
              <w:ind w:firstLine="48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综上所述，本建设项目符合国家相关产业政策和规划要求，选址合理。在采取上述措施后，项目污染物能够达标排放，对周围环境影响较小，区域环境质量能维持现状，只要建设单位认真落实本评价提出的各项污染防治措施，加强环境管理，在确保各污染物达标排放的前提下，从环境保护角度分析，本项目建设可行。</w:t>
            </w:r>
          </w:p>
          <w:p w14:paraId="43AD8FDB">
            <w:pPr>
              <w:pStyle w:val="68"/>
              <w:ind w:firstLine="480"/>
              <w:rPr>
                <w:rFonts w:hint="default" w:ascii="Times New Roman" w:hAnsi="Times New Roman" w:cs="Times New Roman"/>
                <w:color w:val="000000" w:themeColor="text1"/>
                <w:kern w:val="0"/>
                <w:highlight w:val="none"/>
                <w14:textFill>
                  <w14:solidFill>
                    <w14:schemeClr w14:val="tx1"/>
                  </w14:solidFill>
                </w14:textFill>
              </w:rPr>
            </w:pPr>
          </w:p>
          <w:p w14:paraId="09510020">
            <w:pPr>
              <w:pStyle w:val="68"/>
              <w:ind w:firstLine="480"/>
              <w:rPr>
                <w:rFonts w:hint="default" w:ascii="Times New Roman" w:hAnsi="Times New Roman" w:cs="Times New Roman"/>
                <w:color w:val="000000" w:themeColor="text1"/>
                <w:highlight w:val="none"/>
                <w14:textFill>
                  <w14:solidFill>
                    <w14:schemeClr w14:val="tx1"/>
                  </w14:solidFill>
                </w14:textFill>
              </w:rPr>
            </w:pPr>
          </w:p>
          <w:p w14:paraId="4F1C4B2E">
            <w:pPr>
              <w:pStyle w:val="68"/>
              <w:ind w:firstLine="480"/>
              <w:rPr>
                <w:rFonts w:hint="default" w:ascii="Times New Roman" w:hAnsi="Times New Roman" w:cs="Times New Roman"/>
                <w:color w:val="000000" w:themeColor="text1"/>
                <w:highlight w:val="none"/>
                <w14:textFill>
                  <w14:solidFill>
                    <w14:schemeClr w14:val="tx1"/>
                  </w14:solidFill>
                </w14:textFill>
              </w:rPr>
            </w:pPr>
          </w:p>
          <w:p w14:paraId="4F57B39D">
            <w:pPr>
              <w:pStyle w:val="68"/>
              <w:ind w:firstLine="480"/>
              <w:rPr>
                <w:rFonts w:hint="default" w:ascii="Times New Roman" w:hAnsi="Times New Roman" w:cs="Times New Roman"/>
                <w:color w:val="000000" w:themeColor="text1"/>
                <w:highlight w:val="none"/>
                <w14:textFill>
                  <w14:solidFill>
                    <w14:schemeClr w14:val="tx1"/>
                  </w14:solidFill>
                </w14:textFill>
              </w:rPr>
            </w:pPr>
          </w:p>
          <w:p w14:paraId="6A9335CD">
            <w:pPr>
              <w:pStyle w:val="68"/>
              <w:ind w:firstLine="480"/>
              <w:rPr>
                <w:rFonts w:hint="default" w:ascii="Times New Roman" w:hAnsi="Times New Roman" w:cs="Times New Roman"/>
                <w:color w:val="000000" w:themeColor="text1"/>
                <w:highlight w:val="none"/>
                <w14:textFill>
                  <w14:solidFill>
                    <w14:schemeClr w14:val="tx1"/>
                  </w14:solidFill>
                </w14:textFill>
              </w:rPr>
            </w:pPr>
          </w:p>
          <w:p w14:paraId="508CDE66">
            <w:pPr>
              <w:pStyle w:val="68"/>
              <w:ind w:firstLine="480"/>
              <w:rPr>
                <w:rFonts w:hint="default" w:ascii="Times New Roman" w:hAnsi="Times New Roman" w:cs="Times New Roman"/>
                <w:color w:val="000000" w:themeColor="text1"/>
                <w:highlight w:val="none"/>
                <w14:textFill>
                  <w14:solidFill>
                    <w14:schemeClr w14:val="tx1"/>
                  </w14:solidFill>
                </w14:textFill>
              </w:rPr>
            </w:pPr>
          </w:p>
          <w:p w14:paraId="785AFEC1">
            <w:pPr>
              <w:pStyle w:val="68"/>
              <w:ind w:firstLine="480"/>
              <w:rPr>
                <w:rFonts w:hint="default" w:ascii="Times New Roman" w:hAnsi="Times New Roman" w:cs="Times New Roman"/>
                <w:color w:val="000000" w:themeColor="text1"/>
                <w:highlight w:val="none"/>
                <w14:textFill>
                  <w14:solidFill>
                    <w14:schemeClr w14:val="tx1"/>
                  </w14:solidFill>
                </w14:textFill>
              </w:rPr>
            </w:pPr>
          </w:p>
          <w:p w14:paraId="18B7FCA9">
            <w:pPr>
              <w:pStyle w:val="68"/>
              <w:ind w:firstLine="480"/>
              <w:rPr>
                <w:rFonts w:hint="default" w:ascii="Times New Roman" w:hAnsi="Times New Roman" w:cs="Times New Roman"/>
                <w:color w:val="000000" w:themeColor="text1"/>
                <w:highlight w:val="none"/>
                <w14:textFill>
                  <w14:solidFill>
                    <w14:schemeClr w14:val="tx1"/>
                  </w14:solidFill>
                </w14:textFill>
              </w:rPr>
            </w:pPr>
          </w:p>
          <w:p w14:paraId="06324ED6">
            <w:pPr>
              <w:pStyle w:val="68"/>
              <w:ind w:firstLine="480"/>
              <w:rPr>
                <w:rFonts w:hint="default" w:ascii="Times New Roman" w:hAnsi="Times New Roman" w:cs="Times New Roman"/>
                <w:color w:val="000000" w:themeColor="text1"/>
                <w:highlight w:val="none"/>
                <w14:textFill>
                  <w14:solidFill>
                    <w14:schemeClr w14:val="tx1"/>
                  </w14:solidFill>
                </w14:textFill>
              </w:rPr>
            </w:pPr>
          </w:p>
          <w:p w14:paraId="6A149C6B">
            <w:pPr>
              <w:pStyle w:val="68"/>
              <w:ind w:firstLine="480"/>
              <w:rPr>
                <w:rFonts w:hint="default" w:ascii="Times New Roman" w:hAnsi="Times New Roman" w:cs="Times New Roman"/>
                <w:color w:val="000000" w:themeColor="text1"/>
                <w:highlight w:val="none"/>
                <w14:textFill>
                  <w14:solidFill>
                    <w14:schemeClr w14:val="tx1"/>
                  </w14:solidFill>
                </w14:textFill>
              </w:rPr>
            </w:pPr>
          </w:p>
          <w:p w14:paraId="241EC0C0">
            <w:pPr>
              <w:pStyle w:val="68"/>
              <w:ind w:firstLine="480"/>
              <w:rPr>
                <w:rFonts w:hint="default" w:ascii="Times New Roman" w:hAnsi="Times New Roman" w:cs="Times New Roman"/>
                <w:color w:val="000000" w:themeColor="text1"/>
                <w:highlight w:val="none"/>
                <w14:textFill>
                  <w14:solidFill>
                    <w14:schemeClr w14:val="tx1"/>
                  </w14:solidFill>
                </w14:textFill>
              </w:rPr>
            </w:pPr>
          </w:p>
          <w:p w14:paraId="45F59D1D">
            <w:pPr>
              <w:pStyle w:val="68"/>
              <w:ind w:firstLine="480"/>
              <w:rPr>
                <w:rFonts w:hint="default" w:ascii="Times New Roman" w:hAnsi="Times New Roman" w:cs="Times New Roman"/>
                <w:color w:val="000000" w:themeColor="text1"/>
                <w:highlight w:val="none"/>
                <w14:textFill>
                  <w14:solidFill>
                    <w14:schemeClr w14:val="tx1"/>
                  </w14:solidFill>
                </w14:textFill>
              </w:rPr>
            </w:pPr>
          </w:p>
          <w:p w14:paraId="103CC157">
            <w:pPr>
              <w:pStyle w:val="68"/>
              <w:ind w:firstLine="480"/>
              <w:rPr>
                <w:rFonts w:hint="default" w:ascii="Times New Roman" w:hAnsi="Times New Roman" w:cs="Times New Roman"/>
                <w:color w:val="000000" w:themeColor="text1"/>
                <w:highlight w:val="none"/>
                <w14:textFill>
                  <w14:solidFill>
                    <w14:schemeClr w14:val="tx1"/>
                  </w14:solidFill>
                </w14:textFill>
              </w:rPr>
            </w:pPr>
          </w:p>
          <w:p w14:paraId="1E312433">
            <w:pPr>
              <w:pStyle w:val="68"/>
              <w:ind w:firstLine="480"/>
              <w:rPr>
                <w:rFonts w:hint="default" w:ascii="Times New Roman" w:hAnsi="Times New Roman" w:cs="Times New Roman"/>
                <w:color w:val="000000" w:themeColor="text1"/>
                <w:highlight w:val="none"/>
                <w14:textFill>
                  <w14:solidFill>
                    <w14:schemeClr w14:val="tx1"/>
                  </w14:solidFill>
                </w14:textFill>
              </w:rPr>
            </w:pPr>
          </w:p>
          <w:p w14:paraId="04E18994">
            <w:pPr>
              <w:pStyle w:val="68"/>
              <w:ind w:firstLine="480"/>
              <w:rPr>
                <w:rFonts w:hint="default" w:ascii="Times New Roman" w:hAnsi="Times New Roman" w:cs="Times New Roman"/>
                <w:color w:val="000000" w:themeColor="text1"/>
                <w:highlight w:val="none"/>
                <w14:textFill>
                  <w14:solidFill>
                    <w14:schemeClr w14:val="tx1"/>
                  </w14:solidFill>
                </w14:textFill>
              </w:rPr>
            </w:pPr>
          </w:p>
          <w:p w14:paraId="7C68EAC8">
            <w:pPr>
              <w:pStyle w:val="68"/>
              <w:ind w:firstLine="480"/>
              <w:rPr>
                <w:rFonts w:hint="default" w:ascii="Times New Roman" w:hAnsi="Times New Roman" w:cs="Times New Roman"/>
                <w:color w:val="000000" w:themeColor="text1"/>
                <w:highlight w:val="none"/>
                <w14:textFill>
                  <w14:solidFill>
                    <w14:schemeClr w14:val="tx1"/>
                  </w14:solidFill>
                </w14:textFill>
              </w:rPr>
            </w:pPr>
          </w:p>
          <w:p w14:paraId="4C9B0008">
            <w:pPr>
              <w:pStyle w:val="68"/>
              <w:ind w:firstLine="480"/>
              <w:rPr>
                <w:rFonts w:hint="default" w:ascii="Times New Roman" w:hAnsi="Times New Roman" w:cs="Times New Roman"/>
                <w:color w:val="000000" w:themeColor="text1"/>
                <w:highlight w:val="none"/>
                <w14:textFill>
                  <w14:solidFill>
                    <w14:schemeClr w14:val="tx1"/>
                  </w14:solidFill>
                </w14:textFill>
              </w:rPr>
            </w:pPr>
          </w:p>
          <w:p w14:paraId="12743A0E">
            <w:pPr>
              <w:pStyle w:val="68"/>
              <w:ind w:firstLine="480"/>
              <w:rPr>
                <w:rFonts w:hint="default" w:ascii="Times New Roman" w:hAnsi="Times New Roman" w:cs="Times New Roman"/>
                <w:color w:val="000000" w:themeColor="text1"/>
                <w:highlight w:val="none"/>
                <w14:textFill>
                  <w14:solidFill>
                    <w14:schemeClr w14:val="tx1"/>
                  </w14:solidFill>
                </w14:textFill>
              </w:rPr>
            </w:pPr>
          </w:p>
          <w:p w14:paraId="2F56ACEE">
            <w:pPr>
              <w:pStyle w:val="68"/>
              <w:ind w:firstLine="480"/>
              <w:rPr>
                <w:rFonts w:hint="default" w:ascii="Times New Roman" w:hAnsi="Times New Roman" w:cs="Times New Roman"/>
                <w:color w:val="000000" w:themeColor="text1"/>
                <w:highlight w:val="none"/>
                <w14:textFill>
                  <w14:solidFill>
                    <w14:schemeClr w14:val="tx1"/>
                  </w14:solidFill>
                </w14:textFill>
              </w:rPr>
            </w:pPr>
          </w:p>
          <w:p w14:paraId="4BFE767C">
            <w:pPr>
              <w:pStyle w:val="68"/>
              <w:ind w:firstLine="480"/>
              <w:rPr>
                <w:rFonts w:hint="default" w:ascii="Times New Roman" w:hAnsi="Times New Roman" w:cs="Times New Roman"/>
                <w:color w:val="000000" w:themeColor="text1"/>
                <w:highlight w:val="none"/>
                <w14:textFill>
                  <w14:solidFill>
                    <w14:schemeClr w14:val="tx1"/>
                  </w14:solidFill>
                </w14:textFill>
              </w:rPr>
            </w:pPr>
          </w:p>
          <w:p w14:paraId="1BC74062">
            <w:pPr>
              <w:pStyle w:val="68"/>
              <w:ind w:firstLine="480"/>
              <w:rPr>
                <w:rFonts w:hint="default" w:ascii="Times New Roman" w:hAnsi="Times New Roman" w:cs="Times New Roman"/>
                <w:color w:val="000000" w:themeColor="text1"/>
                <w:highlight w:val="none"/>
                <w14:textFill>
                  <w14:solidFill>
                    <w14:schemeClr w14:val="tx1"/>
                  </w14:solidFill>
                </w14:textFill>
              </w:rPr>
            </w:pPr>
          </w:p>
          <w:p w14:paraId="02518968">
            <w:pPr>
              <w:pStyle w:val="68"/>
              <w:ind w:firstLine="480"/>
              <w:rPr>
                <w:rFonts w:hint="default" w:ascii="Times New Roman" w:hAnsi="Times New Roman" w:cs="Times New Roman"/>
                <w:color w:val="000000" w:themeColor="text1"/>
                <w:highlight w:val="none"/>
                <w14:textFill>
                  <w14:solidFill>
                    <w14:schemeClr w14:val="tx1"/>
                  </w14:solidFill>
                </w14:textFill>
              </w:rPr>
            </w:pPr>
          </w:p>
          <w:p w14:paraId="143FA662">
            <w:pPr>
              <w:pStyle w:val="68"/>
              <w:ind w:firstLine="480"/>
              <w:rPr>
                <w:rFonts w:hint="default" w:ascii="Times New Roman" w:hAnsi="Times New Roman" w:cs="Times New Roman"/>
                <w:color w:val="000000" w:themeColor="text1"/>
                <w:highlight w:val="none"/>
                <w14:textFill>
                  <w14:solidFill>
                    <w14:schemeClr w14:val="tx1"/>
                  </w14:solidFill>
                </w14:textFill>
              </w:rPr>
            </w:pPr>
          </w:p>
          <w:p w14:paraId="49070CD7">
            <w:pPr>
              <w:pStyle w:val="68"/>
              <w:ind w:firstLine="480"/>
              <w:rPr>
                <w:rFonts w:hint="default" w:ascii="Times New Roman" w:hAnsi="Times New Roman" w:cs="Times New Roman"/>
                <w:color w:val="000000" w:themeColor="text1"/>
                <w:highlight w:val="none"/>
                <w14:textFill>
                  <w14:solidFill>
                    <w14:schemeClr w14:val="tx1"/>
                  </w14:solidFill>
                </w14:textFill>
              </w:rPr>
            </w:pPr>
          </w:p>
          <w:p w14:paraId="046DDAED">
            <w:pPr>
              <w:pStyle w:val="68"/>
              <w:ind w:firstLine="480"/>
              <w:rPr>
                <w:rFonts w:hint="default" w:ascii="Times New Roman" w:hAnsi="Times New Roman" w:cs="Times New Roman"/>
                <w:color w:val="000000" w:themeColor="text1"/>
                <w:highlight w:val="none"/>
                <w14:textFill>
                  <w14:solidFill>
                    <w14:schemeClr w14:val="tx1"/>
                  </w14:solidFill>
                </w14:textFill>
              </w:rPr>
            </w:pPr>
          </w:p>
        </w:tc>
      </w:tr>
    </w:tbl>
    <w:p w14:paraId="455893F2">
      <w:pPr>
        <w:spacing w:line="360" w:lineRule="auto"/>
        <w:ind w:firstLine="420"/>
        <w:rPr>
          <w:rFonts w:hint="default" w:ascii="Times New Roman" w:hAnsi="Times New Roman" w:cs="Times New Roman"/>
          <w:b/>
          <w:bCs/>
          <w:color w:val="000000" w:themeColor="text1"/>
          <w:sz w:val="24"/>
          <w:szCs w:val="32"/>
          <w:highlight w:val="none"/>
          <w14:textFill>
            <w14:solidFill>
              <w14:schemeClr w14:val="tx1"/>
            </w14:solidFill>
          </w14:textFill>
        </w:rPr>
        <w:sectPr>
          <w:pgSz w:w="11906" w:h="16838"/>
          <w:pgMar w:top="1701" w:right="1531" w:bottom="1701" w:left="1531" w:header="851" w:footer="851" w:gutter="0"/>
          <w:pgBorders>
            <w:top w:val="none" w:sz="0" w:space="0"/>
            <w:left w:val="none" w:sz="0" w:space="0"/>
            <w:bottom w:val="none" w:sz="0" w:space="0"/>
            <w:right w:val="none" w:sz="0" w:space="0"/>
          </w:pgBorders>
          <w:cols w:space="720" w:num="1"/>
          <w:docGrid w:linePitch="312" w:charSpace="0"/>
        </w:sectPr>
      </w:pPr>
      <w:bookmarkStart w:id="20" w:name="_Toc358845081"/>
    </w:p>
    <w:p w14:paraId="36CB1BDF">
      <w:pPr>
        <w:pStyle w:val="2"/>
        <w:rPr>
          <w:rFonts w:hint="default"/>
        </w:rPr>
      </w:pPr>
    </w:p>
    <w:p w14:paraId="5D9176C8">
      <w:pPr>
        <w:rPr>
          <w:rFonts w:hint="default" w:ascii="Times New Roman" w:hAnsi="Times New Roman" w:cs="Times New Roman"/>
          <w:color w:val="000000" w:themeColor="text1"/>
          <w:highlight w:val="none"/>
          <w14:textFill>
            <w14:solidFill>
              <w14:schemeClr w14:val="tx1"/>
            </w14:solidFill>
          </w14:textFill>
        </w:rPr>
      </w:pPr>
    </w:p>
    <w:bookmarkEnd w:id="20"/>
    <w:p w14:paraId="7373423F">
      <w:pPr>
        <w:pStyle w:val="23"/>
        <w:adjustRightInd w:val="0"/>
        <w:snapToGrid w:val="0"/>
        <w:spacing w:beforeAutospacing="0" w:afterAutospacing="0" w:line="648" w:lineRule="auto"/>
        <w:ind w:firstLine="640"/>
        <w:outlineLvl w:val="0"/>
        <w:rPr>
          <w:rFonts w:hint="default" w:ascii="Times New Roman" w:hAnsi="Times New Roman" w:eastAsia="黑体" w:cs="Times New Roman"/>
          <w:snapToGrid w:val="0"/>
          <w:color w:val="000000" w:themeColor="text1"/>
          <w:sz w:val="32"/>
          <w:szCs w:val="32"/>
          <w:highlight w:val="none"/>
          <w14:textFill>
            <w14:solidFill>
              <w14:schemeClr w14:val="tx1"/>
            </w14:solidFill>
          </w14:textFill>
        </w:rPr>
      </w:pPr>
      <w:r>
        <w:rPr>
          <w:rFonts w:hint="default" w:ascii="Times New Roman" w:hAnsi="Times New Roman" w:eastAsia="黑体" w:cs="Times New Roman"/>
          <w:snapToGrid w:val="0"/>
          <w:color w:val="000000" w:themeColor="text1"/>
          <w:sz w:val="32"/>
          <w:szCs w:val="32"/>
          <w:highlight w:val="none"/>
          <w14:textFill>
            <w14:solidFill>
              <w14:schemeClr w14:val="tx1"/>
            </w14:solidFill>
          </w14:textFill>
        </w:rPr>
        <w:t>附表</w:t>
      </w:r>
    </w:p>
    <w:p w14:paraId="2CAE9D2C">
      <w:pPr>
        <w:pStyle w:val="23"/>
        <w:adjustRightInd w:val="0"/>
        <w:snapToGrid w:val="0"/>
        <w:spacing w:beforeAutospacing="0" w:afterAutospacing="0" w:line="360" w:lineRule="auto"/>
        <w:ind w:firstLine="760"/>
        <w:jc w:val="center"/>
        <w:outlineLvl w:val="0"/>
        <w:rPr>
          <w:rFonts w:hint="default" w:ascii="Times New Roman" w:hAnsi="Times New Roman" w:eastAsia="方正小标宋_GBK" w:cs="Times New Roman"/>
          <w:snapToGrid w:val="0"/>
          <w:color w:val="000000" w:themeColor="text1"/>
          <w:sz w:val="38"/>
          <w:szCs w:val="38"/>
          <w:highlight w:val="none"/>
          <w14:textFill>
            <w14:solidFill>
              <w14:schemeClr w14:val="tx1"/>
            </w14:solidFill>
          </w14:textFill>
        </w:rPr>
      </w:pPr>
      <w:r>
        <w:rPr>
          <w:rFonts w:hint="default" w:ascii="Times New Roman" w:hAnsi="Times New Roman" w:eastAsia="方正小标宋_GBK" w:cs="Times New Roman"/>
          <w:snapToGrid w:val="0"/>
          <w:color w:val="000000" w:themeColor="text1"/>
          <w:sz w:val="38"/>
          <w:szCs w:val="38"/>
          <w:highlight w:val="none"/>
          <w14:textFill>
            <w14:solidFill>
              <w14:schemeClr w14:val="tx1"/>
            </w14:solidFill>
          </w14:textFill>
        </w:rPr>
        <w:t>建设项目污染物排放量汇总表</w:t>
      </w:r>
    </w:p>
    <w:tbl>
      <w:tblPr>
        <w:tblStyle w:val="27"/>
        <w:tblW w:w="0" w:type="auto"/>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588"/>
        <w:gridCol w:w="1417"/>
        <w:gridCol w:w="1701"/>
        <w:gridCol w:w="1276"/>
        <w:gridCol w:w="1701"/>
        <w:gridCol w:w="1559"/>
        <w:gridCol w:w="1761"/>
        <w:gridCol w:w="1714"/>
        <w:gridCol w:w="1071"/>
      </w:tblGrid>
      <w:tr w14:paraId="575428F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588" w:type="dxa"/>
            <w:tcBorders>
              <w:tl2br w:val="single" w:color="auto" w:sz="4" w:space="0"/>
            </w:tcBorders>
            <w:tcMar>
              <w:left w:w="28" w:type="dxa"/>
              <w:right w:w="28" w:type="dxa"/>
            </w:tcMar>
            <w:vAlign w:val="center"/>
          </w:tcPr>
          <w:p w14:paraId="3F2CDF99">
            <w:pPr>
              <w:pStyle w:val="51"/>
              <w:spacing w:before="24" w:after="24" w:line="240" w:lineRule="auto"/>
              <w:jc w:val="right"/>
              <w:rPr>
                <w:rFonts w:hint="default" w:ascii="Times New Roman" w:hAnsi="Times New Roman" w:eastAsia="黑体" w:cs="Times New Roman"/>
                <w:snapToGrid w:val="0"/>
                <w:color w:val="000000" w:themeColor="text1"/>
                <w:spacing w:val="-6"/>
                <w:kern w:val="21"/>
                <w:szCs w:val="21"/>
                <w:highlight w:val="none"/>
                <w14:textFill>
                  <w14:solidFill>
                    <w14:schemeClr w14:val="tx1"/>
                  </w14:solidFill>
                </w14:textFill>
              </w:rPr>
            </w:pPr>
            <w:r>
              <w:rPr>
                <w:rFonts w:hint="default" w:ascii="Times New Roman" w:hAnsi="Times New Roman" w:eastAsia="黑体" w:cs="Times New Roman"/>
                <w:snapToGrid w:val="0"/>
                <w:color w:val="000000" w:themeColor="text1"/>
                <w:spacing w:val="-6"/>
                <w:kern w:val="21"/>
                <w:szCs w:val="21"/>
                <w:highlight w:val="none"/>
                <w14:textFill>
                  <w14:solidFill>
                    <w14:schemeClr w14:val="tx1"/>
                  </w14:solidFill>
                </w14:textFill>
              </w:rPr>
              <w:t>项目</w:t>
            </w:r>
          </w:p>
          <w:p w14:paraId="115897FE">
            <w:pPr>
              <w:pStyle w:val="51"/>
              <w:spacing w:before="24" w:after="24" w:line="240" w:lineRule="auto"/>
              <w:jc w:val="left"/>
              <w:rPr>
                <w:rFonts w:hint="default" w:ascii="Times New Roman" w:hAnsi="Times New Roman" w:eastAsia="黑体" w:cs="Times New Roman"/>
                <w:snapToGrid w:val="0"/>
                <w:color w:val="000000" w:themeColor="text1"/>
                <w:spacing w:val="-6"/>
                <w:kern w:val="21"/>
                <w:szCs w:val="21"/>
                <w:highlight w:val="none"/>
                <w14:textFill>
                  <w14:solidFill>
                    <w14:schemeClr w14:val="tx1"/>
                  </w14:solidFill>
                </w14:textFill>
              </w:rPr>
            </w:pPr>
            <w:r>
              <w:rPr>
                <w:rFonts w:hint="default" w:ascii="Times New Roman" w:hAnsi="Times New Roman" w:eastAsia="黑体" w:cs="Times New Roman"/>
                <w:snapToGrid w:val="0"/>
                <w:color w:val="000000" w:themeColor="text1"/>
                <w:spacing w:val="-6"/>
                <w:kern w:val="21"/>
                <w:szCs w:val="21"/>
                <w:highlight w:val="none"/>
                <w14:textFill>
                  <w14:solidFill>
                    <w14:schemeClr w14:val="tx1"/>
                  </w14:solidFill>
                </w14:textFill>
              </w:rPr>
              <w:t>分类</w:t>
            </w:r>
          </w:p>
        </w:tc>
        <w:tc>
          <w:tcPr>
            <w:tcW w:w="1417" w:type="dxa"/>
            <w:tcMar>
              <w:left w:w="28" w:type="dxa"/>
              <w:right w:w="28" w:type="dxa"/>
            </w:tcMar>
            <w:vAlign w:val="center"/>
          </w:tcPr>
          <w:p w14:paraId="646F9B8B">
            <w:pPr>
              <w:pStyle w:val="51"/>
              <w:spacing w:before="24" w:after="24" w:line="240" w:lineRule="auto"/>
              <w:rPr>
                <w:rFonts w:hint="default" w:ascii="Times New Roman" w:hAnsi="Times New Roman" w:eastAsia="黑体" w:cs="Times New Roman"/>
                <w:snapToGrid w:val="0"/>
                <w:color w:val="000000" w:themeColor="text1"/>
                <w:spacing w:val="-6"/>
                <w:kern w:val="21"/>
                <w:szCs w:val="21"/>
                <w:highlight w:val="none"/>
                <w14:textFill>
                  <w14:solidFill>
                    <w14:schemeClr w14:val="tx1"/>
                  </w14:solidFill>
                </w14:textFill>
              </w:rPr>
            </w:pPr>
            <w:r>
              <w:rPr>
                <w:rFonts w:hint="default" w:ascii="Times New Roman" w:hAnsi="Times New Roman" w:eastAsia="黑体" w:cs="Times New Roman"/>
                <w:snapToGrid w:val="0"/>
                <w:color w:val="000000" w:themeColor="text1"/>
                <w:spacing w:val="-6"/>
                <w:kern w:val="21"/>
                <w:szCs w:val="21"/>
                <w:highlight w:val="none"/>
                <w14:textFill>
                  <w14:solidFill>
                    <w14:schemeClr w14:val="tx1"/>
                  </w14:solidFill>
                </w14:textFill>
              </w:rPr>
              <w:t>污染物名称</w:t>
            </w:r>
          </w:p>
        </w:tc>
        <w:tc>
          <w:tcPr>
            <w:tcW w:w="1701" w:type="dxa"/>
            <w:tcMar>
              <w:left w:w="28" w:type="dxa"/>
              <w:right w:w="28" w:type="dxa"/>
            </w:tcMar>
            <w:vAlign w:val="center"/>
          </w:tcPr>
          <w:p w14:paraId="1508D337">
            <w:pPr>
              <w:pStyle w:val="51"/>
              <w:spacing w:before="24" w:after="24" w:line="240" w:lineRule="auto"/>
              <w:rPr>
                <w:rFonts w:hint="default" w:ascii="Times New Roman" w:hAnsi="Times New Roman" w:eastAsia="黑体" w:cs="Times New Roman"/>
                <w:snapToGrid w:val="0"/>
                <w:color w:val="000000" w:themeColor="text1"/>
                <w:spacing w:val="-6"/>
                <w:kern w:val="21"/>
                <w:szCs w:val="21"/>
                <w:highlight w:val="none"/>
                <w14:textFill>
                  <w14:solidFill>
                    <w14:schemeClr w14:val="tx1"/>
                  </w14:solidFill>
                </w14:textFill>
              </w:rPr>
            </w:pPr>
            <w:r>
              <w:rPr>
                <w:rFonts w:hint="default" w:ascii="Times New Roman" w:hAnsi="Times New Roman" w:eastAsia="黑体" w:cs="Times New Roman"/>
                <w:snapToGrid w:val="0"/>
                <w:color w:val="000000" w:themeColor="text1"/>
                <w:spacing w:val="-6"/>
                <w:kern w:val="21"/>
                <w:szCs w:val="21"/>
                <w:highlight w:val="none"/>
                <w14:textFill>
                  <w14:solidFill>
                    <w14:schemeClr w14:val="tx1"/>
                  </w14:solidFill>
                </w14:textFill>
              </w:rPr>
              <w:t>现有工程</w:t>
            </w:r>
          </w:p>
          <w:p w14:paraId="07C4B491">
            <w:pPr>
              <w:pStyle w:val="51"/>
              <w:spacing w:before="24" w:after="24" w:line="240" w:lineRule="auto"/>
              <w:rPr>
                <w:rFonts w:hint="default" w:ascii="Times New Roman" w:hAnsi="Times New Roman" w:eastAsia="黑体" w:cs="Times New Roman"/>
                <w:snapToGrid w:val="0"/>
                <w:color w:val="000000" w:themeColor="text1"/>
                <w:spacing w:val="-6"/>
                <w:kern w:val="21"/>
                <w:szCs w:val="21"/>
                <w:highlight w:val="none"/>
                <w14:textFill>
                  <w14:solidFill>
                    <w14:schemeClr w14:val="tx1"/>
                  </w14:solidFill>
                </w14:textFill>
              </w:rPr>
            </w:pPr>
            <w:r>
              <w:rPr>
                <w:rFonts w:hint="default" w:ascii="Times New Roman" w:hAnsi="Times New Roman" w:eastAsia="黑体" w:cs="Times New Roman"/>
                <w:snapToGrid w:val="0"/>
                <w:color w:val="000000" w:themeColor="text1"/>
                <w:spacing w:val="-6"/>
                <w:kern w:val="21"/>
                <w:szCs w:val="21"/>
                <w:highlight w:val="none"/>
                <w14:textFill>
                  <w14:solidFill>
                    <w14:schemeClr w14:val="tx1"/>
                  </w14:solidFill>
                </w14:textFill>
              </w:rPr>
              <w:t>排放量（固体废物产生量）</w:t>
            </w:r>
            <w:r>
              <w:rPr>
                <w:rFonts w:hint="default" w:ascii="Times New Roman" w:hAnsi="Times New Roman" w:eastAsia="黑体" w:cs="Times New Roman"/>
                <w:snapToGrid w:val="0"/>
                <w:color w:val="000000" w:themeColor="text1"/>
                <w:spacing w:val="-6"/>
                <w:kern w:val="21"/>
                <w:szCs w:val="21"/>
                <w:highlight w:val="none"/>
                <w14:textFill>
                  <w14:solidFill>
                    <w14:schemeClr w14:val="tx1"/>
                  </w14:solidFill>
                </w14:textFill>
              </w:rPr>
              <w:fldChar w:fldCharType="begin"/>
            </w:r>
            <w:r>
              <w:rPr>
                <w:rFonts w:hint="default" w:ascii="Times New Roman" w:hAnsi="Times New Roman" w:eastAsia="黑体" w:cs="Times New Roman"/>
                <w:snapToGrid w:val="0"/>
                <w:color w:val="000000" w:themeColor="text1"/>
                <w:spacing w:val="-6"/>
                <w:kern w:val="21"/>
                <w:szCs w:val="21"/>
                <w:highlight w:val="none"/>
                <w14:textFill>
                  <w14:solidFill>
                    <w14:schemeClr w14:val="tx1"/>
                  </w14:solidFill>
                </w14:textFill>
              </w:rPr>
              <w:instrText xml:space="preserve"> = 1 \* GB3 \* MERGEFORMAT </w:instrText>
            </w:r>
            <w:r>
              <w:rPr>
                <w:rFonts w:hint="default" w:ascii="Times New Roman" w:hAnsi="Times New Roman" w:eastAsia="黑体" w:cs="Times New Roman"/>
                <w:snapToGrid w:val="0"/>
                <w:color w:val="000000" w:themeColor="text1"/>
                <w:spacing w:val="-6"/>
                <w:kern w:val="21"/>
                <w:szCs w:val="21"/>
                <w:highlight w:val="none"/>
                <w14:textFill>
                  <w14:solidFill>
                    <w14:schemeClr w14:val="tx1"/>
                  </w14:solidFill>
                </w14:textFill>
              </w:rPr>
              <w:fldChar w:fldCharType="separate"/>
            </w:r>
            <w:r>
              <w:rPr>
                <w:rFonts w:hint="default" w:ascii="Times New Roman" w:hAnsi="Times New Roman" w:cs="Times New Roman"/>
                <w:color w:val="000000" w:themeColor="text1"/>
                <w:szCs w:val="21"/>
                <w:highlight w:val="none"/>
                <w14:textFill>
                  <w14:solidFill>
                    <w14:schemeClr w14:val="tx1"/>
                  </w14:solidFill>
                </w14:textFill>
              </w:rPr>
              <w:t>①</w:t>
            </w:r>
            <w:r>
              <w:rPr>
                <w:rFonts w:hint="default" w:ascii="Times New Roman" w:hAnsi="Times New Roman" w:eastAsia="黑体" w:cs="Times New Roman"/>
                <w:snapToGrid w:val="0"/>
                <w:color w:val="000000" w:themeColor="text1"/>
                <w:spacing w:val="-6"/>
                <w:kern w:val="21"/>
                <w:szCs w:val="21"/>
                <w:highlight w:val="none"/>
                <w14:textFill>
                  <w14:solidFill>
                    <w14:schemeClr w14:val="tx1"/>
                  </w14:solidFill>
                </w14:textFill>
              </w:rPr>
              <w:fldChar w:fldCharType="end"/>
            </w:r>
          </w:p>
        </w:tc>
        <w:tc>
          <w:tcPr>
            <w:tcW w:w="1276" w:type="dxa"/>
            <w:tcMar>
              <w:left w:w="28" w:type="dxa"/>
              <w:right w:w="28" w:type="dxa"/>
            </w:tcMar>
            <w:vAlign w:val="center"/>
          </w:tcPr>
          <w:p w14:paraId="09B63D84">
            <w:pPr>
              <w:pStyle w:val="51"/>
              <w:spacing w:before="24" w:after="24" w:line="240" w:lineRule="auto"/>
              <w:rPr>
                <w:rFonts w:hint="default" w:ascii="Times New Roman" w:hAnsi="Times New Roman" w:eastAsia="黑体" w:cs="Times New Roman"/>
                <w:snapToGrid w:val="0"/>
                <w:color w:val="000000" w:themeColor="text1"/>
                <w:spacing w:val="-6"/>
                <w:kern w:val="21"/>
                <w:szCs w:val="21"/>
                <w:highlight w:val="none"/>
                <w14:textFill>
                  <w14:solidFill>
                    <w14:schemeClr w14:val="tx1"/>
                  </w14:solidFill>
                </w14:textFill>
              </w:rPr>
            </w:pPr>
            <w:r>
              <w:rPr>
                <w:rFonts w:hint="default" w:ascii="Times New Roman" w:hAnsi="Times New Roman" w:eastAsia="黑体" w:cs="Times New Roman"/>
                <w:snapToGrid w:val="0"/>
                <w:color w:val="000000" w:themeColor="text1"/>
                <w:spacing w:val="-6"/>
                <w:kern w:val="21"/>
                <w:szCs w:val="21"/>
                <w:highlight w:val="none"/>
                <w14:textFill>
                  <w14:solidFill>
                    <w14:schemeClr w14:val="tx1"/>
                  </w14:solidFill>
                </w14:textFill>
              </w:rPr>
              <w:t>现有工程</w:t>
            </w:r>
          </w:p>
          <w:p w14:paraId="60AB730D">
            <w:pPr>
              <w:pStyle w:val="51"/>
              <w:spacing w:before="24" w:after="24" w:line="240" w:lineRule="auto"/>
              <w:rPr>
                <w:rFonts w:hint="default" w:ascii="Times New Roman" w:hAnsi="Times New Roman" w:eastAsia="黑体" w:cs="Times New Roman"/>
                <w:snapToGrid w:val="0"/>
                <w:color w:val="000000" w:themeColor="text1"/>
                <w:spacing w:val="-6"/>
                <w:kern w:val="21"/>
                <w:szCs w:val="21"/>
                <w:highlight w:val="none"/>
                <w14:textFill>
                  <w14:solidFill>
                    <w14:schemeClr w14:val="tx1"/>
                  </w14:solidFill>
                </w14:textFill>
              </w:rPr>
            </w:pPr>
            <w:r>
              <w:rPr>
                <w:rFonts w:hint="default" w:ascii="Times New Roman" w:hAnsi="Times New Roman" w:eastAsia="黑体" w:cs="Times New Roman"/>
                <w:snapToGrid w:val="0"/>
                <w:color w:val="000000" w:themeColor="text1"/>
                <w:spacing w:val="-6"/>
                <w:kern w:val="21"/>
                <w:szCs w:val="21"/>
                <w:highlight w:val="none"/>
                <w14:textFill>
                  <w14:solidFill>
                    <w14:schemeClr w14:val="tx1"/>
                  </w14:solidFill>
                </w14:textFill>
              </w:rPr>
              <w:t>许可排放量</w:t>
            </w:r>
          </w:p>
          <w:p w14:paraId="221C5A12">
            <w:pPr>
              <w:pStyle w:val="51"/>
              <w:spacing w:before="24" w:after="24"/>
              <w:rPr>
                <w:rFonts w:hint="default" w:ascii="Times New Roman" w:hAnsi="Times New Roman" w:eastAsia="黑体" w:cs="Times New Roman"/>
                <w:snapToGrid w:val="0"/>
                <w:color w:val="000000" w:themeColor="text1"/>
                <w:spacing w:val="-6"/>
                <w:kern w:val="21"/>
                <w:szCs w:val="21"/>
                <w:highlight w:val="none"/>
                <w14:textFill>
                  <w14:solidFill>
                    <w14:schemeClr w14:val="tx1"/>
                  </w14:solidFill>
                </w14:textFill>
              </w:rPr>
            </w:pPr>
            <w:r>
              <w:rPr>
                <w:rFonts w:hint="default" w:ascii="Times New Roman" w:hAnsi="Times New Roman" w:eastAsia="黑体" w:cs="Times New Roman"/>
                <w:snapToGrid w:val="0"/>
                <w:color w:val="000000" w:themeColor="text1"/>
                <w:spacing w:val="-6"/>
                <w:kern w:val="21"/>
                <w:szCs w:val="21"/>
                <w:highlight w:val="none"/>
                <w14:textFill>
                  <w14:solidFill>
                    <w14:schemeClr w14:val="tx1"/>
                  </w14:solidFill>
                </w14:textFill>
              </w:rPr>
              <w:fldChar w:fldCharType="begin"/>
            </w:r>
            <w:r>
              <w:rPr>
                <w:rFonts w:hint="default" w:ascii="Times New Roman" w:hAnsi="Times New Roman" w:eastAsia="黑体" w:cs="Times New Roman"/>
                <w:snapToGrid w:val="0"/>
                <w:color w:val="000000" w:themeColor="text1"/>
                <w:spacing w:val="-6"/>
                <w:kern w:val="21"/>
                <w:szCs w:val="21"/>
                <w:highlight w:val="none"/>
                <w14:textFill>
                  <w14:solidFill>
                    <w14:schemeClr w14:val="tx1"/>
                  </w14:solidFill>
                </w14:textFill>
              </w:rPr>
              <w:instrText xml:space="preserve"> = 2 \* GB3 \* MERGEFORMAT </w:instrText>
            </w:r>
            <w:r>
              <w:rPr>
                <w:rFonts w:hint="default" w:ascii="Times New Roman" w:hAnsi="Times New Roman" w:eastAsia="黑体" w:cs="Times New Roman"/>
                <w:snapToGrid w:val="0"/>
                <w:color w:val="000000" w:themeColor="text1"/>
                <w:spacing w:val="-6"/>
                <w:kern w:val="21"/>
                <w:szCs w:val="21"/>
                <w:highlight w:val="none"/>
                <w14:textFill>
                  <w14:solidFill>
                    <w14:schemeClr w14:val="tx1"/>
                  </w14:solidFill>
                </w14:textFill>
              </w:rPr>
              <w:fldChar w:fldCharType="separate"/>
            </w:r>
            <w:r>
              <w:rPr>
                <w:rFonts w:hint="default" w:ascii="Times New Roman" w:hAnsi="Times New Roman" w:cs="Times New Roman"/>
                <w:snapToGrid w:val="0"/>
                <w:color w:val="000000" w:themeColor="text1"/>
                <w:spacing w:val="-6"/>
                <w:kern w:val="21"/>
                <w:szCs w:val="21"/>
                <w:highlight w:val="none"/>
                <w14:textFill>
                  <w14:solidFill>
                    <w14:schemeClr w14:val="tx1"/>
                  </w14:solidFill>
                </w14:textFill>
              </w:rPr>
              <w:t>②</w:t>
            </w:r>
            <w:r>
              <w:rPr>
                <w:rFonts w:hint="default" w:ascii="Times New Roman" w:hAnsi="Times New Roman" w:eastAsia="黑体" w:cs="Times New Roman"/>
                <w:snapToGrid w:val="0"/>
                <w:color w:val="000000" w:themeColor="text1"/>
                <w:spacing w:val="-6"/>
                <w:kern w:val="21"/>
                <w:szCs w:val="21"/>
                <w:highlight w:val="none"/>
                <w14:textFill>
                  <w14:solidFill>
                    <w14:schemeClr w14:val="tx1"/>
                  </w14:solidFill>
                </w14:textFill>
              </w:rPr>
              <w:fldChar w:fldCharType="end"/>
            </w:r>
          </w:p>
        </w:tc>
        <w:tc>
          <w:tcPr>
            <w:tcW w:w="1701" w:type="dxa"/>
            <w:tcMar>
              <w:left w:w="28" w:type="dxa"/>
              <w:right w:w="28" w:type="dxa"/>
            </w:tcMar>
            <w:vAlign w:val="center"/>
          </w:tcPr>
          <w:p w14:paraId="19DFCC86">
            <w:pPr>
              <w:pStyle w:val="51"/>
              <w:spacing w:before="24" w:after="24" w:line="240" w:lineRule="auto"/>
              <w:rPr>
                <w:rFonts w:hint="default" w:ascii="Times New Roman" w:hAnsi="Times New Roman" w:eastAsia="黑体" w:cs="Times New Roman"/>
                <w:snapToGrid w:val="0"/>
                <w:color w:val="000000" w:themeColor="text1"/>
                <w:spacing w:val="-6"/>
                <w:kern w:val="21"/>
                <w:szCs w:val="21"/>
                <w:highlight w:val="none"/>
                <w14:textFill>
                  <w14:solidFill>
                    <w14:schemeClr w14:val="tx1"/>
                  </w14:solidFill>
                </w14:textFill>
              </w:rPr>
            </w:pPr>
            <w:r>
              <w:rPr>
                <w:rFonts w:hint="default" w:ascii="Times New Roman" w:hAnsi="Times New Roman" w:eastAsia="黑体" w:cs="Times New Roman"/>
                <w:snapToGrid w:val="0"/>
                <w:color w:val="000000" w:themeColor="text1"/>
                <w:spacing w:val="-6"/>
                <w:kern w:val="21"/>
                <w:szCs w:val="21"/>
                <w:highlight w:val="none"/>
                <w14:textFill>
                  <w14:solidFill>
                    <w14:schemeClr w14:val="tx1"/>
                  </w14:solidFill>
                </w14:textFill>
              </w:rPr>
              <w:t>在建工程</w:t>
            </w:r>
          </w:p>
          <w:p w14:paraId="0EFE0E6F">
            <w:pPr>
              <w:pStyle w:val="51"/>
              <w:spacing w:before="24" w:after="24" w:line="240" w:lineRule="auto"/>
              <w:rPr>
                <w:rFonts w:hint="default" w:ascii="Times New Roman" w:hAnsi="Times New Roman" w:eastAsia="黑体" w:cs="Times New Roman"/>
                <w:snapToGrid w:val="0"/>
                <w:color w:val="000000" w:themeColor="text1"/>
                <w:spacing w:val="-6"/>
                <w:kern w:val="21"/>
                <w:szCs w:val="21"/>
                <w:highlight w:val="none"/>
                <w14:textFill>
                  <w14:solidFill>
                    <w14:schemeClr w14:val="tx1"/>
                  </w14:solidFill>
                </w14:textFill>
              </w:rPr>
            </w:pPr>
            <w:r>
              <w:rPr>
                <w:rFonts w:hint="default" w:ascii="Times New Roman" w:hAnsi="Times New Roman" w:eastAsia="黑体" w:cs="Times New Roman"/>
                <w:snapToGrid w:val="0"/>
                <w:color w:val="000000" w:themeColor="text1"/>
                <w:spacing w:val="-6"/>
                <w:kern w:val="21"/>
                <w:szCs w:val="21"/>
                <w:highlight w:val="none"/>
                <w14:textFill>
                  <w14:solidFill>
                    <w14:schemeClr w14:val="tx1"/>
                  </w14:solidFill>
                </w14:textFill>
              </w:rPr>
              <w:t>排放量（固体废物产生量）</w:t>
            </w:r>
            <w:r>
              <w:rPr>
                <w:rFonts w:hint="default" w:ascii="Times New Roman" w:hAnsi="Times New Roman" w:eastAsia="黑体" w:cs="Times New Roman"/>
                <w:snapToGrid w:val="0"/>
                <w:color w:val="000000" w:themeColor="text1"/>
                <w:spacing w:val="-6"/>
                <w:kern w:val="21"/>
                <w:szCs w:val="21"/>
                <w:highlight w:val="none"/>
                <w14:textFill>
                  <w14:solidFill>
                    <w14:schemeClr w14:val="tx1"/>
                  </w14:solidFill>
                </w14:textFill>
              </w:rPr>
              <w:fldChar w:fldCharType="begin"/>
            </w:r>
            <w:r>
              <w:rPr>
                <w:rFonts w:hint="default" w:ascii="Times New Roman" w:hAnsi="Times New Roman" w:eastAsia="黑体" w:cs="Times New Roman"/>
                <w:snapToGrid w:val="0"/>
                <w:color w:val="000000" w:themeColor="text1"/>
                <w:spacing w:val="-6"/>
                <w:kern w:val="21"/>
                <w:szCs w:val="21"/>
                <w:highlight w:val="none"/>
                <w14:textFill>
                  <w14:solidFill>
                    <w14:schemeClr w14:val="tx1"/>
                  </w14:solidFill>
                </w14:textFill>
              </w:rPr>
              <w:instrText xml:space="preserve"> = 3 \* GB3 \* MERGEFORMAT </w:instrText>
            </w:r>
            <w:r>
              <w:rPr>
                <w:rFonts w:hint="default" w:ascii="Times New Roman" w:hAnsi="Times New Roman" w:eastAsia="黑体" w:cs="Times New Roman"/>
                <w:snapToGrid w:val="0"/>
                <w:color w:val="000000" w:themeColor="text1"/>
                <w:spacing w:val="-6"/>
                <w:kern w:val="21"/>
                <w:szCs w:val="21"/>
                <w:highlight w:val="none"/>
                <w14:textFill>
                  <w14:solidFill>
                    <w14:schemeClr w14:val="tx1"/>
                  </w14:solidFill>
                </w14:textFill>
              </w:rPr>
              <w:fldChar w:fldCharType="separate"/>
            </w:r>
            <w:r>
              <w:rPr>
                <w:rFonts w:hint="default" w:ascii="Times New Roman" w:hAnsi="Times New Roman" w:cs="Times New Roman"/>
                <w:color w:val="000000" w:themeColor="text1"/>
                <w:szCs w:val="21"/>
                <w:highlight w:val="none"/>
                <w14:textFill>
                  <w14:solidFill>
                    <w14:schemeClr w14:val="tx1"/>
                  </w14:solidFill>
                </w14:textFill>
              </w:rPr>
              <w:t>③</w:t>
            </w:r>
            <w:r>
              <w:rPr>
                <w:rFonts w:hint="default" w:ascii="Times New Roman" w:hAnsi="Times New Roman" w:eastAsia="黑体" w:cs="Times New Roman"/>
                <w:snapToGrid w:val="0"/>
                <w:color w:val="000000" w:themeColor="text1"/>
                <w:spacing w:val="-6"/>
                <w:kern w:val="21"/>
                <w:szCs w:val="21"/>
                <w:highlight w:val="none"/>
                <w14:textFill>
                  <w14:solidFill>
                    <w14:schemeClr w14:val="tx1"/>
                  </w14:solidFill>
                </w14:textFill>
              </w:rPr>
              <w:fldChar w:fldCharType="end"/>
            </w:r>
          </w:p>
        </w:tc>
        <w:tc>
          <w:tcPr>
            <w:tcW w:w="1559" w:type="dxa"/>
            <w:tcMar>
              <w:left w:w="28" w:type="dxa"/>
              <w:right w:w="28" w:type="dxa"/>
            </w:tcMar>
            <w:vAlign w:val="center"/>
          </w:tcPr>
          <w:p w14:paraId="3D0DB8B8">
            <w:pPr>
              <w:pStyle w:val="51"/>
              <w:spacing w:before="24" w:after="24" w:line="240" w:lineRule="auto"/>
              <w:rPr>
                <w:rFonts w:hint="default" w:ascii="Times New Roman" w:hAnsi="Times New Roman" w:eastAsia="黑体" w:cs="Times New Roman"/>
                <w:snapToGrid w:val="0"/>
                <w:color w:val="000000" w:themeColor="text1"/>
                <w:spacing w:val="-6"/>
                <w:kern w:val="21"/>
                <w:szCs w:val="21"/>
                <w:highlight w:val="none"/>
                <w14:textFill>
                  <w14:solidFill>
                    <w14:schemeClr w14:val="tx1"/>
                  </w14:solidFill>
                </w14:textFill>
              </w:rPr>
            </w:pPr>
            <w:r>
              <w:rPr>
                <w:rFonts w:hint="default" w:ascii="Times New Roman" w:hAnsi="Times New Roman" w:eastAsia="黑体" w:cs="Times New Roman"/>
                <w:snapToGrid w:val="0"/>
                <w:color w:val="000000" w:themeColor="text1"/>
                <w:spacing w:val="-6"/>
                <w:kern w:val="21"/>
                <w:szCs w:val="21"/>
                <w:highlight w:val="none"/>
                <w14:textFill>
                  <w14:solidFill>
                    <w14:schemeClr w14:val="tx1"/>
                  </w14:solidFill>
                </w14:textFill>
              </w:rPr>
              <w:t>本项目</w:t>
            </w:r>
          </w:p>
          <w:p w14:paraId="44767A9A">
            <w:pPr>
              <w:pStyle w:val="51"/>
              <w:spacing w:before="24" w:after="24" w:line="240" w:lineRule="auto"/>
              <w:rPr>
                <w:rFonts w:hint="default" w:ascii="Times New Roman" w:hAnsi="Times New Roman" w:eastAsia="黑体" w:cs="Times New Roman"/>
                <w:snapToGrid w:val="0"/>
                <w:color w:val="000000" w:themeColor="text1"/>
                <w:spacing w:val="-6"/>
                <w:kern w:val="21"/>
                <w:szCs w:val="21"/>
                <w:highlight w:val="none"/>
                <w14:textFill>
                  <w14:solidFill>
                    <w14:schemeClr w14:val="tx1"/>
                  </w14:solidFill>
                </w14:textFill>
              </w:rPr>
            </w:pPr>
            <w:r>
              <w:rPr>
                <w:rFonts w:hint="default" w:ascii="Times New Roman" w:hAnsi="Times New Roman" w:eastAsia="黑体" w:cs="Times New Roman"/>
                <w:snapToGrid w:val="0"/>
                <w:color w:val="000000" w:themeColor="text1"/>
                <w:spacing w:val="-6"/>
                <w:kern w:val="21"/>
                <w:szCs w:val="21"/>
                <w:highlight w:val="none"/>
                <w14:textFill>
                  <w14:solidFill>
                    <w14:schemeClr w14:val="tx1"/>
                  </w14:solidFill>
                </w14:textFill>
              </w:rPr>
              <w:t>排放量（固体废物产生量）</w:t>
            </w:r>
            <w:r>
              <w:rPr>
                <w:rFonts w:hint="default" w:ascii="Times New Roman" w:hAnsi="Times New Roman" w:eastAsia="黑体" w:cs="Times New Roman"/>
                <w:snapToGrid w:val="0"/>
                <w:color w:val="000000" w:themeColor="text1"/>
                <w:spacing w:val="-6"/>
                <w:kern w:val="21"/>
                <w:szCs w:val="21"/>
                <w:highlight w:val="none"/>
                <w14:textFill>
                  <w14:solidFill>
                    <w14:schemeClr w14:val="tx1"/>
                  </w14:solidFill>
                </w14:textFill>
              </w:rPr>
              <w:fldChar w:fldCharType="begin"/>
            </w:r>
            <w:r>
              <w:rPr>
                <w:rFonts w:hint="default" w:ascii="Times New Roman" w:hAnsi="Times New Roman" w:eastAsia="黑体" w:cs="Times New Roman"/>
                <w:snapToGrid w:val="0"/>
                <w:color w:val="000000" w:themeColor="text1"/>
                <w:spacing w:val="-6"/>
                <w:kern w:val="21"/>
                <w:szCs w:val="21"/>
                <w:highlight w:val="none"/>
                <w14:textFill>
                  <w14:solidFill>
                    <w14:schemeClr w14:val="tx1"/>
                  </w14:solidFill>
                </w14:textFill>
              </w:rPr>
              <w:instrText xml:space="preserve"> = 4 \* GB3 \* MERGEFORMAT </w:instrText>
            </w:r>
            <w:r>
              <w:rPr>
                <w:rFonts w:hint="default" w:ascii="Times New Roman" w:hAnsi="Times New Roman" w:eastAsia="黑体" w:cs="Times New Roman"/>
                <w:snapToGrid w:val="0"/>
                <w:color w:val="000000" w:themeColor="text1"/>
                <w:spacing w:val="-6"/>
                <w:kern w:val="21"/>
                <w:szCs w:val="21"/>
                <w:highlight w:val="none"/>
                <w14:textFill>
                  <w14:solidFill>
                    <w14:schemeClr w14:val="tx1"/>
                  </w14:solidFill>
                </w14:textFill>
              </w:rPr>
              <w:fldChar w:fldCharType="separate"/>
            </w:r>
            <w:r>
              <w:rPr>
                <w:rFonts w:hint="default" w:ascii="Times New Roman" w:hAnsi="Times New Roman" w:cs="Times New Roman"/>
                <w:color w:val="000000" w:themeColor="text1"/>
                <w:szCs w:val="21"/>
                <w:highlight w:val="none"/>
                <w14:textFill>
                  <w14:solidFill>
                    <w14:schemeClr w14:val="tx1"/>
                  </w14:solidFill>
                </w14:textFill>
              </w:rPr>
              <w:t>④</w:t>
            </w:r>
            <w:r>
              <w:rPr>
                <w:rFonts w:hint="default" w:ascii="Times New Roman" w:hAnsi="Times New Roman" w:eastAsia="黑体" w:cs="Times New Roman"/>
                <w:snapToGrid w:val="0"/>
                <w:color w:val="000000" w:themeColor="text1"/>
                <w:spacing w:val="-6"/>
                <w:kern w:val="21"/>
                <w:szCs w:val="21"/>
                <w:highlight w:val="none"/>
                <w14:textFill>
                  <w14:solidFill>
                    <w14:schemeClr w14:val="tx1"/>
                  </w14:solidFill>
                </w14:textFill>
              </w:rPr>
              <w:fldChar w:fldCharType="end"/>
            </w:r>
          </w:p>
        </w:tc>
        <w:tc>
          <w:tcPr>
            <w:tcW w:w="1761" w:type="dxa"/>
            <w:tcMar>
              <w:left w:w="28" w:type="dxa"/>
              <w:right w:w="28" w:type="dxa"/>
            </w:tcMar>
            <w:vAlign w:val="center"/>
          </w:tcPr>
          <w:p w14:paraId="2862796F">
            <w:pPr>
              <w:pStyle w:val="51"/>
              <w:spacing w:before="24" w:after="24" w:line="240" w:lineRule="auto"/>
              <w:rPr>
                <w:rFonts w:hint="default" w:ascii="Times New Roman" w:hAnsi="Times New Roman" w:eastAsia="黑体" w:cs="Times New Roman"/>
                <w:snapToGrid w:val="0"/>
                <w:color w:val="000000" w:themeColor="text1"/>
                <w:spacing w:val="-16"/>
                <w:kern w:val="21"/>
                <w:szCs w:val="21"/>
                <w:highlight w:val="none"/>
                <w14:textFill>
                  <w14:solidFill>
                    <w14:schemeClr w14:val="tx1"/>
                  </w14:solidFill>
                </w14:textFill>
              </w:rPr>
            </w:pPr>
            <w:r>
              <w:rPr>
                <w:rFonts w:hint="default" w:ascii="Times New Roman" w:hAnsi="Times New Roman" w:eastAsia="黑体" w:cs="Times New Roman"/>
                <w:snapToGrid w:val="0"/>
                <w:color w:val="000000" w:themeColor="text1"/>
                <w:spacing w:val="-16"/>
                <w:kern w:val="21"/>
                <w:szCs w:val="21"/>
                <w:highlight w:val="none"/>
                <w14:textFill>
                  <w14:solidFill>
                    <w14:schemeClr w14:val="tx1"/>
                  </w14:solidFill>
                </w14:textFill>
              </w:rPr>
              <w:t>以新带老削减量</w:t>
            </w:r>
          </w:p>
          <w:p w14:paraId="46BA08E8">
            <w:pPr>
              <w:pStyle w:val="51"/>
              <w:spacing w:before="24" w:after="24" w:line="240" w:lineRule="auto"/>
              <w:rPr>
                <w:rFonts w:hint="default" w:ascii="Times New Roman" w:hAnsi="Times New Roman" w:eastAsia="黑体" w:cs="Times New Roman"/>
                <w:snapToGrid w:val="0"/>
                <w:color w:val="000000" w:themeColor="text1"/>
                <w:spacing w:val="-16"/>
                <w:kern w:val="21"/>
                <w:szCs w:val="21"/>
                <w:highlight w:val="none"/>
                <w14:textFill>
                  <w14:solidFill>
                    <w14:schemeClr w14:val="tx1"/>
                  </w14:solidFill>
                </w14:textFill>
              </w:rPr>
            </w:pPr>
            <w:r>
              <w:rPr>
                <w:rFonts w:hint="default" w:ascii="Times New Roman" w:hAnsi="Times New Roman" w:eastAsia="黑体" w:cs="Times New Roman"/>
                <w:snapToGrid w:val="0"/>
                <w:color w:val="000000" w:themeColor="text1"/>
                <w:spacing w:val="-16"/>
                <w:kern w:val="21"/>
                <w:szCs w:val="21"/>
                <w:highlight w:val="none"/>
                <w14:textFill>
                  <w14:solidFill>
                    <w14:schemeClr w14:val="tx1"/>
                  </w14:solidFill>
                </w14:textFill>
              </w:rPr>
              <w:t>（新建项目不填）</w:t>
            </w:r>
            <w:r>
              <w:rPr>
                <w:rFonts w:hint="default" w:ascii="Times New Roman" w:hAnsi="Times New Roman" w:eastAsia="黑体" w:cs="Times New Roman"/>
                <w:snapToGrid w:val="0"/>
                <w:color w:val="000000" w:themeColor="text1"/>
                <w:spacing w:val="-16"/>
                <w:kern w:val="21"/>
                <w:szCs w:val="21"/>
                <w:highlight w:val="none"/>
                <w14:textFill>
                  <w14:solidFill>
                    <w14:schemeClr w14:val="tx1"/>
                  </w14:solidFill>
                </w14:textFill>
              </w:rPr>
              <w:fldChar w:fldCharType="begin"/>
            </w:r>
            <w:r>
              <w:rPr>
                <w:rFonts w:hint="default" w:ascii="Times New Roman" w:hAnsi="Times New Roman" w:eastAsia="黑体" w:cs="Times New Roman"/>
                <w:snapToGrid w:val="0"/>
                <w:color w:val="000000" w:themeColor="text1"/>
                <w:spacing w:val="-16"/>
                <w:kern w:val="21"/>
                <w:szCs w:val="21"/>
                <w:highlight w:val="none"/>
                <w14:textFill>
                  <w14:solidFill>
                    <w14:schemeClr w14:val="tx1"/>
                  </w14:solidFill>
                </w14:textFill>
              </w:rPr>
              <w:instrText xml:space="preserve"> = 5 \* GB3 \* MERGEFORMAT </w:instrText>
            </w:r>
            <w:r>
              <w:rPr>
                <w:rFonts w:hint="default" w:ascii="Times New Roman" w:hAnsi="Times New Roman" w:eastAsia="黑体" w:cs="Times New Roman"/>
                <w:snapToGrid w:val="0"/>
                <w:color w:val="000000" w:themeColor="text1"/>
                <w:spacing w:val="-16"/>
                <w:kern w:val="21"/>
                <w:szCs w:val="21"/>
                <w:highlight w:val="none"/>
                <w14:textFill>
                  <w14:solidFill>
                    <w14:schemeClr w14:val="tx1"/>
                  </w14:solidFill>
                </w14:textFill>
              </w:rPr>
              <w:fldChar w:fldCharType="separate"/>
            </w:r>
            <w:r>
              <w:rPr>
                <w:rFonts w:hint="default" w:ascii="Times New Roman" w:hAnsi="Times New Roman" w:cs="Times New Roman"/>
                <w:color w:val="000000" w:themeColor="text1"/>
                <w:szCs w:val="21"/>
                <w:highlight w:val="none"/>
                <w14:textFill>
                  <w14:solidFill>
                    <w14:schemeClr w14:val="tx1"/>
                  </w14:solidFill>
                </w14:textFill>
              </w:rPr>
              <w:t>⑤</w:t>
            </w:r>
            <w:r>
              <w:rPr>
                <w:rFonts w:hint="default" w:ascii="Times New Roman" w:hAnsi="Times New Roman" w:eastAsia="黑体" w:cs="Times New Roman"/>
                <w:snapToGrid w:val="0"/>
                <w:color w:val="000000" w:themeColor="text1"/>
                <w:spacing w:val="-16"/>
                <w:kern w:val="21"/>
                <w:szCs w:val="21"/>
                <w:highlight w:val="none"/>
                <w14:textFill>
                  <w14:solidFill>
                    <w14:schemeClr w14:val="tx1"/>
                  </w14:solidFill>
                </w14:textFill>
              </w:rPr>
              <w:fldChar w:fldCharType="end"/>
            </w:r>
          </w:p>
        </w:tc>
        <w:tc>
          <w:tcPr>
            <w:tcW w:w="1714" w:type="dxa"/>
            <w:tcMar>
              <w:left w:w="28" w:type="dxa"/>
              <w:right w:w="28" w:type="dxa"/>
            </w:tcMar>
            <w:vAlign w:val="center"/>
          </w:tcPr>
          <w:p w14:paraId="69D02A8C">
            <w:pPr>
              <w:pStyle w:val="51"/>
              <w:spacing w:before="24" w:after="24" w:line="240" w:lineRule="auto"/>
              <w:rPr>
                <w:rFonts w:hint="default" w:ascii="Times New Roman" w:hAnsi="Times New Roman" w:eastAsia="黑体" w:cs="Times New Roman"/>
                <w:snapToGrid w:val="0"/>
                <w:color w:val="000000" w:themeColor="text1"/>
                <w:spacing w:val="-16"/>
                <w:kern w:val="21"/>
                <w:szCs w:val="21"/>
                <w:highlight w:val="none"/>
                <w14:textFill>
                  <w14:solidFill>
                    <w14:schemeClr w14:val="tx1"/>
                  </w14:solidFill>
                </w14:textFill>
              </w:rPr>
            </w:pPr>
            <w:r>
              <w:rPr>
                <w:rFonts w:hint="default" w:ascii="Times New Roman" w:hAnsi="Times New Roman" w:eastAsia="黑体" w:cs="Times New Roman"/>
                <w:snapToGrid w:val="0"/>
                <w:color w:val="000000" w:themeColor="text1"/>
                <w:spacing w:val="-16"/>
                <w:kern w:val="21"/>
                <w:szCs w:val="21"/>
                <w:highlight w:val="none"/>
                <w14:textFill>
                  <w14:solidFill>
                    <w14:schemeClr w14:val="tx1"/>
                  </w14:solidFill>
                </w14:textFill>
              </w:rPr>
              <w:t>本项目建成后</w:t>
            </w:r>
          </w:p>
          <w:p w14:paraId="45FEDD7C">
            <w:pPr>
              <w:pStyle w:val="51"/>
              <w:spacing w:before="24" w:after="24" w:line="240" w:lineRule="auto"/>
              <w:rPr>
                <w:rFonts w:hint="default" w:ascii="Times New Roman" w:hAnsi="Times New Roman" w:eastAsia="黑体" w:cs="Times New Roman"/>
                <w:snapToGrid w:val="0"/>
                <w:color w:val="000000" w:themeColor="text1"/>
                <w:spacing w:val="-16"/>
                <w:kern w:val="21"/>
                <w:szCs w:val="21"/>
                <w:highlight w:val="none"/>
                <w14:textFill>
                  <w14:solidFill>
                    <w14:schemeClr w14:val="tx1"/>
                  </w14:solidFill>
                </w14:textFill>
              </w:rPr>
            </w:pPr>
            <w:r>
              <w:rPr>
                <w:rFonts w:hint="default" w:ascii="Times New Roman" w:hAnsi="Times New Roman" w:eastAsia="黑体" w:cs="Times New Roman"/>
                <w:snapToGrid w:val="0"/>
                <w:color w:val="000000" w:themeColor="text1"/>
                <w:spacing w:val="-16"/>
                <w:kern w:val="21"/>
                <w:szCs w:val="21"/>
                <w:highlight w:val="none"/>
                <w14:textFill>
                  <w14:solidFill>
                    <w14:schemeClr w14:val="tx1"/>
                  </w14:solidFill>
                </w14:textFill>
              </w:rPr>
              <w:t>全厂排放量（固体废物产生量）</w:t>
            </w:r>
            <w:r>
              <w:rPr>
                <w:rFonts w:hint="default" w:ascii="Times New Roman" w:hAnsi="Times New Roman" w:eastAsia="黑体" w:cs="Times New Roman"/>
                <w:snapToGrid w:val="0"/>
                <w:color w:val="000000" w:themeColor="text1"/>
                <w:spacing w:val="-16"/>
                <w:kern w:val="21"/>
                <w:szCs w:val="21"/>
                <w:highlight w:val="none"/>
                <w14:textFill>
                  <w14:solidFill>
                    <w14:schemeClr w14:val="tx1"/>
                  </w14:solidFill>
                </w14:textFill>
              </w:rPr>
              <w:fldChar w:fldCharType="begin"/>
            </w:r>
            <w:r>
              <w:rPr>
                <w:rFonts w:hint="default" w:ascii="Times New Roman" w:hAnsi="Times New Roman" w:eastAsia="黑体" w:cs="Times New Roman"/>
                <w:snapToGrid w:val="0"/>
                <w:color w:val="000000" w:themeColor="text1"/>
                <w:spacing w:val="-16"/>
                <w:kern w:val="21"/>
                <w:szCs w:val="21"/>
                <w:highlight w:val="none"/>
                <w14:textFill>
                  <w14:solidFill>
                    <w14:schemeClr w14:val="tx1"/>
                  </w14:solidFill>
                </w14:textFill>
              </w:rPr>
              <w:instrText xml:space="preserve"> = 6 \* GB3 \* MERGEFORMAT </w:instrText>
            </w:r>
            <w:r>
              <w:rPr>
                <w:rFonts w:hint="default" w:ascii="Times New Roman" w:hAnsi="Times New Roman" w:eastAsia="黑体" w:cs="Times New Roman"/>
                <w:snapToGrid w:val="0"/>
                <w:color w:val="000000" w:themeColor="text1"/>
                <w:spacing w:val="-16"/>
                <w:kern w:val="21"/>
                <w:szCs w:val="21"/>
                <w:highlight w:val="none"/>
                <w14:textFill>
                  <w14:solidFill>
                    <w14:schemeClr w14:val="tx1"/>
                  </w14:solidFill>
                </w14:textFill>
              </w:rPr>
              <w:fldChar w:fldCharType="separate"/>
            </w:r>
            <w:r>
              <w:rPr>
                <w:rFonts w:hint="default" w:ascii="Times New Roman" w:hAnsi="Times New Roman" w:cs="Times New Roman"/>
                <w:color w:val="000000" w:themeColor="text1"/>
                <w:szCs w:val="21"/>
                <w:highlight w:val="none"/>
                <w14:textFill>
                  <w14:solidFill>
                    <w14:schemeClr w14:val="tx1"/>
                  </w14:solidFill>
                </w14:textFill>
              </w:rPr>
              <w:t>⑥</w:t>
            </w:r>
            <w:r>
              <w:rPr>
                <w:rFonts w:hint="default" w:ascii="Times New Roman" w:hAnsi="Times New Roman" w:eastAsia="黑体" w:cs="Times New Roman"/>
                <w:snapToGrid w:val="0"/>
                <w:color w:val="000000" w:themeColor="text1"/>
                <w:spacing w:val="-16"/>
                <w:kern w:val="21"/>
                <w:szCs w:val="21"/>
                <w:highlight w:val="none"/>
                <w14:textFill>
                  <w14:solidFill>
                    <w14:schemeClr w14:val="tx1"/>
                  </w14:solidFill>
                </w14:textFill>
              </w:rPr>
              <w:fldChar w:fldCharType="end"/>
            </w:r>
          </w:p>
        </w:tc>
        <w:tc>
          <w:tcPr>
            <w:tcW w:w="1071" w:type="dxa"/>
            <w:tcMar>
              <w:left w:w="28" w:type="dxa"/>
              <w:right w:w="28" w:type="dxa"/>
            </w:tcMar>
            <w:vAlign w:val="center"/>
          </w:tcPr>
          <w:p w14:paraId="0E6C3366">
            <w:pPr>
              <w:pStyle w:val="51"/>
              <w:spacing w:before="24" w:after="24" w:line="240" w:lineRule="auto"/>
              <w:rPr>
                <w:rFonts w:hint="default" w:ascii="Times New Roman" w:hAnsi="Times New Roman" w:eastAsia="黑体" w:cs="Times New Roman"/>
                <w:snapToGrid w:val="0"/>
                <w:color w:val="000000" w:themeColor="text1"/>
                <w:spacing w:val="-6"/>
                <w:kern w:val="21"/>
                <w:szCs w:val="21"/>
                <w:highlight w:val="none"/>
                <w14:textFill>
                  <w14:solidFill>
                    <w14:schemeClr w14:val="tx1"/>
                  </w14:solidFill>
                </w14:textFill>
              </w:rPr>
            </w:pPr>
            <w:r>
              <w:rPr>
                <w:rFonts w:hint="default" w:ascii="Times New Roman" w:hAnsi="Times New Roman" w:eastAsia="黑体" w:cs="Times New Roman"/>
                <w:snapToGrid w:val="0"/>
                <w:color w:val="000000" w:themeColor="text1"/>
                <w:spacing w:val="-6"/>
                <w:kern w:val="21"/>
                <w:szCs w:val="21"/>
                <w:highlight w:val="none"/>
                <w14:textFill>
                  <w14:solidFill>
                    <w14:schemeClr w14:val="tx1"/>
                  </w14:solidFill>
                </w14:textFill>
              </w:rPr>
              <w:t>变化量</w:t>
            </w:r>
          </w:p>
          <w:p w14:paraId="48EE4A80">
            <w:pPr>
              <w:pStyle w:val="51"/>
              <w:spacing w:before="24" w:after="24" w:line="240" w:lineRule="auto"/>
              <w:rPr>
                <w:rFonts w:hint="default" w:ascii="Times New Roman" w:hAnsi="Times New Roman" w:eastAsia="黑体" w:cs="Times New Roman"/>
                <w:snapToGrid w:val="0"/>
                <w:color w:val="000000" w:themeColor="text1"/>
                <w:spacing w:val="-6"/>
                <w:kern w:val="21"/>
                <w:szCs w:val="21"/>
                <w:highlight w:val="none"/>
                <w14:textFill>
                  <w14:solidFill>
                    <w14:schemeClr w14:val="tx1"/>
                  </w14:solidFill>
                </w14:textFill>
              </w:rPr>
            </w:pPr>
            <w:r>
              <w:rPr>
                <w:rFonts w:hint="default" w:ascii="Times New Roman" w:hAnsi="Times New Roman" w:eastAsia="黑体" w:cs="Times New Roman"/>
                <w:snapToGrid w:val="0"/>
                <w:color w:val="000000" w:themeColor="text1"/>
                <w:spacing w:val="-6"/>
                <w:kern w:val="21"/>
                <w:szCs w:val="21"/>
                <w:highlight w:val="none"/>
                <w14:textFill>
                  <w14:solidFill>
                    <w14:schemeClr w14:val="tx1"/>
                  </w14:solidFill>
                </w14:textFill>
              </w:rPr>
              <w:fldChar w:fldCharType="begin"/>
            </w:r>
            <w:r>
              <w:rPr>
                <w:rFonts w:hint="default" w:ascii="Times New Roman" w:hAnsi="Times New Roman" w:eastAsia="黑体" w:cs="Times New Roman"/>
                <w:snapToGrid w:val="0"/>
                <w:color w:val="000000" w:themeColor="text1"/>
                <w:spacing w:val="-6"/>
                <w:kern w:val="21"/>
                <w:szCs w:val="21"/>
                <w:highlight w:val="none"/>
                <w14:textFill>
                  <w14:solidFill>
                    <w14:schemeClr w14:val="tx1"/>
                  </w14:solidFill>
                </w14:textFill>
              </w:rPr>
              <w:instrText xml:space="preserve"> = 7 \* GB3 \* MERGEFORMAT </w:instrText>
            </w:r>
            <w:r>
              <w:rPr>
                <w:rFonts w:hint="default" w:ascii="Times New Roman" w:hAnsi="Times New Roman" w:eastAsia="黑体" w:cs="Times New Roman"/>
                <w:snapToGrid w:val="0"/>
                <w:color w:val="000000" w:themeColor="text1"/>
                <w:spacing w:val="-6"/>
                <w:kern w:val="21"/>
                <w:szCs w:val="21"/>
                <w:highlight w:val="none"/>
                <w14:textFill>
                  <w14:solidFill>
                    <w14:schemeClr w14:val="tx1"/>
                  </w14:solidFill>
                </w14:textFill>
              </w:rPr>
              <w:fldChar w:fldCharType="separate"/>
            </w:r>
            <w:r>
              <w:rPr>
                <w:rFonts w:hint="default" w:ascii="Times New Roman" w:hAnsi="Times New Roman" w:cs="Times New Roman"/>
                <w:color w:val="000000" w:themeColor="text1"/>
                <w:szCs w:val="21"/>
                <w:highlight w:val="none"/>
                <w14:textFill>
                  <w14:solidFill>
                    <w14:schemeClr w14:val="tx1"/>
                  </w14:solidFill>
                </w14:textFill>
              </w:rPr>
              <w:t>⑦</w:t>
            </w:r>
            <w:r>
              <w:rPr>
                <w:rFonts w:hint="default" w:ascii="Times New Roman" w:hAnsi="Times New Roman" w:eastAsia="黑体" w:cs="Times New Roman"/>
                <w:snapToGrid w:val="0"/>
                <w:color w:val="000000" w:themeColor="text1"/>
                <w:spacing w:val="-6"/>
                <w:kern w:val="21"/>
                <w:szCs w:val="21"/>
                <w:highlight w:val="none"/>
                <w14:textFill>
                  <w14:solidFill>
                    <w14:schemeClr w14:val="tx1"/>
                  </w14:solidFill>
                </w14:textFill>
              </w:rPr>
              <w:fldChar w:fldCharType="end"/>
            </w:r>
          </w:p>
        </w:tc>
      </w:tr>
      <w:tr w14:paraId="70B12F5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588" w:type="dxa"/>
            <w:vAlign w:val="center"/>
          </w:tcPr>
          <w:p w14:paraId="3C2DF0C4">
            <w:pPr>
              <w:pStyle w:val="51"/>
              <w:spacing w:before="24" w:after="24" w:line="240" w:lineRule="auto"/>
              <w:rPr>
                <w:rFonts w:hint="default" w:ascii="Times New Roman" w:hAnsi="Times New Roman" w:cs="Times New Roman"/>
                <w:snapToGrid w:val="0"/>
                <w:color w:val="000000" w:themeColor="text1"/>
                <w:kern w:val="21"/>
                <w:szCs w:val="21"/>
                <w:highlight w:val="none"/>
                <w14:textFill>
                  <w14:solidFill>
                    <w14:schemeClr w14:val="tx1"/>
                  </w14:solidFill>
                </w14:textFill>
              </w:rPr>
            </w:pPr>
            <w:r>
              <w:rPr>
                <w:rFonts w:hint="default" w:ascii="Times New Roman" w:hAnsi="Times New Roman" w:cs="Times New Roman"/>
                <w:snapToGrid w:val="0"/>
                <w:color w:val="000000" w:themeColor="text1"/>
                <w:kern w:val="21"/>
                <w:szCs w:val="21"/>
                <w:highlight w:val="none"/>
                <w14:textFill>
                  <w14:solidFill>
                    <w14:schemeClr w14:val="tx1"/>
                  </w14:solidFill>
                </w14:textFill>
              </w:rPr>
              <w:t>废气</w:t>
            </w:r>
          </w:p>
        </w:tc>
        <w:tc>
          <w:tcPr>
            <w:tcW w:w="1417" w:type="dxa"/>
            <w:vAlign w:val="center"/>
          </w:tcPr>
          <w:p w14:paraId="462825B0">
            <w:pPr>
              <w:pStyle w:val="51"/>
              <w:spacing w:before="24" w:after="24" w:line="240" w:lineRule="auto"/>
              <w:rPr>
                <w:rFonts w:hint="default" w:ascii="Times New Roman" w:hAnsi="Times New Roman" w:cs="Times New Roman"/>
                <w:snapToGrid w:val="0"/>
                <w:color w:val="000000" w:themeColor="text1"/>
                <w:kern w:val="21"/>
                <w:szCs w:val="21"/>
                <w:highlight w:val="none"/>
                <w14:textFill>
                  <w14:solidFill>
                    <w14:schemeClr w14:val="tx1"/>
                  </w14:solidFill>
                </w14:textFill>
              </w:rPr>
            </w:pPr>
            <w:r>
              <w:rPr>
                <w:rFonts w:hint="default" w:ascii="Times New Roman" w:hAnsi="Times New Roman" w:cs="Times New Roman"/>
                <w:snapToGrid w:val="0"/>
                <w:color w:val="000000" w:themeColor="text1"/>
                <w:kern w:val="21"/>
                <w:szCs w:val="21"/>
                <w:highlight w:val="none"/>
                <w14:textFill>
                  <w14:solidFill>
                    <w14:schemeClr w14:val="tx1"/>
                  </w14:solidFill>
                </w14:textFill>
              </w:rPr>
              <w:t>非甲烷总烃</w:t>
            </w:r>
          </w:p>
        </w:tc>
        <w:tc>
          <w:tcPr>
            <w:tcW w:w="1701" w:type="dxa"/>
            <w:vAlign w:val="center"/>
          </w:tcPr>
          <w:p w14:paraId="347A960B">
            <w:pPr>
              <w:pStyle w:val="34"/>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0</w:t>
            </w:r>
          </w:p>
        </w:tc>
        <w:tc>
          <w:tcPr>
            <w:tcW w:w="1276" w:type="dxa"/>
            <w:vAlign w:val="center"/>
          </w:tcPr>
          <w:p w14:paraId="27328EE5">
            <w:pPr>
              <w:pStyle w:val="51"/>
              <w:spacing w:before="24" w:after="24" w:line="240" w:lineRule="auto"/>
              <w:rPr>
                <w:rFonts w:hint="default" w:ascii="Times New Roman" w:hAnsi="Times New Roman" w:cs="Times New Roman"/>
                <w:snapToGrid w:val="0"/>
                <w:color w:val="000000" w:themeColor="text1"/>
                <w:kern w:val="21"/>
                <w:szCs w:val="21"/>
                <w:highlight w:val="none"/>
                <w14:textFill>
                  <w14:solidFill>
                    <w14:schemeClr w14:val="tx1"/>
                  </w14:solidFill>
                </w14:textFill>
              </w:rPr>
            </w:pPr>
            <w:r>
              <w:rPr>
                <w:rFonts w:hint="default" w:ascii="Times New Roman" w:hAnsi="Times New Roman" w:cs="Times New Roman"/>
                <w:snapToGrid w:val="0"/>
                <w:color w:val="000000" w:themeColor="text1"/>
                <w:kern w:val="21"/>
                <w:szCs w:val="21"/>
                <w:highlight w:val="none"/>
                <w14:textFill>
                  <w14:solidFill>
                    <w14:schemeClr w14:val="tx1"/>
                  </w14:solidFill>
                </w14:textFill>
              </w:rPr>
              <w:t>0</w:t>
            </w:r>
          </w:p>
        </w:tc>
        <w:tc>
          <w:tcPr>
            <w:tcW w:w="1701" w:type="dxa"/>
            <w:vAlign w:val="center"/>
          </w:tcPr>
          <w:p w14:paraId="6A832038">
            <w:pPr>
              <w:pStyle w:val="51"/>
              <w:spacing w:before="24" w:after="24" w:line="240" w:lineRule="auto"/>
              <w:rPr>
                <w:rFonts w:hint="default" w:ascii="Times New Roman" w:hAnsi="Times New Roman" w:cs="Times New Roman"/>
                <w:snapToGrid w:val="0"/>
                <w:color w:val="000000" w:themeColor="text1"/>
                <w:kern w:val="21"/>
                <w:szCs w:val="21"/>
                <w:highlight w:val="none"/>
                <w14:textFill>
                  <w14:solidFill>
                    <w14:schemeClr w14:val="tx1"/>
                  </w14:solidFill>
                </w14:textFill>
              </w:rPr>
            </w:pPr>
            <w:r>
              <w:rPr>
                <w:rFonts w:hint="default" w:ascii="Times New Roman" w:hAnsi="Times New Roman" w:cs="Times New Roman"/>
                <w:snapToGrid w:val="0"/>
                <w:color w:val="000000" w:themeColor="text1"/>
                <w:kern w:val="21"/>
                <w:szCs w:val="21"/>
                <w:highlight w:val="none"/>
                <w14:textFill>
                  <w14:solidFill>
                    <w14:schemeClr w14:val="tx1"/>
                  </w14:solidFill>
                </w14:textFill>
              </w:rPr>
              <w:t>0</w:t>
            </w:r>
          </w:p>
        </w:tc>
        <w:tc>
          <w:tcPr>
            <w:tcW w:w="1559" w:type="dxa"/>
            <w:vAlign w:val="center"/>
          </w:tcPr>
          <w:p w14:paraId="0B6E46C4">
            <w:pPr>
              <w:pStyle w:val="34"/>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0.0</w:t>
            </w:r>
            <w:r>
              <w:rPr>
                <w:rFonts w:hint="default" w:ascii="Times New Roman" w:hAnsi="Times New Roman" w:cs="Times New Roman"/>
                <w:color w:val="000000" w:themeColor="text1"/>
                <w:highlight w:val="none"/>
                <w:lang w:val="en-US" w:eastAsia="zh-CN"/>
                <w14:textFill>
                  <w14:solidFill>
                    <w14:schemeClr w14:val="tx1"/>
                  </w14:solidFill>
                </w14:textFill>
              </w:rPr>
              <w:t>2</w:t>
            </w:r>
            <w:r>
              <w:rPr>
                <w:rFonts w:hint="eastAsia" w:cs="Times New Roman"/>
                <w:color w:val="000000" w:themeColor="text1"/>
                <w:highlight w:val="none"/>
                <w:lang w:val="en-US" w:eastAsia="zh-CN"/>
                <w14:textFill>
                  <w14:solidFill>
                    <w14:schemeClr w14:val="tx1"/>
                  </w14:solidFill>
                </w14:textFill>
              </w:rPr>
              <w:t>0</w:t>
            </w:r>
          </w:p>
        </w:tc>
        <w:tc>
          <w:tcPr>
            <w:tcW w:w="1761" w:type="dxa"/>
            <w:vAlign w:val="center"/>
          </w:tcPr>
          <w:p w14:paraId="1BC3000B">
            <w:pPr>
              <w:pStyle w:val="34"/>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0</w:t>
            </w:r>
          </w:p>
        </w:tc>
        <w:tc>
          <w:tcPr>
            <w:tcW w:w="1714" w:type="dxa"/>
            <w:vAlign w:val="center"/>
          </w:tcPr>
          <w:p w14:paraId="755A9101">
            <w:pPr>
              <w:pStyle w:val="34"/>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0.0</w:t>
            </w:r>
            <w:r>
              <w:rPr>
                <w:rFonts w:hint="default" w:ascii="Times New Roman" w:hAnsi="Times New Roman" w:cs="Times New Roman"/>
                <w:color w:val="000000" w:themeColor="text1"/>
                <w:highlight w:val="none"/>
                <w:lang w:val="en-US" w:eastAsia="zh-CN"/>
                <w14:textFill>
                  <w14:solidFill>
                    <w14:schemeClr w14:val="tx1"/>
                  </w14:solidFill>
                </w14:textFill>
              </w:rPr>
              <w:t>2</w:t>
            </w:r>
            <w:r>
              <w:rPr>
                <w:rFonts w:hint="eastAsia" w:cs="Times New Roman"/>
                <w:color w:val="000000" w:themeColor="text1"/>
                <w:highlight w:val="none"/>
                <w:lang w:val="en-US" w:eastAsia="zh-CN"/>
                <w14:textFill>
                  <w14:solidFill>
                    <w14:schemeClr w14:val="tx1"/>
                  </w14:solidFill>
                </w14:textFill>
              </w:rPr>
              <w:t>0</w:t>
            </w:r>
          </w:p>
        </w:tc>
        <w:tc>
          <w:tcPr>
            <w:tcW w:w="1071" w:type="dxa"/>
            <w:vAlign w:val="center"/>
          </w:tcPr>
          <w:p w14:paraId="5435FE81">
            <w:pPr>
              <w:pStyle w:val="34"/>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+0.0</w:t>
            </w:r>
            <w:r>
              <w:rPr>
                <w:rFonts w:hint="default" w:ascii="Times New Roman" w:hAnsi="Times New Roman" w:cs="Times New Roman"/>
                <w:color w:val="000000" w:themeColor="text1"/>
                <w:highlight w:val="none"/>
                <w:lang w:val="en-US" w:eastAsia="zh-CN"/>
                <w14:textFill>
                  <w14:solidFill>
                    <w14:schemeClr w14:val="tx1"/>
                  </w14:solidFill>
                </w14:textFill>
              </w:rPr>
              <w:t>2</w:t>
            </w:r>
            <w:r>
              <w:rPr>
                <w:rFonts w:hint="eastAsia" w:cs="Times New Roman"/>
                <w:color w:val="000000" w:themeColor="text1"/>
                <w:highlight w:val="none"/>
                <w:lang w:val="en-US" w:eastAsia="zh-CN"/>
                <w14:textFill>
                  <w14:solidFill>
                    <w14:schemeClr w14:val="tx1"/>
                  </w14:solidFill>
                </w14:textFill>
              </w:rPr>
              <w:t>0</w:t>
            </w:r>
          </w:p>
        </w:tc>
      </w:tr>
      <w:tr w14:paraId="01948DB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588" w:type="dxa"/>
            <w:vMerge w:val="restart"/>
            <w:vAlign w:val="center"/>
          </w:tcPr>
          <w:p w14:paraId="6C4344C7">
            <w:pPr>
              <w:pStyle w:val="51"/>
              <w:spacing w:before="24" w:after="24" w:line="240" w:lineRule="auto"/>
              <w:rPr>
                <w:rFonts w:hint="default" w:ascii="Times New Roman" w:hAnsi="Times New Roman" w:cs="Times New Roman"/>
                <w:snapToGrid w:val="0"/>
                <w:color w:val="000000" w:themeColor="text1"/>
                <w:kern w:val="21"/>
                <w:szCs w:val="21"/>
                <w:highlight w:val="none"/>
                <w14:textFill>
                  <w14:solidFill>
                    <w14:schemeClr w14:val="tx1"/>
                  </w14:solidFill>
                </w14:textFill>
              </w:rPr>
            </w:pPr>
            <w:r>
              <w:rPr>
                <w:rFonts w:hint="default" w:ascii="Times New Roman" w:hAnsi="Times New Roman" w:cs="Times New Roman"/>
                <w:snapToGrid w:val="0"/>
                <w:color w:val="000000" w:themeColor="text1"/>
                <w:kern w:val="21"/>
                <w:szCs w:val="21"/>
                <w:highlight w:val="none"/>
                <w14:textFill>
                  <w14:solidFill>
                    <w14:schemeClr w14:val="tx1"/>
                  </w14:solidFill>
                </w14:textFill>
              </w:rPr>
              <w:t>废水</w:t>
            </w:r>
          </w:p>
        </w:tc>
        <w:tc>
          <w:tcPr>
            <w:tcW w:w="1417" w:type="dxa"/>
            <w:vAlign w:val="center"/>
          </w:tcPr>
          <w:p w14:paraId="1B07F2FB">
            <w:pPr>
              <w:pStyle w:val="51"/>
              <w:spacing w:before="24" w:after="24" w:line="240" w:lineRule="auto"/>
              <w:rPr>
                <w:rFonts w:hint="default" w:ascii="Times New Roman" w:hAnsi="Times New Roman" w:cs="Times New Roman"/>
                <w:snapToGrid w:val="0"/>
                <w:color w:val="000000" w:themeColor="text1"/>
                <w:kern w:val="21"/>
                <w:szCs w:val="21"/>
                <w:highlight w:val="none"/>
                <w14:textFill>
                  <w14:solidFill>
                    <w14:schemeClr w14:val="tx1"/>
                  </w14:solidFill>
                </w14:textFill>
              </w:rPr>
            </w:pPr>
            <w:r>
              <w:rPr>
                <w:rFonts w:hint="default" w:ascii="Times New Roman" w:hAnsi="Times New Roman" w:cs="Times New Roman"/>
                <w:snapToGrid w:val="0"/>
                <w:color w:val="000000" w:themeColor="text1"/>
                <w:kern w:val="21"/>
                <w:szCs w:val="21"/>
                <w:highlight w:val="none"/>
                <w14:textFill>
                  <w14:solidFill>
                    <w14:schemeClr w14:val="tx1"/>
                  </w14:solidFill>
                </w14:textFill>
              </w:rPr>
              <w:t>化学需氧量</w:t>
            </w:r>
          </w:p>
        </w:tc>
        <w:tc>
          <w:tcPr>
            <w:tcW w:w="1701" w:type="dxa"/>
            <w:vAlign w:val="center"/>
          </w:tcPr>
          <w:p w14:paraId="1A77F08A">
            <w:pPr>
              <w:pStyle w:val="51"/>
              <w:spacing w:before="24" w:after="24" w:line="240" w:lineRule="auto"/>
              <w:rPr>
                <w:rFonts w:hint="default" w:ascii="Times New Roman" w:hAnsi="Times New Roman" w:cs="Times New Roman"/>
                <w:snapToGrid w:val="0"/>
                <w:color w:val="000000" w:themeColor="text1"/>
                <w:kern w:val="21"/>
                <w:szCs w:val="21"/>
                <w:highlight w:val="none"/>
                <w14:textFill>
                  <w14:solidFill>
                    <w14:schemeClr w14:val="tx1"/>
                  </w14:solidFill>
                </w14:textFill>
              </w:rPr>
            </w:pPr>
            <w:r>
              <w:rPr>
                <w:rFonts w:hint="default" w:ascii="Times New Roman" w:hAnsi="Times New Roman" w:cs="Times New Roman"/>
                <w:snapToGrid w:val="0"/>
                <w:color w:val="000000" w:themeColor="text1"/>
                <w:kern w:val="21"/>
                <w:szCs w:val="21"/>
                <w:highlight w:val="none"/>
                <w14:textFill>
                  <w14:solidFill>
                    <w14:schemeClr w14:val="tx1"/>
                  </w14:solidFill>
                </w14:textFill>
              </w:rPr>
              <w:t>0</w:t>
            </w:r>
          </w:p>
        </w:tc>
        <w:tc>
          <w:tcPr>
            <w:tcW w:w="1276" w:type="dxa"/>
            <w:vAlign w:val="center"/>
          </w:tcPr>
          <w:p w14:paraId="7892174A">
            <w:pPr>
              <w:jc w:val="center"/>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snapToGrid w:val="0"/>
                <w:color w:val="000000" w:themeColor="text1"/>
                <w:kern w:val="21"/>
                <w:szCs w:val="21"/>
                <w:highlight w:val="none"/>
                <w14:textFill>
                  <w14:solidFill>
                    <w14:schemeClr w14:val="tx1"/>
                  </w14:solidFill>
                </w14:textFill>
              </w:rPr>
              <w:t>0</w:t>
            </w:r>
          </w:p>
        </w:tc>
        <w:tc>
          <w:tcPr>
            <w:tcW w:w="1701" w:type="dxa"/>
            <w:vAlign w:val="center"/>
          </w:tcPr>
          <w:p w14:paraId="0D9752F1">
            <w:pPr>
              <w:jc w:val="center"/>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snapToGrid w:val="0"/>
                <w:color w:val="000000" w:themeColor="text1"/>
                <w:kern w:val="21"/>
                <w:szCs w:val="21"/>
                <w:highlight w:val="none"/>
                <w14:textFill>
                  <w14:solidFill>
                    <w14:schemeClr w14:val="tx1"/>
                  </w14:solidFill>
                </w14:textFill>
              </w:rPr>
              <w:t>0</w:t>
            </w:r>
          </w:p>
        </w:tc>
        <w:tc>
          <w:tcPr>
            <w:tcW w:w="1559" w:type="dxa"/>
            <w:vAlign w:val="center"/>
          </w:tcPr>
          <w:p w14:paraId="5C198220">
            <w:pPr>
              <w:pStyle w:val="51"/>
              <w:spacing w:before="24" w:after="24" w:line="240" w:lineRule="auto"/>
              <w:rPr>
                <w:rFonts w:hint="default" w:ascii="Times New Roman" w:hAnsi="Times New Roman" w:cs="Times New Roman"/>
                <w:snapToGrid w:val="0"/>
                <w:color w:val="000000" w:themeColor="text1"/>
                <w:kern w:val="21"/>
                <w:szCs w:val="21"/>
                <w:highlight w:val="none"/>
                <w14:textFill>
                  <w14:solidFill>
                    <w14:schemeClr w14:val="tx1"/>
                  </w14:solidFill>
                </w14:textFill>
              </w:rPr>
            </w:pPr>
            <w:r>
              <w:rPr>
                <w:rFonts w:hint="default" w:ascii="Times New Roman" w:hAnsi="Times New Roman" w:cs="Times New Roman"/>
                <w:snapToGrid w:val="0"/>
                <w:color w:val="000000" w:themeColor="text1"/>
                <w:kern w:val="21"/>
                <w:szCs w:val="21"/>
                <w:highlight w:val="none"/>
                <w14:textFill>
                  <w14:solidFill>
                    <w14:schemeClr w14:val="tx1"/>
                  </w14:solidFill>
                </w14:textFill>
              </w:rPr>
              <w:t>0</w:t>
            </w:r>
          </w:p>
        </w:tc>
        <w:tc>
          <w:tcPr>
            <w:tcW w:w="1761" w:type="dxa"/>
            <w:vAlign w:val="center"/>
          </w:tcPr>
          <w:p w14:paraId="4C55E7BD">
            <w:pPr>
              <w:pStyle w:val="51"/>
              <w:spacing w:before="24" w:after="24" w:line="240" w:lineRule="auto"/>
              <w:rPr>
                <w:rFonts w:hint="default" w:ascii="Times New Roman" w:hAnsi="Times New Roman" w:cs="Times New Roman"/>
                <w:snapToGrid w:val="0"/>
                <w:color w:val="000000" w:themeColor="text1"/>
                <w:kern w:val="21"/>
                <w:szCs w:val="21"/>
                <w:highlight w:val="none"/>
                <w14:textFill>
                  <w14:solidFill>
                    <w14:schemeClr w14:val="tx1"/>
                  </w14:solidFill>
                </w14:textFill>
              </w:rPr>
            </w:pPr>
            <w:r>
              <w:rPr>
                <w:rFonts w:hint="default" w:ascii="Times New Roman" w:hAnsi="Times New Roman" w:cs="Times New Roman"/>
                <w:snapToGrid w:val="0"/>
                <w:color w:val="000000" w:themeColor="text1"/>
                <w:kern w:val="21"/>
                <w:szCs w:val="21"/>
                <w:highlight w:val="none"/>
                <w14:textFill>
                  <w14:solidFill>
                    <w14:schemeClr w14:val="tx1"/>
                  </w14:solidFill>
                </w14:textFill>
              </w:rPr>
              <w:t>0</w:t>
            </w:r>
          </w:p>
        </w:tc>
        <w:tc>
          <w:tcPr>
            <w:tcW w:w="1714" w:type="dxa"/>
            <w:vAlign w:val="center"/>
          </w:tcPr>
          <w:p w14:paraId="675CEB8E">
            <w:pPr>
              <w:pStyle w:val="51"/>
              <w:spacing w:before="24" w:after="24" w:line="240" w:lineRule="auto"/>
              <w:rPr>
                <w:rFonts w:hint="default" w:ascii="Times New Roman" w:hAnsi="Times New Roman" w:cs="Times New Roman"/>
                <w:snapToGrid w:val="0"/>
                <w:color w:val="000000" w:themeColor="text1"/>
                <w:kern w:val="21"/>
                <w:szCs w:val="21"/>
                <w:highlight w:val="none"/>
                <w14:textFill>
                  <w14:solidFill>
                    <w14:schemeClr w14:val="tx1"/>
                  </w14:solidFill>
                </w14:textFill>
              </w:rPr>
            </w:pPr>
            <w:r>
              <w:rPr>
                <w:rFonts w:hint="default" w:ascii="Times New Roman" w:hAnsi="Times New Roman" w:cs="Times New Roman"/>
                <w:snapToGrid w:val="0"/>
                <w:color w:val="000000" w:themeColor="text1"/>
                <w:kern w:val="21"/>
                <w:szCs w:val="21"/>
                <w:highlight w:val="none"/>
                <w14:textFill>
                  <w14:solidFill>
                    <w14:schemeClr w14:val="tx1"/>
                  </w14:solidFill>
                </w14:textFill>
              </w:rPr>
              <w:t>0</w:t>
            </w:r>
          </w:p>
        </w:tc>
        <w:tc>
          <w:tcPr>
            <w:tcW w:w="1071" w:type="dxa"/>
            <w:vAlign w:val="center"/>
          </w:tcPr>
          <w:p w14:paraId="42DBFE61">
            <w:pPr>
              <w:jc w:val="center"/>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szCs w:val="21"/>
                <w:highlight w:val="none"/>
                <w14:textFill>
                  <w14:solidFill>
                    <w14:schemeClr w14:val="tx1"/>
                  </w14:solidFill>
                </w14:textFill>
              </w:rPr>
              <w:t>0</w:t>
            </w:r>
          </w:p>
        </w:tc>
      </w:tr>
      <w:tr w14:paraId="746A398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588" w:type="dxa"/>
            <w:vMerge w:val="continue"/>
            <w:vAlign w:val="center"/>
          </w:tcPr>
          <w:p w14:paraId="2B147ABE">
            <w:pPr>
              <w:pStyle w:val="51"/>
              <w:spacing w:before="24" w:after="24" w:line="240" w:lineRule="auto"/>
              <w:rPr>
                <w:rFonts w:hint="default" w:ascii="Times New Roman" w:hAnsi="Times New Roman" w:cs="Times New Roman"/>
                <w:snapToGrid w:val="0"/>
                <w:color w:val="000000" w:themeColor="text1"/>
                <w:kern w:val="21"/>
                <w:szCs w:val="21"/>
                <w:highlight w:val="none"/>
                <w14:textFill>
                  <w14:solidFill>
                    <w14:schemeClr w14:val="tx1"/>
                  </w14:solidFill>
                </w14:textFill>
              </w:rPr>
            </w:pPr>
          </w:p>
        </w:tc>
        <w:tc>
          <w:tcPr>
            <w:tcW w:w="1417" w:type="dxa"/>
            <w:vAlign w:val="center"/>
          </w:tcPr>
          <w:p w14:paraId="28F2B84B">
            <w:pPr>
              <w:pStyle w:val="51"/>
              <w:spacing w:before="24" w:after="24" w:line="240" w:lineRule="auto"/>
              <w:rPr>
                <w:rFonts w:hint="default" w:ascii="Times New Roman" w:hAnsi="Times New Roman" w:cs="Times New Roman"/>
                <w:snapToGrid w:val="0"/>
                <w:color w:val="000000" w:themeColor="text1"/>
                <w:kern w:val="21"/>
                <w:szCs w:val="21"/>
                <w:highlight w:val="none"/>
                <w14:textFill>
                  <w14:solidFill>
                    <w14:schemeClr w14:val="tx1"/>
                  </w14:solidFill>
                </w14:textFill>
              </w:rPr>
            </w:pPr>
            <w:r>
              <w:rPr>
                <w:rFonts w:hint="default" w:ascii="Times New Roman" w:hAnsi="Times New Roman" w:cs="Times New Roman"/>
                <w:snapToGrid w:val="0"/>
                <w:color w:val="000000" w:themeColor="text1"/>
                <w:kern w:val="21"/>
                <w:szCs w:val="21"/>
                <w:highlight w:val="none"/>
                <w14:textFill>
                  <w14:solidFill>
                    <w14:schemeClr w14:val="tx1"/>
                  </w14:solidFill>
                </w14:textFill>
              </w:rPr>
              <w:t>氨氮</w:t>
            </w:r>
          </w:p>
        </w:tc>
        <w:tc>
          <w:tcPr>
            <w:tcW w:w="1701" w:type="dxa"/>
            <w:vAlign w:val="center"/>
          </w:tcPr>
          <w:p w14:paraId="78C38399">
            <w:pPr>
              <w:pStyle w:val="51"/>
              <w:spacing w:before="24" w:after="24" w:line="240" w:lineRule="auto"/>
              <w:rPr>
                <w:rFonts w:hint="default" w:ascii="Times New Roman" w:hAnsi="Times New Roman" w:cs="Times New Roman"/>
                <w:snapToGrid w:val="0"/>
                <w:color w:val="000000" w:themeColor="text1"/>
                <w:kern w:val="21"/>
                <w:szCs w:val="21"/>
                <w:highlight w:val="none"/>
                <w14:textFill>
                  <w14:solidFill>
                    <w14:schemeClr w14:val="tx1"/>
                  </w14:solidFill>
                </w14:textFill>
              </w:rPr>
            </w:pPr>
            <w:r>
              <w:rPr>
                <w:rFonts w:hint="default" w:ascii="Times New Roman" w:hAnsi="Times New Roman" w:cs="Times New Roman"/>
                <w:snapToGrid w:val="0"/>
                <w:color w:val="000000" w:themeColor="text1"/>
                <w:kern w:val="21"/>
                <w:szCs w:val="21"/>
                <w:highlight w:val="none"/>
                <w14:textFill>
                  <w14:solidFill>
                    <w14:schemeClr w14:val="tx1"/>
                  </w14:solidFill>
                </w14:textFill>
              </w:rPr>
              <w:t>0</w:t>
            </w:r>
          </w:p>
        </w:tc>
        <w:tc>
          <w:tcPr>
            <w:tcW w:w="1276" w:type="dxa"/>
            <w:vAlign w:val="center"/>
          </w:tcPr>
          <w:p w14:paraId="1F01945A">
            <w:pPr>
              <w:jc w:val="center"/>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snapToGrid w:val="0"/>
                <w:color w:val="000000" w:themeColor="text1"/>
                <w:kern w:val="21"/>
                <w:szCs w:val="21"/>
                <w:highlight w:val="none"/>
                <w14:textFill>
                  <w14:solidFill>
                    <w14:schemeClr w14:val="tx1"/>
                  </w14:solidFill>
                </w14:textFill>
              </w:rPr>
              <w:t>0</w:t>
            </w:r>
          </w:p>
        </w:tc>
        <w:tc>
          <w:tcPr>
            <w:tcW w:w="1701" w:type="dxa"/>
            <w:vAlign w:val="center"/>
          </w:tcPr>
          <w:p w14:paraId="2E60A3C5">
            <w:pPr>
              <w:jc w:val="center"/>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snapToGrid w:val="0"/>
                <w:color w:val="000000" w:themeColor="text1"/>
                <w:kern w:val="21"/>
                <w:szCs w:val="21"/>
                <w:highlight w:val="none"/>
                <w14:textFill>
                  <w14:solidFill>
                    <w14:schemeClr w14:val="tx1"/>
                  </w14:solidFill>
                </w14:textFill>
              </w:rPr>
              <w:t>0</w:t>
            </w:r>
          </w:p>
        </w:tc>
        <w:tc>
          <w:tcPr>
            <w:tcW w:w="1559" w:type="dxa"/>
            <w:vAlign w:val="center"/>
          </w:tcPr>
          <w:p w14:paraId="5F1D073A">
            <w:pPr>
              <w:pStyle w:val="51"/>
              <w:spacing w:before="24" w:after="24" w:line="240" w:lineRule="auto"/>
              <w:rPr>
                <w:rFonts w:hint="default" w:ascii="Times New Roman" w:hAnsi="Times New Roman" w:cs="Times New Roman"/>
                <w:snapToGrid w:val="0"/>
                <w:color w:val="000000" w:themeColor="text1"/>
                <w:kern w:val="21"/>
                <w:szCs w:val="21"/>
                <w:highlight w:val="none"/>
                <w14:textFill>
                  <w14:solidFill>
                    <w14:schemeClr w14:val="tx1"/>
                  </w14:solidFill>
                </w14:textFill>
              </w:rPr>
            </w:pPr>
            <w:r>
              <w:rPr>
                <w:rFonts w:hint="default" w:ascii="Times New Roman" w:hAnsi="Times New Roman" w:cs="Times New Roman"/>
                <w:snapToGrid w:val="0"/>
                <w:color w:val="000000" w:themeColor="text1"/>
                <w:kern w:val="21"/>
                <w:szCs w:val="21"/>
                <w:highlight w:val="none"/>
                <w14:textFill>
                  <w14:solidFill>
                    <w14:schemeClr w14:val="tx1"/>
                  </w14:solidFill>
                </w14:textFill>
              </w:rPr>
              <w:t>0</w:t>
            </w:r>
          </w:p>
        </w:tc>
        <w:tc>
          <w:tcPr>
            <w:tcW w:w="1761" w:type="dxa"/>
            <w:vAlign w:val="center"/>
          </w:tcPr>
          <w:p w14:paraId="528E7F0F">
            <w:pPr>
              <w:pStyle w:val="51"/>
              <w:spacing w:before="24" w:after="24" w:line="240" w:lineRule="auto"/>
              <w:rPr>
                <w:rFonts w:hint="default" w:ascii="Times New Roman" w:hAnsi="Times New Roman" w:cs="Times New Roman"/>
                <w:snapToGrid w:val="0"/>
                <w:color w:val="000000" w:themeColor="text1"/>
                <w:kern w:val="21"/>
                <w:szCs w:val="21"/>
                <w:highlight w:val="none"/>
                <w14:textFill>
                  <w14:solidFill>
                    <w14:schemeClr w14:val="tx1"/>
                  </w14:solidFill>
                </w14:textFill>
              </w:rPr>
            </w:pPr>
            <w:r>
              <w:rPr>
                <w:rFonts w:hint="default" w:ascii="Times New Roman" w:hAnsi="Times New Roman" w:cs="Times New Roman"/>
                <w:snapToGrid w:val="0"/>
                <w:color w:val="000000" w:themeColor="text1"/>
                <w:kern w:val="21"/>
                <w:szCs w:val="21"/>
                <w:highlight w:val="none"/>
                <w14:textFill>
                  <w14:solidFill>
                    <w14:schemeClr w14:val="tx1"/>
                  </w14:solidFill>
                </w14:textFill>
              </w:rPr>
              <w:t>0</w:t>
            </w:r>
          </w:p>
        </w:tc>
        <w:tc>
          <w:tcPr>
            <w:tcW w:w="1714" w:type="dxa"/>
            <w:vAlign w:val="center"/>
          </w:tcPr>
          <w:p w14:paraId="5D29F8FC">
            <w:pPr>
              <w:pStyle w:val="51"/>
              <w:spacing w:before="24" w:after="24" w:line="240" w:lineRule="auto"/>
              <w:rPr>
                <w:rFonts w:hint="default" w:ascii="Times New Roman" w:hAnsi="Times New Roman" w:cs="Times New Roman"/>
                <w:snapToGrid w:val="0"/>
                <w:color w:val="000000" w:themeColor="text1"/>
                <w:kern w:val="21"/>
                <w:szCs w:val="21"/>
                <w:highlight w:val="none"/>
                <w14:textFill>
                  <w14:solidFill>
                    <w14:schemeClr w14:val="tx1"/>
                  </w14:solidFill>
                </w14:textFill>
              </w:rPr>
            </w:pPr>
            <w:r>
              <w:rPr>
                <w:rFonts w:hint="default" w:ascii="Times New Roman" w:hAnsi="Times New Roman" w:cs="Times New Roman"/>
                <w:snapToGrid w:val="0"/>
                <w:color w:val="000000" w:themeColor="text1"/>
                <w:kern w:val="21"/>
                <w:szCs w:val="21"/>
                <w:highlight w:val="none"/>
                <w14:textFill>
                  <w14:solidFill>
                    <w14:schemeClr w14:val="tx1"/>
                  </w14:solidFill>
                </w14:textFill>
              </w:rPr>
              <w:t>0</w:t>
            </w:r>
          </w:p>
        </w:tc>
        <w:tc>
          <w:tcPr>
            <w:tcW w:w="1071" w:type="dxa"/>
            <w:vAlign w:val="center"/>
          </w:tcPr>
          <w:p w14:paraId="475E404F">
            <w:pPr>
              <w:jc w:val="center"/>
              <w:rPr>
                <w:rFonts w:hint="default" w:ascii="Times New Roman" w:hAnsi="Times New Roman" w:cs="Times New Roman"/>
                <w:color w:val="000000" w:themeColor="text1"/>
                <w:szCs w:val="21"/>
                <w:highlight w:val="none"/>
                <w14:textFill>
                  <w14:solidFill>
                    <w14:schemeClr w14:val="tx1"/>
                  </w14:solidFill>
                </w14:textFill>
              </w:rPr>
            </w:pPr>
            <w:r>
              <w:rPr>
                <w:rFonts w:hint="default" w:ascii="Times New Roman" w:hAnsi="Times New Roman" w:cs="Times New Roman"/>
                <w:color w:val="000000" w:themeColor="text1"/>
                <w:szCs w:val="21"/>
                <w:highlight w:val="none"/>
                <w14:textFill>
                  <w14:solidFill>
                    <w14:schemeClr w14:val="tx1"/>
                  </w14:solidFill>
                </w14:textFill>
              </w:rPr>
              <w:t>0</w:t>
            </w:r>
          </w:p>
        </w:tc>
      </w:tr>
      <w:tr w14:paraId="395AD07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588" w:type="dxa"/>
            <w:vAlign w:val="center"/>
          </w:tcPr>
          <w:p w14:paraId="06ECA689">
            <w:pPr>
              <w:pStyle w:val="51"/>
              <w:spacing w:before="24" w:after="24" w:line="240" w:lineRule="auto"/>
              <w:rPr>
                <w:rFonts w:hint="default" w:ascii="Times New Roman" w:hAnsi="Times New Roman" w:cs="Times New Roman"/>
                <w:snapToGrid w:val="0"/>
                <w:color w:val="000000" w:themeColor="text1"/>
                <w:kern w:val="21"/>
                <w:szCs w:val="21"/>
                <w:highlight w:val="none"/>
                <w14:textFill>
                  <w14:solidFill>
                    <w14:schemeClr w14:val="tx1"/>
                  </w14:solidFill>
                </w14:textFill>
              </w:rPr>
            </w:pPr>
            <w:r>
              <w:rPr>
                <w:rFonts w:hint="default" w:ascii="Times New Roman" w:hAnsi="Times New Roman" w:cs="Times New Roman"/>
                <w:snapToGrid w:val="0"/>
                <w:color w:val="000000" w:themeColor="text1"/>
                <w:kern w:val="21"/>
                <w:szCs w:val="21"/>
                <w:highlight w:val="none"/>
                <w14:textFill>
                  <w14:solidFill>
                    <w14:schemeClr w14:val="tx1"/>
                  </w14:solidFill>
                </w14:textFill>
              </w:rPr>
              <w:t>一般工业</w:t>
            </w:r>
          </w:p>
          <w:p w14:paraId="5D2EECE8">
            <w:pPr>
              <w:pStyle w:val="51"/>
              <w:spacing w:before="24" w:after="24" w:line="240" w:lineRule="auto"/>
              <w:rPr>
                <w:rFonts w:hint="default" w:ascii="Times New Roman" w:hAnsi="Times New Roman" w:cs="Times New Roman"/>
                <w:snapToGrid w:val="0"/>
                <w:color w:val="000000" w:themeColor="text1"/>
                <w:kern w:val="21"/>
                <w:szCs w:val="21"/>
                <w:highlight w:val="none"/>
                <w14:textFill>
                  <w14:solidFill>
                    <w14:schemeClr w14:val="tx1"/>
                  </w14:solidFill>
                </w14:textFill>
              </w:rPr>
            </w:pPr>
            <w:r>
              <w:rPr>
                <w:rFonts w:hint="default" w:ascii="Times New Roman" w:hAnsi="Times New Roman" w:cs="Times New Roman"/>
                <w:snapToGrid w:val="0"/>
                <w:color w:val="000000" w:themeColor="text1"/>
                <w:kern w:val="21"/>
                <w:szCs w:val="21"/>
                <w:highlight w:val="none"/>
                <w14:textFill>
                  <w14:solidFill>
                    <w14:schemeClr w14:val="tx1"/>
                  </w14:solidFill>
                </w14:textFill>
              </w:rPr>
              <w:t>固体废物</w:t>
            </w:r>
          </w:p>
        </w:tc>
        <w:tc>
          <w:tcPr>
            <w:tcW w:w="1417" w:type="dxa"/>
            <w:vAlign w:val="center"/>
          </w:tcPr>
          <w:p w14:paraId="552623A9">
            <w:pPr>
              <w:pStyle w:val="51"/>
              <w:spacing w:before="24" w:after="24" w:line="240" w:lineRule="auto"/>
              <w:rPr>
                <w:rFonts w:hint="default" w:ascii="Times New Roman" w:hAnsi="Times New Roman" w:cs="Times New Roman"/>
                <w:snapToGrid w:val="0"/>
                <w:color w:val="000000" w:themeColor="text1"/>
                <w:kern w:val="21"/>
                <w:szCs w:val="21"/>
                <w:highlight w:val="none"/>
                <w14:textFill>
                  <w14:solidFill>
                    <w14:schemeClr w14:val="tx1"/>
                  </w14:solidFill>
                </w14:textFill>
              </w:rPr>
            </w:pPr>
            <w:r>
              <w:rPr>
                <w:rFonts w:hint="default" w:ascii="Times New Roman" w:hAnsi="Times New Roman" w:cs="Times New Roman"/>
                <w:snapToGrid w:val="0"/>
                <w:color w:val="000000" w:themeColor="text1"/>
                <w:kern w:val="21"/>
                <w:szCs w:val="21"/>
                <w:highlight w:val="none"/>
                <w14:textFill>
                  <w14:solidFill>
                    <w14:schemeClr w14:val="tx1"/>
                  </w14:solidFill>
                </w14:textFill>
              </w:rPr>
              <w:t>/</w:t>
            </w:r>
          </w:p>
        </w:tc>
        <w:tc>
          <w:tcPr>
            <w:tcW w:w="1701" w:type="dxa"/>
            <w:vAlign w:val="center"/>
          </w:tcPr>
          <w:p w14:paraId="0D32F6C9">
            <w:pPr>
              <w:pStyle w:val="34"/>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w:t>
            </w:r>
          </w:p>
        </w:tc>
        <w:tc>
          <w:tcPr>
            <w:tcW w:w="1276" w:type="dxa"/>
            <w:vAlign w:val="center"/>
          </w:tcPr>
          <w:p w14:paraId="06453AF1">
            <w:pPr>
              <w:pStyle w:val="51"/>
              <w:spacing w:before="24" w:after="24" w:line="240" w:lineRule="auto"/>
              <w:rPr>
                <w:rFonts w:hint="default" w:ascii="Times New Roman" w:hAnsi="Times New Roman" w:cs="Times New Roman"/>
                <w:snapToGrid w:val="0"/>
                <w:color w:val="000000" w:themeColor="text1"/>
                <w:kern w:val="21"/>
                <w:szCs w:val="21"/>
                <w:highlight w:val="none"/>
                <w14:textFill>
                  <w14:solidFill>
                    <w14:schemeClr w14:val="tx1"/>
                  </w14:solidFill>
                </w14:textFill>
              </w:rPr>
            </w:pPr>
            <w:r>
              <w:rPr>
                <w:rFonts w:hint="default" w:ascii="Times New Roman" w:hAnsi="Times New Roman" w:cs="Times New Roman"/>
                <w:snapToGrid w:val="0"/>
                <w:color w:val="000000" w:themeColor="text1"/>
                <w:kern w:val="21"/>
                <w:szCs w:val="21"/>
                <w:highlight w:val="none"/>
                <w14:textFill>
                  <w14:solidFill>
                    <w14:schemeClr w14:val="tx1"/>
                  </w14:solidFill>
                </w14:textFill>
              </w:rPr>
              <w:t>/</w:t>
            </w:r>
          </w:p>
        </w:tc>
        <w:tc>
          <w:tcPr>
            <w:tcW w:w="1701" w:type="dxa"/>
            <w:vAlign w:val="center"/>
          </w:tcPr>
          <w:p w14:paraId="5B54AD8F">
            <w:pPr>
              <w:pStyle w:val="34"/>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w:t>
            </w:r>
          </w:p>
        </w:tc>
        <w:tc>
          <w:tcPr>
            <w:tcW w:w="1559" w:type="dxa"/>
            <w:vAlign w:val="center"/>
          </w:tcPr>
          <w:p w14:paraId="4CB432EA">
            <w:pPr>
              <w:pStyle w:val="51"/>
              <w:spacing w:before="24" w:after="24" w:line="240" w:lineRule="auto"/>
              <w:rPr>
                <w:rFonts w:hint="default" w:ascii="Times New Roman" w:hAnsi="Times New Roman" w:cs="Times New Roman"/>
                <w:snapToGrid w:val="0"/>
                <w:color w:val="000000" w:themeColor="text1"/>
                <w:kern w:val="21"/>
                <w:szCs w:val="21"/>
                <w:highlight w:val="none"/>
                <w14:textFill>
                  <w14:solidFill>
                    <w14:schemeClr w14:val="tx1"/>
                  </w14:solidFill>
                </w14:textFill>
              </w:rPr>
            </w:pPr>
            <w:r>
              <w:rPr>
                <w:rFonts w:hint="default" w:ascii="Times New Roman" w:hAnsi="Times New Roman" w:cs="Times New Roman"/>
                <w:snapToGrid w:val="0"/>
                <w:color w:val="000000" w:themeColor="text1"/>
                <w:kern w:val="21"/>
                <w:szCs w:val="21"/>
                <w:highlight w:val="none"/>
                <w14:textFill>
                  <w14:solidFill>
                    <w14:schemeClr w14:val="tx1"/>
                  </w14:solidFill>
                </w14:textFill>
              </w:rPr>
              <w:t>/</w:t>
            </w:r>
          </w:p>
        </w:tc>
        <w:tc>
          <w:tcPr>
            <w:tcW w:w="1761" w:type="dxa"/>
            <w:vAlign w:val="center"/>
          </w:tcPr>
          <w:p w14:paraId="01B97A60">
            <w:pPr>
              <w:pStyle w:val="34"/>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w:t>
            </w:r>
          </w:p>
        </w:tc>
        <w:tc>
          <w:tcPr>
            <w:tcW w:w="1714" w:type="dxa"/>
            <w:vAlign w:val="center"/>
          </w:tcPr>
          <w:p w14:paraId="4B3CD21B">
            <w:pPr>
              <w:pStyle w:val="51"/>
              <w:spacing w:before="24" w:after="24" w:line="240" w:lineRule="auto"/>
              <w:rPr>
                <w:rFonts w:hint="default" w:ascii="Times New Roman" w:hAnsi="Times New Roman" w:cs="Times New Roman"/>
                <w:snapToGrid w:val="0"/>
                <w:color w:val="000000" w:themeColor="text1"/>
                <w:kern w:val="21"/>
                <w:szCs w:val="21"/>
                <w:highlight w:val="none"/>
                <w14:textFill>
                  <w14:solidFill>
                    <w14:schemeClr w14:val="tx1"/>
                  </w14:solidFill>
                </w14:textFill>
              </w:rPr>
            </w:pPr>
            <w:r>
              <w:rPr>
                <w:rFonts w:hint="default" w:ascii="Times New Roman" w:hAnsi="Times New Roman" w:cs="Times New Roman"/>
                <w:snapToGrid w:val="0"/>
                <w:color w:val="000000" w:themeColor="text1"/>
                <w:kern w:val="21"/>
                <w:szCs w:val="21"/>
                <w:highlight w:val="none"/>
                <w14:textFill>
                  <w14:solidFill>
                    <w14:schemeClr w14:val="tx1"/>
                  </w14:solidFill>
                </w14:textFill>
              </w:rPr>
              <w:t>/</w:t>
            </w:r>
          </w:p>
        </w:tc>
        <w:tc>
          <w:tcPr>
            <w:tcW w:w="1071" w:type="dxa"/>
            <w:vAlign w:val="center"/>
          </w:tcPr>
          <w:p w14:paraId="2C5D96C9">
            <w:pPr>
              <w:pStyle w:val="34"/>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w:t>
            </w:r>
          </w:p>
        </w:tc>
      </w:tr>
      <w:tr w14:paraId="18317BC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588" w:type="dxa"/>
            <w:vAlign w:val="center"/>
          </w:tcPr>
          <w:p w14:paraId="71FDBF3A">
            <w:pPr>
              <w:pStyle w:val="51"/>
              <w:spacing w:before="24" w:after="24" w:line="240" w:lineRule="auto"/>
              <w:rPr>
                <w:rFonts w:hint="default" w:ascii="Times New Roman" w:hAnsi="Times New Roman" w:cs="Times New Roman"/>
                <w:snapToGrid w:val="0"/>
                <w:color w:val="000000" w:themeColor="text1"/>
                <w:kern w:val="21"/>
                <w:szCs w:val="21"/>
                <w:highlight w:val="none"/>
                <w14:textFill>
                  <w14:solidFill>
                    <w14:schemeClr w14:val="tx1"/>
                  </w14:solidFill>
                </w14:textFill>
              </w:rPr>
            </w:pPr>
            <w:r>
              <w:rPr>
                <w:rFonts w:hint="default" w:ascii="Times New Roman" w:hAnsi="Times New Roman" w:cs="Times New Roman"/>
                <w:snapToGrid w:val="0"/>
                <w:color w:val="000000" w:themeColor="text1"/>
                <w:kern w:val="21"/>
                <w:szCs w:val="21"/>
                <w:highlight w:val="none"/>
                <w14:textFill>
                  <w14:solidFill>
                    <w14:schemeClr w14:val="tx1"/>
                  </w14:solidFill>
                </w14:textFill>
              </w:rPr>
              <w:t>危险废物</w:t>
            </w:r>
          </w:p>
        </w:tc>
        <w:tc>
          <w:tcPr>
            <w:tcW w:w="1417" w:type="dxa"/>
            <w:vAlign w:val="center"/>
          </w:tcPr>
          <w:p w14:paraId="4B1172CB">
            <w:pPr>
              <w:pStyle w:val="69"/>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危险废物</w:t>
            </w:r>
          </w:p>
        </w:tc>
        <w:tc>
          <w:tcPr>
            <w:tcW w:w="1701" w:type="dxa"/>
            <w:vAlign w:val="center"/>
          </w:tcPr>
          <w:p w14:paraId="2CBB6997">
            <w:pPr>
              <w:jc w:val="center"/>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eastAsia" w:cs="Times New Roman"/>
                <w:snapToGrid w:val="0"/>
                <w:color w:val="000000" w:themeColor="text1"/>
                <w:kern w:val="21"/>
                <w:szCs w:val="21"/>
                <w:highlight w:val="none"/>
                <w:lang w:val="en-US" w:eastAsia="zh-CN"/>
                <w14:textFill>
                  <w14:solidFill>
                    <w14:schemeClr w14:val="tx1"/>
                  </w14:solidFill>
                </w14:textFill>
              </w:rPr>
              <w:t>0</w:t>
            </w:r>
          </w:p>
        </w:tc>
        <w:tc>
          <w:tcPr>
            <w:tcW w:w="1276" w:type="dxa"/>
            <w:vAlign w:val="center"/>
          </w:tcPr>
          <w:p w14:paraId="5D870050">
            <w:pPr>
              <w:pStyle w:val="69"/>
              <w:rPr>
                <w:rFonts w:hint="eastAsia" w:ascii="Times New Roman" w:hAnsi="Times New Roman" w:eastAsia="宋体" w:cs="Times New Roman"/>
                <w:color w:val="000000" w:themeColor="text1"/>
                <w:highlight w:val="none"/>
                <w:lang w:eastAsia="zh-CN"/>
                <w14:textFill>
                  <w14:solidFill>
                    <w14:schemeClr w14:val="tx1"/>
                  </w14:solidFill>
                </w14:textFill>
              </w:rPr>
            </w:pPr>
            <w:r>
              <w:rPr>
                <w:rFonts w:hint="eastAsia" w:cs="Times New Roman"/>
                <w:color w:val="000000" w:themeColor="text1"/>
                <w:highlight w:val="none"/>
                <w:lang w:val="en-US" w:eastAsia="zh-CN"/>
                <w14:textFill>
                  <w14:solidFill>
                    <w14:schemeClr w14:val="tx1"/>
                  </w14:solidFill>
                </w14:textFill>
              </w:rPr>
              <w:t>0</w:t>
            </w:r>
          </w:p>
        </w:tc>
        <w:tc>
          <w:tcPr>
            <w:tcW w:w="1701" w:type="dxa"/>
            <w:vAlign w:val="center"/>
          </w:tcPr>
          <w:p w14:paraId="40531357">
            <w:pPr>
              <w:jc w:val="center"/>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snapToGrid w:val="0"/>
                <w:color w:val="000000" w:themeColor="text1"/>
                <w:kern w:val="21"/>
                <w:szCs w:val="21"/>
                <w:highlight w:val="none"/>
                <w14:textFill>
                  <w14:solidFill>
                    <w14:schemeClr w14:val="tx1"/>
                  </w14:solidFill>
                </w14:textFill>
              </w:rPr>
              <w:t>/</w:t>
            </w:r>
          </w:p>
        </w:tc>
        <w:tc>
          <w:tcPr>
            <w:tcW w:w="1559" w:type="dxa"/>
            <w:vAlign w:val="center"/>
          </w:tcPr>
          <w:p w14:paraId="3B071CB2">
            <w:pPr>
              <w:pStyle w:val="69"/>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eastAsia" w:cs="Times New Roman"/>
                <w:color w:val="000000" w:themeColor="text1"/>
                <w:highlight w:val="none"/>
                <w:lang w:val="en-US" w:eastAsia="zh-CN"/>
                <w14:textFill>
                  <w14:solidFill>
                    <w14:schemeClr w14:val="tx1"/>
                  </w14:solidFill>
                </w14:textFill>
              </w:rPr>
              <w:t>0.905</w:t>
            </w:r>
          </w:p>
        </w:tc>
        <w:tc>
          <w:tcPr>
            <w:tcW w:w="1761" w:type="dxa"/>
            <w:vAlign w:val="center"/>
          </w:tcPr>
          <w:p w14:paraId="46E3C997">
            <w:pPr>
              <w:jc w:val="center"/>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snapToGrid w:val="0"/>
                <w:color w:val="000000" w:themeColor="text1"/>
                <w:kern w:val="21"/>
                <w:szCs w:val="21"/>
                <w:highlight w:val="none"/>
                <w14:textFill>
                  <w14:solidFill>
                    <w14:schemeClr w14:val="tx1"/>
                  </w14:solidFill>
                </w14:textFill>
              </w:rPr>
              <w:t>/</w:t>
            </w:r>
          </w:p>
        </w:tc>
        <w:tc>
          <w:tcPr>
            <w:tcW w:w="1714" w:type="dxa"/>
            <w:vAlign w:val="center"/>
          </w:tcPr>
          <w:p w14:paraId="7A13A610">
            <w:pPr>
              <w:pStyle w:val="69"/>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eastAsia" w:cs="Times New Roman"/>
                <w:color w:val="000000" w:themeColor="text1"/>
                <w:highlight w:val="none"/>
                <w:lang w:val="en-US" w:eastAsia="zh-CN"/>
                <w14:textFill>
                  <w14:solidFill>
                    <w14:schemeClr w14:val="tx1"/>
                  </w14:solidFill>
                </w14:textFill>
              </w:rPr>
              <w:t>0.905</w:t>
            </w:r>
          </w:p>
        </w:tc>
        <w:tc>
          <w:tcPr>
            <w:tcW w:w="1071" w:type="dxa"/>
            <w:vAlign w:val="center"/>
          </w:tcPr>
          <w:p w14:paraId="7773E155">
            <w:pPr>
              <w:jc w:val="center"/>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snapToGrid w:val="0"/>
                <w:color w:val="000000" w:themeColor="text1"/>
                <w:kern w:val="21"/>
                <w:szCs w:val="21"/>
                <w:highlight w:val="none"/>
                <w14:textFill>
                  <w14:solidFill>
                    <w14:schemeClr w14:val="tx1"/>
                  </w14:solidFill>
                </w14:textFill>
              </w:rPr>
              <w:t>/</w:t>
            </w:r>
          </w:p>
        </w:tc>
      </w:tr>
    </w:tbl>
    <w:p w14:paraId="46D148BF">
      <w:pPr>
        <w:pStyle w:val="51"/>
        <w:spacing w:beforeLines="80" w:afterLines="0"/>
        <w:ind w:firstLine="420"/>
        <w:jc w:val="left"/>
        <w:rPr>
          <w:rFonts w:hint="default" w:ascii="Times New Roman" w:hAnsi="Times New Roman" w:cs="Times New Roman"/>
          <w:snapToGrid w:val="0"/>
          <w:color w:val="000000" w:themeColor="text1"/>
          <w:spacing w:val="-6"/>
          <w:kern w:val="21"/>
          <w:szCs w:val="21"/>
          <w:highlight w:val="none"/>
          <w14:textFill>
            <w14:solidFill>
              <w14:schemeClr w14:val="tx1"/>
            </w14:solidFill>
          </w14:textFill>
        </w:rPr>
        <w:sectPr>
          <w:footerReference r:id="rId7" w:type="default"/>
          <w:pgSz w:w="16838" w:h="11906" w:orient="landscape"/>
          <w:pgMar w:top="1531" w:right="1701" w:bottom="1531" w:left="1701" w:header="851" w:footer="851" w:gutter="0"/>
          <w:pgBorders>
            <w:top w:val="none" w:sz="0" w:space="0"/>
            <w:left w:val="none" w:sz="0" w:space="0"/>
            <w:bottom w:val="none" w:sz="0" w:space="0"/>
            <w:right w:val="none" w:sz="0" w:space="0"/>
          </w:pgBorders>
          <w:cols w:space="720" w:num="1"/>
          <w:docGrid w:linePitch="312" w:charSpace="0"/>
        </w:sectPr>
      </w:pPr>
      <w:r>
        <w:rPr>
          <w:rFonts w:hint="default" w:ascii="Times New Roman" w:hAnsi="Times New Roman" w:cs="Times New Roman"/>
          <w:snapToGrid w:val="0"/>
          <w:color w:val="000000" w:themeColor="text1"/>
          <w:kern w:val="21"/>
          <w:szCs w:val="21"/>
          <w:highlight w:val="none"/>
          <w14:textFill>
            <w14:solidFill>
              <w14:schemeClr w14:val="tx1"/>
            </w14:solidFill>
          </w14:textFill>
        </w:rPr>
        <w:t>注：</w:t>
      </w:r>
      <w:r>
        <w:rPr>
          <w:rFonts w:hint="default" w:ascii="Times New Roman" w:hAnsi="Times New Roman" w:cs="Times New Roman"/>
          <w:snapToGrid w:val="0"/>
          <w:color w:val="000000" w:themeColor="text1"/>
          <w:spacing w:val="-16"/>
          <w:kern w:val="21"/>
          <w:szCs w:val="21"/>
          <w:highlight w:val="none"/>
          <w14:textFill>
            <w14:solidFill>
              <w14:schemeClr w14:val="tx1"/>
            </w14:solidFill>
          </w14:textFill>
        </w:rPr>
        <w:fldChar w:fldCharType="begin"/>
      </w:r>
      <w:r>
        <w:rPr>
          <w:rFonts w:hint="default" w:ascii="Times New Roman" w:hAnsi="Times New Roman" w:cs="Times New Roman"/>
          <w:snapToGrid w:val="0"/>
          <w:color w:val="000000" w:themeColor="text1"/>
          <w:spacing w:val="-16"/>
          <w:kern w:val="21"/>
          <w:szCs w:val="21"/>
          <w:highlight w:val="none"/>
          <w14:textFill>
            <w14:solidFill>
              <w14:schemeClr w14:val="tx1"/>
            </w14:solidFill>
          </w14:textFill>
        </w:rPr>
        <w:instrText xml:space="preserve"> = 6 \* GB3 \* MERGEFORMAT </w:instrText>
      </w:r>
      <w:r>
        <w:rPr>
          <w:rFonts w:hint="default" w:ascii="Times New Roman" w:hAnsi="Times New Roman" w:cs="Times New Roman"/>
          <w:snapToGrid w:val="0"/>
          <w:color w:val="000000" w:themeColor="text1"/>
          <w:spacing w:val="-16"/>
          <w:kern w:val="21"/>
          <w:szCs w:val="21"/>
          <w:highlight w:val="none"/>
          <w14:textFill>
            <w14:solidFill>
              <w14:schemeClr w14:val="tx1"/>
            </w14:solidFill>
          </w14:textFill>
        </w:rPr>
        <w:fldChar w:fldCharType="separate"/>
      </w:r>
      <w:r>
        <w:rPr>
          <w:rFonts w:hint="default" w:ascii="Times New Roman" w:hAnsi="Times New Roman" w:cs="Times New Roman"/>
          <w:color w:val="000000" w:themeColor="text1"/>
          <w:szCs w:val="21"/>
          <w:highlight w:val="none"/>
          <w14:textFill>
            <w14:solidFill>
              <w14:schemeClr w14:val="tx1"/>
            </w14:solidFill>
          </w14:textFill>
        </w:rPr>
        <w:t>⑥</w:t>
      </w:r>
      <w:r>
        <w:rPr>
          <w:rFonts w:hint="default" w:ascii="Times New Roman" w:hAnsi="Times New Roman" w:cs="Times New Roman"/>
          <w:snapToGrid w:val="0"/>
          <w:color w:val="000000" w:themeColor="text1"/>
          <w:spacing w:val="-16"/>
          <w:kern w:val="21"/>
          <w:szCs w:val="21"/>
          <w:highlight w:val="none"/>
          <w14:textFill>
            <w14:solidFill>
              <w14:schemeClr w14:val="tx1"/>
            </w14:solidFill>
          </w14:textFill>
        </w:rPr>
        <w:fldChar w:fldCharType="end"/>
      </w:r>
      <w:r>
        <w:rPr>
          <w:rFonts w:hint="default" w:ascii="Times New Roman" w:hAnsi="Times New Roman" w:cs="Times New Roman"/>
          <w:snapToGrid w:val="0"/>
          <w:color w:val="000000" w:themeColor="text1"/>
          <w:spacing w:val="-16"/>
          <w:kern w:val="21"/>
          <w:szCs w:val="21"/>
          <w:highlight w:val="none"/>
          <w14:textFill>
            <w14:solidFill>
              <w14:schemeClr w14:val="tx1"/>
            </w14:solidFill>
          </w14:textFill>
        </w:rPr>
        <w:t>=</w:t>
      </w:r>
      <w:r>
        <w:rPr>
          <w:rFonts w:hint="default" w:ascii="Times New Roman" w:hAnsi="Times New Roman" w:cs="Times New Roman"/>
          <w:snapToGrid w:val="0"/>
          <w:color w:val="000000" w:themeColor="text1"/>
          <w:spacing w:val="-6"/>
          <w:kern w:val="21"/>
          <w:szCs w:val="21"/>
          <w:highlight w:val="none"/>
          <w14:textFill>
            <w14:solidFill>
              <w14:schemeClr w14:val="tx1"/>
            </w14:solidFill>
          </w14:textFill>
        </w:rPr>
        <w:fldChar w:fldCharType="begin"/>
      </w:r>
      <w:r>
        <w:rPr>
          <w:rFonts w:hint="default" w:ascii="Times New Roman" w:hAnsi="Times New Roman" w:cs="Times New Roman"/>
          <w:snapToGrid w:val="0"/>
          <w:color w:val="000000" w:themeColor="text1"/>
          <w:spacing w:val="-6"/>
          <w:kern w:val="21"/>
          <w:szCs w:val="21"/>
          <w:highlight w:val="none"/>
          <w14:textFill>
            <w14:solidFill>
              <w14:schemeClr w14:val="tx1"/>
            </w14:solidFill>
          </w14:textFill>
        </w:rPr>
        <w:instrText xml:space="preserve"> = 1 \* GB3 \* MERGEFORMAT </w:instrText>
      </w:r>
      <w:r>
        <w:rPr>
          <w:rFonts w:hint="default" w:ascii="Times New Roman" w:hAnsi="Times New Roman" w:cs="Times New Roman"/>
          <w:snapToGrid w:val="0"/>
          <w:color w:val="000000" w:themeColor="text1"/>
          <w:spacing w:val="-6"/>
          <w:kern w:val="21"/>
          <w:szCs w:val="21"/>
          <w:highlight w:val="none"/>
          <w14:textFill>
            <w14:solidFill>
              <w14:schemeClr w14:val="tx1"/>
            </w14:solidFill>
          </w14:textFill>
        </w:rPr>
        <w:fldChar w:fldCharType="separate"/>
      </w:r>
      <w:r>
        <w:rPr>
          <w:rFonts w:hint="default" w:ascii="Times New Roman" w:hAnsi="Times New Roman" w:cs="Times New Roman"/>
          <w:color w:val="000000" w:themeColor="text1"/>
          <w:szCs w:val="21"/>
          <w:highlight w:val="none"/>
          <w14:textFill>
            <w14:solidFill>
              <w14:schemeClr w14:val="tx1"/>
            </w14:solidFill>
          </w14:textFill>
        </w:rPr>
        <w:t>①</w:t>
      </w:r>
      <w:r>
        <w:rPr>
          <w:rFonts w:hint="default" w:ascii="Times New Roman" w:hAnsi="Times New Roman" w:cs="Times New Roman"/>
          <w:snapToGrid w:val="0"/>
          <w:color w:val="000000" w:themeColor="text1"/>
          <w:spacing w:val="-6"/>
          <w:kern w:val="21"/>
          <w:szCs w:val="21"/>
          <w:highlight w:val="none"/>
          <w14:textFill>
            <w14:solidFill>
              <w14:schemeClr w14:val="tx1"/>
            </w14:solidFill>
          </w14:textFill>
        </w:rPr>
        <w:fldChar w:fldCharType="end"/>
      </w:r>
      <w:r>
        <w:rPr>
          <w:rFonts w:hint="default" w:ascii="Times New Roman" w:hAnsi="Times New Roman" w:cs="Times New Roman"/>
          <w:snapToGrid w:val="0"/>
          <w:color w:val="000000" w:themeColor="text1"/>
          <w:spacing w:val="-6"/>
          <w:kern w:val="21"/>
          <w:szCs w:val="21"/>
          <w:highlight w:val="none"/>
          <w14:textFill>
            <w14:solidFill>
              <w14:schemeClr w14:val="tx1"/>
            </w14:solidFill>
          </w14:textFill>
        </w:rPr>
        <w:t>+</w:t>
      </w:r>
      <w:r>
        <w:rPr>
          <w:rFonts w:hint="default" w:ascii="Times New Roman" w:hAnsi="Times New Roman" w:cs="Times New Roman"/>
          <w:snapToGrid w:val="0"/>
          <w:color w:val="000000" w:themeColor="text1"/>
          <w:spacing w:val="-6"/>
          <w:kern w:val="21"/>
          <w:szCs w:val="21"/>
          <w:highlight w:val="none"/>
          <w14:textFill>
            <w14:solidFill>
              <w14:schemeClr w14:val="tx1"/>
            </w14:solidFill>
          </w14:textFill>
        </w:rPr>
        <w:fldChar w:fldCharType="begin"/>
      </w:r>
      <w:r>
        <w:rPr>
          <w:rFonts w:hint="default" w:ascii="Times New Roman" w:hAnsi="Times New Roman" w:cs="Times New Roman"/>
          <w:snapToGrid w:val="0"/>
          <w:color w:val="000000" w:themeColor="text1"/>
          <w:spacing w:val="-6"/>
          <w:kern w:val="21"/>
          <w:szCs w:val="21"/>
          <w:highlight w:val="none"/>
          <w14:textFill>
            <w14:solidFill>
              <w14:schemeClr w14:val="tx1"/>
            </w14:solidFill>
          </w14:textFill>
        </w:rPr>
        <w:instrText xml:space="preserve"> = 3 \* GB3 \* MERGEFORMAT </w:instrText>
      </w:r>
      <w:r>
        <w:rPr>
          <w:rFonts w:hint="default" w:ascii="Times New Roman" w:hAnsi="Times New Roman" w:cs="Times New Roman"/>
          <w:snapToGrid w:val="0"/>
          <w:color w:val="000000" w:themeColor="text1"/>
          <w:spacing w:val="-6"/>
          <w:kern w:val="21"/>
          <w:szCs w:val="21"/>
          <w:highlight w:val="none"/>
          <w14:textFill>
            <w14:solidFill>
              <w14:schemeClr w14:val="tx1"/>
            </w14:solidFill>
          </w14:textFill>
        </w:rPr>
        <w:fldChar w:fldCharType="separate"/>
      </w:r>
      <w:r>
        <w:rPr>
          <w:rFonts w:hint="default" w:ascii="Times New Roman" w:hAnsi="Times New Roman" w:cs="Times New Roman"/>
          <w:color w:val="000000" w:themeColor="text1"/>
          <w:szCs w:val="21"/>
          <w:highlight w:val="none"/>
          <w14:textFill>
            <w14:solidFill>
              <w14:schemeClr w14:val="tx1"/>
            </w14:solidFill>
          </w14:textFill>
        </w:rPr>
        <w:t>③</w:t>
      </w:r>
      <w:r>
        <w:rPr>
          <w:rFonts w:hint="default" w:ascii="Times New Roman" w:hAnsi="Times New Roman" w:cs="Times New Roman"/>
          <w:snapToGrid w:val="0"/>
          <w:color w:val="000000" w:themeColor="text1"/>
          <w:spacing w:val="-6"/>
          <w:kern w:val="21"/>
          <w:szCs w:val="21"/>
          <w:highlight w:val="none"/>
          <w14:textFill>
            <w14:solidFill>
              <w14:schemeClr w14:val="tx1"/>
            </w14:solidFill>
          </w14:textFill>
        </w:rPr>
        <w:fldChar w:fldCharType="end"/>
      </w:r>
      <w:r>
        <w:rPr>
          <w:rFonts w:hint="default" w:ascii="Times New Roman" w:hAnsi="Times New Roman" w:cs="Times New Roman"/>
          <w:snapToGrid w:val="0"/>
          <w:color w:val="000000" w:themeColor="text1"/>
          <w:spacing w:val="-6"/>
          <w:kern w:val="21"/>
          <w:szCs w:val="21"/>
          <w:highlight w:val="none"/>
          <w14:textFill>
            <w14:solidFill>
              <w14:schemeClr w14:val="tx1"/>
            </w14:solidFill>
          </w14:textFill>
        </w:rPr>
        <w:t>+</w:t>
      </w:r>
      <w:r>
        <w:rPr>
          <w:rFonts w:hint="default" w:ascii="Times New Roman" w:hAnsi="Times New Roman" w:cs="Times New Roman"/>
          <w:snapToGrid w:val="0"/>
          <w:color w:val="000000" w:themeColor="text1"/>
          <w:spacing w:val="-6"/>
          <w:kern w:val="21"/>
          <w:szCs w:val="21"/>
          <w:highlight w:val="none"/>
          <w14:textFill>
            <w14:solidFill>
              <w14:schemeClr w14:val="tx1"/>
            </w14:solidFill>
          </w14:textFill>
        </w:rPr>
        <w:fldChar w:fldCharType="begin"/>
      </w:r>
      <w:r>
        <w:rPr>
          <w:rFonts w:hint="default" w:ascii="Times New Roman" w:hAnsi="Times New Roman" w:cs="Times New Roman"/>
          <w:snapToGrid w:val="0"/>
          <w:color w:val="000000" w:themeColor="text1"/>
          <w:spacing w:val="-6"/>
          <w:kern w:val="21"/>
          <w:szCs w:val="21"/>
          <w:highlight w:val="none"/>
          <w14:textFill>
            <w14:solidFill>
              <w14:schemeClr w14:val="tx1"/>
            </w14:solidFill>
          </w14:textFill>
        </w:rPr>
        <w:instrText xml:space="preserve"> = 4 \* GB3 \* MERGEFORMAT </w:instrText>
      </w:r>
      <w:r>
        <w:rPr>
          <w:rFonts w:hint="default" w:ascii="Times New Roman" w:hAnsi="Times New Roman" w:cs="Times New Roman"/>
          <w:snapToGrid w:val="0"/>
          <w:color w:val="000000" w:themeColor="text1"/>
          <w:spacing w:val="-6"/>
          <w:kern w:val="21"/>
          <w:szCs w:val="21"/>
          <w:highlight w:val="none"/>
          <w14:textFill>
            <w14:solidFill>
              <w14:schemeClr w14:val="tx1"/>
            </w14:solidFill>
          </w14:textFill>
        </w:rPr>
        <w:fldChar w:fldCharType="separate"/>
      </w:r>
      <w:r>
        <w:rPr>
          <w:rFonts w:hint="default" w:ascii="Times New Roman" w:hAnsi="Times New Roman" w:cs="Times New Roman"/>
          <w:color w:val="000000" w:themeColor="text1"/>
          <w:szCs w:val="21"/>
          <w:highlight w:val="none"/>
          <w14:textFill>
            <w14:solidFill>
              <w14:schemeClr w14:val="tx1"/>
            </w14:solidFill>
          </w14:textFill>
        </w:rPr>
        <w:t>④</w:t>
      </w:r>
      <w:r>
        <w:rPr>
          <w:rFonts w:hint="default" w:ascii="Times New Roman" w:hAnsi="Times New Roman" w:cs="Times New Roman"/>
          <w:snapToGrid w:val="0"/>
          <w:color w:val="000000" w:themeColor="text1"/>
          <w:spacing w:val="-6"/>
          <w:kern w:val="21"/>
          <w:szCs w:val="21"/>
          <w:highlight w:val="none"/>
          <w14:textFill>
            <w14:solidFill>
              <w14:schemeClr w14:val="tx1"/>
            </w14:solidFill>
          </w14:textFill>
        </w:rPr>
        <w:fldChar w:fldCharType="end"/>
      </w:r>
      <w:r>
        <w:rPr>
          <w:rFonts w:hint="default" w:ascii="Times New Roman" w:hAnsi="Times New Roman" w:cs="Times New Roman"/>
          <w:snapToGrid w:val="0"/>
          <w:color w:val="000000" w:themeColor="text1"/>
          <w:spacing w:val="-6"/>
          <w:kern w:val="21"/>
          <w:szCs w:val="21"/>
          <w:highlight w:val="none"/>
          <w14:textFill>
            <w14:solidFill>
              <w14:schemeClr w14:val="tx1"/>
            </w14:solidFill>
          </w14:textFill>
        </w:rPr>
        <w:t>-</w:t>
      </w:r>
      <w:r>
        <w:rPr>
          <w:rFonts w:hint="default" w:ascii="Times New Roman" w:hAnsi="Times New Roman" w:cs="Times New Roman"/>
          <w:snapToGrid w:val="0"/>
          <w:color w:val="000000" w:themeColor="text1"/>
          <w:spacing w:val="-16"/>
          <w:kern w:val="21"/>
          <w:szCs w:val="21"/>
          <w:highlight w:val="none"/>
          <w14:textFill>
            <w14:solidFill>
              <w14:schemeClr w14:val="tx1"/>
            </w14:solidFill>
          </w14:textFill>
        </w:rPr>
        <w:fldChar w:fldCharType="begin"/>
      </w:r>
      <w:r>
        <w:rPr>
          <w:rFonts w:hint="default" w:ascii="Times New Roman" w:hAnsi="Times New Roman" w:cs="Times New Roman"/>
          <w:snapToGrid w:val="0"/>
          <w:color w:val="000000" w:themeColor="text1"/>
          <w:spacing w:val="-16"/>
          <w:kern w:val="21"/>
          <w:szCs w:val="21"/>
          <w:highlight w:val="none"/>
          <w14:textFill>
            <w14:solidFill>
              <w14:schemeClr w14:val="tx1"/>
            </w14:solidFill>
          </w14:textFill>
        </w:rPr>
        <w:instrText xml:space="preserve"> = 5 \* GB3 \* MERGEFORMAT </w:instrText>
      </w:r>
      <w:r>
        <w:rPr>
          <w:rFonts w:hint="default" w:ascii="Times New Roman" w:hAnsi="Times New Roman" w:cs="Times New Roman"/>
          <w:snapToGrid w:val="0"/>
          <w:color w:val="000000" w:themeColor="text1"/>
          <w:spacing w:val="-16"/>
          <w:kern w:val="21"/>
          <w:szCs w:val="21"/>
          <w:highlight w:val="none"/>
          <w14:textFill>
            <w14:solidFill>
              <w14:schemeClr w14:val="tx1"/>
            </w14:solidFill>
          </w14:textFill>
        </w:rPr>
        <w:fldChar w:fldCharType="separate"/>
      </w:r>
      <w:r>
        <w:rPr>
          <w:rFonts w:hint="default" w:ascii="Times New Roman" w:hAnsi="Times New Roman" w:cs="Times New Roman"/>
          <w:color w:val="000000" w:themeColor="text1"/>
          <w:szCs w:val="21"/>
          <w:highlight w:val="none"/>
          <w14:textFill>
            <w14:solidFill>
              <w14:schemeClr w14:val="tx1"/>
            </w14:solidFill>
          </w14:textFill>
        </w:rPr>
        <w:t>⑤</w:t>
      </w:r>
      <w:r>
        <w:rPr>
          <w:rFonts w:hint="default" w:ascii="Times New Roman" w:hAnsi="Times New Roman" w:cs="Times New Roman"/>
          <w:snapToGrid w:val="0"/>
          <w:color w:val="000000" w:themeColor="text1"/>
          <w:spacing w:val="-16"/>
          <w:kern w:val="21"/>
          <w:szCs w:val="21"/>
          <w:highlight w:val="none"/>
          <w14:textFill>
            <w14:solidFill>
              <w14:schemeClr w14:val="tx1"/>
            </w14:solidFill>
          </w14:textFill>
        </w:rPr>
        <w:fldChar w:fldCharType="end"/>
      </w:r>
      <w:r>
        <w:rPr>
          <w:rFonts w:hint="default" w:ascii="Times New Roman" w:hAnsi="Times New Roman" w:cs="Times New Roman"/>
          <w:snapToGrid w:val="0"/>
          <w:color w:val="000000" w:themeColor="text1"/>
          <w:spacing w:val="-16"/>
          <w:kern w:val="21"/>
          <w:szCs w:val="21"/>
          <w:highlight w:val="none"/>
          <w14:textFill>
            <w14:solidFill>
              <w14:schemeClr w14:val="tx1"/>
            </w14:solidFill>
          </w14:textFill>
        </w:rPr>
        <w:t>；</w:t>
      </w:r>
      <w:r>
        <w:rPr>
          <w:rFonts w:hint="default" w:ascii="Times New Roman" w:hAnsi="Times New Roman" w:cs="Times New Roman"/>
          <w:snapToGrid w:val="0"/>
          <w:color w:val="000000" w:themeColor="text1"/>
          <w:spacing w:val="-6"/>
          <w:kern w:val="21"/>
          <w:szCs w:val="21"/>
          <w:highlight w:val="none"/>
          <w14:textFill>
            <w14:solidFill>
              <w14:schemeClr w14:val="tx1"/>
            </w14:solidFill>
          </w14:textFill>
        </w:rPr>
        <w:fldChar w:fldCharType="begin"/>
      </w:r>
      <w:r>
        <w:rPr>
          <w:rFonts w:hint="default" w:ascii="Times New Roman" w:hAnsi="Times New Roman" w:cs="Times New Roman"/>
          <w:snapToGrid w:val="0"/>
          <w:color w:val="000000" w:themeColor="text1"/>
          <w:spacing w:val="-6"/>
          <w:kern w:val="21"/>
          <w:szCs w:val="21"/>
          <w:highlight w:val="none"/>
          <w14:textFill>
            <w14:solidFill>
              <w14:schemeClr w14:val="tx1"/>
            </w14:solidFill>
          </w14:textFill>
        </w:rPr>
        <w:instrText xml:space="preserve"> = 7 \* GB3 \* MERGEFORMAT </w:instrText>
      </w:r>
      <w:r>
        <w:rPr>
          <w:rFonts w:hint="default" w:ascii="Times New Roman" w:hAnsi="Times New Roman" w:cs="Times New Roman"/>
          <w:snapToGrid w:val="0"/>
          <w:color w:val="000000" w:themeColor="text1"/>
          <w:spacing w:val="-6"/>
          <w:kern w:val="21"/>
          <w:szCs w:val="21"/>
          <w:highlight w:val="none"/>
          <w14:textFill>
            <w14:solidFill>
              <w14:schemeClr w14:val="tx1"/>
            </w14:solidFill>
          </w14:textFill>
        </w:rPr>
        <w:fldChar w:fldCharType="separate"/>
      </w:r>
      <w:r>
        <w:rPr>
          <w:rFonts w:hint="default" w:ascii="Times New Roman" w:hAnsi="Times New Roman" w:cs="Times New Roman"/>
          <w:color w:val="000000" w:themeColor="text1"/>
          <w:szCs w:val="21"/>
          <w:highlight w:val="none"/>
          <w14:textFill>
            <w14:solidFill>
              <w14:schemeClr w14:val="tx1"/>
            </w14:solidFill>
          </w14:textFill>
        </w:rPr>
        <w:t>⑦</w:t>
      </w:r>
      <w:r>
        <w:rPr>
          <w:rFonts w:hint="default" w:ascii="Times New Roman" w:hAnsi="Times New Roman" w:cs="Times New Roman"/>
          <w:snapToGrid w:val="0"/>
          <w:color w:val="000000" w:themeColor="text1"/>
          <w:spacing w:val="-6"/>
          <w:kern w:val="21"/>
          <w:szCs w:val="21"/>
          <w:highlight w:val="none"/>
          <w14:textFill>
            <w14:solidFill>
              <w14:schemeClr w14:val="tx1"/>
            </w14:solidFill>
          </w14:textFill>
        </w:rPr>
        <w:fldChar w:fldCharType="end"/>
      </w:r>
      <w:r>
        <w:rPr>
          <w:rFonts w:hint="default" w:ascii="Times New Roman" w:hAnsi="Times New Roman" w:cs="Times New Roman"/>
          <w:snapToGrid w:val="0"/>
          <w:color w:val="000000" w:themeColor="text1"/>
          <w:spacing w:val="-6"/>
          <w:kern w:val="21"/>
          <w:szCs w:val="21"/>
          <w:highlight w:val="none"/>
          <w14:textFill>
            <w14:solidFill>
              <w14:schemeClr w14:val="tx1"/>
            </w14:solidFill>
          </w14:textFill>
        </w:rPr>
        <w:t>=</w:t>
      </w:r>
      <w:r>
        <w:rPr>
          <w:rFonts w:hint="default" w:ascii="Times New Roman" w:hAnsi="Times New Roman" w:cs="Times New Roman"/>
          <w:snapToGrid w:val="0"/>
          <w:color w:val="000000" w:themeColor="text1"/>
          <w:spacing w:val="-16"/>
          <w:kern w:val="21"/>
          <w:szCs w:val="21"/>
          <w:highlight w:val="none"/>
          <w14:textFill>
            <w14:solidFill>
              <w14:schemeClr w14:val="tx1"/>
            </w14:solidFill>
          </w14:textFill>
        </w:rPr>
        <w:fldChar w:fldCharType="begin"/>
      </w:r>
      <w:r>
        <w:rPr>
          <w:rFonts w:hint="default" w:ascii="Times New Roman" w:hAnsi="Times New Roman" w:cs="Times New Roman"/>
          <w:snapToGrid w:val="0"/>
          <w:color w:val="000000" w:themeColor="text1"/>
          <w:spacing w:val="-16"/>
          <w:kern w:val="21"/>
          <w:szCs w:val="21"/>
          <w:highlight w:val="none"/>
          <w14:textFill>
            <w14:solidFill>
              <w14:schemeClr w14:val="tx1"/>
            </w14:solidFill>
          </w14:textFill>
        </w:rPr>
        <w:instrText xml:space="preserve"> = 6 \* GB3 \* MERGEFORMAT </w:instrText>
      </w:r>
      <w:r>
        <w:rPr>
          <w:rFonts w:hint="default" w:ascii="Times New Roman" w:hAnsi="Times New Roman" w:cs="Times New Roman"/>
          <w:snapToGrid w:val="0"/>
          <w:color w:val="000000" w:themeColor="text1"/>
          <w:spacing w:val="-16"/>
          <w:kern w:val="21"/>
          <w:szCs w:val="21"/>
          <w:highlight w:val="none"/>
          <w14:textFill>
            <w14:solidFill>
              <w14:schemeClr w14:val="tx1"/>
            </w14:solidFill>
          </w14:textFill>
        </w:rPr>
        <w:fldChar w:fldCharType="separate"/>
      </w:r>
      <w:r>
        <w:rPr>
          <w:rFonts w:hint="default" w:ascii="Times New Roman" w:hAnsi="Times New Roman" w:cs="Times New Roman"/>
          <w:color w:val="000000" w:themeColor="text1"/>
          <w:szCs w:val="21"/>
          <w:highlight w:val="none"/>
          <w14:textFill>
            <w14:solidFill>
              <w14:schemeClr w14:val="tx1"/>
            </w14:solidFill>
          </w14:textFill>
        </w:rPr>
        <w:t>⑥</w:t>
      </w:r>
      <w:r>
        <w:rPr>
          <w:rFonts w:hint="default" w:ascii="Times New Roman" w:hAnsi="Times New Roman" w:cs="Times New Roman"/>
          <w:snapToGrid w:val="0"/>
          <w:color w:val="000000" w:themeColor="text1"/>
          <w:spacing w:val="-16"/>
          <w:kern w:val="21"/>
          <w:szCs w:val="21"/>
          <w:highlight w:val="none"/>
          <w14:textFill>
            <w14:solidFill>
              <w14:schemeClr w14:val="tx1"/>
            </w14:solidFill>
          </w14:textFill>
        </w:rPr>
        <w:fldChar w:fldCharType="end"/>
      </w:r>
      <w:r>
        <w:rPr>
          <w:rFonts w:hint="default" w:ascii="Times New Roman" w:hAnsi="Times New Roman" w:cs="Times New Roman"/>
          <w:snapToGrid w:val="0"/>
          <w:color w:val="000000" w:themeColor="text1"/>
          <w:spacing w:val="-16"/>
          <w:kern w:val="21"/>
          <w:szCs w:val="21"/>
          <w:highlight w:val="none"/>
          <w14:textFill>
            <w14:solidFill>
              <w14:schemeClr w14:val="tx1"/>
            </w14:solidFill>
          </w14:textFill>
        </w:rPr>
        <w:t>-</w:t>
      </w:r>
      <w:r>
        <w:rPr>
          <w:rFonts w:hint="default" w:ascii="Times New Roman" w:hAnsi="Times New Roman" w:cs="Times New Roman"/>
          <w:snapToGrid w:val="0"/>
          <w:color w:val="000000" w:themeColor="text1"/>
          <w:spacing w:val="-6"/>
          <w:kern w:val="21"/>
          <w:szCs w:val="21"/>
          <w:highlight w:val="none"/>
          <w14:textFill>
            <w14:solidFill>
              <w14:schemeClr w14:val="tx1"/>
            </w14:solidFill>
          </w14:textFill>
        </w:rPr>
        <w:fldChar w:fldCharType="begin"/>
      </w:r>
      <w:r>
        <w:rPr>
          <w:rFonts w:hint="default" w:ascii="Times New Roman" w:hAnsi="Times New Roman" w:cs="Times New Roman"/>
          <w:snapToGrid w:val="0"/>
          <w:color w:val="000000" w:themeColor="text1"/>
          <w:spacing w:val="-6"/>
          <w:kern w:val="21"/>
          <w:szCs w:val="21"/>
          <w:highlight w:val="none"/>
          <w14:textFill>
            <w14:solidFill>
              <w14:schemeClr w14:val="tx1"/>
            </w14:solidFill>
          </w14:textFill>
        </w:rPr>
        <w:instrText xml:space="preserve"> = 1 \* GB3 \* MERGEFORMAT </w:instrText>
      </w:r>
      <w:r>
        <w:rPr>
          <w:rFonts w:hint="default" w:ascii="Times New Roman" w:hAnsi="Times New Roman" w:cs="Times New Roman"/>
          <w:snapToGrid w:val="0"/>
          <w:color w:val="000000" w:themeColor="text1"/>
          <w:spacing w:val="-6"/>
          <w:kern w:val="21"/>
          <w:szCs w:val="21"/>
          <w:highlight w:val="none"/>
          <w14:textFill>
            <w14:solidFill>
              <w14:schemeClr w14:val="tx1"/>
            </w14:solidFill>
          </w14:textFill>
        </w:rPr>
        <w:fldChar w:fldCharType="separate"/>
      </w:r>
      <w:r>
        <w:rPr>
          <w:rFonts w:hint="default" w:ascii="Times New Roman" w:hAnsi="Times New Roman" w:cs="Times New Roman"/>
          <w:color w:val="000000" w:themeColor="text1"/>
          <w:szCs w:val="21"/>
          <w:highlight w:val="none"/>
          <w14:textFill>
            <w14:solidFill>
              <w14:schemeClr w14:val="tx1"/>
            </w14:solidFill>
          </w14:textFill>
        </w:rPr>
        <w:t>①</w:t>
      </w:r>
      <w:r>
        <w:rPr>
          <w:rFonts w:hint="default" w:ascii="Times New Roman" w:hAnsi="Times New Roman" w:cs="Times New Roman"/>
          <w:snapToGrid w:val="0"/>
          <w:color w:val="000000" w:themeColor="text1"/>
          <w:spacing w:val="-6"/>
          <w:kern w:val="21"/>
          <w:szCs w:val="21"/>
          <w:highlight w:val="none"/>
          <w14:textFill>
            <w14:solidFill>
              <w14:schemeClr w14:val="tx1"/>
            </w14:solidFill>
          </w14:textFill>
        </w:rPr>
        <w:fldChar w:fldCharType="end"/>
      </w:r>
    </w:p>
    <w:p w14:paraId="5E0B0C18">
      <w:pPr>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mc:AlternateContent>
          <mc:Choice Requires="wps">
            <w:drawing>
              <wp:anchor distT="0" distB="0" distL="114300" distR="114300" simplePos="0" relativeHeight="251680768" behindDoc="0" locked="0" layoutInCell="1" allowOverlap="1">
                <wp:simplePos x="0" y="0"/>
                <wp:positionH relativeFrom="column">
                  <wp:posOffset>890270</wp:posOffset>
                </wp:positionH>
                <wp:positionV relativeFrom="paragraph">
                  <wp:posOffset>1642745</wp:posOffset>
                </wp:positionV>
                <wp:extent cx="1148715" cy="249555"/>
                <wp:effectExtent l="134620" t="4445" r="12065" b="264160"/>
                <wp:wrapNone/>
                <wp:docPr id="70" name="自选图形 339"/>
                <wp:cNvGraphicFramePr/>
                <a:graphic xmlns:a="http://schemas.openxmlformats.org/drawingml/2006/main">
                  <a:graphicData uri="http://schemas.microsoft.com/office/word/2010/wordprocessingShape">
                    <wps:wsp>
                      <wps:cNvSpPr/>
                      <wps:spPr>
                        <a:xfrm>
                          <a:off x="0" y="0"/>
                          <a:ext cx="1148715" cy="249555"/>
                        </a:xfrm>
                        <a:prstGeom prst="wedgeRectCallout">
                          <a:avLst>
                            <a:gd name="adj1" fmla="val -59278"/>
                            <a:gd name="adj2" fmla="val 147361"/>
                          </a:avLst>
                        </a:prstGeom>
                        <a:solidFill>
                          <a:schemeClr val="bg1"/>
                        </a:solidFill>
                        <a:ln w="9525" cap="flat" cmpd="sng">
                          <a:solidFill>
                            <a:srgbClr val="000000"/>
                          </a:solidFill>
                          <a:prstDash val="solid"/>
                          <a:miter/>
                          <a:headEnd type="none" w="med" len="med"/>
                          <a:tailEnd type="none" w="med" len="med"/>
                        </a:ln>
                        <a:effectLst/>
                      </wps:spPr>
                      <wps:txbx>
                        <w:txbxContent>
                          <w:p w14:paraId="2C890D50">
                            <w:pPr>
                              <w:rPr>
                                <w:sz w:val="18"/>
                                <w:szCs w:val="21"/>
                              </w:rPr>
                            </w:pPr>
                            <w:r>
                              <w:rPr>
                                <w:rFonts w:hint="eastAsia"/>
                                <w:sz w:val="18"/>
                                <w:szCs w:val="21"/>
                              </w:rPr>
                              <w:t>本项目地理位置</w:t>
                            </w:r>
                          </w:p>
                        </w:txbxContent>
                      </wps:txbx>
                      <wps:bodyPr wrap="square" upright="1"/>
                    </wps:wsp>
                  </a:graphicData>
                </a:graphic>
              </wp:anchor>
            </w:drawing>
          </mc:Choice>
          <mc:Fallback>
            <w:pict>
              <v:shape id="自选图形 339" o:spid="_x0000_s1026" o:spt="61" type="#_x0000_t61" style="position:absolute;left:0pt;margin-left:70.1pt;margin-top:129.35pt;height:19.65pt;width:90.45pt;z-index:251680768;mso-width-relative:page;mso-height-relative:page;" fillcolor="#FFFFFF [3212]" filled="t" stroked="t" coordsize="21600,21600" o:gfxdata="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Ox4Y7PaAAAACwEAAA8A&#10;AAAAAAAAAQAgAAAAIgAAAGRycy9kb3ducmV2LnhtbFBLAQIUABQAAAAIAIdO4kCmTuNnTgIAAK0E&#10;AAAOAAAAAAAAAAEAIAAAACkBAABkcnMvZTJvRG9jLnhtbFBLBQYAAAAABgAGAFkBAADpBQAAAAA=&#10;" adj="-2004,42630">
                <v:fill on="t" focussize="0,0"/>
                <v:stroke color="#000000" joinstyle="miter"/>
                <v:imagedata o:title=""/>
                <o:lock v:ext="edit" aspectratio="f"/>
                <v:textbox>
                  <w:txbxContent>
                    <w:p w14:paraId="2C890D50">
                      <w:pPr>
                        <w:rPr>
                          <w:sz w:val="18"/>
                          <w:szCs w:val="21"/>
                        </w:rPr>
                      </w:pPr>
                      <w:r>
                        <w:rPr>
                          <w:rFonts w:hint="eastAsia"/>
                          <w:sz w:val="18"/>
                          <w:szCs w:val="21"/>
                        </w:rPr>
                        <w:t>本项目地理位置</w:t>
                      </w:r>
                    </w:p>
                  </w:txbxContent>
                </v:textbox>
              </v:shape>
            </w:pict>
          </mc:Fallback>
        </mc:AlternateContent>
      </w:r>
      <w:r>
        <w:rPr>
          <w:rFonts w:hint="default" w:ascii="Times New Roman" w:hAnsi="Times New Roman" w:cs="Times New Roman"/>
          <w:color w:val="000000" w:themeColor="text1"/>
          <w:highlight w:val="none"/>
          <w14:textFill>
            <w14:solidFill>
              <w14:schemeClr w14:val="tx1"/>
            </w14:solidFill>
          </w14:textFill>
        </w:rPr>
        <mc:AlternateContent>
          <mc:Choice Requires="wps">
            <w:drawing>
              <wp:anchor distT="0" distB="0" distL="114300" distR="114300" simplePos="0" relativeHeight="251679744" behindDoc="0" locked="0" layoutInCell="1" allowOverlap="1">
                <wp:simplePos x="0" y="0"/>
                <wp:positionH relativeFrom="column">
                  <wp:posOffset>712470</wp:posOffset>
                </wp:positionH>
                <wp:positionV relativeFrom="paragraph">
                  <wp:posOffset>2129155</wp:posOffset>
                </wp:positionV>
                <wp:extent cx="75565" cy="75565"/>
                <wp:effectExtent l="4445" t="5080" r="11430" b="26035"/>
                <wp:wrapNone/>
                <wp:docPr id="69" name="自选图形 338"/>
                <wp:cNvGraphicFramePr/>
                <a:graphic xmlns:a="http://schemas.openxmlformats.org/drawingml/2006/main">
                  <a:graphicData uri="http://schemas.microsoft.com/office/word/2010/wordprocessingShape">
                    <wps:wsp>
                      <wps:cNvSpPr/>
                      <wps:spPr>
                        <a:xfrm>
                          <a:off x="0" y="0"/>
                          <a:ext cx="75565" cy="75565"/>
                        </a:xfrm>
                        <a:prstGeom prst="star5">
                          <a:avLst>
                            <a:gd name="adj" fmla="val 50000"/>
                            <a:gd name="hf" fmla="val 105146"/>
                            <a:gd name="vf" fmla="val 110557"/>
                          </a:avLst>
                        </a:prstGeom>
                        <a:solidFill>
                          <a:srgbClr val="FF0000"/>
                        </a:solidFill>
                        <a:ln w="9525" cap="flat" cmpd="sng">
                          <a:solidFill>
                            <a:srgbClr val="FF0000"/>
                          </a:solidFill>
                          <a:prstDash val="solid"/>
                          <a:miter/>
                          <a:headEnd type="none" w="med" len="med"/>
                          <a:tailEnd type="none" w="med" len="med"/>
                        </a:ln>
                        <a:effectLst/>
                      </wps:spPr>
                      <wps:txbx>
                        <w:txbxContent>
                          <w:p w14:paraId="3596BEEA"/>
                        </w:txbxContent>
                      </wps:txbx>
                      <wps:bodyPr wrap="square" upright="1"/>
                    </wps:wsp>
                  </a:graphicData>
                </a:graphic>
              </wp:anchor>
            </w:drawing>
          </mc:Choice>
          <mc:Fallback>
            <w:pict>
              <v:shape id="自选图形 338" o:spid="_x0000_s1026" style="position:absolute;left:0pt;margin-left:56.1pt;margin-top:167.65pt;height:5.95pt;width:5.95pt;z-index:251679744;mso-width-relative:page;mso-height-relative:page;" fillcolor="#FF0000" filled="t" stroked="t" coordsize="75565,75565" o:gfxdata="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DrQsTs2wAAAAsBAAAPAAAAAAAAAAEA&#10;IAAAACIAAABkcnMvZG93bnJldi54bWxQSwECFAAUAAAACACHTuJAZ9o2hUUCAAC+BAAADgAAAAAA&#10;AAABACAAAAAqAQAAZHJzL2Uyb0RvYy54bWxQSwUGAAAAAAYABgBZAQAA4QUAAAAA&#10;" path="m0,28863l14431,7977,37782,0,61133,7977,75564,28863,75564,54679,61133,75564,37782,83542,14431,75564,0,54679xe">
                <v:path textboxrect="0,0,75565,75565" o:connectlocs="37782,0;0,28863;14431,75564;61133,75564;75564,28863" o:connectangles="247,164,82,82,0"/>
                <v:fill on="t" focussize="0,0"/>
                <v:stroke color="#FF0000" joinstyle="miter"/>
                <v:imagedata o:title=""/>
                <o:lock v:ext="edit" aspectratio="f"/>
                <v:textbox>
                  <w:txbxContent>
                    <w:p w14:paraId="3596BEEA"/>
                  </w:txbxContent>
                </v:textbox>
              </v:shape>
            </w:pict>
          </mc:Fallback>
        </mc:AlternateContent>
      </w:r>
      <w:r>
        <w:rPr>
          <w:rFonts w:hint="eastAsia" w:eastAsia="宋体"/>
          <w:color w:val="auto"/>
          <w:lang w:eastAsia="zh-CN"/>
        </w:rPr>
        <w:drawing>
          <wp:inline distT="0" distB="0" distL="114300" distR="114300">
            <wp:extent cx="8679180" cy="4852035"/>
            <wp:effectExtent l="0" t="0" r="7620" b="9525"/>
            <wp:docPr id="8" name="图片 4" descr="本溪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4" descr="本溪市"/>
                    <pic:cNvPicPr>
                      <a:picLocks noChangeAspect="1"/>
                    </pic:cNvPicPr>
                  </pic:nvPicPr>
                  <pic:blipFill>
                    <a:blip r:embed="rId16"/>
                    <a:srcRect r="314" b="2551"/>
                    <a:stretch>
                      <a:fillRect/>
                    </a:stretch>
                  </pic:blipFill>
                  <pic:spPr>
                    <a:xfrm>
                      <a:off x="0" y="0"/>
                      <a:ext cx="8679180" cy="4852035"/>
                    </a:xfrm>
                    <a:prstGeom prst="rect">
                      <a:avLst/>
                    </a:prstGeom>
                    <a:noFill/>
                    <a:ln>
                      <a:noFill/>
                    </a:ln>
                  </pic:spPr>
                </pic:pic>
              </a:graphicData>
            </a:graphic>
          </wp:inline>
        </w:drawing>
      </w:r>
    </w:p>
    <w:p w14:paraId="00DB5397">
      <w:pPr>
        <w:pStyle w:val="18"/>
        <w:jc w:val="center"/>
        <w:rPr>
          <w:rFonts w:hint="default" w:ascii="Times New Roman" w:hAnsi="Times New Roman" w:cs="Times New Roman"/>
          <w:b/>
          <w:bCs/>
          <w:color w:val="000000" w:themeColor="text1"/>
          <w:highlight w:val="none"/>
          <w14:textFill>
            <w14:solidFill>
              <w14:schemeClr w14:val="tx1"/>
            </w14:solidFill>
          </w14:textFill>
        </w:rPr>
        <w:sectPr>
          <w:pgSz w:w="16838" w:h="11906" w:orient="landscape"/>
          <w:pgMar w:top="1531" w:right="1701" w:bottom="1531" w:left="1701" w:header="851" w:footer="851" w:gutter="0"/>
          <w:pgBorders>
            <w:top w:val="none" w:sz="0" w:space="0"/>
            <w:left w:val="none" w:sz="0" w:space="0"/>
            <w:bottom w:val="none" w:sz="0" w:space="0"/>
            <w:right w:val="none" w:sz="0" w:space="0"/>
          </w:pgBorders>
          <w:cols w:space="720" w:num="1"/>
          <w:docGrid w:linePitch="312" w:charSpace="0"/>
        </w:sectPr>
      </w:pPr>
      <w:r>
        <w:rPr>
          <w:rFonts w:hint="default" w:ascii="Times New Roman" w:hAnsi="Times New Roman" w:cs="Times New Roman"/>
          <w:b/>
          <w:bCs/>
          <w:color w:val="000000" w:themeColor="text1"/>
          <w:highlight w:val="none"/>
          <w14:textFill>
            <w14:solidFill>
              <w14:schemeClr w14:val="tx1"/>
            </w14:solidFill>
          </w14:textFill>
        </w:rPr>
        <w:t>附图1 项目地理位置图</w:t>
      </w:r>
    </w:p>
    <w:p w14:paraId="2F5E5F38">
      <w:pPr>
        <w:jc w:val="center"/>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mc:AlternateContent>
          <mc:Choice Requires="wps">
            <w:drawing>
              <wp:anchor distT="0" distB="0" distL="114300" distR="114300" simplePos="0" relativeHeight="251675648" behindDoc="0" locked="0" layoutInCell="1" allowOverlap="1">
                <wp:simplePos x="0" y="0"/>
                <wp:positionH relativeFrom="column">
                  <wp:posOffset>7698740</wp:posOffset>
                </wp:positionH>
                <wp:positionV relativeFrom="paragraph">
                  <wp:posOffset>4055110</wp:posOffset>
                </wp:positionV>
                <wp:extent cx="403225" cy="53975"/>
                <wp:effectExtent l="5080" t="4445" r="18415" b="17780"/>
                <wp:wrapNone/>
                <wp:docPr id="64" name="矩形 331"/>
                <wp:cNvGraphicFramePr/>
                <a:graphic xmlns:a="http://schemas.openxmlformats.org/drawingml/2006/main">
                  <a:graphicData uri="http://schemas.microsoft.com/office/word/2010/wordprocessingShape">
                    <wps:wsp>
                      <wps:cNvSpPr/>
                      <wps:spPr>
                        <a:xfrm>
                          <a:off x="0" y="0"/>
                          <a:ext cx="403225" cy="53975"/>
                        </a:xfrm>
                        <a:prstGeom prst="rect">
                          <a:avLst/>
                        </a:prstGeom>
                        <a:solidFill>
                          <a:srgbClr val="000000"/>
                        </a:solidFill>
                        <a:ln w="9525" cap="flat" cmpd="sng">
                          <a:solidFill>
                            <a:srgbClr val="000000"/>
                          </a:solidFill>
                          <a:prstDash val="solid"/>
                          <a:miter/>
                          <a:headEnd type="none" w="med" len="med"/>
                          <a:tailEnd type="none" w="med" len="med"/>
                        </a:ln>
                        <a:effectLst/>
                      </wps:spPr>
                      <wps:txbx>
                        <w:txbxContent>
                          <w:p w14:paraId="5A1BEAB6"/>
                        </w:txbxContent>
                      </wps:txbx>
                      <wps:bodyPr wrap="square" upright="1"/>
                    </wps:wsp>
                  </a:graphicData>
                </a:graphic>
              </wp:anchor>
            </w:drawing>
          </mc:Choice>
          <mc:Fallback>
            <w:pict>
              <v:rect id="矩形 331" o:spid="_x0000_s1026" o:spt="1" style="position:absolute;left:0pt;margin-left:606.2pt;margin-top:319.3pt;height:4.25pt;width:31.75pt;z-index:251675648;mso-width-relative:page;mso-height-relative:page;" fillcolor="#000000" filled="t" stroked="t" coordsize="21600,21600" o:gfxdata="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98y/59oAAAANAQAADwAAAAAAAAABACAA&#10;AAAiAAAAZHJzL2Rvd25yZXYueG1sUEsBAhQAFAAAAAgAh07iQG1Kn6QLAgAARgQAAA4AAAAAAAAA&#10;AQAgAAAAKQEAAGRycy9lMm9Eb2MueG1sUEsFBgAAAAAGAAYAWQEAAKYFAAAAAA==&#10;">
                <v:fill on="t" focussize="0,0"/>
                <v:stroke color="#000000" joinstyle="miter"/>
                <v:imagedata o:title=""/>
                <o:lock v:ext="edit" aspectratio="f"/>
                <v:textbox>
                  <w:txbxContent>
                    <w:p w14:paraId="5A1BEAB6"/>
                  </w:txbxContent>
                </v:textbox>
              </v:rect>
            </w:pict>
          </mc:Fallback>
        </mc:AlternateContent>
      </w:r>
      <w:r>
        <w:rPr>
          <w:rFonts w:hint="default" w:ascii="Times New Roman" w:hAnsi="Times New Roman" w:cs="Times New Roman"/>
          <w:color w:val="000000" w:themeColor="text1"/>
          <w:highlight w:val="none"/>
          <w14:textFill>
            <w14:solidFill>
              <w14:schemeClr w14:val="tx1"/>
            </w14:solidFill>
          </w14:textFill>
        </w:rPr>
        <mc:AlternateContent>
          <mc:Choice Requires="wps">
            <w:drawing>
              <wp:anchor distT="0" distB="0" distL="114300" distR="114300" simplePos="0" relativeHeight="251674624" behindDoc="0" locked="0" layoutInCell="1" allowOverlap="1">
                <wp:simplePos x="0" y="0"/>
                <wp:positionH relativeFrom="column">
                  <wp:posOffset>7292975</wp:posOffset>
                </wp:positionH>
                <wp:positionV relativeFrom="paragraph">
                  <wp:posOffset>4054475</wp:posOffset>
                </wp:positionV>
                <wp:extent cx="403225" cy="53975"/>
                <wp:effectExtent l="5080" t="4445" r="18415" b="17780"/>
                <wp:wrapNone/>
                <wp:docPr id="63" name="矩形 329"/>
                <wp:cNvGraphicFramePr/>
                <a:graphic xmlns:a="http://schemas.openxmlformats.org/drawingml/2006/main">
                  <a:graphicData uri="http://schemas.microsoft.com/office/word/2010/wordprocessingShape">
                    <wps:wsp>
                      <wps:cNvSpPr/>
                      <wps:spPr>
                        <a:xfrm>
                          <a:off x="0" y="0"/>
                          <a:ext cx="403225" cy="53975"/>
                        </a:xfrm>
                        <a:prstGeom prst="rect">
                          <a:avLst/>
                        </a:prstGeom>
                        <a:noFill/>
                        <a:ln w="9525" cap="flat" cmpd="sng">
                          <a:solidFill>
                            <a:srgbClr val="000000"/>
                          </a:solidFill>
                          <a:prstDash val="solid"/>
                          <a:miter/>
                          <a:headEnd type="none" w="med" len="med"/>
                          <a:tailEnd type="none" w="med" len="med"/>
                        </a:ln>
                        <a:effectLst/>
                      </wps:spPr>
                      <wps:txbx>
                        <w:txbxContent>
                          <w:p w14:paraId="63D608A9"/>
                        </w:txbxContent>
                      </wps:txbx>
                      <wps:bodyPr wrap="square" upright="1"/>
                    </wps:wsp>
                  </a:graphicData>
                </a:graphic>
              </wp:anchor>
            </w:drawing>
          </mc:Choice>
          <mc:Fallback>
            <w:pict>
              <v:rect id="矩形 329" o:spid="_x0000_s1026" o:spt="1" style="position:absolute;left:0pt;margin-left:574.25pt;margin-top:319.25pt;height:4.25pt;width:31.75pt;z-index:251674624;mso-width-relative:page;mso-height-relative:page;" filled="f" stroked="t" coordsize="21600,21600" o:gfxdata="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Dz5mVvZAAAADQEAAA8AAAAAAAAAAQAgAAAA&#10;IgAAAGRycy9kb3ducmV2LnhtbFBLAQIUABQAAAAIAIdO4kDODU8pCgIAAB0EAAAOAAAAAAAAAAEA&#10;IAAAACgBAABkcnMvZTJvRG9jLnhtbFBLBQYAAAAABgAGAFkBAACkBQAAAAA=&#10;">
                <v:fill on="f" focussize="0,0"/>
                <v:stroke color="#000000" joinstyle="miter"/>
                <v:imagedata o:title=""/>
                <o:lock v:ext="edit" aspectratio="f"/>
                <v:textbox>
                  <w:txbxContent>
                    <w:p w14:paraId="63D608A9"/>
                  </w:txbxContent>
                </v:textbox>
              </v:rect>
            </w:pict>
          </mc:Fallback>
        </mc:AlternateContent>
      </w:r>
      <w:r>
        <w:drawing>
          <wp:inline distT="0" distB="0" distL="114300" distR="114300">
            <wp:extent cx="8531860" cy="5387340"/>
            <wp:effectExtent l="0" t="0" r="2540" b="7620"/>
            <wp:docPr id="10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图片 5"/>
                    <pic:cNvPicPr>
                      <a:picLocks noChangeAspect="1"/>
                    </pic:cNvPicPr>
                  </pic:nvPicPr>
                  <pic:blipFill>
                    <a:blip r:embed="rId17"/>
                    <a:srcRect t="2940"/>
                    <a:stretch>
                      <a:fillRect/>
                    </a:stretch>
                  </pic:blipFill>
                  <pic:spPr>
                    <a:xfrm>
                      <a:off x="0" y="0"/>
                      <a:ext cx="8531860" cy="5387340"/>
                    </a:xfrm>
                    <a:prstGeom prst="rect">
                      <a:avLst/>
                    </a:prstGeom>
                    <a:noFill/>
                    <a:ln>
                      <a:noFill/>
                    </a:ln>
                  </pic:spPr>
                </pic:pic>
              </a:graphicData>
            </a:graphic>
          </wp:inline>
        </w:drawing>
      </w:r>
      <w:r>
        <w:rPr>
          <w:rFonts w:hint="default" w:ascii="Times New Roman" w:hAnsi="Times New Roman" w:cs="Times New Roman"/>
          <w:color w:val="000000" w:themeColor="text1"/>
          <w:highlight w:val="none"/>
          <w14:textFill>
            <w14:solidFill>
              <w14:schemeClr w14:val="tx1"/>
            </w14:solidFill>
          </w14:textFill>
        </w:rPr>
        <mc:AlternateContent>
          <mc:Choice Requires="wps">
            <w:drawing>
              <wp:anchor distT="0" distB="0" distL="114300" distR="114300" simplePos="0" relativeHeight="251692032" behindDoc="0" locked="0" layoutInCell="1" allowOverlap="1">
                <wp:simplePos x="0" y="0"/>
                <wp:positionH relativeFrom="column">
                  <wp:posOffset>7105650</wp:posOffset>
                </wp:positionH>
                <wp:positionV relativeFrom="paragraph">
                  <wp:posOffset>3729990</wp:posOffset>
                </wp:positionV>
                <wp:extent cx="145415" cy="151765"/>
                <wp:effectExtent l="6350" t="6350" r="15875" b="9525"/>
                <wp:wrapNone/>
                <wp:docPr id="11" name="椭圆 4"/>
                <wp:cNvGraphicFramePr/>
                <a:graphic xmlns:a="http://schemas.openxmlformats.org/drawingml/2006/main">
                  <a:graphicData uri="http://schemas.microsoft.com/office/word/2010/wordprocessingShape">
                    <wps:wsp>
                      <wps:cNvSpPr/>
                      <wps:spPr>
                        <a:xfrm>
                          <a:off x="8428990" y="4972685"/>
                          <a:ext cx="145415" cy="151765"/>
                        </a:xfrm>
                        <a:prstGeom prst="ellipse">
                          <a:avLst/>
                        </a:prstGeom>
                        <a:noFill/>
                        <a:ln w="12700" cap="flat" cmpd="sng" algn="ctr">
                          <a:solidFill>
                            <a:srgbClr val="FF0000"/>
                          </a:solidFill>
                          <a:prstDash val="solid"/>
                        </a:ln>
                        <a:effectLst/>
                      </wps:spPr>
                      <wps:txbx>
                        <w:txbxContent>
                          <w:p w14:paraId="7D330E10">
                            <w:pPr>
                              <w:jc w:val="center"/>
                              <w:rPr>
                                <w:color w:val="FF0000"/>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椭圆 4" o:spid="_x0000_s1026" o:spt="3" type="#_x0000_t3" style="position:absolute;left:0pt;margin-left:559.5pt;margin-top:293.7pt;height:11.95pt;width:11.45pt;z-index:251692032;v-text-anchor:middle;mso-width-relative:page;mso-height-relative:page;" filled="f" stroked="t" coordsize="21600,21600" o:gfxdata="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">
                <v:fill on="f" focussize="0,0"/>
                <v:stroke weight="1pt" color="#FF0000" joinstyle="round"/>
                <v:imagedata o:title=""/>
                <o:lock v:ext="edit" aspectratio="f"/>
                <v:textbox>
                  <w:txbxContent>
                    <w:p w14:paraId="7D330E10">
                      <w:pPr>
                        <w:jc w:val="center"/>
                        <w:rPr>
                          <w:color w:val="FF0000"/>
                        </w:rPr>
                      </w:pPr>
                    </w:p>
                  </w:txbxContent>
                </v:textbox>
              </v:shape>
            </w:pict>
          </mc:Fallback>
        </mc:AlternateContent>
      </w:r>
      <w:r>
        <w:rPr>
          <w:rFonts w:hint="default" w:ascii="Times New Roman" w:hAnsi="Times New Roman" w:cs="Times New Roman"/>
          <w:color w:val="000000" w:themeColor="text1"/>
          <w:highlight w:val="none"/>
          <w14:textFill>
            <w14:solidFill>
              <w14:schemeClr w14:val="tx1"/>
            </w14:solidFill>
          </w14:textFill>
        </w:rPr>
        <mc:AlternateContent>
          <mc:Choice Requires="wps">
            <w:drawing>
              <wp:anchor distT="0" distB="0" distL="114300" distR="114300" simplePos="0" relativeHeight="251660288" behindDoc="0" locked="0" layoutInCell="1" allowOverlap="1">
                <wp:simplePos x="0" y="0"/>
                <wp:positionH relativeFrom="column">
                  <wp:posOffset>1963420</wp:posOffset>
                </wp:positionH>
                <wp:positionV relativeFrom="paragraph">
                  <wp:posOffset>504825</wp:posOffset>
                </wp:positionV>
                <wp:extent cx="4013835" cy="4013835"/>
                <wp:effectExtent l="4445" t="4445" r="5080" b="5080"/>
                <wp:wrapNone/>
                <wp:docPr id="16" name="椭圆 274"/>
                <wp:cNvGraphicFramePr/>
                <a:graphic xmlns:a="http://schemas.openxmlformats.org/drawingml/2006/main">
                  <a:graphicData uri="http://schemas.microsoft.com/office/word/2010/wordprocessingShape">
                    <wps:wsp>
                      <wps:cNvSpPr/>
                      <wps:spPr>
                        <a:xfrm>
                          <a:off x="0" y="0"/>
                          <a:ext cx="4013835" cy="4013835"/>
                        </a:xfrm>
                        <a:prstGeom prst="ellipse">
                          <a:avLst/>
                        </a:prstGeom>
                        <a:noFill/>
                        <a:ln w="9525" cap="flat" cmpd="sng">
                          <a:solidFill>
                            <a:srgbClr val="FF0000"/>
                          </a:solidFill>
                          <a:prstDash val="solid"/>
                          <a:headEnd type="none" w="med" len="med"/>
                          <a:tailEnd type="none" w="med" len="med"/>
                        </a:ln>
                        <a:effectLst/>
                      </wps:spPr>
                      <wps:txbx>
                        <w:txbxContent>
                          <w:p w14:paraId="195A8219"/>
                        </w:txbxContent>
                      </wps:txbx>
                      <wps:bodyPr wrap="square" upright="1"/>
                    </wps:wsp>
                  </a:graphicData>
                </a:graphic>
              </wp:anchor>
            </w:drawing>
          </mc:Choice>
          <mc:Fallback>
            <w:pict>
              <v:shape id="椭圆 274" o:spid="_x0000_s1026" o:spt="3" type="#_x0000_t3" style="position:absolute;left:0pt;margin-left:154.6pt;margin-top:39.75pt;height:316.05pt;width:316.05pt;z-index:251660288;mso-width-relative:page;mso-height-relative:page;" filled="f" stroked="t" coordsize="21600,21600" o:gfxdata="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FfPQDfaAAAACgEAAA8AAAAAAAAAAQAgAAAA&#10;IgAAAGRycy9kb3ducmV2LnhtbFBLAQIUABQAAAAIAIdO4kC4POMLCQIAABkEAAAOAAAAAAAAAAEA&#10;IAAAACkBAABkcnMvZTJvRG9jLnhtbFBLBQYAAAAABgAGAFkBAACkBQAAAAA=&#10;">
                <v:fill on="f" focussize="0,0"/>
                <v:stroke color="#FF0000" joinstyle="round"/>
                <v:imagedata o:title=""/>
                <o:lock v:ext="edit" aspectratio="f"/>
                <v:textbox>
                  <w:txbxContent>
                    <w:p w14:paraId="195A8219"/>
                  </w:txbxContent>
                </v:textbox>
              </v:shape>
            </w:pict>
          </mc:Fallback>
        </mc:AlternateContent>
      </w:r>
      <w:r>
        <w:rPr>
          <w:rFonts w:hint="default" w:ascii="Times New Roman" w:hAnsi="Times New Roman" w:cs="Times New Roman"/>
          <w:color w:val="000000" w:themeColor="text1"/>
          <w:highlight w:val="none"/>
          <w14:textFill>
            <w14:solidFill>
              <w14:schemeClr w14:val="tx1"/>
            </w14:solidFill>
          </w14:textFill>
        </w:rPr>
        <mc:AlternateContent>
          <mc:Choice Requires="wps">
            <w:drawing>
              <wp:anchor distT="0" distB="0" distL="114300" distR="114300" simplePos="0" relativeHeight="251666432" behindDoc="0" locked="0" layoutInCell="1" allowOverlap="1">
                <wp:simplePos x="0" y="0"/>
                <wp:positionH relativeFrom="column">
                  <wp:posOffset>4621530</wp:posOffset>
                </wp:positionH>
                <wp:positionV relativeFrom="paragraph">
                  <wp:posOffset>2221865</wp:posOffset>
                </wp:positionV>
                <wp:extent cx="1054100" cy="327025"/>
                <wp:effectExtent l="0" t="0" r="0" b="0"/>
                <wp:wrapNone/>
                <wp:docPr id="38" name="文本框 298"/>
                <wp:cNvGraphicFramePr/>
                <a:graphic xmlns:a="http://schemas.openxmlformats.org/drawingml/2006/main">
                  <a:graphicData uri="http://schemas.microsoft.com/office/word/2010/wordprocessingShape">
                    <wps:wsp>
                      <wps:cNvSpPr txBox="1"/>
                      <wps:spPr>
                        <a:xfrm>
                          <a:off x="0" y="0"/>
                          <a:ext cx="1054100" cy="327025"/>
                        </a:xfrm>
                        <a:prstGeom prst="rect">
                          <a:avLst/>
                        </a:prstGeom>
                        <a:noFill/>
                        <a:ln>
                          <a:noFill/>
                        </a:ln>
                        <a:effectLst/>
                      </wps:spPr>
                      <wps:txbx>
                        <w:txbxContent>
                          <w:p w14:paraId="2532D145">
                            <w:pPr>
                              <w:rPr>
                                <w:color w:val="0000FF"/>
                                <w:sz w:val="16"/>
                                <w:szCs w:val="20"/>
                                <w:highlight w:val="yellow"/>
                              </w:rPr>
                            </w:pPr>
                            <w:r>
                              <w:rPr>
                                <w:rFonts w:hint="eastAsia"/>
                                <w:color w:val="0000FF"/>
                                <w:sz w:val="16"/>
                                <w:szCs w:val="20"/>
                                <w:highlight w:val="yellow"/>
                              </w:rPr>
                              <w:t>500m</w:t>
                            </w:r>
                          </w:p>
                        </w:txbxContent>
                      </wps:txbx>
                      <wps:bodyPr wrap="square" upright="1"/>
                    </wps:wsp>
                  </a:graphicData>
                </a:graphic>
              </wp:anchor>
            </w:drawing>
          </mc:Choice>
          <mc:Fallback>
            <w:pict>
              <v:shape id="文本框 298" o:spid="_x0000_s1026" o:spt="202" type="#_x0000_t202" style="position:absolute;left:0pt;margin-left:363.9pt;margin-top:174.95pt;height:25.75pt;width:83pt;z-index:251666432;mso-width-relative:page;mso-height-relative:page;" filled="f" stroked="f" coordsize="21600,21600" o:gfxdata="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CMmmh92QAAAAsBAAAPAAAAAAAAAAEAIAAAACIAAABkcnMvZG93bnJldi54bWxQ&#10;SwECFAAUAAAACACHTuJAiPt4q70BAABtAwAADgAAAAAAAAABACAAAAAoAQAAZHJzL2Uyb0RvYy54&#10;bWxQSwUGAAAAAAYABgBZAQAAVwUAAAAA&#10;">
                <v:fill on="f" focussize="0,0"/>
                <v:stroke on="f"/>
                <v:imagedata o:title=""/>
                <o:lock v:ext="edit" aspectratio="f"/>
                <v:textbox>
                  <w:txbxContent>
                    <w:p w14:paraId="2532D145">
                      <w:pPr>
                        <w:rPr>
                          <w:color w:val="0000FF"/>
                          <w:sz w:val="16"/>
                          <w:szCs w:val="20"/>
                          <w:highlight w:val="yellow"/>
                        </w:rPr>
                      </w:pPr>
                      <w:r>
                        <w:rPr>
                          <w:rFonts w:hint="eastAsia"/>
                          <w:color w:val="0000FF"/>
                          <w:sz w:val="16"/>
                          <w:szCs w:val="20"/>
                          <w:highlight w:val="yellow"/>
                        </w:rPr>
                        <w:t>500m</w:t>
                      </w:r>
                    </w:p>
                  </w:txbxContent>
                </v:textbox>
              </v:shape>
            </w:pict>
          </mc:Fallback>
        </mc:AlternateContent>
      </w:r>
      <w:r>
        <w:rPr>
          <w:rFonts w:hint="default" w:ascii="Times New Roman" w:hAnsi="Times New Roman" w:cs="Times New Roman"/>
          <w:color w:val="000000" w:themeColor="text1"/>
          <w:highlight w:val="none"/>
          <w14:textFill>
            <w14:solidFill>
              <w14:schemeClr w14:val="tx1"/>
            </w14:solidFill>
          </w14:textFill>
        </w:rPr>
        <mc:AlternateContent>
          <mc:Choice Requires="wps">
            <w:drawing>
              <wp:anchor distT="0" distB="0" distL="114300" distR="114300" simplePos="0" relativeHeight="251665408" behindDoc="0" locked="0" layoutInCell="1" allowOverlap="1">
                <wp:simplePos x="0" y="0"/>
                <wp:positionH relativeFrom="column">
                  <wp:posOffset>4064635</wp:posOffset>
                </wp:positionH>
                <wp:positionV relativeFrom="paragraph">
                  <wp:posOffset>2496820</wp:posOffset>
                </wp:positionV>
                <wp:extent cx="1912620" cy="15240"/>
                <wp:effectExtent l="0" t="34290" r="7620" b="57150"/>
                <wp:wrapNone/>
                <wp:docPr id="37" name="直线 297"/>
                <wp:cNvGraphicFramePr/>
                <a:graphic xmlns:a="http://schemas.openxmlformats.org/drawingml/2006/main">
                  <a:graphicData uri="http://schemas.microsoft.com/office/word/2010/wordprocessingShape">
                    <wps:wsp>
                      <wps:cNvCnPr>
                        <a:endCxn id="16" idx="6"/>
                      </wps:cNvCnPr>
                      <wps:spPr>
                        <a:xfrm>
                          <a:off x="0" y="0"/>
                          <a:ext cx="1912620" cy="15240"/>
                        </a:xfrm>
                        <a:prstGeom prst="line">
                          <a:avLst/>
                        </a:prstGeom>
                        <a:ln w="9525" cap="flat" cmpd="sng">
                          <a:solidFill>
                            <a:srgbClr val="FFFF00"/>
                          </a:solidFill>
                          <a:prstDash val="solid"/>
                          <a:headEnd type="none" w="med" len="med"/>
                          <a:tailEnd type="arrow" w="med" len="med"/>
                        </a:ln>
                        <a:effectLst/>
                      </wps:spPr>
                      <wps:bodyPr upright="1"/>
                    </wps:wsp>
                  </a:graphicData>
                </a:graphic>
              </wp:anchor>
            </w:drawing>
          </mc:Choice>
          <mc:Fallback>
            <w:pict>
              <v:line id="直线 297" o:spid="_x0000_s1026" o:spt="20" style="position:absolute;left:0pt;margin-left:320.05pt;margin-top:196.6pt;height:1.2pt;width:150.6pt;z-index:251665408;mso-width-relative:page;mso-height-relative:page;" filled="f" stroked="t" coordsize="21600,21600" o:gfxdata="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GEl2OHYAAAACwEAAA8AAAAAAAAAAQAgAAAA&#10;IgAAAGRycy9kb3ducmV2LnhtbFBLAQIUABQAAAAIAIdO4kBuu51gCwIAABkEAAAOAAAAAAAAAAEA&#10;IAAAACcBAABkcnMvZTJvRG9jLnhtbFBLBQYAAAAABgAGAFkBAACkBQAAAAA=&#10;">
                <v:fill on="f" focussize="0,0"/>
                <v:stroke color="#FFFF00" joinstyle="round" endarrow="open"/>
                <v:imagedata o:title=""/>
                <o:lock v:ext="edit" aspectratio="f"/>
              </v:line>
            </w:pict>
          </mc:Fallback>
        </mc:AlternateContent>
      </w:r>
      <w:r>
        <w:rPr>
          <w:rFonts w:hint="default" w:ascii="Times New Roman" w:hAnsi="Times New Roman" w:cs="Times New Roman"/>
          <w:color w:val="000000" w:themeColor="text1"/>
          <w:highlight w:val="none"/>
          <w14:textFill>
            <w14:solidFill>
              <w14:schemeClr w14:val="tx1"/>
            </w14:solidFill>
          </w14:textFill>
        </w:rPr>
        <mc:AlternateContent>
          <mc:Choice Requires="wps">
            <w:drawing>
              <wp:anchor distT="0" distB="0" distL="114300" distR="114300" simplePos="0" relativeHeight="251664384" behindDoc="0" locked="0" layoutInCell="1" allowOverlap="1">
                <wp:simplePos x="0" y="0"/>
                <wp:positionH relativeFrom="column">
                  <wp:posOffset>7115175</wp:posOffset>
                </wp:positionH>
                <wp:positionV relativeFrom="paragraph">
                  <wp:posOffset>3485515</wp:posOffset>
                </wp:positionV>
                <wp:extent cx="150495" cy="79375"/>
                <wp:effectExtent l="4445" t="5080" r="12700" b="6985"/>
                <wp:wrapNone/>
                <wp:docPr id="35" name="矩形 295"/>
                <wp:cNvGraphicFramePr/>
                <a:graphic xmlns:a="http://schemas.openxmlformats.org/drawingml/2006/main">
                  <a:graphicData uri="http://schemas.microsoft.com/office/word/2010/wordprocessingShape">
                    <wps:wsp>
                      <wps:cNvSpPr/>
                      <wps:spPr>
                        <a:xfrm>
                          <a:off x="0" y="0"/>
                          <a:ext cx="150495" cy="79375"/>
                        </a:xfrm>
                        <a:prstGeom prst="rect">
                          <a:avLst/>
                        </a:prstGeom>
                        <a:solidFill>
                          <a:schemeClr val="tx2">
                            <a:lumMod val="60000"/>
                            <a:lumOff val="40000"/>
                          </a:schemeClr>
                        </a:solidFill>
                        <a:ln w="9525" cap="flat" cmpd="sng">
                          <a:solidFill>
                            <a:srgbClr val="0000FF"/>
                          </a:solidFill>
                          <a:prstDash val="solid"/>
                          <a:miter/>
                          <a:headEnd type="none" w="med" len="med"/>
                          <a:tailEnd type="none" w="med" len="med"/>
                        </a:ln>
                        <a:effectLst/>
                      </wps:spPr>
                      <wps:txbx>
                        <w:txbxContent>
                          <w:p w14:paraId="525A5E27">
                            <w:pPr>
                              <w:rPr>
                                <w:color w:val="0000FF"/>
                                <w14:textOutline w14:w="9525">
                                  <w14:solidFill>
                                    <w14:srgbClr w14:val="0000FF"/>
                                  </w14:solidFill>
                                  <w14:round/>
                                </w14:textOutline>
                              </w:rPr>
                            </w:pPr>
                          </w:p>
                        </w:txbxContent>
                      </wps:txbx>
                      <wps:bodyPr wrap="square" upright="1"/>
                    </wps:wsp>
                  </a:graphicData>
                </a:graphic>
              </wp:anchor>
            </w:drawing>
          </mc:Choice>
          <mc:Fallback>
            <w:pict>
              <v:rect id="矩形 295" o:spid="_x0000_s1026" o:spt="1" style="position:absolute;left:0pt;margin-left:560.25pt;margin-top:274.45pt;height:6.25pt;width:11.85pt;z-index:251664384;mso-width-relative:page;mso-height-relative:page;" fillcolor="#558ED5 [1951]" filled="t" stroked="t" coordsize="21600,21600" o:gfxdata="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AlXPXA3AAAAA0BAAAPAAAAAAAAAAEAIAAAACIAAABkcnMvZG93bnJl&#10;di54bWxQSwECFAAUAAAACACHTuJAkl4EZjICAAB/BAAADgAAAAAAAAABACAAAAArAQAAZHJzL2Uy&#10;b0RvYy54bWxQSwUGAAAAAAYABgBZAQAAzwUAAAAA&#10;">
                <v:fill on="t" focussize="0,0"/>
                <v:stroke color="#0000FF" joinstyle="miter"/>
                <v:imagedata o:title=""/>
                <o:lock v:ext="edit" aspectratio="f"/>
                <v:textbox>
                  <w:txbxContent>
                    <w:p w14:paraId="525A5E27">
                      <w:pPr>
                        <w:rPr>
                          <w:color w:val="0000FF"/>
                          <w14:textOutline w14:w="9525">
                            <w14:solidFill>
                              <w14:srgbClr w14:val="0000FF"/>
                            </w14:solidFill>
                            <w14:round/>
                          </w14:textOutline>
                        </w:rPr>
                      </w:pPr>
                    </w:p>
                  </w:txbxContent>
                </v:textbox>
              </v:rect>
            </w:pict>
          </mc:Fallback>
        </mc:AlternateContent>
      </w:r>
      <w:r>
        <w:rPr>
          <w:rFonts w:hint="default" w:ascii="Times New Roman" w:hAnsi="Times New Roman" w:cs="Times New Roman"/>
          <w:color w:val="000000" w:themeColor="text1"/>
          <w:highlight w:val="none"/>
          <w14:textFill>
            <w14:solidFill>
              <w14:schemeClr w14:val="tx1"/>
            </w14:solidFill>
          </w14:textFill>
        </w:rPr>
        <mc:AlternateContent>
          <mc:Choice Requires="wps">
            <w:drawing>
              <wp:anchor distT="0" distB="0" distL="114300" distR="114300" simplePos="0" relativeHeight="251663360" behindDoc="0" locked="0" layoutInCell="1" allowOverlap="1">
                <wp:simplePos x="0" y="0"/>
                <wp:positionH relativeFrom="column">
                  <wp:posOffset>6955155</wp:posOffset>
                </wp:positionH>
                <wp:positionV relativeFrom="paragraph">
                  <wp:posOffset>3124200</wp:posOffset>
                </wp:positionV>
                <wp:extent cx="1570355" cy="1332865"/>
                <wp:effectExtent l="4445" t="4445" r="10160" b="19050"/>
                <wp:wrapNone/>
                <wp:docPr id="34" name="文本框 294"/>
                <wp:cNvGraphicFramePr/>
                <a:graphic xmlns:a="http://schemas.openxmlformats.org/drawingml/2006/main">
                  <a:graphicData uri="http://schemas.microsoft.com/office/word/2010/wordprocessingShape">
                    <wps:wsp>
                      <wps:cNvSpPr txBox="1"/>
                      <wps:spPr>
                        <a:xfrm>
                          <a:off x="0" y="0"/>
                          <a:ext cx="1570355" cy="133286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6EC25899">
                            <w:pPr>
                              <w:spacing w:line="360" w:lineRule="auto"/>
                              <w:ind w:firstLine="630" w:firstLineChars="300"/>
                            </w:pPr>
                            <w:r>
                              <w:rPr>
                                <w:rFonts w:hint="eastAsia"/>
                              </w:rPr>
                              <w:t>图例</w:t>
                            </w:r>
                          </w:p>
                          <w:p w14:paraId="1E53992C">
                            <w:pPr>
                              <w:pStyle w:val="18"/>
                              <w:spacing w:line="360" w:lineRule="auto"/>
                              <w:ind w:firstLine="420" w:firstLineChars="200"/>
                            </w:pPr>
                            <w:r>
                              <w:rPr>
                                <w:rFonts w:hint="eastAsia"/>
                              </w:rPr>
                              <w:t>本项目位置</w:t>
                            </w:r>
                          </w:p>
                          <w:p w14:paraId="749508BA">
                            <w:pPr>
                              <w:pStyle w:val="18"/>
                              <w:spacing w:line="360" w:lineRule="auto"/>
                            </w:pPr>
                            <w:r>
                              <w:rPr>
                                <w:rFonts w:hint="eastAsia"/>
                              </w:rPr>
                              <w:t xml:space="preserve">    大气</w:t>
                            </w:r>
                            <w:r>
                              <w:rPr>
                                <w:rFonts w:hint="eastAsia"/>
                                <w:lang w:val="en-US" w:eastAsia="zh-CN"/>
                              </w:rPr>
                              <w:t>评价</w:t>
                            </w:r>
                            <w:r>
                              <w:rPr>
                                <w:rFonts w:hint="eastAsia"/>
                              </w:rPr>
                              <w:t>范围</w:t>
                            </w:r>
                          </w:p>
                          <w:p w14:paraId="0C718B42">
                            <w:pPr>
                              <w:pStyle w:val="18"/>
                            </w:pPr>
                          </w:p>
                          <w:p w14:paraId="5F2D0FE4">
                            <w:pPr>
                              <w:pStyle w:val="18"/>
                              <w:ind w:firstLine="360" w:firstLineChars="200"/>
                              <w:rPr>
                                <w:sz w:val="18"/>
                                <w:szCs w:val="21"/>
                              </w:rPr>
                            </w:pPr>
                            <w:r>
                              <w:rPr>
                                <w:rFonts w:hint="eastAsia"/>
                                <w:sz w:val="18"/>
                                <w:szCs w:val="21"/>
                              </w:rPr>
                              <w:t>0m  100m  200m</w:t>
                            </w:r>
                          </w:p>
                        </w:txbxContent>
                      </wps:txbx>
                      <wps:bodyPr wrap="square" upright="1"/>
                    </wps:wsp>
                  </a:graphicData>
                </a:graphic>
              </wp:anchor>
            </w:drawing>
          </mc:Choice>
          <mc:Fallback>
            <w:pict>
              <v:shape id="文本框 294" o:spid="_x0000_s1026" o:spt="202" type="#_x0000_t202" style="position:absolute;left:0pt;margin-left:547.65pt;margin-top:246pt;height:104.95pt;width:123.65pt;z-index:251663360;mso-width-relative:page;mso-height-relative:page;" fillcolor="#FFFFFF" filled="t" stroked="t" coordsize="21600,21600" o:gfxdata="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AGa5uN&#10;2wAAAA0BAAAPAAAAAAAAAAEAIAAAACIAAABkcnMvZG93bnJldi54bWxQSwECFAAUAAAACACHTuJA&#10;O0+Ylx4CAABWBAAADgAAAAAAAAABACAAAAAqAQAAZHJzL2Uyb0RvYy54bWxQSwUGAAAAAAYABgBZ&#10;AQAAugUAAAAA&#10;">
                <v:fill on="t" focussize="0,0"/>
                <v:stroke color="#000000" joinstyle="miter"/>
                <v:imagedata o:title=""/>
                <o:lock v:ext="edit" aspectratio="f"/>
                <v:textbox>
                  <w:txbxContent>
                    <w:p w14:paraId="6EC25899">
                      <w:pPr>
                        <w:spacing w:line="360" w:lineRule="auto"/>
                        <w:ind w:firstLine="630" w:firstLineChars="300"/>
                      </w:pPr>
                      <w:r>
                        <w:rPr>
                          <w:rFonts w:hint="eastAsia"/>
                        </w:rPr>
                        <w:t>图例</w:t>
                      </w:r>
                    </w:p>
                    <w:p w14:paraId="1E53992C">
                      <w:pPr>
                        <w:pStyle w:val="18"/>
                        <w:spacing w:line="360" w:lineRule="auto"/>
                        <w:ind w:firstLine="420" w:firstLineChars="200"/>
                      </w:pPr>
                      <w:r>
                        <w:rPr>
                          <w:rFonts w:hint="eastAsia"/>
                        </w:rPr>
                        <w:t>本项目位置</w:t>
                      </w:r>
                    </w:p>
                    <w:p w14:paraId="749508BA">
                      <w:pPr>
                        <w:pStyle w:val="18"/>
                        <w:spacing w:line="360" w:lineRule="auto"/>
                      </w:pPr>
                      <w:r>
                        <w:rPr>
                          <w:rFonts w:hint="eastAsia"/>
                        </w:rPr>
                        <w:t xml:space="preserve">    大气</w:t>
                      </w:r>
                      <w:r>
                        <w:rPr>
                          <w:rFonts w:hint="eastAsia"/>
                          <w:lang w:val="en-US" w:eastAsia="zh-CN"/>
                        </w:rPr>
                        <w:t>评价</w:t>
                      </w:r>
                      <w:r>
                        <w:rPr>
                          <w:rFonts w:hint="eastAsia"/>
                        </w:rPr>
                        <w:t>范围</w:t>
                      </w:r>
                    </w:p>
                    <w:p w14:paraId="0C718B42">
                      <w:pPr>
                        <w:pStyle w:val="18"/>
                      </w:pPr>
                    </w:p>
                    <w:p w14:paraId="5F2D0FE4">
                      <w:pPr>
                        <w:pStyle w:val="18"/>
                        <w:ind w:firstLine="360" w:firstLineChars="200"/>
                        <w:rPr>
                          <w:sz w:val="18"/>
                          <w:szCs w:val="21"/>
                        </w:rPr>
                      </w:pPr>
                      <w:r>
                        <w:rPr>
                          <w:rFonts w:hint="eastAsia"/>
                          <w:sz w:val="18"/>
                          <w:szCs w:val="21"/>
                        </w:rPr>
                        <w:t>0m  100m  200m</w:t>
                      </w:r>
                    </w:p>
                  </w:txbxContent>
                </v:textbox>
              </v:shape>
            </w:pict>
          </mc:Fallback>
        </mc:AlternateContent>
      </w:r>
      <w:r>
        <w:rPr>
          <w:rFonts w:hint="default" w:ascii="Times New Roman" w:hAnsi="Times New Roman" w:cs="Times New Roman"/>
          <w:color w:val="000000" w:themeColor="text1"/>
          <w:highlight w:val="none"/>
          <w14:textFill>
            <w14:solidFill>
              <w14:schemeClr w14:val="tx1"/>
            </w14:solidFill>
          </w14:textFill>
        </w:rPr>
        <mc:AlternateContent>
          <mc:Choice Requires="wps">
            <w:drawing>
              <wp:anchor distT="0" distB="0" distL="114300" distR="114300" simplePos="0" relativeHeight="251672576" behindDoc="0" locked="0" layoutInCell="1" allowOverlap="1">
                <wp:simplePos x="0" y="0"/>
                <wp:positionH relativeFrom="column">
                  <wp:posOffset>7671435</wp:posOffset>
                </wp:positionH>
                <wp:positionV relativeFrom="paragraph">
                  <wp:posOffset>17145</wp:posOffset>
                </wp:positionV>
                <wp:extent cx="791210" cy="790575"/>
                <wp:effectExtent l="0" t="0" r="0" b="0"/>
                <wp:wrapNone/>
                <wp:docPr id="61" name="文本框 325"/>
                <wp:cNvGraphicFramePr/>
                <a:graphic xmlns:a="http://schemas.openxmlformats.org/drawingml/2006/main">
                  <a:graphicData uri="http://schemas.microsoft.com/office/word/2010/wordprocessingShape">
                    <wps:wsp>
                      <wps:cNvSpPr txBox="1"/>
                      <wps:spPr>
                        <a:xfrm>
                          <a:off x="0" y="0"/>
                          <a:ext cx="791210" cy="790575"/>
                        </a:xfrm>
                        <a:prstGeom prst="rect">
                          <a:avLst/>
                        </a:prstGeom>
                        <a:noFill/>
                        <a:ln>
                          <a:noFill/>
                        </a:ln>
                        <a:effectLst/>
                      </wps:spPr>
                      <wps:txbx>
                        <w:txbxContent>
                          <w:p w14:paraId="4A49FD31">
                            <w:r>
                              <w:rPr>
                                <w:color w:val="auto"/>
                              </w:rPr>
                              <w:drawing>
                                <wp:inline distT="0" distB="0" distL="114300" distR="114300">
                                  <wp:extent cx="626110" cy="828675"/>
                                  <wp:effectExtent l="0" t="0" r="13970" b="9525"/>
                                  <wp:docPr id="10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图片 2"/>
                                          <pic:cNvPicPr>
                                            <a:picLocks noChangeAspect="1"/>
                                          </pic:cNvPicPr>
                                        </pic:nvPicPr>
                                        <pic:blipFill>
                                          <a:blip r:embed="rId18"/>
                                          <a:stretch>
                                            <a:fillRect/>
                                          </a:stretch>
                                        </pic:blipFill>
                                        <pic:spPr>
                                          <a:xfrm>
                                            <a:off x="0" y="0"/>
                                            <a:ext cx="626110" cy="828675"/>
                                          </a:xfrm>
                                          <a:prstGeom prst="rect">
                                            <a:avLst/>
                                          </a:prstGeom>
                                          <a:noFill/>
                                          <a:ln>
                                            <a:noFill/>
                                          </a:ln>
                                        </pic:spPr>
                                      </pic:pic>
                                    </a:graphicData>
                                  </a:graphic>
                                </wp:inline>
                              </w:drawing>
                            </w:r>
                            <w:r>
                              <w:drawing>
                                <wp:inline distT="0" distB="0" distL="114300" distR="114300">
                                  <wp:extent cx="597535" cy="601980"/>
                                  <wp:effectExtent l="0" t="0" r="12065" b="7620"/>
                                  <wp:docPr id="78"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61"/>
                                          <pic:cNvPicPr>
                                            <a:picLocks noChangeAspect="1"/>
                                          </pic:cNvPicPr>
                                        </pic:nvPicPr>
                                        <pic:blipFill>
                                          <a:blip r:embed="rId19"/>
                                          <a:stretch>
                                            <a:fillRect/>
                                          </a:stretch>
                                        </pic:blipFill>
                                        <pic:spPr>
                                          <a:xfrm>
                                            <a:off x="0" y="0"/>
                                            <a:ext cx="597535" cy="601980"/>
                                          </a:xfrm>
                                          <a:prstGeom prst="rect">
                                            <a:avLst/>
                                          </a:prstGeom>
                                          <a:noFill/>
                                          <a:ln>
                                            <a:noFill/>
                                          </a:ln>
                                        </pic:spPr>
                                      </pic:pic>
                                    </a:graphicData>
                                  </a:graphic>
                                </wp:inline>
                              </w:drawing>
                            </w:r>
                          </w:p>
                        </w:txbxContent>
                      </wps:txbx>
                      <wps:bodyPr wrap="square" upright="1"/>
                    </wps:wsp>
                  </a:graphicData>
                </a:graphic>
              </wp:anchor>
            </w:drawing>
          </mc:Choice>
          <mc:Fallback>
            <w:pict>
              <v:shape id="文本框 325" o:spid="_x0000_s1026" o:spt="202" type="#_x0000_t202" style="position:absolute;left:0pt;margin-left:604.05pt;margin-top:1.35pt;height:62.25pt;width:62.3pt;z-index:251672576;mso-width-relative:page;mso-height-relative:page;" filled="f" stroked="f" coordsize="21600,21600" o:gfxdata="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rODmz9YAAAALAQAADwAAAAAAAAABACAAAAAiAAAAZHJzL2Rvd25yZXYueG1sUEsB&#10;AhQAFAAAAAgAh07iQB3+NCa+AQAAbAMAAA4AAAAAAAAAAQAgAAAAJQEAAGRycy9lMm9Eb2MueG1s&#10;UEsFBgAAAAAGAAYAWQEAAFUFAAAAAA==&#10;">
                <v:fill on="f" focussize="0,0"/>
                <v:stroke on="f"/>
                <v:imagedata o:title=""/>
                <o:lock v:ext="edit" aspectratio="f"/>
                <v:textbox>
                  <w:txbxContent>
                    <w:p w14:paraId="4A49FD31">
                      <w:r>
                        <w:rPr>
                          <w:color w:val="auto"/>
                        </w:rPr>
                        <w:drawing>
                          <wp:inline distT="0" distB="0" distL="114300" distR="114300">
                            <wp:extent cx="626110" cy="828675"/>
                            <wp:effectExtent l="0" t="0" r="13970" b="9525"/>
                            <wp:docPr id="10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图片 2"/>
                                    <pic:cNvPicPr>
                                      <a:picLocks noChangeAspect="1"/>
                                    </pic:cNvPicPr>
                                  </pic:nvPicPr>
                                  <pic:blipFill>
                                    <a:blip r:embed="rId18"/>
                                    <a:stretch>
                                      <a:fillRect/>
                                    </a:stretch>
                                  </pic:blipFill>
                                  <pic:spPr>
                                    <a:xfrm>
                                      <a:off x="0" y="0"/>
                                      <a:ext cx="626110" cy="828675"/>
                                    </a:xfrm>
                                    <a:prstGeom prst="rect">
                                      <a:avLst/>
                                    </a:prstGeom>
                                    <a:noFill/>
                                    <a:ln>
                                      <a:noFill/>
                                    </a:ln>
                                  </pic:spPr>
                                </pic:pic>
                              </a:graphicData>
                            </a:graphic>
                          </wp:inline>
                        </w:drawing>
                      </w:r>
                      <w:r>
                        <w:drawing>
                          <wp:inline distT="0" distB="0" distL="114300" distR="114300">
                            <wp:extent cx="597535" cy="601980"/>
                            <wp:effectExtent l="0" t="0" r="12065" b="7620"/>
                            <wp:docPr id="78"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61"/>
                                    <pic:cNvPicPr>
                                      <a:picLocks noChangeAspect="1"/>
                                    </pic:cNvPicPr>
                                  </pic:nvPicPr>
                                  <pic:blipFill>
                                    <a:blip r:embed="rId19"/>
                                    <a:stretch>
                                      <a:fillRect/>
                                    </a:stretch>
                                  </pic:blipFill>
                                  <pic:spPr>
                                    <a:xfrm>
                                      <a:off x="0" y="0"/>
                                      <a:ext cx="597535" cy="601980"/>
                                    </a:xfrm>
                                    <a:prstGeom prst="rect">
                                      <a:avLst/>
                                    </a:prstGeom>
                                    <a:noFill/>
                                    <a:ln>
                                      <a:noFill/>
                                    </a:ln>
                                  </pic:spPr>
                                </pic:pic>
                              </a:graphicData>
                            </a:graphic>
                          </wp:inline>
                        </w:drawing>
                      </w:r>
                    </w:p>
                  </w:txbxContent>
                </v:textbox>
              </v:shape>
            </w:pict>
          </mc:Fallback>
        </mc:AlternateContent>
      </w:r>
      <w:r>
        <w:rPr>
          <w:rFonts w:hint="default" w:ascii="Times New Roman" w:hAnsi="Times New Roman" w:cs="Times New Roman"/>
          <w:color w:val="000000" w:themeColor="text1"/>
          <w:highlight w:val="none"/>
          <w14:textFill>
            <w14:solidFill>
              <w14:schemeClr w14:val="tx1"/>
            </w14:solidFill>
          </w14:textFill>
        </w:rPr>
        <mc:AlternateContent>
          <mc:Choice Requires="wps">
            <w:drawing>
              <wp:anchor distT="0" distB="0" distL="114300" distR="114300" simplePos="0" relativeHeight="251661312" behindDoc="0" locked="0" layoutInCell="1" allowOverlap="1">
                <wp:simplePos x="0" y="0"/>
                <wp:positionH relativeFrom="column">
                  <wp:posOffset>54610</wp:posOffset>
                </wp:positionH>
                <wp:positionV relativeFrom="paragraph">
                  <wp:posOffset>4554855</wp:posOffset>
                </wp:positionV>
                <wp:extent cx="335915" cy="635"/>
                <wp:effectExtent l="0" t="0" r="0" b="0"/>
                <wp:wrapNone/>
                <wp:docPr id="17" name="直线 275"/>
                <wp:cNvGraphicFramePr/>
                <a:graphic xmlns:a="http://schemas.openxmlformats.org/drawingml/2006/main">
                  <a:graphicData uri="http://schemas.microsoft.com/office/word/2010/wordprocessingShape">
                    <wps:wsp>
                      <wps:cNvCnPr/>
                      <wps:spPr>
                        <a:xfrm flipV="1">
                          <a:off x="0" y="0"/>
                          <a:ext cx="335915" cy="635"/>
                        </a:xfrm>
                        <a:prstGeom prst="line">
                          <a:avLst/>
                        </a:prstGeom>
                        <a:ln w="9525" cap="flat" cmpd="sng">
                          <a:solidFill>
                            <a:srgbClr val="FF0000"/>
                          </a:solidFill>
                          <a:prstDash val="solid"/>
                          <a:headEnd type="none" w="med" len="med"/>
                          <a:tailEnd type="none" w="med" len="med"/>
                        </a:ln>
                        <a:effectLst/>
                      </wps:spPr>
                      <wps:bodyPr upright="1"/>
                    </wps:wsp>
                  </a:graphicData>
                </a:graphic>
              </wp:anchor>
            </w:drawing>
          </mc:Choice>
          <mc:Fallback>
            <w:pict>
              <v:line id="直线 275" o:spid="_x0000_s1026" o:spt="20" style="position:absolute;left:0pt;flip:y;margin-left:4.3pt;margin-top:358.65pt;height:0.05pt;width:26.45pt;z-index:251661312;mso-width-relative:page;mso-height-relative:page;" filled="f" stroked="t" coordsize="21600,21600" o:gfxdata="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DIfPPs2AAAAAgBAAAPAAAAAAAAAAEAIAAAACIAAABkcnMvZG93bnJldi54&#10;bWxQSwECFAAUAAAACACHTuJA8pLkr/oBAAD3AwAADgAAAAAAAAABACAAAAAnAQAAZHJzL2Uyb0Rv&#10;Yy54bWxQSwUGAAAAAAYABgBZAQAAkwUAAAAA&#10;">
                <v:fill on="f" focussize="0,0"/>
                <v:stroke color="#FF0000" joinstyle="round"/>
                <v:imagedata o:title=""/>
                <o:lock v:ext="edit" aspectratio="f"/>
              </v:line>
            </w:pict>
          </mc:Fallback>
        </mc:AlternateContent>
      </w:r>
      <w:r>
        <w:rPr>
          <w:rFonts w:hint="default" w:ascii="Times New Roman" w:hAnsi="Times New Roman" w:cs="Times New Roman"/>
          <w:b/>
          <w:bCs/>
          <w:color w:val="000000" w:themeColor="text1"/>
          <w:highlight w:val="none"/>
          <w14:textFill>
            <w14:solidFill>
              <w14:schemeClr w14:val="tx1"/>
            </w14:solidFill>
          </w14:textFill>
        </w:rPr>
        <w:t>图2 大气</w:t>
      </w:r>
      <w:r>
        <w:rPr>
          <w:rFonts w:hint="eastAsia" w:cs="Times New Roman"/>
          <w:b/>
          <w:bCs/>
          <w:color w:val="000000" w:themeColor="text1"/>
          <w:highlight w:val="none"/>
          <w:lang w:val="en-US" w:eastAsia="zh-CN"/>
          <w14:textFill>
            <w14:solidFill>
              <w14:schemeClr w14:val="tx1"/>
            </w14:solidFill>
          </w14:textFill>
        </w:rPr>
        <w:t>评价范围</w:t>
      </w:r>
    </w:p>
    <w:p w14:paraId="1AD8E11D">
      <w:pPr>
        <w:pStyle w:val="18"/>
        <w:rPr>
          <w:rFonts w:hint="default" w:ascii="Times New Roman" w:hAnsi="Times New Roman" w:cs="Times New Roman"/>
          <w:color w:val="000000" w:themeColor="text1"/>
          <w:highlight w:val="none"/>
          <w14:textFill>
            <w14:solidFill>
              <w14:schemeClr w14:val="tx1"/>
            </w14:solidFill>
          </w14:textFill>
        </w:rPr>
      </w:pPr>
      <w:r>
        <w:rPr>
          <w:sz w:val="21"/>
        </w:rPr>
        <mc:AlternateContent>
          <mc:Choice Requires="wps">
            <w:drawing>
              <wp:anchor distT="0" distB="0" distL="114300" distR="114300" simplePos="0" relativeHeight="251678720" behindDoc="0" locked="0" layoutInCell="1" allowOverlap="1">
                <wp:simplePos x="0" y="0"/>
                <wp:positionH relativeFrom="column">
                  <wp:posOffset>7693025</wp:posOffset>
                </wp:positionH>
                <wp:positionV relativeFrom="paragraph">
                  <wp:posOffset>4724400</wp:posOffset>
                </wp:positionV>
                <wp:extent cx="342265" cy="53975"/>
                <wp:effectExtent l="5080" t="4445" r="18415" b="17780"/>
                <wp:wrapNone/>
                <wp:docPr id="67" name="矩形 336"/>
                <wp:cNvGraphicFramePr/>
                <a:graphic xmlns:a="http://schemas.openxmlformats.org/drawingml/2006/main">
                  <a:graphicData uri="http://schemas.microsoft.com/office/word/2010/wordprocessingShape">
                    <wps:wsp>
                      <wps:cNvSpPr/>
                      <wps:spPr>
                        <a:xfrm>
                          <a:off x="8853170" y="5702300"/>
                          <a:ext cx="342265" cy="53975"/>
                        </a:xfrm>
                        <a:prstGeom prst="rect">
                          <a:avLst/>
                        </a:prstGeom>
                        <a:solidFill>
                          <a:srgbClr val="000000"/>
                        </a:solidFill>
                        <a:ln w="9525" cap="flat" cmpd="sng">
                          <a:solidFill>
                            <a:srgbClr val="000000"/>
                          </a:solidFill>
                          <a:prstDash val="solid"/>
                          <a:miter/>
                          <a:headEnd type="none" w="med" len="med"/>
                          <a:tailEnd type="none" w="med" len="med"/>
                        </a:ln>
                        <a:effectLst/>
                      </wps:spPr>
                      <wps:txbx>
                        <w:txbxContent>
                          <w:p w14:paraId="25B4E03A"/>
                        </w:txbxContent>
                      </wps:txbx>
                      <wps:bodyPr wrap="square" upright="1"/>
                    </wps:wsp>
                  </a:graphicData>
                </a:graphic>
              </wp:anchor>
            </w:drawing>
          </mc:Choice>
          <mc:Fallback>
            <w:pict>
              <v:rect id="矩形 336" o:spid="_x0000_s1026" o:spt="1" style="position:absolute;left:0pt;margin-left:605.75pt;margin-top:372pt;height:4.25pt;width:26.95pt;z-index:251678720;mso-width-relative:page;mso-height-relative:page;" fillcolor="#000000" filled="t" stroked="t" coordsize="21600,21600" o:gfxdata="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IrW3cXaAAAADQEA&#10;AA8AAAAAAAAAAQAgAAAAIgAAAGRycy9kb3ducmV2LnhtbFBLAQIUABQAAAAIAIdO4kAuFS8xGAIA&#10;AFIEAAAOAAAAAAAAAAEAIAAAACkBAABkcnMvZTJvRG9jLnhtbFBLBQYAAAAABgAGAFkBAACzBQAA&#10;AAA=&#10;">
                <v:fill on="t" focussize="0,0"/>
                <v:stroke color="#000000" joinstyle="miter"/>
                <v:imagedata o:title=""/>
                <o:lock v:ext="edit" aspectratio="f"/>
                <v:textbox>
                  <w:txbxContent>
                    <w:p w14:paraId="25B4E03A"/>
                  </w:txbxContent>
                </v:textbox>
              </v:rect>
            </w:pict>
          </mc:Fallback>
        </mc:AlternateContent>
      </w:r>
      <w:r>
        <w:rPr>
          <w:sz w:val="21"/>
        </w:rPr>
        <mc:AlternateContent>
          <mc:Choice Requires="wps">
            <w:drawing>
              <wp:anchor distT="0" distB="0" distL="114300" distR="114300" simplePos="0" relativeHeight="251677696" behindDoc="0" locked="0" layoutInCell="1" allowOverlap="1">
                <wp:simplePos x="0" y="0"/>
                <wp:positionH relativeFrom="column">
                  <wp:posOffset>7352665</wp:posOffset>
                </wp:positionH>
                <wp:positionV relativeFrom="paragraph">
                  <wp:posOffset>4729480</wp:posOffset>
                </wp:positionV>
                <wp:extent cx="342265" cy="53975"/>
                <wp:effectExtent l="5080" t="4445" r="18415" b="17780"/>
                <wp:wrapNone/>
                <wp:docPr id="66" name="矩形 335"/>
                <wp:cNvGraphicFramePr/>
                <a:graphic xmlns:a="http://schemas.openxmlformats.org/drawingml/2006/main">
                  <a:graphicData uri="http://schemas.microsoft.com/office/word/2010/wordprocessingShape">
                    <wps:wsp>
                      <wps:cNvSpPr/>
                      <wps:spPr>
                        <a:xfrm>
                          <a:off x="8255635" y="5701665"/>
                          <a:ext cx="342265" cy="53975"/>
                        </a:xfrm>
                        <a:prstGeom prst="rect">
                          <a:avLst/>
                        </a:prstGeom>
                        <a:noFill/>
                        <a:ln w="9525" cap="flat" cmpd="sng">
                          <a:solidFill>
                            <a:srgbClr val="000000"/>
                          </a:solidFill>
                          <a:prstDash val="solid"/>
                          <a:miter/>
                          <a:headEnd type="none" w="med" len="med"/>
                          <a:tailEnd type="none" w="med" len="med"/>
                        </a:ln>
                        <a:effectLst/>
                      </wps:spPr>
                      <wps:txbx>
                        <w:txbxContent>
                          <w:p w14:paraId="5B9415C4"/>
                        </w:txbxContent>
                      </wps:txbx>
                      <wps:bodyPr wrap="square" upright="1"/>
                    </wps:wsp>
                  </a:graphicData>
                </a:graphic>
              </wp:anchor>
            </w:drawing>
          </mc:Choice>
          <mc:Fallback>
            <w:pict>
              <v:rect id="矩形 335" o:spid="_x0000_s1026" o:spt="1" style="position:absolute;left:0pt;margin-left:578.95pt;margin-top:372.4pt;height:4.25pt;width:26.95pt;z-index:251677696;mso-width-relative:page;mso-height-relative:page;" filled="f" stroked="t" coordsize="21600,21600" o:gfxdata="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GijhpfaAAAADQEA&#10;AA8AAAAAAAAAAQAgAAAAIgAAAGRycy9kb3ducmV2LnhtbFBLAQIUABQAAAAIAIdO4kDJIpTlGAIA&#10;ACkEAAAOAAAAAAAAAAEAIAAAACkBAABkcnMvZTJvRG9jLnhtbFBLBQYAAAAABgAGAFkBAACzBQAA&#10;AAA=&#10;">
                <v:fill on="f" focussize="0,0"/>
                <v:stroke color="#000000" joinstyle="miter"/>
                <v:imagedata o:title=""/>
                <o:lock v:ext="edit" aspectratio="f"/>
                <v:textbox>
                  <w:txbxContent>
                    <w:p w14:paraId="5B9415C4"/>
                  </w:txbxContent>
                </v:textbox>
              </v:rect>
            </w:pict>
          </mc:Fallback>
        </mc:AlternateContent>
      </w:r>
      <w:r>
        <w:rPr>
          <w:rFonts w:hint="default" w:ascii="Times New Roman" w:hAnsi="Times New Roman" w:cs="Times New Roman"/>
          <w:color w:val="000000" w:themeColor="text1"/>
          <w:highlight w:val="none"/>
          <w14:textFill>
            <w14:solidFill>
              <w14:schemeClr w14:val="tx1"/>
            </w14:solidFill>
          </w14:textFill>
        </w:rPr>
        <mc:AlternateContent>
          <mc:Choice Requires="wps">
            <w:drawing>
              <wp:anchor distT="0" distB="0" distL="114300" distR="114300" simplePos="0" relativeHeight="251676672" behindDoc="0" locked="0" layoutInCell="1" allowOverlap="1">
                <wp:simplePos x="0" y="0"/>
                <wp:positionH relativeFrom="column">
                  <wp:posOffset>81280</wp:posOffset>
                </wp:positionH>
                <wp:positionV relativeFrom="paragraph">
                  <wp:posOffset>5170805</wp:posOffset>
                </wp:positionV>
                <wp:extent cx="680085" cy="1270"/>
                <wp:effectExtent l="0" t="48895" r="5715" b="56515"/>
                <wp:wrapNone/>
                <wp:docPr id="65" name="直线 334"/>
                <wp:cNvGraphicFramePr/>
                <a:graphic xmlns:a="http://schemas.openxmlformats.org/drawingml/2006/main">
                  <a:graphicData uri="http://schemas.microsoft.com/office/word/2010/wordprocessingShape">
                    <wps:wsp>
                      <wps:cNvCnPr/>
                      <wps:spPr>
                        <a:xfrm flipV="1">
                          <a:off x="0" y="0"/>
                          <a:ext cx="680085" cy="1270"/>
                        </a:xfrm>
                        <a:prstGeom prst="line">
                          <a:avLst/>
                        </a:prstGeom>
                        <a:ln w="9525" cap="flat" cmpd="sng">
                          <a:solidFill>
                            <a:srgbClr val="000000"/>
                          </a:solidFill>
                          <a:prstDash val="solid"/>
                          <a:headEnd type="none" w="med" len="med"/>
                          <a:tailEnd type="arrow" w="med" len="med"/>
                        </a:ln>
                        <a:effectLst/>
                      </wps:spPr>
                      <wps:bodyPr upright="1"/>
                    </wps:wsp>
                  </a:graphicData>
                </a:graphic>
              </wp:anchor>
            </w:drawing>
          </mc:Choice>
          <mc:Fallback>
            <w:pict>
              <v:line id="直线 334" o:spid="_x0000_s1026" o:spt="20" style="position:absolute;left:0pt;flip:y;margin-left:6.4pt;margin-top:407.15pt;height:0.1pt;width:53.55pt;z-index:251676672;mso-width-relative:page;mso-height-relative:page;" filled="f" stroked="t" coordsize="21600,21600" o:gfxdata="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jFFEJdcAAAAKAQAADwAAAAAAAAABACAAAAAiAAAAZHJzL2Rvd25y&#10;ZXYueG1sUEsBAhQAFAAAAAgAh07iQPZ/2HT/AQAA+QMAAA4AAAAAAAAAAQAgAAAAJgEAAGRycy9l&#10;Mm9Eb2MueG1sUEsFBgAAAAAGAAYAWQEAAJcFAAAAAA==&#10;">
                <v:fill on="f" focussize="0,0"/>
                <v:stroke color="#000000" joinstyle="round" endarrow="open"/>
                <v:imagedata o:title=""/>
                <o:lock v:ext="edit" aspectratio="f"/>
              </v:line>
            </w:pict>
          </mc:Fallback>
        </mc:AlternateContent>
      </w:r>
      <w:r>
        <w:rPr>
          <w:rFonts w:hint="default" w:ascii="Times New Roman" w:hAnsi="Times New Roman" w:cs="Times New Roman"/>
          <w:color w:val="000000" w:themeColor="text1"/>
          <w:highlight w:val="none"/>
          <w14:textFill>
            <w14:solidFill>
              <w14:schemeClr w14:val="tx1"/>
            </w14:solidFill>
          </w14:textFill>
        </w:rPr>
        <mc:AlternateContent>
          <mc:Choice Requires="wps">
            <w:drawing>
              <wp:anchor distT="0" distB="0" distL="114300" distR="114300" simplePos="0" relativeHeight="251717632" behindDoc="0" locked="0" layoutInCell="1" allowOverlap="1">
                <wp:simplePos x="0" y="0"/>
                <wp:positionH relativeFrom="column">
                  <wp:posOffset>4504055</wp:posOffset>
                </wp:positionH>
                <wp:positionV relativeFrom="paragraph">
                  <wp:posOffset>1540510</wp:posOffset>
                </wp:positionV>
                <wp:extent cx="1118235" cy="247015"/>
                <wp:effectExtent l="0" t="0" r="0" b="0"/>
                <wp:wrapNone/>
                <wp:docPr id="137" name="文本框 293"/>
                <wp:cNvGraphicFramePr/>
                <a:graphic xmlns:a="http://schemas.openxmlformats.org/drawingml/2006/main">
                  <a:graphicData uri="http://schemas.microsoft.com/office/word/2010/wordprocessingShape">
                    <wps:wsp>
                      <wps:cNvSpPr txBox="1"/>
                      <wps:spPr>
                        <a:xfrm>
                          <a:off x="0" y="0"/>
                          <a:ext cx="1118235" cy="247015"/>
                        </a:xfrm>
                        <a:prstGeom prst="rect">
                          <a:avLst/>
                        </a:prstGeom>
                        <a:noFill/>
                        <a:ln>
                          <a:noFill/>
                        </a:ln>
                        <a:effectLst/>
                      </wps:spPr>
                      <wps:txbx>
                        <w:txbxContent>
                          <w:p w14:paraId="490710EF">
                            <w:pPr>
                              <w:rPr>
                                <w:rFonts w:hint="default" w:eastAsia="宋体"/>
                                <w:sz w:val="20"/>
                                <w:szCs w:val="22"/>
                                <w:highlight w:val="yellow"/>
                                <w:lang w:val="en-US" w:eastAsia="zh-CN"/>
                              </w:rPr>
                            </w:pPr>
                            <w:r>
                              <w:rPr>
                                <w:rFonts w:hint="eastAsia"/>
                                <w:sz w:val="20"/>
                                <w:szCs w:val="22"/>
                                <w:highlight w:val="yellow"/>
                                <w:lang w:val="en-US" w:eastAsia="zh-CN"/>
                              </w:rPr>
                              <w:t>1.32km</w:t>
                            </w:r>
                          </w:p>
                        </w:txbxContent>
                      </wps:txbx>
                      <wps:bodyPr wrap="square" upright="1"/>
                    </wps:wsp>
                  </a:graphicData>
                </a:graphic>
              </wp:anchor>
            </w:drawing>
          </mc:Choice>
          <mc:Fallback>
            <w:pict>
              <v:shape id="文本框 293" o:spid="_x0000_s1026" o:spt="202" type="#_x0000_t202" style="position:absolute;left:0pt;margin-left:354.65pt;margin-top:121.3pt;height:19.45pt;width:88.05pt;z-index:251717632;mso-width-relative:page;mso-height-relative:page;" filled="f" stroked="f" coordsize="21600,21600" o:gfxdata="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mgVzBNgAAAALAQAADwAAAAAAAAABACAAAAAiAAAAZHJzL2Rvd25yZXYueG1s&#10;UEsBAhQAFAAAAAgAh07iQIBy8Ua/AQAAbgMAAA4AAAAAAAAAAQAgAAAAJwEAAGRycy9lMm9Eb2Mu&#10;eG1sUEsFBgAAAAAGAAYAWQEAAFgFAAAAAA==&#10;">
                <v:fill on="f" focussize="0,0"/>
                <v:stroke on="f"/>
                <v:imagedata o:title=""/>
                <o:lock v:ext="edit" aspectratio="f"/>
                <v:textbox>
                  <w:txbxContent>
                    <w:p w14:paraId="490710EF">
                      <w:pPr>
                        <w:rPr>
                          <w:rFonts w:hint="default" w:eastAsia="宋体"/>
                          <w:sz w:val="20"/>
                          <w:szCs w:val="22"/>
                          <w:highlight w:val="yellow"/>
                          <w:lang w:val="en-US" w:eastAsia="zh-CN"/>
                        </w:rPr>
                      </w:pPr>
                      <w:r>
                        <w:rPr>
                          <w:rFonts w:hint="eastAsia"/>
                          <w:sz w:val="20"/>
                          <w:szCs w:val="22"/>
                          <w:highlight w:val="yellow"/>
                          <w:lang w:val="en-US" w:eastAsia="zh-CN"/>
                        </w:rPr>
                        <w:t>1.32km</w:t>
                      </w:r>
                    </w:p>
                  </w:txbxContent>
                </v:textbox>
              </v:shape>
            </w:pict>
          </mc:Fallback>
        </mc:AlternateContent>
      </w:r>
      <w:r>
        <w:rPr>
          <w:sz w:val="21"/>
        </w:rPr>
        <mc:AlternateContent>
          <mc:Choice Requires="wps">
            <w:drawing>
              <wp:anchor distT="0" distB="0" distL="114300" distR="114300" simplePos="0" relativeHeight="251716608" behindDoc="0" locked="0" layoutInCell="1" allowOverlap="1">
                <wp:simplePos x="0" y="0"/>
                <wp:positionH relativeFrom="column">
                  <wp:posOffset>4153535</wp:posOffset>
                </wp:positionH>
                <wp:positionV relativeFrom="paragraph">
                  <wp:posOffset>405765</wp:posOffset>
                </wp:positionV>
                <wp:extent cx="349885" cy="4536440"/>
                <wp:effectExtent l="42545" t="635" r="19050" b="4445"/>
                <wp:wrapNone/>
                <wp:docPr id="136" name="直接箭头连接符 136"/>
                <wp:cNvGraphicFramePr/>
                <a:graphic xmlns:a="http://schemas.openxmlformats.org/drawingml/2006/main">
                  <a:graphicData uri="http://schemas.microsoft.com/office/word/2010/wordprocessingShape">
                    <wps:wsp>
                      <wps:cNvCnPr>
                        <a:stCxn id="88" idx="3"/>
                        <a:endCxn id="89" idx="0"/>
                      </wps:cNvCnPr>
                      <wps:spPr>
                        <a:xfrm flipH="1">
                          <a:off x="5233670" y="1377950"/>
                          <a:ext cx="349885" cy="4536440"/>
                        </a:xfrm>
                        <a:prstGeom prst="straightConnector1">
                          <a:avLst/>
                        </a:prstGeom>
                        <a:ln>
                          <a:solidFill>
                            <a:srgbClr val="FFFF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x;margin-left:327.05pt;margin-top:31.95pt;height:357.2pt;width:27.55pt;z-index:251716608;mso-width-relative:page;mso-height-relative:page;" filled="f" stroked="t" coordsize="21600,21600" o:gfxdata="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AOKqA/2AAAAAoBAAAPAAAAAAAAAAEAIAAAACIAAABkcnMvZG93bnJldi54bWxQSwEC&#10;FAAUAAAACACHTuJAjcS2QC0CAAAoBAAADgAAAAAAAAABACAAAAAnAQAAZHJzL2Uyb0RvYy54bWxQ&#10;SwUGAAAAAAYABgBZAQAAxgUAAAAA&#10;">
                <v:fill on="f" focussize="0,0"/>
                <v:stroke color="#FFFF00 [3204]" joinstyle="round" endarrow="open"/>
                <v:imagedata o:title=""/>
                <o:lock v:ext="edit" aspectratio="f"/>
              </v:shape>
            </w:pict>
          </mc:Fallback>
        </mc:AlternateContent>
      </w:r>
      <w:r>
        <w:rPr>
          <w:color w:val="auto"/>
        </w:rPr>
        <w:drawing>
          <wp:anchor distT="0" distB="0" distL="114300" distR="114300" simplePos="0" relativeHeight="251702272" behindDoc="0" locked="0" layoutInCell="1" allowOverlap="1">
            <wp:simplePos x="0" y="0"/>
            <wp:positionH relativeFrom="column">
              <wp:posOffset>7900035</wp:posOffset>
            </wp:positionH>
            <wp:positionV relativeFrom="paragraph">
              <wp:posOffset>181610</wp:posOffset>
            </wp:positionV>
            <wp:extent cx="626110" cy="828675"/>
            <wp:effectExtent l="0" t="0" r="13970" b="9525"/>
            <wp:wrapNone/>
            <wp:docPr id="9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图片 2"/>
                    <pic:cNvPicPr>
                      <a:picLocks noChangeAspect="1"/>
                    </pic:cNvPicPr>
                  </pic:nvPicPr>
                  <pic:blipFill>
                    <a:blip r:embed="rId18"/>
                    <a:stretch>
                      <a:fillRect/>
                    </a:stretch>
                  </pic:blipFill>
                  <pic:spPr>
                    <a:xfrm>
                      <a:off x="0" y="0"/>
                      <a:ext cx="626110" cy="828675"/>
                    </a:xfrm>
                    <a:prstGeom prst="rect">
                      <a:avLst/>
                    </a:prstGeom>
                    <a:noFill/>
                    <a:ln>
                      <a:noFill/>
                    </a:ln>
                  </pic:spPr>
                </pic:pic>
              </a:graphicData>
            </a:graphic>
          </wp:anchor>
        </w:drawing>
      </w:r>
      <w:r>
        <w:rPr>
          <w:rFonts w:hint="default" w:ascii="Times New Roman" w:hAnsi="Times New Roman" w:cs="Times New Roman"/>
          <w:color w:val="000000" w:themeColor="text1"/>
          <w:highlight w:val="none"/>
          <w14:textFill>
            <w14:solidFill>
              <w14:schemeClr w14:val="tx1"/>
            </w14:solidFill>
          </w14:textFill>
        </w:rPr>
        <mc:AlternateContent>
          <mc:Choice Requires="wps">
            <w:drawing>
              <wp:anchor distT="0" distB="0" distL="114300" distR="114300" simplePos="0" relativeHeight="251701248" behindDoc="0" locked="0" layoutInCell="1" allowOverlap="1">
                <wp:simplePos x="0" y="0"/>
                <wp:positionH relativeFrom="column">
                  <wp:posOffset>4274185</wp:posOffset>
                </wp:positionH>
                <wp:positionV relativeFrom="paragraph">
                  <wp:posOffset>4882515</wp:posOffset>
                </wp:positionV>
                <wp:extent cx="986155" cy="254000"/>
                <wp:effectExtent l="0" t="0" r="0" b="0"/>
                <wp:wrapNone/>
                <wp:docPr id="93" name="文本框 292"/>
                <wp:cNvGraphicFramePr/>
                <a:graphic xmlns:a="http://schemas.openxmlformats.org/drawingml/2006/main">
                  <a:graphicData uri="http://schemas.microsoft.com/office/word/2010/wordprocessingShape">
                    <wps:wsp>
                      <wps:cNvSpPr txBox="1"/>
                      <wps:spPr>
                        <a:xfrm>
                          <a:off x="0" y="0"/>
                          <a:ext cx="986155" cy="254000"/>
                        </a:xfrm>
                        <a:prstGeom prst="rect">
                          <a:avLst/>
                        </a:prstGeom>
                        <a:noFill/>
                        <a:ln>
                          <a:noFill/>
                        </a:ln>
                        <a:effectLst/>
                      </wps:spPr>
                      <wps:txbx>
                        <w:txbxContent>
                          <w:p w14:paraId="32F9D59C">
                            <w:pPr>
                              <w:rPr>
                                <w:rFonts w:hint="default" w:eastAsia="宋体"/>
                                <w:sz w:val="20"/>
                                <w:szCs w:val="22"/>
                                <w:highlight w:val="yellow"/>
                                <w:lang w:val="en-US" w:eastAsia="zh-CN"/>
                              </w:rPr>
                            </w:pPr>
                            <w:r>
                              <w:rPr>
                                <w:rFonts w:hint="eastAsia"/>
                                <w:sz w:val="20"/>
                                <w:szCs w:val="22"/>
                                <w:highlight w:val="yellow"/>
                                <w:lang w:val="en-US" w:eastAsia="zh-CN"/>
                              </w:rPr>
                              <w:t>大气监测点位</w:t>
                            </w:r>
                          </w:p>
                        </w:txbxContent>
                      </wps:txbx>
                      <wps:bodyPr wrap="square" upright="1"/>
                    </wps:wsp>
                  </a:graphicData>
                </a:graphic>
              </wp:anchor>
            </w:drawing>
          </mc:Choice>
          <mc:Fallback>
            <w:pict>
              <v:shape id="文本框 292" o:spid="_x0000_s1026" o:spt="202" type="#_x0000_t202" style="position:absolute;left:0pt;margin-left:336.55pt;margin-top:384.45pt;height:20pt;width:77.65pt;z-index:251701248;mso-width-relative:page;mso-height-relative:page;" filled="f" stroked="f" coordsize="21600,21600" o:gfxdata="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gGKh5tgAAAALAQAADwAAAAAAAAABACAAAAAiAAAAZHJzL2Rvd25yZXYueG1s&#10;UEsBAhQAFAAAAAgAh07iQPu0aJ2/AQAAbAMAAA4AAAAAAAAAAQAgAAAAJwEAAGRycy9lMm9Eb2Mu&#10;eG1sUEsFBgAAAAAGAAYAWQEAAFgFAAAAAA==&#10;">
                <v:fill on="f" focussize="0,0"/>
                <v:stroke on="f"/>
                <v:imagedata o:title=""/>
                <o:lock v:ext="edit" aspectratio="f"/>
                <v:textbox>
                  <w:txbxContent>
                    <w:p w14:paraId="32F9D59C">
                      <w:pPr>
                        <w:rPr>
                          <w:rFonts w:hint="default" w:eastAsia="宋体"/>
                          <w:sz w:val="20"/>
                          <w:szCs w:val="22"/>
                          <w:highlight w:val="yellow"/>
                          <w:lang w:val="en-US" w:eastAsia="zh-CN"/>
                        </w:rPr>
                      </w:pPr>
                      <w:r>
                        <w:rPr>
                          <w:rFonts w:hint="eastAsia"/>
                          <w:sz w:val="20"/>
                          <w:szCs w:val="22"/>
                          <w:highlight w:val="yellow"/>
                          <w:lang w:val="en-US" w:eastAsia="zh-CN"/>
                        </w:rPr>
                        <w:t>大气监测点位</w:t>
                      </w:r>
                    </w:p>
                  </w:txbxContent>
                </v:textbox>
              </v:shape>
            </w:pict>
          </mc:Fallback>
        </mc:AlternateContent>
      </w:r>
      <w:r>
        <w:rPr>
          <w:rFonts w:hint="default" w:ascii="Times New Roman" w:hAnsi="Times New Roman" w:cs="Times New Roman"/>
          <w:color w:val="000000" w:themeColor="text1"/>
          <w:highlight w:val="none"/>
          <w14:textFill>
            <w14:solidFill>
              <w14:schemeClr w14:val="tx1"/>
            </w14:solidFill>
          </w14:textFill>
        </w:rPr>
        <mc:AlternateContent>
          <mc:Choice Requires="wps">
            <w:drawing>
              <wp:anchor distT="0" distB="0" distL="114300" distR="114300" simplePos="0" relativeHeight="251699200" behindDoc="0" locked="0" layoutInCell="1" allowOverlap="1">
                <wp:simplePos x="0" y="0"/>
                <wp:positionH relativeFrom="column">
                  <wp:posOffset>4088130</wp:posOffset>
                </wp:positionH>
                <wp:positionV relativeFrom="paragraph">
                  <wp:posOffset>4942205</wp:posOffset>
                </wp:positionV>
                <wp:extent cx="130810" cy="115570"/>
                <wp:effectExtent l="15875" t="14605" r="20955" b="22225"/>
                <wp:wrapNone/>
                <wp:docPr id="89" name="自选图形 289"/>
                <wp:cNvGraphicFramePr/>
                <a:graphic xmlns:a="http://schemas.openxmlformats.org/drawingml/2006/main">
                  <a:graphicData uri="http://schemas.microsoft.com/office/word/2010/wordprocessingShape">
                    <wps:wsp>
                      <wps:cNvSpPr/>
                      <wps:spPr>
                        <a:xfrm>
                          <a:off x="0" y="0"/>
                          <a:ext cx="130810" cy="115570"/>
                        </a:xfrm>
                        <a:prstGeom prst="star5">
                          <a:avLst/>
                        </a:prstGeom>
                        <a:solidFill>
                          <a:srgbClr val="FFFF00"/>
                        </a:solidFill>
                        <a:ln w="9525" cap="flat" cmpd="sng">
                          <a:solidFill>
                            <a:srgbClr val="FF0000"/>
                          </a:solidFill>
                          <a:prstDash val="solid"/>
                          <a:miter/>
                          <a:headEnd type="none" w="med" len="med"/>
                          <a:tailEnd type="none" w="med" len="med"/>
                        </a:ln>
                        <a:effectLst/>
                      </wps:spPr>
                      <wps:txbx>
                        <w:txbxContent>
                          <w:p w14:paraId="5D1847C4"/>
                        </w:txbxContent>
                      </wps:txbx>
                      <wps:bodyPr wrap="square" upright="1"/>
                    </wps:wsp>
                  </a:graphicData>
                </a:graphic>
              </wp:anchor>
            </w:drawing>
          </mc:Choice>
          <mc:Fallback>
            <w:pict>
              <v:shape id="自选图形 289" o:spid="_x0000_s1026" style="position:absolute;left:0pt;margin-left:321.9pt;margin-top:389.15pt;height:9.1pt;width:10.3pt;z-index:251699200;mso-width-relative:page;mso-height-relative:page;" fillcolor="#FFFF00" filled="t" stroked="t" coordsize="130810,115570" o:gfxdata="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CYwVqF3QAAAAsBAAAPAAAAAAAAAAEAIAAAACIAAABkcnMvZG93bnJldi54bWxQSwECFAAUAAAA&#10;CACHTuJAwHPtVSICAABOBAAADgAAAAAAAAABACAAAAAsAQAAZHJzL2Uyb0RvYy54bWxQSwUGAAAA&#10;AAYABgBZAQAAwAUAAAAA&#10;" path="m0,44143l49965,44144,65405,0,80844,44144,130809,44143,90387,71425,105827,115569,65405,88287,24982,115569,40422,71425xe">
                <v:path textboxrect="0,0,130810,115570" o:connectlocs="65405,0;0,44143;24982,115569;105827,115569;130809,44143" o:connectangles="247,164,82,82,0"/>
                <v:fill on="t" focussize="0,0"/>
                <v:stroke color="#FF0000" joinstyle="miter"/>
                <v:imagedata o:title=""/>
                <o:lock v:ext="edit" aspectratio="f"/>
                <v:textbox>
                  <w:txbxContent>
                    <w:p w14:paraId="5D1847C4"/>
                  </w:txbxContent>
                </v:textbox>
              </v:shape>
            </w:pict>
          </mc:Fallback>
        </mc:AlternateContent>
      </w:r>
      <w:r>
        <w:rPr>
          <w:rFonts w:hint="default" w:ascii="Times New Roman" w:hAnsi="Times New Roman" w:cs="Times New Roman"/>
          <w:color w:val="000000" w:themeColor="text1"/>
          <w:highlight w:val="none"/>
          <w14:textFill>
            <w14:solidFill>
              <w14:schemeClr w14:val="tx1"/>
            </w14:solidFill>
          </w14:textFill>
        </w:rPr>
        <mc:AlternateContent>
          <mc:Choice Requires="wps">
            <w:drawing>
              <wp:anchor distT="0" distB="0" distL="114300" distR="114300" simplePos="0" relativeHeight="251662336" behindDoc="0" locked="0" layoutInCell="1" allowOverlap="1">
                <wp:simplePos x="0" y="0"/>
                <wp:positionH relativeFrom="column">
                  <wp:posOffset>4523105</wp:posOffset>
                </wp:positionH>
                <wp:positionV relativeFrom="paragraph">
                  <wp:posOffset>245110</wp:posOffset>
                </wp:positionV>
                <wp:extent cx="1118235" cy="247015"/>
                <wp:effectExtent l="0" t="0" r="0" b="0"/>
                <wp:wrapNone/>
                <wp:docPr id="33" name="文本框 293"/>
                <wp:cNvGraphicFramePr/>
                <a:graphic xmlns:a="http://schemas.openxmlformats.org/drawingml/2006/main">
                  <a:graphicData uri="http://schemas.microsoft.com/office/word/2010/wordprocessingShape">
                    <wps:wsp>
                      <wps:cNvSpPr txBox="1"/>
                      <wps:spPr>
                        <a:xfrm>
                          <a:off x="0" y="0"/>
                          <a:ext cx="1118235" cy="247015"/>
                        </a:xfrm>
                        <a:prstGeom prst="rect">
                          <a:avLst/>
                        </a:prstGeom>
                        <a:noFill/>
                        <a:ln>
                          <a:noFill/>
                        </a:ln>
                        <a:effectLst/>
                      </wps:spPr>
                      <wps:txbx>
                        <w:txbxContent>
                          <w:p w14:paraId="10DF3D2C">
                            <w:pPr>
                              <w:rPr>
                                <w:sz w:val="20"/>
                                <w:szCs w:val="22"/>
                                <w:highlight w:val="yellow"/>
                              </w:rPr>
                            </w:pPr>
                            <w:r>
                              <w:rPr>
                                <w:rFonts w:hint="eastAsia"/>
                                <w:sz w:val="20"/>
                                <w:szCs w:val="22"/>
                                <w:highlight w:val="yellow"/>
                              </w:rPr>
                              <w:t>本项目位置</w:t>
                            </w:r>
                          </w:p>
                        </w:txbxContent>
                      </wps:txbx>
                      <wps:bodyPr wrap="square" upright="1"/>
                    </wps:wsp>
                  </a:graphicData>
                </a:graphic>
              </wp:anchor>
            </w:drawing>
          </mc:Choice>
          <mc:Fallback>
            <w:pict>
              <v:shape id="文本框 293" o:spid="_x0000_s1026" o:spt="202" type="#_x0000_t202" style="position:absolute;left:0pt;margin-left:356.15pt;margin-top:19.3pt;height:19.45pt;width:88.05pt;z-index:251662336;mso-width-relative:page;mso-height-relative:page;" filled="f" stroked="f" coordsize="21600,21600" o:gfxdata="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dIEO7NYAAAAJAQAADwAAAAAAAAABACAAAAAiAAAAZHJzL2Rvd25yZXYueG1sUEsB&#10;AhQAFAAAAAgAh07iQHWa7U++AQAAbQMAAA4AAAAAAAAAAQAgAAAAJQEAAGRycy9lMm9Eb2MueG1s&#10;UEsFBgAAAAAGAAYAWQEAAFUFAAAAAA==&#10;">
                <v:fill on="f" focussize="0,0"/>
                <v:stroke on="f"/>
                <v:imagedata o:title=""/>
                <o:lock v:ext="edit" aspectratio="f"/>
                <v:textbox>
                  <w:txbxContent>
                    <w:p w14:paraId="10DF3D2C">
                      <w:pPr>
                        <w:rPr>
                          <w:sz w:val="20"/>
                          <w:szCs w:val="22"/>
                          <w:highlight w:val="yellow"/>
                        </w:rPr>
                      </w:pPr>
                      <w:r>
                        <w:rPr>
                          <w:rFonts w:hint="eastAsia"/>
                          <w:sz w:val="20"/>
                          <w:szCs w:val="22"/>
                          <w:highlight w:val="yellow"/>
                        </w:rPr>
                        <w:t>本项目位置</w:t>
                      </w:r>
                    </w:p>
                  </w:txbxContent>
                </v:textbox>
              </v:shape>
            </w:pict>
          </mc:Fallback>
        </mc:AlternateContent>
      </w:r>
      <w:r>
        <w:rPr>
          <w:rFonts w:hint="default" w:ascii="Times New Roman" w:hAnsi="Times New Roman" w:cs="Times New Roman"/>
          <w:color w:val="000000" w:themeColor="text1"/>
          <w:highlight w:val="none"/>
          <w14:textFill>
            <w14:solidFill>
              <w14:schemeClr w14:val="tx1"/>
            </w14:solidFill>
          </w14:textFill>
        </w:rPr>
        <mc:AlternateContent>
          <mc:Choice Requires="wps">
            <w:drawing>
              <wp:anchor distT="0" distB="0" distL="114300" distR="114300" simplePos="0" relativeHeight="251698176" behindDoc="0" locked="0" layoutInCell="1" allowOverlap="1">
                <wp:simplePos x="0" y="0"/>
                <wp:positionH relativeFrom="column">
                  <wp:posOffset>4410710</wp:posOffset>
                </wp:positionH>
                <wp:positionV relativeFrom="paragraph">
                  <wp:posOffset>290195</wp:posOffset>
                </wp:positionV>
                <wp:extent cx="114935" cy="115570"/>
                <wp:effectExtent l="0" t="0" r="6985" b="6350"/>
                <wp:wrapNone/>
                <wp:docPr id="88" name="自选图形 288"/>
                <wp:cNvGraphicFramePr/>
                <a:graphic xmlns:a="http://schemas.openxmlformats.org/drawingml/2006/main">
                  <a:graphicData uri="http://schemas.microsoft.com/office/word/2010/wordprocessingShape">
                    <wps:wsp>
                      <wps:cNvSpPr/>
                      <wps:spPr>
                        <a:xfrm>
                          <a:off x="0" y="0"/>
                          <a:ext cx="114935" cy="115570"/>
                        </a:xfrm>
                        <a:prstGeom prst="star5">
                          <a:avLst/>
                        </a:prstGeom>
                        <a:solidFill>
                          <a:srgbClr val="FF0000"/>
                        </a:solidFill>
                        <a:ln>
                          <a:noFill/>
                        </a:ln>
                        <a:effectLst/>
                      </wps:spPr>
                      <wps:txbx>
                        <w:txbxContent>
                          <w:p w14:paraId="760AD9C6"/>
                        </w:txbxContent>
                      </wps:txbx>
                      <wps:bodyPr wrap="square" upright="1"/>
                    </wps:wsp>
                  </a:graphicData>
                </a:graphic>
              </wp:anchor>
            </w:drawing>
          </mc:Choice>
          <mc:Fallback>
            <w:pict>
              <v:shape id="自选图形 288" o:spid="_x0000_s1026" style="position:absolute;left:0pt;margin-left:347.3pt;margin-top:22.85pt;height:9.1pt;width:9.05pt;z-index:251698176;mso-width-relative:page;mso-height-relative:page;" fillcolor="#FF0000" filled="t" stroked="f" coordsize="114935,115570" o:gfxdata="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BayVcdkAAAAJAQAADwAAAAAAAAABACAA&#10;AAAiAAAAZHJzL2Rvd25yZXYueG1sUEsBAhQAFAAAAAgAh07iQBZDcZnTAQAAjwMAAA4AAAAAAAAA&#10;AQAgAAAAKAEAAGRycy9lMm9Eb2MueG1sUEsFBgAAAAAGAAYAWQEAAG0FAAAAAA==&#10;" path="m0,44143l43901,44144,57467,0,71033,44144,114934,44143,79417,71425,92984,115569,57467,88287,21950,115569,35517,71425xe">
                <v:path textboxrect="0,0,114935,115570" o:connectlocs="57467,0;0,44143;21950,115569;92984,115569;114934,44143" o:connectangles="247,164,82,82,0"/>
                <v:fill on="t" focussize="0,0"/>
                <v:stroke on="f"/>
                <v:imagedata o:title=""/>
                <o:lock v:ext="edit" aspectratio="f"/>
                <v:textbox>
                  <w:txbxContent>
                    <w:p w14:paraId="760AD9C6"/>
                  </w:txbxContent>
                </v:textbox>
              </v:shape>
            </w:pict>
          </mc:Fallback>
        </mc:AlternateContent>
      </w:r>
      <w:r>
        <w:rPr>
          <w:rFonts w:hint="default" w:ascii="Times New Roman" w:hAnsi="Times New Roman" w:cs="Times New Roman"/>
          <w:color w:val="000000" w:themeColor="text1"/>
          <w:highlight w:val="none"/>
          <w14:textFill>
            <w14:solidFill>
              <w14:schemeClr w14:val="tx1"/>
            </w14:solidFill>
          </w14:textFill>
        </w:rPr>
        <mc:AlternateContent>
          <mc:Choice Requires="wps">
            <w:drawing>
              <wp:anchor distT="0" distB="0" distL="114300" distR="114300" simplePos="0" relativeHeight="251669504" behindDoc="0" locked="0" layoutInCell="1" allowOverlap="1">
                <wp:simplePos x="0" y="0"/>
                <wp:positionH relativeFrom="column">
                  <wp:posOffset>7141210</wp:posOffset>
                </wp:positionH>
                <wp:positionV relativeFrom="paragraph">
                  <wp:posOffset>4484370</wp:posOffset>
                </wp:positionV>
                <wp:extent cx="130810" cy="115570"/>
                <wp:effectExtent l="15875" t="14605" r="20955" b="22225"/>
                <wp:wrapNone/>
                <wp:docPr id="41" name="自选图形 301"/>
                <wp:cNvGraphicFramePr/>
                <a:graphic xmlns:a="http://schemas.openxmlformats.org/drawingml/2006/main">
                  <a:graphicData uri="http://schemas.microsoft.com/office/word/2010/wordprocessingShape">
                    <wps:wsp>
                      <wps:cNvSpPr/>
                      <wps:spPr>
                        <a:xfrm>
                          <a:off x="0" y="0"/>
                          <a:ext cx="130810" cy="115570"/>
                        </a:xfrm>
                        <a:prstGeom prst="star5">
                          <a:avLst/>
                        </a:prstGeom>
                        <a:solidFill>
                          <a:srgbClr val="FFFF00"/>
                        </a:solidFill>
                        <a:ln w="9525" cap="flat" cmpd="sng">
                          <a:solidFill>
                            <a:srgbClr val="FF0000"/>
                          </a:solidFill>
                          <a:prstDash val="solid"/>
                          <a:miter/>
                          <a:headEnd type="none" w="med" len="med"/>
                          <a:tailEnd type="none" w="med" len="med"/>
                        </a:ln>
                        <a:effectLst/>
                      </wps:spPr>
                      <wps:txbx>
                        <w:txbxContent>
                          <w:p w14:paraId="2A8EA66B"/>
                        </w:txbxContent>
                      </wps:txbx>
                      <wps:bodyPr wrap="square" upright="1"/>
                    </wps:wsp>
                  </a:graphicData>
                </a:graphic>
              </wp:anchor>
            </w:drawing>
          </mc:Choice>
          <mc:Fallback>
            <w:pict>
              <v:shape id="自选图形 301" o:spid="_x0000_s1026" style="position:absolute;left:0pt;margin-left:562.3pt;margin-top:353.1pt;height:9.1pt;width:10.3pt;z-index:251669504;mso-width-relative:page;mso-height-relative:page;" fillcolor="#FFFF00" filled="t" stroked="t" coordsize="130810,115570" o:gfxdata="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DbZMEC3QAAAA0BAAAPAAAAAAAAAAEAIAAAACIAAABkcnMvZG93bnJldi54bWxQSwECFAAUAAAA&#10;CACHTuJAFrmM2yICAABOBAAADgAAAAAAAAABACAAAAAsAQAAZHJzL2Uyb0RvYy54bWxQSwUGAAAA&#10;AAYABgBZAQAAwAUAAAAA&#10;" path="m0,44143l49965,44144,65405,0,80844,44144,130809,44143,90387,71425,105827,115569,65405,88287,24982,115569,40422,71425xe">
                <v:path textboxrect="0,0,130810,115570" o:connectlocs="65405,0;0,44143;24982,115569;105827,115569;130809,44143" o:connectangles="247,164,82,82,0"/>
                <v:fill on="t" focussize="0,0"/>
                <v:stroke color="#FF0000" joinstyle="miter"/>
                <v:imagedata o:title=""/>
                <o:lock v:ext="edit" aspectratio="f"/>
                <v:textbox>
                  <w:txbxContent>
                    <w:p w14:paraId="2A8EA66B"/>
                  </w:txbxContent>
                </v:textbox>
              </v:shape>
            </w:pict>
          </mc:Fallback>
        </mc:AlternateContent>
      </w:r>
      <w:r>
        <w:rPr>
          <w:rFonts w:hint="default" w:ascii="Times New Roman" w:hAnsi="Times New Roman" w:cs="Times New Roman"/>
          <w:color w:val="000000" w:themeColor="text1"/>
          <w:highlight w:val="none"/>
          <w14:textFill>
            <w14:solidFill>
              <w14:schemeClr w14:val="tx1"/>
            </w14:solidFill>
          </w14:textFill>
        </w:rPr>
        <mc:AlternateContent>
          <mc:Choice Requires="wps">
            <w:drawing>
              <wp:anchor distT="0" distB="0" distL="114300" distR="114300" simplePos="0" relativeHeight="251668480" behindDoc="0" locked="0" layoutInCell="1" allowOverlap="1">
                <wp:simplePos x="0" y="0"/>
                <wp:positionH relativeFrom="column">
                  <wp:posOffset>7131685</wp:posOffset>
                </wp:positionH>
                <wp:positionV relativeFrom="paragraph">
                  <wp:posOffset>4203065</wp:posOffset>
                </wp:positionV>
                <wp:extent cx="114935" cy="115570"/>
                <wp:effectExtent l="0" t="0" r="6985" b="6350"/>
                <wp:wrapNone/>
                <wp:docPr id="40" name="自选图形 300"/>
                <wp:cNvGraphicFramePr/>
                <a:graphic xmlns:a="http://schemas.openxmlformats.org/drawingml/2006/main">
                  <a:graphicData uri="http://schemas.microsoft.com/office/word/2010/wordprocessingShape">
                    <wps:wsp>
                      <wps:cNvSpPr/>
                      <wps:spPr>
                        <a:xfrm>
                          <a:off x="0" y="0"/>
                          <a:ext cx="114935" cy="115570"/>
                        </a:xfrm>
                        <a:prstGeom prst="star5">
                          <a:avLst/>
                        </a:prstGeom>
                        <a:solidFill>
                          <a:srgbClr val="FF0000"/>
                        </a:solidFill>
                        <a:ln>
                          <a:noFill/>
                        </a:ln>
                        <a:effectLst/>
                      </wps:spPr>
                      <wps:txbx>
                        <w:txbxContent>
                          <w:p w14:paraId="03A0E839"/>
                        </w:txbxContent>
                      </wps:txbx>
                      <wps:bodyPr wrap="square" upright="1"/>
                    </wps:wsp>
                  </a:graphicData>
                </a:graphic>
              </wp:anchor>
            </w:drawing>
          </mc:Choice>
          <mc:Fallback>
            <w:pict>
              <v:shape id="自选图形 300" o:spid="_x0000_s1026" style="position:absolute;left:0pt;margin-left:561.55pt;margin-top:330.95pt;height:9.1pt;width:9.05pt;z-index:251668480;mso-width-relative:page;mso-height-relative:page;" fillcolor="#FF0000" filled="t" stroked="f" coordsize="114935,115570" o:gfxdata="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AGhH8P2QAAAA0BAAAPAAAAAAAAAAEA&#10;IAAAACIAAABkcnMvZG93bnJldi54bWxQSwECFAAUAAAACACHTuJA35pP3tUBAACPAwAADgAAAAAA&#10;AAABACAAAAAoAQAAZHJzL2Uyb0RvYy54bWxQSwUGAAAAAAYABgBZAQAAbwUAAAAA&#10;" path="m0,44143l43901,44144,57467,0,71033,44144,114934,44143,79417,71425,92984,115569,57467,88287,21950,115569,35517,71425xe">
                <v:path textboxrect="0,0,114935,115570" o:connectlocs="57467,0;0,44143;21950,115569;92984,115569;114934,44143" o:connectangles="247,164,82,82,0"/>
                <v:fill on="t" focussize="0,0"/>
                <v:stroke on="f"/>
                <v:imagedata o:title=""/>
                <o:lock v:ext="edit" aspectratio="f"/>
                <v:textbox>
                  <w:txbxContent>
                    <w:p w14:paraId="03A0E839"/>
                  </w:txbxContent>
                </v:textbox>
              </v:shape>
            </w:pict>
          </mc:Fallback>
        </mc:AlternateContent>
      </w:r>
      <w:r>
        <w:rPr>
          <w:rFonts w:hint="default" w:ascii="Times New Roman" w:hAnsi="Times New Roman" w:cs="Times New Roman"/>
          <w:color w:val="000000" w:themeColor="text1"/>
          <w:highlight w:val="none"/>
          <w14:textFill>
            <w14:solidFill>
              <w14:schemeClr w14:val="tx1"/>
            </w14:solidFill>
          </w14:textFill>
        </w:rPr>
        <mc:AlternateContent>
          <mc:Choice Requires="wps">
            <w:drawing>
              <wp:anchor distT="0" distB="0" distL="114300" distR="114300" simplePos="0" relativeHeight="251667456" behindDoc="0" locked="0" layoutInCell="1" allowOverlap="1">
                <wp:simplePos x="0" y="0"/>
                <wp:positionH relativeFrom="column">
                  <wp:posOffset>6980555</wp:posOffset>
                </wp:positionH>
                <wp:positionV relativeFrom="paragraph">
                  <wp:posOffset>3885565</wp:posOffset>
                </wp:positionV>
                <wp:extent cx="1552575" cy="1165225"/>
                <wp:effectExtent l="4445" t="4445" r="12700" b="19050"/>
                <wp:wrapNone/>
                <wp:docPr id="39" name="文本框 299"/>
                <wp:cNvGraphicFramePr/>
                <a:graphic xmlns:a="http://schemas.openxmlformats.org/drawingml/2006/main">
                  <a:graphicData uri="http://schemas.microsoft.com/office/word/2010/wordprocessingShape">
                    <wps:wsp>
                      <wps:cNvSpPr txBox="1"/>
                      <wps:spPr>
                        <a:xfrm>
                          <a:off x="0" y="0"/>
                          <a:ext cx="1552575" cy="116522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0BB08716">
                            <w:pPr>
                              <w:spacing w:line="360" w:lineRule="auto"/>
                              <w:jc w:val="center"/>
                            </w:pPr>
                            <w:r>
                              <w:rPr>
                                <w:rFonts w:hint="eastAsia"/>
                              </w:rPr>
                              <w:t>图例</w:t>
                            </w:r>
                          </w:p>
                          <w:p w14:paraId="3192AE03">
                            <w:pPr>
                              <w:pStyle w:val="18"/>
                              <w:spacing w:line="360" w:lineRule="auto"/>
                              <w:ind w:firstLine="420" w:firstLineChars="200"/>
                            </w:pPr>
                            <w:r>
                              <w:rPr>
                                <w:rFonts w:hint="eastAsia"/>
                              </w:rPr>
                              <w:t>本项目</w:t>
                            </w:r>
                          </w:p>
                          <w:p w14:paraId="39AF4E46">
                            <w:pPr>
                              <w:ind w:firstLine="420" w:firstLineChars="200"/>
                            </w:pPr>
                            <w:r>
                              <w:rPr>
                                <w:rFonts w:hint="eastAsia"/>
                              </w:rPr>
                              <w:t>大气监测点位</w:t>
                            </w:r>
                          </w:p>
                          <w:p w14:paraId="5FDB1336">
                            <w:pPr>
                              <w:pStyle w:val="18"/>
                            </w:pPr>
                          </w:p>
                          <w:p w14:paraId="1F05AE5D">
                            <w:pPr>
                              <w:ind w:left="178" w:leftChars="85" w:firstLine="180" w:firstLineChars="100"/>
                            </w:pPr>
                            <w:r>
                              <w:rPr>
                                <w:rFonts w:hint="eastAsia"/>
                                <w:sz w:val="18"/>
                                <w:szCs w:val="21"/>
                              </w:rPr>
                              <w:t xml:space="preserve">0m   </w:t>
                            </w:r>
                            <w:r>
                              <w:rPr>
                                <w:rFonts w:hint="eastAsia"/>
                                <w:sz w:val="18"/>
                                <w:szCs w:val="21"/>
                                <w:lang w:val="en-US" w:eastAsia="zh-CN"/>
                              </w:rPr>
                              <w:t>1</w:t>
                            </w:r>
                            <w:r>
                              <w:rPr>
                                <w:rFonts w:hint="eastAsia"/>
                                <w:sz w:val="18"/>
                                <w:szCs w:val="21"/>
                              </w:rPr>
                              <w:t xml:space="preserve">00m  </w:t>
                            </w:r>
                            <w:r>
                              <w:rPr>
                                <w:rFonts w:hint="eastAsia"/>
                                <w:sz w:val="18"/>
                                <w:szCs w:val="21"/>
                                <w:lang w:val="en-US" w:eastAsia="zh-CN"/>
                              </w:rPr>
                              <w:t>2</w:t>
                            </w:r>
                            <w:r>
                              <w:rPr>
                                <w:rFonts w:hint="eastAsia"/>
                                <w:sz w:val="18"/>
                                <w:szCs w:val="21"/>
                              </w:rPr>
                              <w:t>00m</w:t>
                            </w:r>
                          </w:p>
                        </w:txbxContent>
                      </wps:txbx>
                      <wps:bodyPr wrap="square" upright="1"/>
                    </wps:wsp>
                  </a:graphicData>
                </a:graphic>
              </wp:anchor>
            </w:drawing>
          </mc:Choice>
          <mc:Fallback>
            <w:pict>
              <v:shape id="文本框 299" o:spid="_x0000_s1026" o:spt="202" type="#_x0000_t202" style="position:absolute;left:0pt;margin-left:549.65pt;margin-top:305.95pt;height:91.75pt;width:122.25pt;z-index:251667456;mso-width-relative:page;mso-height-relative:page;" fillcolor="#FFFFFF" filled="t" stroked="t" coordsize="21600,21600" o:gfxdata="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KjLB33b&#10;AAAADQEAAA8AAAAAAAAAAQAgAAAAIgAAAGRycy9kb3ducmV2LnhtbFBLAQIUABQAAAAIAIdO4kDC&#10;i4GhHQIAAFYEAAAOAAAAAAAAAAEAIAAAACoBAABkcnMvZTJvRG9jLnhtbFBLBQYAAAAABgAGAFkB&#10;AAC5BQAAAAA=&#10;">
                <v:fill on="t" focussize="0,0"/>
                <v:stroke color="#000000" joinstyle="miter"/>
                <v:imagedata o:title=""/>
                <o:lock v:ext="edit" aspectratio="f"/>
                <v:textbox>
                  <w:txbxContent>
                    <w:p w14:paraId="0BB08716">
                      <w:pPr>
                        <w:spacing w:line="360" w:lineRule="auto"/>
                        <w:jc w:val="center"/>
                      </w:pPr>
                      <w:r>
                        <w:rPr>
                          <w:rFonts w:hint="eastAsia"/>
                        </w:rPr>
                        <w:t>图例</w:t>
                      </w:r>
                    </w:p>
                    <w:p w14:paraId="3192AE03">
                      <w:pPr>
                        <w:pStyle w:val="18"/>
                        <w:spacing w:line="360" w:lineRule="auto"/>
                        <w:ind w:firstLine="420" w:firstLineChars="200"/>
                      </w:pPr>
                      <w:r>
                        <w:rPr>
                          <w:rFonts w:hint="eastAsia"/>
                        </w:rPr>
                        <w:t>本项目</w:t>
                      </w:r>
                    </w:p>
                    <w:p w14:paraId="39AF4E46">
                      <w:pPr>
                        <w:ind w:firstLine="420" w:firstLineChars="200"/>
                      </w:pPr>
                      <w:r>
                        <w:rPr>
                          <w:rFonts w:hint="eastAsia"/>
                        </w:rPr>
                        <w:t>大气监测点位</w:t>
                      </w:r>
                    </w:p>
                    <w:p w14:paraId="5FDB1336">
                      <w:pPr>
                        <w:pStyle w:val="18"/>
                      </w:pPr>
                    </w:p>
                    <w:p w14:paraId="1F05AE5D">
                      <w:pPr>
                        <w:ind w:left="178" w:leftChars="85" w:firstLine="180" w:firstLineChars="100"/>
                      </w:pPr>
                      <w:r>
                        <w:rPr>
                          <w:rFonts w:hint="eastAsia"/>
                          <w:sz w:val="18"/>
                          <w:szCs w:val="21"/>
                        </w:rPr>
                        <w:t xml:space="preserve">0m   </w:t>
                      </w:r>
                      <w:r>
                        <w:rPr>
                          <w:rFonts w:hint="eastAsia"/>
                          <w:sz w:val="18"/>
                          <w:szCs w:val="21"/>
                          <w:lang w:val="en-US" w:eastAsia="zh-CN"/>
                        </w:rPr>
                        <w:t>1</w:t>
                      </w:r>
                      <w:r>
                        <w:rPr>
                          <w:rFonts w:hint="eastAsia"/>
                          <w:sz w:val="18"/>
                          <w:szCs w:val="21"/>
                        </w:rPr>
                        <w:t xml:space="preserve">00m  </w:t>
                      </w:r>
                      <w:r>
                        <w:rPr>
                          <w:rFonts w:hint="eastAsia"/>
                          <w:sz w:val="18"/>
                          <w:szCs w:val="21"/>
                          <w:lang w:val="en-US" w:eastAsia="zh-CN"/>
                        </w:rPr>
                        <w:t>2</w:t>
                      </w:r>
                      <w:r>
                        <w:rPr>
                          <w:rFonts w:hint="eastAsia"/>
                          <w:sz w:val="18"/>
                          <w:szCs w:val="21"/>
                        </w:rPr>
                        <w:t>00m</w:t>
                      </w:r>
                    </w:p>
                  </w:txbxContent>
                </v:textbox>
              </v:shape>
            </w:pict>
          </mc:Fallback>
        </mc:AlternateContent>
      </w:r>
      <w:r>
        <w:rPr>
          <w:rFonts w:hint="default" w:ascii="Times New Roman" w:hAnsi="Times New Roman" w:cs="Times New Roman"/>
          <w:color w:val="000000" w:themeColor="text1"/>
          <w:highlight w:val="none"/>
          <w14:textFill>
            <w14:solidFill>
              <w14:schemeClr w14:val="tx1"/>
            </w14:solidFill>
          </w14:textFill>
        </w:rPr>
        <mc:AlternateContent>
          <mc:Choice Requires="wps">
            <w:drawing>
              <wp:anchor distT="0" distB="0" distL="114300" distR="114300" simplePos="0" relativeHeight="251673600" behindDoc="0" locked="0" layoutInCell="1" allowOverlap="1">
                <wp:simplePos x="0" y="0"/>
                <wp:positionH relativeFrom="column">
                  <wp:posOffset>2049145</wp:posOffset>
                </wp:positionH>
                <wp:positionV relativeFrom="paragraph">
                  <wp:posOffset>4697730</wp:posOffset>
                </wp:positionV>
                <wp:extent cx="334645" cy="53975"/>
                <wp:effectExtent l="5080" t="4445" r="10795" b="17780"/>
                <wp:wrapNone/>
                <wp:docPr id="62" name="矩形 330"/>
                <wp:cNvGraphicFramePr/>
                <a:graphic xmlns:a="http://schemas.openxmlformats.org/drawingml/2006/main">
                  <a:graphicData uri="http://schemas.microsoft.com/office/word/2010/wordprocessingShape">
                    <wps:wsp>
                      <wps:cNvSpPr/>
                      <wps:spPr>
                        <a:xfrm>
                          <a:off x="0" y="0"/>
                          <a:ext cx="334645" cy="53975"/>
                        </a:xfrm>
                        <a:prstGeom prst="rect">
                          <a:avLst/>
                        </a:prstGeom>
                        <a:noFill/>
                        <a:ln w="9525" cap="flat" cmpd="sng">
                          <a:solidFill>
                            <a:srgbClr val="000000"/>
                          </a:solidFill>
                          <a:prstDash val="solid"/>
                          <a:miter/>
                          <a:headEnd type="none" w="med" len="med"/>
                          <a:tailEnd type="none" w="med" len="med"/>
                        </a:ln>
                        <a:effectLst/>
                      </wps:spPr>
                      <wps:txbx>
                        <w:txbxContent>
                          <w:p w14:paraId="62D580F2"/>
                        </w:txbxContent>
                      </wps:txbx>
                      <wps:bodyPr wrap="square" upright="1"/>
                    </wps:wsp>
                  </a:graphicData>
                </a:graphic>
              </wp:anchor>
            </w:drawing>
          </mc:Choice>
          <mc:Fallback>
            <w:pict>
              <v:rect id="矩形 330" o:spid="_x0000_s1026" o:spt="1" style="position:absolute;left:0pt;margin-left:161.35pt;margin-top:369.9pt;height:4.25pt;width:26.35pt;z-index:251673600;mso-width-relative:page;mso-height-relative:page;" filled="f" stroked="t" coordsize="21600,21600" o:gfxdata="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DZM5mc2gAAAAsBAAAPAAAAAAAAAAEAIAAA&#10;ACIAAABkcnMvZG93bnJldi54bWxQSwECFAAUAAAACACHTuJAYE8MUQoCAAAdBAAADgAAAAAAAAAB&#10;ACAAAAApAQAAZHJzL2Uyb0RvYy54bWxQSwUGAAAAAAYABgBZAQAApQUAAAAA&#10;">
                <v:fill on="f" focussize="0,0"/>
                <v:stroke color="#000000" joinstyle="miter"/>
                <v:imagedata o:title=""/>
                <o:lock v:ext="edit" aspectratio="f"/>
                <v:textbox>
                  <w:txbxContent>
                    <w:p w14:paraId="62D580F2"/>
                  </w:txbxContent>
                </v:textbox>
              </v:rect>
            </w:pict>
          </mc:Fallback>
        </mc:AlternateContent>
      </w:r>
      <w:r>
        <w:drawing>
          <wp:inline distT="0" distB="0" distL="114300" distR="114300">
            <wp:extent cx="8528050" cy="5256530"/>
            <wp:effectExtent l="0" t="0" r="6350" b="1270"/>
            <wp:docPr id="8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图片 4"/>
                    <pic:cNvPicPr>
                      <a:picLocks noChangeAspect="1"/>
                    </pic:cNvPicPr>
                  </pic:nvPicPr>
                  <pic:blipFill>
                    <a:blip r:embed="rId20"/>
                    <a:stretch>
                      <a:fillRect/>
                    </a:stretch>
                  </pic:blipFill>
                  <pic:spPr>
                    <a:xfrm>
                      <a:off x="0" y="0"/>
                      <a:ext cx="8528050" cy="5256530"/>
                    </a:xfrm>
                    <a:prstGeom prst="rect">
                      <a:avLst/>
                    </a:prstGeom>
                    <a:noFill/>
                    <a:ln>
                      <a:noFill/>
                    </a:ln>
                  </pic:spPr>
                </pic:pic>
              </a:graphicData>
            </a:graphic>
          </wp:inline>
        </w:drawing>
      </w:r>
    </w:p>
    <w:p w14:paraId="7C0DAFA2">
      <w:pPr>
        <w:pStyle w:val="18"/>
        <w:jc w:val="center"/>
        <w:rPr>
          <w:rFonts w:hint="default" w:ascii="Times New Roman" w:hAnsi="Times New Roman" w:cs="Times New Roman"/>
          <w:b/>
          <w:bCs/>
          <w:color w:val="000000" w:themeColor="text1"/>
          <w:highlight w:val="none"/>
          <w14:textFill>
            <w14:solidFill>
              <w14:schemeClr w14:val="tx1"/>
            </w14:solidFill>
          </w14:textFill>
        </w:rPr>
        <w:sectPr>
          <w:pgSz w:w="16838" w:h="11906" w:orient="landscape"/>
          <w:pgMar w:top="1531" w:right="1701" w:bottom="1531" w:left="1701" w:header="851" w:footer="851" w:gutter="0"/>
          <w:pgBorders>
            <w:top w:val="none" w:sz="0" w:space="0"/>
            <w:left w:val="none" w:sz="0" w:space="0"/>
            <w:bottom w:val="none" w:sz="0" w:space="0"/>
            <w:right w:val="none" w:sz="0" w:space="0"/>
          </w:pgBorders>
          <w:cols w:space="720" w:num="1"/>
          <w:docGrid w:linePitch="312" w:charSpace="0"/>
        </w:sectPr>
      </w:pPr>
      <w:r>
        <w:rPr>
          <w:rFonts w:hint="default" w:ascii="Times New Roman" w:hAnsi="Times New Roman" w:cs="Times New Roman"/>
          <w:b/>
          <w:bCs/>
          <w:color w:val="000000" w:themeColor="text1"/>
          <w:highlight w:val="none"/>
          <w14:textFill>
            <w14:solidFill>
              <w14:schemeClr w14:val="tx1"/>
            </w14:solidFill>
          </w14:textFill>
        </w:rPr>
        <w:t>图3 监测点位图</w:t>
      </w:r>
    </w:p>
    <w:p w14:paraId="38850D5E">
      <w:pPr>
        <w:tabs>
          <w:tab w:val="left" w:pos="12561"/>
        </w:tabs>
        <w:jc w:val="both"/>
        <w:rPr>
          <w:rFonts w:hint="eastAsia" w:ascii="Times New Roman" w:hAnsi="Times New Roman" w:eastAsia="宋体" w:cs="Times New Roman"/>
          <w:color w:val="000000" w:themeColor="text1"/>
          <w:highlight w:val="none"/>
          <w:lang w:eastAsia="zh-CN"/>
          <w14:textFill>
            <w14:solidFill>
              <w14:schemeClr w14:val="tx1"/>
            </w14:solidFill>
          </w14:textFill>
        </w:rPr>
      </w:pPr>
      <w:r>
        <w:rPr>
          <w:sz w:val="21"/>
        </w:rPr>
        <mc:AlternateContent>
          <mc:Choice Requires="wps">
            <w:drawing>
              <wp:anchor distT="0" distB="0" distL="114300" distR="114300" simplePos="0" relativeHeight="251736064" behindDoc="0" locked="0" layoutInCell="1" allowOverlap="1">
                <wp:simplePos x="0" y="0"/>
                <wp:positionH relativeFrom="column">
                  <wp:posOffset>7476490</wp:posOffset>
                </wp:positionH>
                <wp:positionV relativeFrom="paragraph">
                  <wp:posOffset>15875</wp:posOffset>
                </wp:positionV>
                <wp:extent cx="1276350" cy="1276350"/>
                <wp:effectExtent l="0" t="0" r="3810" b="3810"/>
                <wp:wrapNone/>
                <wp:docPr id="160" name="文本框 160"/>
                <wp:cNvGraphicFramePr/>
                <a:graphic xmlns:a="http://schemas.openxmlformats.org/drawingml/2006/main">
                  <a:graphicData uri="http://schemas.microsoft.com/office/word/2010/wordprocessingShape">
                    <wps:wsp>
                      <wps:cNvSpPr txBox="1"/>
                      <wps:spPr>
                        <a:xfrm>
                          <a:off x="8556625" y="988060"/>
                          <a:ext cx="1276350" cy="12763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55E0DA1D">
                            <w:pPr>
                              <w:rPr>
                                <w:color w:val="auto"/>
                              </w:rPr>
                            </w:pPr>
                          </w:p>
                          <w:p w14:paraId="64175A75">
                            <w:r>
                              <w:rPr>
                                <w:color w:val="auto"/>
                              </w:rPr>
                              <w:drawing>
                                <wp:inline distT="0" distB="0" distL="114300" distR="114300">
                                  <wp:extent cx="594360" cy="828675"/>
                                  <wp:effectExtent l="0" t="0" r="9525" b="0"/>
                                  <wp:docPr id="15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图片 2"/>
                                          <pic:cNvPicPr>
                                            <a:picLocks noChangeAspect="1"/>
                                          </pic:cNvPicPr>
                                        </pic:nvPicPr>
                                        <pic:blipFill>
                                          <a:blip r:embed="rId18"/>
                                          <a:srcRect l="5071"/>
                                          <a:stretch>
                                            <a:fillRect/>
                                          </a:stretch>
                                        </pic:blipFill>
                                        <pic:spPr>
                                          <a:xfrm rot="5400000">
                                            <a:off x="0" y="0"/>
                                            <a:ext cx="594360" cy="82867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88.7pt;margin-top:1.25pt;height:100.5pt;width:100.5pt;z-index:251736064;mso-width-relative:page;mso-height-relative:page;" fillcolor="#FFFFFF [3201]" filled="t" stroked="f" coordsize="21600,21600" o:gfxdata="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Am9CQr1QAAAAsBAAAP&#10;AAAAAAAAAAEAIAAAACIAAABkcnMvZG93bnJldi54bWxQSwECFAAUAAAACACHTuJA+9iOl1QCAACf&#10;BAAADgAAAAAAAAABACAAAAAkAQAAZHJzL2Uyb0RvYy54bWxQSwUGAAAAAAYABgBZAQAA6gUAAAAA&#10;">
                <v:fill on="t" focussize="0,0"/>
                <v:stroke on="f" weight="0.5pt"/>
                <v:imagedata o:title=""/>
                <o:lock v:ext="edit" aspectratio="f"/>
                <v:textbox>
                  <w:txbxContent>
                    <w:p w14:paraId="55E0DA1D">
                      <w:pPr>
                        <w:rPr>
                          <w:color w:val="auto"/>
                        </w:rPr>
                      </w:pPr>
                    </w:p>
                    <w:p w14:paraId="64175A75">
                      <w:r>
                        <w:rPr>
                          <w:color w:val="auto"/>
                        </w:rPr>
                        <w:drawing>
                          <wp:inline distT="0" distB="0" distL="114300" distR="114300">
                            <wp:extent cx="594360" cy="828675"/>
                            <wp:effectExtent l="0" t="0" r="9525" b="0"/>
                            <wp:docPr id="15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图片 2"/>
                                    <pic:cNvPicPr>
                                      <a:picLocks noChangeAspect="1"/>
                                    </pic:cNvPicPr>
                                  </pic:nvPicPr>
                                  <pic:blipFill>
                                    <a:blip r:embed="rId18"/>
                                    <a:srcRect l="5071"/>
                                    <a:stretch>
                                      <a:fillRect/>
                                    </a:stretch>
                                  </pic:blipFill>
                                  <pic:spPr>
                                    <a:xfrm rot="5400000">
                                      <a:off x="0" y="0"/>
                                      <a:ext cx="594360" cy="828675"/>
                                    </a:xfrm>
                                    <a:prstGeom prst="rect">
                                      <a:avLst/>
                                    </a:prstGeom>
                                    <a:noFill/>
                                    <a:ln>
                                      <a:noFill/>
                                    </a:ln>
                                  </pic:spPr>
                                </pic:pic>
                              </a:graphicData>
                            </a:graphic>
                          </wp:inline>
                        </w:drawing>
                      </w:r>
                    </w:p>
                  </w:txbxContent>
                </v:textbox>
              </v:shape>
            </w:pict>
          </mc:Fallback>
        </mc:AlternateContent>
      </w:r>
      <w:r>
        <w:rPr>
          <w:rFonts w:hint="default" w:ascii="Times New Roman" w:hAnsi="Times New Roman" w:cs="Times New Roman"/>
          <w:color w:val="000000" w:themeColor="text1"/>
          <w:highlight w:val="none"/>
          <w14:textFill>
            <w14:solidFill>
              <w14:schemeClr w14:val="tx1"/>
            </w14:solidFill>
          </w14:textFill>
        </w:rPr>
        <mc:AlternateContent>
          <mc:Choice Requires="wps">
            <w:drawing>
              <wp:anchor distT="0" distB="0" distL="114300" distR="114300" simplePos="0" relativeHeight="251670528" behindDoc="0" locked="0" layoutInCell="1" allowOverlap="1">
                <wp:simplePos x="0" y="0"/>
                <wp:positionH relativeFrom="column">
                  <wp:posOffset>100965</wp:posOffset>
                </wp:positionH>
                <wp:positionV relativeFrom="paragraph">
                  <wp:posOffset>-109855</wp:posOffset>
                </wp:positionV>
                <wp:extent cx="1863725" cy="1389380"/>
                <wp:effectExtent l="4445" t="4445" r="6350" b="8255"/>
                <wp:wrapNone/>
                <wp:docPr id="53" name="文本框 315"/>
                <wp:cNvGraphicFramePr/>
                <a:graphic xmlns:a="http://schemas.openxmlformats.org/drawingml/2006/main">
                  <a:graphicData uri="http://schemas.microsoft.com/office/word/2010/wordprocessingShape">
                    <wps:wsp>
                      <wps:cNvSpPr txBox="1"/>
                      <wps:spPr>
                        <a:xfrm>
                          <a:off x="0" y="0"/>
                          <a:ext cx="1863725" cy="138938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416E79C0">
                            <w:pPr>
                              <w:spacing w:line="360" w:lineRule="auto"/>
                              <w:ind w:firstLine="900" w:firstLineChars="500"/>
                              <w:rPr>
                                <w:sz w:val="18"/>
                                <w:szCs w:val="21"/>
                              </w:rPr>
                            </w:pPr>
                            <w:r>
                              <w:rPr>
                                <w:rFonts w:hint="eastAsia"/>
                                <w:sz w:val="18"/>
                                <w:szCs w:val="21"/>
                              </w:rPr>
                              <w:t>图例</w:t>
                            </w:r>
                          </w:p>
                          <w:p w14:paraId="688860EB">
                            <w:pPr>
                              <w:pStyle w:val="18"/>
                              <w:spacing w:line="360" w:lineRule="auto"/>
                              <w:ind w:firstLine="540" w:firstLineChars="300"/>
                              <w:rPr>
                                <w:sz w:val="18"/>
                                <w:szCs w:val="21"/>
                              </w:rPr>
                            </w:pPr>
                            <w:r>
                              <w:rPr>
                                <w:rFonts w:hint="eastAsia"/>
                                <w:sz w:val="18"/>
                                <w:szCs w:val="21"/>
                              </w:rPr>
                              <w:t>事故废水管线</w:t>
                            </w:r>
                          </w:p>
                          <w:p w14:paraId="24C504E1">
                            <w:pPr>
                              <w:spacing w:line="360" w:lineRule="auto"/>
                              <w:ind w:firstLine="540" w:firstLineChars="300"/>
                              <w:rPr>
                                <w:sz w:val="18"/>
                                <w:szCs w:val="21"/>
                              </w:rPr>
                            </w:pPr>
                            <w:r>
                              <w:rPr>
                                <w:rFonts w:hint="eastAsia"/>
                                <w:sz w:val="18"/>
                                <w:szCs w:val="21"/>
                              </w:rPr>
                              <w:t>泄漏物料管线</w:t>
                            </w:r>
                          </w:p>
                          <w:p w14:paraId="39A753E0">
                            <w:pPr>
                              <w:spacing w:line="360" w:lineRule="auto"/>
                              <w:ind w:firstLine="540" w:firstLineChars="300"/>
                              <w:rPr>
                                <w:rFonts w:hint="eastAsia"/>
                                <w:sz w:val="18"/>
                                <w:szCs w:val="21"/>
                              </w:rPr>
                            </w:pPr>
                            <w:r>
                              <w:rPr>
                                <w:rFonts w:hint="eastAsia"/>
                                <w:sz w:val="18"/>
                                <w:szCs w:val="21"/>
                              </w:rPr>
                              <w:t xml:space="preserve">污水井       </w:t>
                            </w:r>
                          </w:p>
                          <w:p w14:paraId="3DE44806">
                            <w:pPr>
                              <w:spacing w:line="360" w:lineRule="auto"/>
                              <w:ind w:firstLine="540" w:firstLineChars="300"/>
                              <w:rPr>
                                <w:sz w:val="18"/>
                                <w:szCs w:val="21"/>
                              </w:rPr>
                            </w:pPr>
                            <w:r>
                              <w:rPr>
                                <w:rFonts w:hint="eastAsia"/>
                                <w:sz w:val="18"/>
                                <w:szCs w:val="21"/>
                              </w:rPr>
                              <w:t>活性炭吸附箱</w:t>
                            </w:r>
                          </w:p>
                          <w:p w14:paraId="4DA21D34">
                            <w:pPr>
                              <w:spacing w:line="360" w:lineRule="auto"/>
                              <w:ind w:firstLine="540" w:firstLineChars="300"/>
                              <w:rPr>
                                <w:sz w:val="18"/>
                                <w:szCs w:val="21"/>
                              </w:rPr>
                            </w:pPr>
                            <w:r>
                              <w:rPr>
                                <w:rFonts w:hint="eastAsia"/>
                                <w:sz w:val="18"/>
                                <w:szCs w:val="21"/>
                              </w:rPr>
                              <w:t xml:space="preserve">排气筒 </w:t>
                            </w:r>
                          </w:p>
                        </w:txbxContent>
                      </wps:txbx>
                      <wps:bodyPr wrap="square" upright="1"/>
                    </wps:wsp>
                  </a:graphicData>
                </a:graphic>
              </wp:anchor>
            </w:drawing>
          </mc:Choice>
          <mc:Fallback>
            <w:pict>
              <v:shape id="文本框 315" o:spid="_x0000_s1026" o:spt="202" type="#_x0000_t202" style="position:absolute;left:0pt;margin-left:7.95pt;margin-top:-8.65pt;height:109.4pt;width:146.75pt;z-index:251670528;mso-width-relative:page;mso-height-relative:page;" fillcolor="#FFFFFF" filled="t" stroked="t" coordsize="21600,21600" o:gfxdata="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GwsX8rZ&#10;AAAACgEAAA8AAAAAAAAAAQAgAAAAIgAAAGRycy9kb3ducmV2LnhtbFBLAQIUABQAAAAIAIdO4kAj&#10;arjMHwIAAFYEAAAOAAAAAAAAAAEAIAAAACgBAABkcnMvZTJvRG9jLnhtbFBLBQYAAAAABgAGAFkB&#10;AAC5BQAAAAA=&#10;">
                <v:fill on="t" focussize="0,0"/>
                <v:stroke color="#000000" joinstyle="miter"/>
                <v:imagedata o:title=""/>
                <o:lock v:ext="edit" aspectratio="f"/>
                <v:textbox>
                  <w:txbxContent>
                    <w:p w14:paraId="416E79C0">
                      <w:pPr>
                        <w:spacing w:line="360" w:lineRule="auto"/>
                        <w:ind w:firstLine="900" w:firstLineChars="500"/>
                        <w:rPr>
                          <w:sz w:val="18"/>
                          <w:szCs w:val="21"/>
                        </w:rPr>
                      </w:pPr>
                      <w:r>
                        <w:rPr>
                          <w:rFonts w:hint="eastAsia"/>
                          <w:sz w:val="18"/>
                          <w:szCs w:val="21"/>
                        </w:rPr>
                        <w:t>图例</w:t>
                      </w:r>
                    </w:p>
                    <w:p w14:paraId="688860EB">
                      <w:pPr>
                        <w:pStyle w:val="18"/>
                        <w:spacing w:line="360" w:lineRule="auto"/>
                        <w:ind w:firstLine="540" w:firstLineChars="300"/>
                        <w:rPr>
                          <w:sz w:val="18"/>
                          <w:szCs w:val="21"/>
                        </w:rPr>
                      </w:pPr>
                      <w:r>
                        <w:rPr>
                          <w:rFonts w:hint="eastAsia"/>
                          <w:sz w:val="18"/>
                          <w:szCs w:val="21"/>
                        </w:rPr>
                        <w:t>事故废水管线</w:t>
                      </w:r>
                    </w:p>
                    <w:p w14:paraId="24C504E1">
                      <w:pPr>
                        <w:spacing w:line="360" w:lineRule="auto"/>
                        <w:ind w:firstLine="540" w:firstLineChars="300"/>
                        <w:rPr>
                          <w:sz w:val="18"/>
                          <w:szCs w:val="21"/>
                        </w:rPr>
                      </w:pPr>
                      <w:r>
                        <w:rPr>
                          <w:rFonts w:hint="eastAsia"/>
                          <w:sz w:val="18"/>
                          <w:szCs w:val="21"/>
                        </w:rPr>
                        <w:t>泄漏物料管线</w:t>
                      </w:r>
                    </w:p>
                    <w:p w14:paraId="39A753E0">
                      <w:pPr>
                        <w:spacing w:line="360" w:lineRule="auto"/>
                        <w:ind w:firstLine="540" w:firstLineChars="300"/>
                        <w:rPr>
                          <w:rFonts w:hint="eastAsia"/>
                          <w:sz w:val="18"/>
                          <w:szCs w:val="21"/>
                        </w:rPr>
                      </w:pPr>
                      <w:r>
                        <w:rPr>
                          <w:rFonts w:hint="eastAsia"/>
                          <w:sz w:val="18"/>
                          <w:szCs w:val="21"/>
                        </w:rPr>
                        <w:t xml:space="preserve">污水井       </w:t>
                      </w:r>
                    </w:p>
                    <w:p w14:paraId="3DE44806">
                      <w:pPr>
                        <w:spacing w:line="360" w:lineRule="auto"/>
                        <w:ind w:firstLine="540" w:firstLineChars="300"/>
                        <w:rPr>
                          <w:sz w:val="18"/>
                          <w:szCs w:val="21"/>
                        </w:rPr>
                      </w:pPr>
                      <w:r>
                        <w:rPr>
                          <w:rFonts w:hint="eastAsia"/>
                          <w:sz w:val="18"/>
                          <w:szCs w:val="21"/>
                        </w:rPr>
                        <w:t>活性炭吸附箱</w:t>
                      </w:r>
                    </w:p>
                    <w:p w14:paraId="4DA21D34">
                      <w:pPr>
                        <w:spacing w:line="360" w:lineRule="auto"/>
                        <w:ind w:firstLine="540" w:firstLineChars="300"/>
                        <w:rPr>
                          <w:sz w:val="18"/>
                          <w:szCs w:val="21"/>
                        </w:rPr>
                      </w:pPr>
                      <w:r>
                        <w:rPr>
                          <w:rFonts w:hint="eastAsia"/>
                          <w:sz w:val="18"/>
                          <w:szCs w:val="21"/>
                        </w:rPr>
                        <w:t xml:space="preserve">排气筒 </w:t>
                      </w:r>
                    </w:p>
                  </w:txbxContent>
                </v:textbox>
              </v:shape>
            </w:pict>
          </mc:Fallback>
        </mc:AlternateContent>
      </w:r>
      <w:r>
        <w:rPr>
          <w:sz w:val="21"/>
        </w:rPr>
        <mc:AlternateContent>
          <mc:Choice Requires="wps">
            <w:drawing>
              <wp:anchor distT="0" distB="0" distL="114300" distR="114300" simplePos="0" relativeHeight="251720704" behindDoc="0" locked="0" layoutInCell="1" allowOverlap="1">
                <wp:simplePos x="0" y="0"/>
                <wp:positionH relativeFrom="column">
                  <wp:posOffset>2290445</wp:posOffset>
                </wp:positionH>
                <wp:positionV relativeFrom="paragraph">
                  <wp:posOffset>55245</wp:posOffset>
                </wp:positionV>
                <wp:extent cx="1800225" cy="924560"/>
                <wp:effectExtent l="12700" t="12700" r="15875" b="22860"/>
                <wp:wrapNone/>
                <wp:docPr id="141" name="矩形 141"/>
                <wp:cNvGraphicFramePr/>
                <a:graphic xmlns:a="http://schemas.openxmlformats.org/drawingml/2006/main">
                  <a:graphicData uri="http://schemas.microsoft.com/office/word/2010/wordprocessingShape">
                    <wps:wsp>
                      <wps:cNvSpPr/>
                      <wps:spPr>
                        <a:xfrm>
                          <a:off x="2494280" y="1466215"/>
                          <a:ext cx="1800225" cy="924560"/>
                        </a:xfrm>
                        <a:prstGeom prst="rect">
                          <a:avLst/>
                        </a:prstGeom>
                        <a:solidFill>
                          <a:schemeClr val="accent3">
                            <a:lumMod val="60000"/>
                            <a:lumOff val="40000"/>
                          </a:schemeClr>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0.35pt;margin-top:4.35pt;height:72.8pt;width:141.75pt;z-index:251720704;v-text-anchor:middle;mso-width-relative:page;mso-height-relative:page;" fillcolor="#C3D69B [1942]" filled="t" stroked="t" coordsize="21600,21600" o:gfxdata="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">
                <v:fill on="t" focussize="0,0"/>
                <v:stroke weight="2pt" color="#FF0000 [3204]" joinstyle="round"/>
                <v:imagedata o:title=""/>
                <o:lock v:ext="edit" aspectratio="f"/>
              </v:rect>
            </w:pict>
          </mc:Fallback>
        </mc:AlternateContent>
      </w:r>
    </w:p>
    <w:p w14:paraId="0D2F0EC7">
      <w:pPr>
        <w:rPr>
          <w:rFonts w:hint="eastAsia"/>
          <w:lang w:eastAsia="zh-CN"/>
        </w:rPr>
      </w:pPr>
      <w:r>
        <w:rPr>
          <w:sz w:val="21"/>
        </w:rPr>
        <mc:AlternateContent>
          <mc:Choice Requires="wps">
            <w:drawing>
              <wp:anchor distT="0" distB="0" distL="114300" distR="114300" simplePos="0" relativeHeight="251725824" behindDoc="0" locked="0" layoutInCell="1" allowOverlap="1">
                <wp:simplePos x="0" y="0"/>
                <wp:positionH relativeFrom="column">
                  <wp:posOffset>175895</wp:posOffset>
                </wp:positionH>
                <wp:positionV relativeFrom="paragraph">
                  <wp:posOffset>71755</wp:posOffset>
                </wp:positionV>
                <wp:extent cx="295275" cy="0"/>
                <wp:effectExtent l="0" t="38100" r="9525" b="38100"/>
                <wp:wrapNone/>
                <wp:docPr id="148" name="直接箭头连接符 148"/>
                <wp:cNvGraphicFramePr/>
                <a:graphic xmlns:a="http://schemas.openxmlformats.org/drawingml/2006/main">
                  <a:graphicData uri="http://schemas.microsoft.com/office/word/2010/wordprocessingShape">
                    <wps:wsp>
                      <wps:cNvCnPr/>
                      <wps:spPr>
                        <a:xfrm>
                          <a:off x="1256030" y="1196975"/>
                          <a:ext cx="295275" cy="0"/>
                        </a:xfrm>
                        <a:prstGeom prst="straightConnector1">
                          <a:avLst/>
                        </a:prstGeom>
                        <a:ln>
                          <a:solidFill>
                            <a:srgbClr val="FF0000"/>
                          </a:solidFill>
                          <a:headEnd type="none"/>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3.85pt;margin-top:5.65pt;height:0pt;width:23.25pt;z-index:251725824;mso-width-relative:page;mso-height-relative:page;" filled="f" stroked="t" coordsize="21600,21600" o:gfxdata="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Cbo7691QAAAAcBAAAP&#10;AAAAAAAAAAEAIAAAACIAAABkcnMvZG93bnJldi54bWxQSwECFAAUAAAACACHTuJAsNef/RsCAAAD&#10;BAAADgAAAAAAAAABACAAAAAkAQAAZHJzL2Uyb0RvYy54bWxQSwUGAAAAAAYABgBZAQAAsQUAAAAA&#10;">
                <v:fill on="f" focussize="0,0"/>
                <v:stroke color="#FF0000 [3204]" joinstyle="round" endarrow="block"/>
                <v:imagedata o:title=""/>
                <o:lock v:ext="edit" aspectratio="f"/>
              </v:shape>
            </w:pict>
          </mc:Fallback>
        </mc:AlternateContent>
      </w:r>
      <w:r>
        <w:rPr>
          <w:sz w:val="21"/>
        </w:rPr>
        <mc:AlternateContent>
          <mc:Choice Requires="wps">
            <w:drawing>
              <wp:anchor distT="0" distB="0" distL="114300" distR="114300" simplePos="0" relativeHeight="251710464" behindDoc="0" locked="0" layoutInCell="1" allowOverlap="1">
                <wp:simplePos x="0" y="0"/>
                <wp:positionH relativeFrom="column">
                  <wp:posOffset>7643495</wp:posOffset>
                </wp:positionH>
                <wp:positionV relativeFrom="paragraph">
                  <wp:posOffset>3810</wp:posOffset>
                </wp:positionV>
                <wp:extent cx="1133475" cy="1114425"/>
                <wp:effectExtent l="0" t="0" r="9525" b="13335"/>
                <wp:wrapNone/>
                <wp:docPr id="128" name="矩形 128"/>
                <wp:cNvGraphicFramePr/>
                <a:graphic xmlns:a="http://schemas.openxmlformats.org/drawingml/2006/main">
                  <a:graphicData uri="http://schemas.microsoft.com/office/word/2010/wordprocessingShape">
                    <wps:wsp>
                      <wps:cNvSpPr/>
                      <wps:spPr>
                        <a:xfrm>
                          <a:off x="8723630" y="1129030"/>
                          <a:ext cx="1133475" cy="11144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601.85pt;margin-top:0.3pt;height:87.75pt;width:89.25pt;z-index:251710464;v-text-anchor:middle;mso-width-relative:page;mso-height-relative:page;" fillcolor="#FFFFFF [3212]" filled="t" stroked="f" coordsize="21600,21600" o:gfxdata="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ECccP3UAAAACgEAAA8AAAAAAAAAAQAgAAAAIgAAAGRycy9kb3ducmV2LnhtbFBLAQIU&#10;ABQAAAAIAIdO4kCtxjgJaQIAAMUEAAAOAAAAAAAAAAEAIAAAACMBAABkcnMvZTJvRG9jLnhtbFBL&#10;BQYAAAAABgAGAFkBAAD+BQAAAAA=&#10;">
                <v:fill on="t" focussize="0,0"/>
                <v:stroke on="f" weight="2pt"/>
                <v:imagedata o:title=""/>
                <o:lock v:ext="edit" aspectratio="f"/>
              </v:rect>
            </w:pict>
          </mc:Fallback>
        </mc:AlternateContent>
      </w:r>
    </w:p>
    <w:p w14:paraId="732AFE6A">
      <w:pPr>
        <w:rPr>
          <w:rFonts w:hint="eastAsia"/>
          <w:lang w:eastAsia="zh-CN"/>
        </w:rPr>
      </w:pPr>
      <w:r>
        <w:rPr>
          <w:sz w:val="21"/>
        </w:rPr>
        <mc:AlternateContent>
          <mc:Choice Requires="wps">
            <w:drawing>
              <wp:anchor distT="0" distB="0" distL="114300" distR="114300" simplePos="0" relativeHeight="251730944" behindDoc="0" locked="0" layoutInCell="1" allowOverlap="1">
                <wp:simplePos x="0" y="0"/>
                <wp:positionH relativeFrom="column">
                  <wp:posOffset>2582545</wp:posOffset>
                </wp:positionH>
                <wp:positionV relativeFrom="paragraph">
                  <wp:posOffset>12700</wp:posOffset>
                </wp:positionV>
                <wp:extent cx="1339850" cy="371475"/>
                <wp:effectExtent l="0" t="0" r="1270" b="9525"/>
                <wp:wrapNone/>
                <wp:docPr id="154" name="文本框 154"/>
                <wp:cNvGraphicFramePr/>
                <a:graphic xmlns:a="http://schemas.openxmlformats.org/drawingml/2006/main">
                  <a:graphicData uri="http://schemas.microsoft.com/office/word/2010/wordprocessingShape">
                    <wps:wsp>
                      <wps:cNvSpPr txBox="1"/>
                      <wps:spPr>
                        <a:xfrm>
                          <a:off x="0" y="0"/>
                          <a:ext cx="1339850" cy="3714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9CBCF8B">
                            <w:pPr>
                              <w:rPr>
                                <w:rFonts w:hint="default" w:eastAsia="宋体"/>
                                <w:sz w:val="28"/>
                                <w:szCs w:val="36"/>
                                <w:lang w:val="en-US" w:eastAsia="zh-CN"/>
                              </w:rPr>
                            </w:pPr>
                            <w:r>
                              <w:rPr>
                                <w:rFonts w:hint="eastAsia"/>
                                <w:sz w:val="28"/>
                                <w:szCs w:val="36"/>
                                <w:lang w:val="en-US" w:eastAsia="zh-CN"/>
                              </w:rPr>
                              <w:t>事故池（地下）</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3.35pt;margin-top:1pt;height:29.25pt;width:105.5pt;z-index:251730944;mso-width-relative:page;mso-height-relative:page;" fillcolor="#FFFFFF [3201]" filled="t" stroked="f" coordsize="21600,21600" o:gfxdata="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BAW7u00wAAAAgBAAAPAAAAAAAA&#10;AAEAIAAAACIAAABkcnMvZG93bnJldi54bWxQSwECFAAUAAAACACHTuJAORRwhFACAACTBAAADgAA&#10;AAAAAAABACAAAAAiAQAAZHJzL2Uyb0RvYy54bWxQSwUGAAAAAAYABgBZAQAA5AUAAAAA&#10;">
                <v:fill on="t" focussize="0,0"/>
                <v:stroke on="f" weight="0.5pt"/>
                <v:imagedata o:title=""/>
                <o:lock v:ext="edit" aspectratio="f"/>
                <v:textbox>
                  <w:txbxContent>
                    <w:p w14:paraId="49CBCF8B">
                      <w:pPr>
                        <w:rPr>
                          <w:rFonts w:hint="default" w:eastAsia="宋体"/>
                          <w:sz w:val="28"/>
                          <w:szCs w:val="36"/>
                          <w:lang w:val="en-US" w:eastAsia="zh-CN"/>
                        </w:rPr>
                      </w:pPr>
                      <w:r>
                        <w:rPr>
                          <w:rFonts w:hint="eastAsia"/>
                          <w:sz w:val="28"/>
                          <w:szCs w:val="36"/>
                          <w:lang w:val="en-US" w:eastAsia="zh-CN"/>
                        </w:rPr>
                        <w:t>事故池（地下）</w:t>
                      </w:r>
                    </w:p>
                  </w:txbxContent>
                </v:textbox>
              </v:shape>
            </w:pict>
          </mc:Fallback>
        </mc:AlternateContent>
      </w:r>
    </w:p>
    <w:p w14:paraId="6FAB64E9">
      <w:pPr>
        <w:rPr>
          <w:rFonts w:hint="eastAsia"/>
          <w:lang w:eastAsia="zh-CN"/>
        </w:rPr>
      </w:pPr>
      <w:r>
        <w:rPr>
          <w:sz w:val="21"/>
        </w:rPr>
        <mc:AlternateContent>
          <mc:Choice Requires="wps">
            <w:drawing>
              <wp:anchor distT="0" distB="0" distL="114300" distR="114300" simplePos="0" relativeHeight="251726848" behindDoc="0" locked="0" layoutInCell="1" allowOverlap="1">
                <wp:simplePos x="0" y="0"/>
                <wp:positionH relativeFrom="column">
                  <wp:posOffset>166370</wp:posOffset>
                </wp:positionH>
                <wp:positionV relativeFrom="paragraph">
                  <wp:posOffset>12700</wp:posOffset>
                </wp:positionV>
                <wp:extent cx="295275" cy="0"/>
                <wp:effectExtent l="0" t="38100" r="9525" b="38100"/>
                <wp:wrapNone/>
                <wp:docPr id="149" name="直接箭头连接符 149"/>
                <wp:cNvGraphicFramePr/>
                <a:graphic xmlns:a="http://schemas.openxmlformats.org/drawingml/2006/main">
                  <a:graphicData uri="http://schemas.microsoft.com/office/word/2010/wordprocessingShape">
                    <wps:wsp>
                      <wps:cNvCnPr/>
                      <wps:spPr>
                        <a:xfrm>
                          <a:off x="0" y="0"/>
                          <a:ext cx="295275" cy="0"/>
                        </a:xfrm>
                        <a:prstGeom prst="straightConnector1">
                          <a:avLst/>
                        </a:prstGeom>
                        <a:ln>
                          <a:solidFill>
                            <a:srgbClr val="00B050"/>
                          </a:solidFill>
                          <a:headEnd type="none"/>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3.1pt;margin-top:1pt;height:0pt;width:23.25pt;z-index:251726848;mso-width-relative:page;mso-height-relative:page;" filled="f" stroked="t" coordsize="21600,21600" o:gfxdata="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BLhOVC0wAAAAUBAAAPAAAAAAAAAAEAIAAAACIA&#10;AABkcnMvZG93bnJldi54bWxQSwECFAAUAAAACACHTuJA+rNfhQ4CAAD3AwAADgAAAAAAAAABACAA&#10;AAAiAQAAZHJzL2Uyb0RvYy54bWxQSwUGAAAAAAYABgBZAQAAogUAAAAA&#10;">
                <v:fill on="f" focussize="0,0"/>
                <v:stroke color="#00B050 [3204]" joinstyle="round" endarrow="block"/>
                <v:imagedata o:title=""/>
                <o:lock v:ext="edit" aspectratio="f"/>
              </v:shape>
            </w:pict>
          </mc:Fallback>
        </mc:AlternateContent>
      </w:r>
    </w:p>
    <w:p w14:paraId="1C73AA42">
      <w:pPr>
        <w:rPr>
          <w:rFonts w:hint="eastAsia"/>
          <w:lang w:eastAsia="zh-CN"/>
        </w:rPr>
      </w:pPr>
      <w:r>
        <w:rPr>
          <w:sz w:val="21"/>
        </w:rPr>
        <mc:AlternateContent>
          <mc:Choice Requires="wps">
            <w:drawing>
              <wp:anchor distT="0" distB="0" distL="114300" distR="114300" simplePos="0" relativeHeight="251727872" behindDoc="0" locked="0" layoutInCell="1" allowOverlap="1">
                <wp:simplePos x="0" y="0"/>
                <wp:positionH relativeFrom="column">
                  <wp:posOffset>213995</wp:posOffset>
                </wp:positionH>
                <wp:positionV relativeFrom="paragraph">
                  <wp:posOffset>12065</wp:posOffset>
                </wp:positionV>
                <wp:extent cx="180975" cy="142875"/>
                <wp:effectExtent l="12700" t="12700" r="19685" b="27305"/>
                <wp:wrapNone/>
                <wp:docPr id="150" name="矩形 150"/>
                <wp:cNvGraphicFramePr/>
                <a:graphic xmlns:a="http://schemas.openxmlformats.org/drawingml/2006/main">
                  <a:graphicData uri="http://schemas.microsoft.com/office/word/2010/wordprocessingShape">
                    <wps:wsp>
                      <wps:cNvSpPr/>
                      <wps:spPr>
                        <a:xfrm>
                          <a:off x="1294130" y="1597025"/>
                          <a:ext cx="180975" cy="142875"/>
                        </a:xfrm>
                        <a:prstGeom prst="rect">
                          <a:avLst/>
                        </a:prstGeom>
                        <a:solidFill>
                          <a:srgbClr val="000000">
                            <a:alpha val="0"/>
                          </a:srgb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6.85pt;margin-top:0.95pt;height:11.25pt;width:14.25pt;z-index:251727872;v-text-anchor:middle;mso-width-relative:page;mso-height-relative:page;" fillcolor="#000000" filled="t" stroked="t" coordsize="21600,21600" o:gfxdata="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">
                <v:fill on="t" opacity="0f" focussize="0,0"/>
                <v:stroke weight="2pt" color="#385D8A [3204]" joinstyle="round"/>
                <v:imagedata o:title=""/>
                <o:lock v:ext="edit" aspectratio="f"/>
              </v:rect>
            </w:pict>
          </mc:Fallback>
        </mc:AlternateContent>
      </w:r>
      <w:r>
        <w:rPr>
          <w:sz w:val="21"/>
        </w:rPr>
        <mc:AlternateContent>
          <mc:Choice Requires="wps">
            <w:drawing>
              <wp:anchor distT="0" distB="0" distL="114300" distR="114300" simplePos="0" relativeHeight="251713536" behindDoc="0" locked="0" layoutInCell="1" allowOverlap="1">
                <wp:simplePos x="0" y="0"/>
                <wp:positionH relativeFrom="column">
                  <wp:posOffset>4785995</wp:posOffset>
                </wp:positionH>
                <wp:positionV relativeFrom="paragraph">
                  <wp:posOffset>134620</wp:posOffset>
                </wp:positionV>
                <wp:extent cx="981075" cy="266700"/>
                <wp:effectExtent l="41910" t="4445" r="13335" b="323215"/>
                <wp:wrapNone/>
                <wp:docPr id="131" name="矩形标注 131"/>
                <wp:cNvGraphicFramePr/>
                <a:graphic xmlns:a="http://schemas.openxmlformats.org/drawingml/2006/main">
                  <a:graphicData uri="http://schemas.microsoft.com/office/word/2010/wordprocessingShape">
                    <wps:wsp>
                      <wps:cNvSpPr/>
                      <wps:spPr>
                        <a:xfrm>
                          <a:off x="5856605" y="1729105"/>
                          <a:ext cx="981075" cy="266700"/>
                        </a:xfrm>
                        <a:prstGeom prst="wedgeRectCallout">
                          <a:avLst>
                            <a:gd name="adj1" fmla="val -53818"/>
                            <a:gd name="adj2" fmla="val 166190"/>
                          </a:avLst>
                        </a:prstGeom>
                        <a:ln w="635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92C50C7">
                            <w:pPr>
                              <w:jc w:val="center"/>
                              <w:rPr>
                                <w:rFonts w:hint="default" w:eastAsia="宋体"/>
                                <w:color w:val="auto"/>
                                <w:lang w:val="en-US" w:eastAsia="zh-CN"/>
                              </w:rPr>
                            </w:pPr>
                            <w:r>
                              <w:rPr>
                                <w:rFonts w:hint="eastAsia"/>
                                <w:color w:val="auto"/>
                                <w:lang w:val="en-US" w:eastAsia="zh-CN"/>
                              </w:rPr>
                              <w:t>围堰</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1" type="#_x0000_t61" style="position:absolute;left:0pt;margin-left:376.85pt;margin-top:10.6pt;height:21pt;width:77.25pt;z-index:251713536;v-text-anchor:middle;mso-width-relative:page;mso-height-relative:page;" fillcolor="#FFFFFF [3201]" filled="t" stroked="t" coordsize="21600,21600" o:gfxdata="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" adj="-825,46697">
                <v:fill on="t" focussize="0,0"/>
                <v:stroke weight="0.5pt" color="#000000 [3213]" joinstyle="round"/>
                <v:imagedata o:title=""/>
                <o:lock v:ext="edit" aspectratio="f"/>
                <v:textbox>
                  <w:txbxContent>
                    <w:p w14:paraId="192C50C7">
                      <w:pPr>
                        <w:jc w:val="center"/>
                        <w:rPr>
                          <w:rFonts w:hint="default" w:eastAsia="宋体"/>
                          <w:color w:val="auto"/>
                          <w:lang w:val="en-US" w:eastAsia="zh-CN"/>
                        </w:rPr>
                      </w:pPr>
                      <w:r>
                        <w:rPr>
                          <w:rFonts w:hint="eastAsia"/>
                          <w:color w:val="auto"/>
                          <w:lang w:val="en-US" w:eastAsia="zh-CN"/>
                        </w:rPr>
                        <w:t>围堰</w:t>
                      </w:r>
                    </w:p>
                  </w:txbxContent>
                </v:textbox>
              </v:shape>
            </w:pict>
          </mc:Fallback>
        </mc:AlternateContent>
      </w:r>
    </w:p>
    <w:p w14:paraId="2E1E49A3">
      <w:pPr>
        <w:rPr>
          <w:rFonts w:hint="eastAsia"/>
          <w:lang w:eastAsia="zh-CN"/>
        </w:rPr>
      </w:pPr>
      <w:r>
        <w:rPr>
          <w:sz w:val="21"/>
        </w:rPr>
        <mc:AlternateContent>
          <mc:Choice Requires="wps">
            <w:drawing>
              <wp:anchor distT="0" distB="0" distL="114300" distR="114300" simplePos="0" relativeHeight="251728896" behindDoc="0" locked="0" layoutInCell="1" allowOverlap="1">
                <wp:simplePos x="0" y="0"/>
                <wp:positionH relativeFrom="column">
                  <wp:posOffset>213995</wp:posOffset>
                </wp:positionH>
                <wp:positionV relativeFrom="paragraph">
                  <wp:posOffset>77470</wp:posOffset>
                </wp:positionV>
                <wp:extent cx="180975" cy="142875"/>
                <wp:effectExtent l="12700" t="12700" r="19685" b="27305"/>
                <wp:wrapNone/>
                <wp:docPr id="152" name="矩形 152"/>
                <wp:cNvGraphicFramePr/>
                <a:graphic xmlns:a="http://schemas.openxmlformats.org/drawingml/2006/main">
                  <a:graphicData uri="http://schemas.microsoft.com/office/word/2010/wordprocessingShape">
                    <wps:wsp>
                      <wps:cNvSpPr/>
                      <wps:spPr>
                        <a:xfrm>
                          <a:off x="0" y="0"/>
                          <a:ext cx="180975" cy="142875"/>
                        </a:xfrm>
                        <a:prstGeom prst="rect">
                          <a:avLst/>
                        </a:prstGeom>
                        <a:solidFill>
                          <a:schemeClr val="accent5">
                            <a:lumMod val="60000"/>
                            <a:lumOff val="40000"/>
                          </a:schemeClr>
                        </a:solidFill>
                        <a:ln>
                          <a:solidFill>
                            <a:schemeClr val="accent5">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6.85pt;margin-top:6.1pt;height:11.25pt;width:14.25pt;z-index:251728896;v-text-anchor:middle;mso-width-relative:page;mso-height-relative:page;" fillcolor="#93CDDD [1944]" filled="t" stroked="t" coordsize="21600,21600" o:gfxdata="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">
                <v:fill on="t" focussize="0,0"/>
                <v:stroke weight="2pt" color="#93CDDD [1944]" joinstyle="round"/>
                <v:imagedata o:title=""/>
                <o:lock v:ext="edit" aspectratio="f"/>
              </v:rect>
            </w:pict>
          </mc:Fallback>
        </mc:AlternateContent>
      </w:r>
    </w:p>
    <w:p w14:paraId="22663825">
      <w:pPr>
        <w:rPr>
          <w:rFonts w:hint="eastAsia"/>
          <w:lang w:eastAsia="zh-CN"/>
        </w:rPr>
      </w:pPr>
      <w:r>
        <w:rPr>
          <w:sz w:val="21"/>
        </w:rPr>
        <mc:AlternateContent>
          <mc:Choice Requires="wps">
            <w:drawing>
              <wp:anchor distT="0" distB="0" distL="114300" distR="114300" simplePos="0" relativeHeight="251729920" behindDoc="0" locked="0" layoutInCell="1" allowOverlap="1">
                <wp:simplePos x="0" y="0"/>
                <wp:positionH relativeFrom="column">
                  <wp:posOffset>261620</wp:posOffset>
                </wp:positionH>
                <wp:positionV relativeFrom="paragraph">
                  <wp:posOffset>124460</wp:posOffset>
                </wp:positionV>
                <wp:extent cx="133350" cy="142875"/>
                <wp:effectExtent l="12700" t="12700" r="21590" b="27305"/>
                <wp:wrapNone/>
                <wp:docPr id="153" name="同心圆 153"/>
                <wp:cNvGraphicFramePr/>
                <a:graphic xmlns:a="http://schemas.openxmlformats.org/drawingml/2006/main">
                  <a:graphicData uri="http://schemas.microsoft.com/office/word/2010/wordprocessingShape">
                    <wps:wsp>
                      <wps:cNvSpPr/>
                      <wps:spPr>
                        <a:xfrm>
                          <a:off x="1341755" y="2082800"/>
                          <a:ext cx="133350" cy="142875"/>
                        </a:xfrm>
                        <a:prstGeom prst="donu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23" type="#_x0000_t23" style="position:absolute;left:0pt;margin-left:20.6pt;margin-top:9.8pt;height:11.25pt;width:10.5pt;z-index:251729920;v-text-anchor:middle;mso-width-relative:page;mso-height-relative:page;" filled="f" stroked="t" coordsize="21600,21600" o:gfxdata="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" adj="5400">
                <v:fill on="f" focussize="0,0"/>
                <v:stroke weight="2pt" color="#FF0000 [3204]" joinstyle="round"/>
                <v:imagedata o:title=""/>
                <o:lock v:ext="edit" aspectratio="f"/>
              </v:shape>
            </w:pict>
          </mc:Fallback>
        </mc:AlternateContent>
      </w:r>
    </w:p>
    <w:p w14:paraId="26BFB4FD">
      <w:pPr>
        <w:rPr>
          <w:rFonts w:hint="eastAsia"/>
          <w:lang w:eastAsia="zh-CN"/>
        </w:rPr>
      </w:pPr>
      <w:r>
        <w:rPr>
          <w:sz w:val="21"/>
        </w:rPr>
        <mc:AlternateContent>
          <mc:Choice Requires="wps">
            <w:drawing>
              <wp:anchor distT="0" distB="0" distL="114300" distR="114300" simplePos="0" relativeHeight="251735040" behindDoc="0" locked="0" layoutInCell="1" allowOverlap="1">
                <wp:simplePos x="0" y="0"/>
                <wp:positionH relativeFrom="column">
                  <wp:posOffset>4351020</wp:posOffset>
                </wp:positionH>
                <wp:positionV relativeFrom="paragraph">
                  <wp:posOffset>21590</wp:posOffset>
                </wp:positionV>
                <wp:extent cx="133350" cy="142875"/>
                <wp:effectExtent l="12700" t="12700" r="21590" b="27305"/>
                <wp:wrapNone/>
                <wp:docPr id="158" name="同心圆 158"/>
                <wp:cNvGraphicFramePr/>
                <a:graphic xmlns:a="http://schemas.openxmlformats.org/drawingml/2006/main">
                  <a:graphicData uri="http://schemas.microsoft.com/office/word/2010/wordprocessingShape">
                    <wps:wsp>
                      <wps:cNvSpPr/>
                      <wps:spPr>
                        <a:xfrm>
                          <a:off x="0" y="0"/>
                          <a:ext cx="133350" cy="142875"/>
                        </a:xfrm>
                        <a:prstGeom prst="donu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23" type="#_x0000_t23" style="position:absolute;left:0pt;margin-left:342.6pt;margin-top:1.7pt;height:11.25pt;width:10.5pt;z-index:251735040;v-text-anchor:middle;mso-width-relative:page;mso-height-relative:page;" filled="f" stroked="t" coordsize="21600,21600" o:gfxdata="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kBqKcdcAAAAIAQAADwAAAAAAAAABACAAAAAiAAAAZHJzL2Rvd25yZXYueG1sUEsBAhQA&#10;FAAAAAgAh07iQKZZdadlAgAAuwQAAA4AAAAAAAAAAQAgAAAAJgEAAGRycy9lMm9Eb2MueG1sUEsF&#10;BgAAAAAGAAYAWQEAAP0FAAAAAA==&#10;" adj="5400">
                <v:fill on="f" focussize="0,0"/>
                <v:stroke weight="2pt" color="#FF0000 [3204]" joinstyle="round"/>
                <v:imagedata o:title=""/>
                <o:lock v:ext="edit" aspectratio="f"/>
              </v:shape>
            </w:pict>
          </mc:Fallback>
        </mc:AlternateContent>
      </w:r>
      <w:r>
        <w:rPr>
          <w:sz w:val="21"/>
        </w:rPr>
        <mc:AlternateContent>
          <mc:Choice Requires="wps">
            <w:drawing>
              <wp:anchor distT="0" distB="0" distL="114300" distR="114300" simplePos="0" relativeHeight="251734016" behindDoc="0" locked="0" layoutInCell="1" allowOverlap="1">
                <wp:simplePos x="0" y="0"/>
                <wp:positionH relativeFrom="column">
                  <wp:posOffset>4087495</wp:posOffset>
                </wp:positionH>
                <wp:positionV relativeFrom="paragraph">
                  <wp:posOffset>24765</wp:posOffset>
                </wp:positionV>
                <wp:extent cx="180975" cy="142875"/>
                <wp:effectExtent l="12700" t="12700" r="19685" b="27305"/>
                <wp:wrapNone/>
                <wp:docPr id="157" name="矩形 157"/>
                <wp:cNvGraphicFramePr/>
                <a:graphic xmlns:a="http://schemas.openxmlformats.org/drawingml/2006/main">
                  <a:graphicData uri="http://schemas.microsoft.com/office/word/2010/wordprocessingShape">
                    <wps:wsp>
                      <wps:cNvSpPr/>
                      <wps:spPr>
                        <a:xfrm>
                          <a:off x="0" y="0"/>
                          <a:ext cx="180975" cy="142875"/>
                        </a:xfrm>
                        <a:prstGeom prst="rect">
                          <a:avLst/>
                        </a:prstGeom>
                        <a:solidFill>
                          <a:schemeClr val="accent5">
                            <a:lumMod val="60000"/>
                            <a:lumOff val="40000"/>
                          </a:schemeClr>
                        </a:solidFill>
                        <a:ln>
                          <a:solidFill>
                            <a:schemeClr val="accent5">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21.85pt;margin-top:1.95pt;height:11.25pt;width:14.25pt;z-index:251734016;v-text-anchor:middle;mso-width-relative:page;mso-height-relative:page;" fillcolor="#93CDDD [1944]" filled="t" stroked="t" coordsize="21600,21600" o:gfxdata="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">
                <v:fill on="t" focussize="0,0"/>
                <v:stroke weight="2pt" color="#93CDDD [1944]" joinstyle="round"/>
                <v:imagedata o:title=""/>
                <o:lock v:ext="edit" aspectratio="f"/>
              </v:rect>
            </w:pict>
          </mc:Fallback>
        </mc:AlternateContent>
      </w:r>
      <w:r>
        <w:rPr>
          <w:sz w:val="21"/>
        </w:rPr>
        <mc:AlternateContent>
          <mc:Choice Requires="wps">
            <w:drawing>
              <wp:anchor distT="0" distB="0" distL="114300" distR="114300" simplePos="0" relativeHeight="251723776" behindDoc="0" locked="0" layoutInCell="1" allowOverlap="1">
                <wp:simplePos x="0" y="0"/>
                <wp:positionH relativeFrom="column">
                  <wp:posOffset>2952115</wp:posOffset>
                </wp:positionH>
                <wp:positionV relativeFrom="paragraph">
                  <wp:posOffset>144780</wp:posOffset>
                </wp:positionV>
                <wp:extent cx="480695" cy="4445"/>
                <wp:effectExtent l="38100" t="0" r="33655" b="6985"/>
                <wp:wrapNone/>
                <wp:docPr id="146" name="肘形连接符 146"/>
                <wp:cNvGraphicFramePr/>
                <a:graphic xmlns:a="http://schemas.openxmlformats.org/drawingml/2006/main">
                  <a:graphicData uri="http://schemas.microsoft.com/office/word/2010/wordprocessingShape">
                    <wps:wsp>
                      <wps:cNvCnPr>
                        <a:endCxn id="141" idx="2"/>
                      </wps:cNvCnPr>
                      <wps:spPr>
                        <a:xfrm rot="16200000" flipV="1">
                          <a:off x="4261485" y="2659380"/>
                          <a:ext cx="480695" cy="4445"/>
                        </a:xfrm>
                        <a:prstGeom prst="bentConnector3">
                          <a:avLst>
                            <a:gd name="adj1" fmla="val 49934"/>
                          </a:avLst>
                        </a:prstGeom>
                        <a:ln w="19050">
                          <a:solidFill>
                            <a:srgbClr val="FF0000"/>
                          </a:solidFill>
                          <a:headEnd type="none"/>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4" type="#_x0000_t34" style="position:absolute;left:0pt;flip:y;margin-left:232.45pt;margin-top:11.4pt;height:0.35pt;width:37.85pt;rotation:5898240f;z-index:251723776;mso-width-relative:page;mso-height-relative:page;" filled="f" stroked="t" coordsize="21600,21600" o:gfxdata="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N1YoEHZAAAA&#10;CQEAAA8AAAAAAAAAAQAgAAAAIgAAAGRycy9kb3ducmV2LnhtbFBLAQIUABQAAAAIAIdO4kDAUzRs&#10;VQIAAGwEAAAOAAAAAAAAAAEAIAAAACgBAABkcnMvZTJvRG9jLnhtbFBLBQYAAAAABgAGAFkBAADv&#10;BQAAAAA=&#10;" adj="10786">
                <v:fill on="f" focussize="0,0"/>
                <v:stroke weight="1.5pt" color="#FF0000 [3204]" joinstyle="round" endarrow="block"/>
                <v:imagedata o:title=""/>
                <o:lock v:ext="edit" aspectratio="f"/>
              </v:shape>
            </w:pict>
          </mc:Fallback>
        </mc:AlternateContent>
      </w:r>
    </w:p>
    <w:p w14:paraId="2C8C37FC">
      <w:pPr>
        <w:rPr>
          <w:rFonts w:hint="eastAsia" w:ascii="Times New Roman" w:hAnsi="Times New Roman" w:eastAsia="宋体" w:cs="Times New Roman"/>
          <w:color w:val="000000" w:themeColor="text1"/>
          <w:highlight w:val="none"/>
          <w:lang w:eastAsia="zh-CN"/>
          <w14:textFill>
            <w14:solidFill>
              <w14:schemeClr w14:val="tx1"/>
            </w14:solidFill>
          </w14:textFill>
        </w:rPr>
      </w:pPr>
      <w:r>
        <w:rPr>
          <w:sz w:val="21"/>
        </w:rPr>
        <mc:AlternateContent>
          <mc:Choice Requires="wps">
            <w:drawing>
              <wp:anchor distT="0" distB="0" distL="114300" distR="114300" simplePos="0" relativeHeight="251703296" behindDoc="0" locked="0" layoutInCell="1" allowOverlap="1">
                <wp:simplePos x="0" y="0"/>
                <wp:positionH relativeFrom="column">
                  <wp:posOffset>26670</wp:posOffset>
                </wp:positionH>
                <wp:positionV relativeFrom="paragraph">
                  <wp:posOffset>85090</wp:posOffset>
                </wp:positionV>
                <wp:extent cx="8639810" cy="3599815"/>
                <wp:effectExtent l="12700" t="12700" r="19050" b="14605"/>
                <wp:wrapNone/>
                <wp:docPr id="103" name="矩形 103"/>
                <wp:cNvGraphicFramePr/>
                <a:graphic xmlns:a="http://schemas.openxmlformats.org/drawingml/2006/main">
                  <a:graphicData uri="http://schemas.microsoft.com/office/word/2010/wordprocessingShape">
                    <wps:wsp>
                      <wps:cNvSpPr/>
                      <wps:spPr>
                        <a:xfrm>
                          <a:off x="1103630" y="1026160"/>
                          <a:ext cx="8639810" cy="3599815"/>
                        </a:xfrm>
                        <a:prstGeom prst="rect">
                          <a:avLst/>
                        </a:prstGeom>
                        <a:noFill/>
                        <a:ln>
                          <a:solidFill>
                            <a:schemeClr val="tx2">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73C482">
                            <w:pPr>
                              <w:jc w:val="center"/>
                            </w:pPr>
                          </w:p>
                          <w:p w14:paraId="519D95C6">
                            <w:pPr>
                              <w:pStyle w:val="2"/>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pt;margin-top:6.7pt;height:283.45pt;width:680.3pt;z-index:251703296;v-text-anchor:middle;mso-width-relative:page;mso-height-relative:page;" filled="f" stroked="t" coordsize="21600,21600" o:gfxdata="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">
                <v:fill on="f" focussize="0,0"/>
                <v:stroke weight="2pt" color="#558ED5 [1951]" joinstyle="round"/>
                <v:imagedata o:title=""/>
                <o:lock v:ext="edit" aspectratio="f"/>
                <v:textbox>
                  <w:txbxContent>
                    <w:p w14:paraId="0A73C482">
                      <w:pPr>
                        <w:jc w:val="center"/>
                      </w:pPr>
                    </w:p>
                    <w:p w14:paraId="519D95C6">
                      <w:pPr>
                        <w:pStyle w:val="2"/>
                      </w:pPr>
                    </w:p>
                  </w:txbxContent>
                </v:textbox>
              </v:rect>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36830</wp:posOffset>
                </wp:positionH>
                <wp:positionV relativeFrom="paragraph">
                  <wp:posOffset>101600</wp:posOffset>
                </wp:positionV>
                <wp:extent cx="4665980" cy="3564890"/>
                <wp:effectExtent l="0" t="0" r="12700" b="1270"/>
                <wp:wrapNone/>
                <wp:docPr id="177" name="矩形 177"/>
                <wp:cNvGraphicFramePr/>
                <a:graphic xmlns:a="http://schemas.openxmlformats.org/drawingml/2006/main">
                  <a:graphicData uri="http://schemas.microsoft.com/office/word/2010/wordprocessingShape">
                    <wps:wsp>
                      <wps:cNvSpPr/>
                      <wps:spPr>
                        <a:xfrm>
                          <a:off x="1066800" y="2317115"/>
                          <a:ext cx="4665980" cy="3564890"/>
                        </a:xfrm>
                        <a:prstGeom prst="rect">
                          <a:avLst/>
                        </a:prstGeom>
                        <a:solidFill>
                          <a:schemeClr val="accent3">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pt;margin-top:8pt;height:280.7pt;width:367.4pt;z-index:251659264;v-text-anchor:middle;mso-width-relative:page;mso-height-relative:page;" fillcolor="#C3D69B [1942]" filled="t" stroked="f" coordsize="21600,21600" o:gfxdata="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709440" behindDoc="0" locked="0" layoutInCell="1" allowOverlap="1">
                <wp:simplePos x="0" y="0"/>
                <wp:positionH relativeFrom="column">
                  <wp:posOffset>4765675</wp:posOffset>
                </wp:positionH>
                <wp:positionV relativeFrom="paragraph">
                  <wp:posOffset>100330</wp:posOffset>
                </wp:positionV>
                <wp:extent cx="1066800" cy="3571240"/>
                <wp:effectExtent l="0" t="0" r="0" b="10160"/>
                <wp:wrapNone/>
                <wp:docPr id="113" name="矩形 113"/>
                <wp:cNvGraphicFramePr/>
                <a:graphic xmlns:a="http://schemas.openxmlformats.org/drawingml/2006/main">
                  <a:graphicData uri="http://schemas.microsoft.com/office/word/2010/wordprocessingShape">
                    <wps:wsp>
                      <wps:cNvSpPr/>
                      <wps:spPr>
                        <a:xfrm>
                          <a:off x="5808980" y="2308225"/>
                          <a:ext cx="1066800" cy="3571240"/>
                        </a:xfrm>
                        <a:prstGeom prst="rect">
                          <a:avLst/>
                        </a:prstGeom>
                        <a:solidFill>
                          <a:schemeClr val="accent3">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75.25pt;margin-top:7.9pt;height:281.2pt;width:84pt;z-index:251709440;v-text-anchor:middle;mso-width-relative:page;mso-height-relative:page;" fillcolor="#D7E4BD [1302]" filled="t" stroked="f" coordsize="21600,21600" o:gfxdata="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706368" behindDoc="0" locked="0" layoutInCell="1" allowOverlap="1">
                <wp:simplePos x="0" y="0"/>
                <wp:positionH relativeFrom="column">
                  <wp:posOffset>4728845</wp:posOffset>
                </wp:positionH>
                <wp:positionV relativeFrom="paragraph">
                  <wp:posOffset>81280</wp:posOffset>
                </wp:positionV>
                <wp:extent cx="9525" cy="3609975"/>
                <wp:effectExtent l="19050" t="0" r="32385" b="1905"/>
                <wp:wrapNone/>
                <wp:docPr id="107" name="直接连接符 107"/>
                <wp:cNvGraphicFramePr/>
                <a:graphic xmlns:a="http://schemas.openxmlformats.org/drawingml/2006/main">
                  <a:graphicData uri="http://schemas.microsoft.com/office/word/2010/wordprocessingShape">
                    <wps:wsp>
                      <wps:cNvCnPr/>
                      <wps:spPr>
                        <a:xfrm flipH="1">
                          <a:off x="5913755" y="2279650"/>
                          <a:ext cx="9525" cy="3609975"/>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flip:x;margin-left:372.35pt;margin-top:6.4pt;height:284.25pt;width:0.75pt;z-index:251706368;mso-width-relative:page;mso-height-relative:page;" filled="f" stroked="t" coordsize="21600,21600" o:gfxdata="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AKnstV1wAAAAoBAAAPAAAAAAAAAAEAIAAAACIAAABkcnMvZG93bnJldi54bWxQSwECFAAU&#10;AAAACACHTuJA6tIv6fIBAAC4AwAADgAAAAAAAAABACAAAAAmAQAAZHJzL2Uyb0RvYy54bWxQSwUG&#10;AAAAAAYABgBZAQAAigUAAAAA&#10;">
                <v:fill on="f" focussize="0,0"/>
                <v:stroke weight="3pt" color="#000000 [3213]" joinstyle="round"/>
                <v:imagedata o:title=""/>
                <o:lock v:ext="edit" aspectratio="f"/>
              </v:line>
            </w:pict>
          </mc:Fallback>
        </mc:AlternateContent>
      </w:r>
    </w:p>
    <w:p w14:paraId="1DE1A296">
      <w:pPr>
        <w:pStyle w:val="2"/>
        <w:rPr>
          <w:rFonts w:hint="eastAsia" w:ascii="Times New Roman" w:hAnsi="Times New Roman" w:eastAsia="宋体" w:cs="Times New Roman"/>
          <w:color w:val="000000" w:themeColor="text1"/>
          <w:highlight w:val="none"/>
          <w:lang w:eastAsia="zh-CN"/>
          <w14:textFill>
            <w14:solidFill>
              <w14:schemeClr w14:val="tx1"/>
            </w14:solidFill>
          </w14:textFill>
        </w:rPr>
      </w:pPr>
    </w:p>
    <w:p w14:paraId="4955EB22">
      <w:pPr>
        <w:rPr>
          <w:rFonts w:hint="eastAsia" w:ascii="Times New Roman" w:hAnsi="Times New Roman" w:eastAsia="宋体" w:cs="Times New Roman"/>
          <w:color w:val="000000" w:themeColor="text1"/>
          <w:highlight w:val="none"/>
          <w:lang w:eastAsia="zh-CN"/>
          <w14:textFill>
            <w14:solidFill>
              <w14:schemeClr w14:val="tx1"/>
            </w14:solidFill>
          </w14:textFill>
        </w:rPr>
      </w:pPr>
      <w:r>
        <w:rPr>
          <w:sz w:val="21"/>
        </w:rPr>
        <mc:AlternateContent>
          <mc:Choice Requires="wps">
            <w:drawing>
              <wp:anchor distT="0" distB="0" distL="114300" distR="114300" simplePos="0" relativeHeight="251704320" behindDoc="0" locked="0" layoutInCell="1" allowOverlap="1">
                <wp:simplePos x="0" y="0"/>
                <wp:positionH relativeFrom="column">
                  <wp:posOffset>414020</wp:posOffset>
                </wp:positionH>
                <wp:positionV relativeFrom="paragraph">
                  <wp:posOffset>107950</wp:posOffset>
                </wp:positionV>
                <wp:extent cx="3780155" cy="1043940"/>
                <wp:effectExtent l="12700" t="12700" r="17145" b="25400"/>
                <wp:wrapNone/>
                <wp:docPr id="105" name="圆角矩形 105"/>
                <wp:cNvGraphicFramePr/>
                <a:graphic xmlns:a="http://schemas.openxmlformats.org/drawingml/2006/main">
                  <a:graphicData uri="http://schemas.microsoft.com/office/word/2010/wordprocessingShape">
                    <wps:wsp>
                      <wps:cNvSpPr/>
                      <wps:spPr>
                        <a:xfrm>
                          <a:off x="1722755" y="2717800"/>
                          <a:ext cx="3780155" cy="1043940"/>
                        </a:xfrm>
                        <a:prstGeom prst="roundRect">
                          <a:avLst/>
                        </a:prstGeom>
                        <a:noFill/>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32.6pt;margin-top:8.5pt;height:82.2pt;width:297.65pt;z-index:251704320;v-text-anchor:middle;mso-width-relative:page;mso-height-relative:page;" filled="f" stroked="t" coordsize="21600,21600" arcsize="0.166666666666667" o:gfxdata="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">
                <v:fill on="f" focussize="0,0"/>
                <v:stroke weight="2pt" color="#F79646 [3209]" joinstyle="round"/>
                <v:imagedata o:title=""/>
                <o:lock v:ext="edit" aspectratio="f"/>
              </v:roundrect>
            </w:pict>
          </mc:Fallback>
        </mc:AlternateContent>
      </w:r>
    </w:p>
    <w:p w14:paraId="75E975D2">
      <w:pPr>
        <w:pStyle w:val="2"/>
        <w:rPr>
          <w:rFonts w:hint="eastAsia" w:ascii="Times New Roman" w:hAnsi="Times New Roman" w:eastAsia="宋体" w:cs="Times New Roman"/>
          <w:color w:val="000000" w:themeColor="text1"/>
          <w:highlight w:val="none"/>
          <w:lang w:eastAsia="zh-CN"/>
          <w14:textFill>
            <w14:solidFill>
              <w14:schemeClr w14:val="tx1"/>
            </w14:solidFill>
          </w14:textFill>
        </w:rPr>
      </w:pPr>
    </w:p>
    <w:p w14:paraId="2A12C4F4">
      <w:pPr>
        <w:rPr>
          <w:rFonts w:hint="eastAsia" w:ascii="Times New Roman" w:hAnsi="Times New Roman" w:eastAsia="宋体" w:cs="Times New Roman"/>
          <w:color w:val="000000" w:themeColor="text1"/>
          <w:highlight w:val="none"/>
          <w:lang w:eastAsia="zh-CN"/>
          <w14:textFill>
            <w14:solidFill>
              <w14:schemeClr w14:val="tx1"/>
            </w14:solidFill>
          </w14:textFill>
        </w:rPr>
      </w:pPr>
      <w:r>
        <w:rPr>
          <w:sz w:val="21"/>
        </w:rPr>
        <mc:AlternateContent>
          <mc:Choice Requires="wps">
            <w:drawing>
              <wp:anchor distT="0" distB="0" distL="114300" distR="114300" simplePos="0" relativeHeight="251711488" behindDoc="0" locked="0" layoutInCell="1" allowOverlap="1">
                <wp:simplePos x="0" y="0"/>
                <wp:positionH relativeFrom="column">
                  <wp:posOffset>1795145</wp:posOffset>
                </wp:positionH>
                <wp:positionV relativeFrom="paragraph">
                  <wp:posOffset>117475</wp:posOffset>
                </wp:positionV>
                <wp:extent cx="1085850" cy="333375"/>
                <wp:effectExtent l="0" t="0" r="11430" b="1905"/>
                <wp:wrapNone/>
                <wp:docPr id="129" name="文本框 129"/>
                <wp:cNvGraphicFramePr/>
                <a:graphic xmlns:a="http://schemas.openxmlformats.org/drawingml/2006/main">
                  <a:graphicData uri="http://schemas.microsoft.com/office/word/2010/wordprocessingShape">
                    <wps:wsp>
                      <wps:cNvSpPr txBox="1"/>
                      <wps:spPr>
                        <a:xfrm>
                          <a:off x="2875280" y="2957830"/>
                          <a:ext cx="1085850" cy="33337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FEEAB83">
                            <w:pPr>
                              <w:rPr>
                                <w:rFonts w:hint="eastAsia" w:eastAsia="宋体"/>
                                <w:sz w:val="28"/>
                                <w:szCs w:val="36"/>
                                <w:lang w:val="en-US" w:eastAsia="zh-CN"/>
                              </w:rPr>
                            </w:pPr>
                            <w:r>
                              <w:rPr>
                                <w:rFonts w:hint="eastAsia"/>
                                <w:sz w:val="28"/>
                                <w:szCs w:val="36"/>
                                <w:lang w:val="en-US" w:eastAsia="zh-CN"/>
                              </w:rPr>
                              <w:t>油罐（卧式）</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35pt;margin-top:9.25pt;height:26.25pt;width:85.5pt;z-index:251711488;mso-width-relative:page;mso-height-relative:page;" filled="f" stroked="f" coordsize="21600,21600" o:gfxdata="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WzYzdkAAAAJAQAADwAAAAAAAAABACAA&#10;AAAiAAAAZHJzL2Rvd25yZXYueG1sUEsBAhQAFAAAAAgAh07iQAuFUrFFAgAAdgQAAA4AAAAAAAAA&#10;AQAgAAAAKAEAAGRycy9lMm9Eb2MueG1sUEsFBgAAAAAGAAYAWQEAAN8FAAAAAA==&#10;">
                <v:fill on="f" focussize="0,0"/>
                <v:stroke on="f" weight="0.5pt"/>
                <v:imagedata o:title=""/>
                <o:lock v:ext="edit" aspectratio="f"/>
                <v:textbox>
                  <w:txbxContent>
                    <w:p w14:paraId="2FEEAB83">
                      <w:pPr>
                        <w:rPr>
                          <w:rFonts w:hint="eastAsia" w:eastAsia="宋体"/>
                          <w:sz w:val="28"/>
                          <w:szCs w:val="36"/>
                          <w:lang w:val="en-US" w:eastAsia="zh-CN"/>
                        </w:rPr>
                      </w:pPr>
                      <w:r>
                        <w:rPr>
                          <w:rFonts w:hint="eastAsia"/>
                          <w:sz w:val="28"/>
                          <w:szCs w:val="36"/>
                          <w:lang w:val="en-US" w:eastAsia="zh-CN"/>
                        </w:rPr>
                        <w:t>油罐（卧式）</w:t>
                      </w:r>
                    </w:p>
                  </w:txbxContent>
                </v:textbox>
              </v:shape>
            </w:pict>
          </mc:Fallback>
        </mc:AlternateContent>
      </w:r>
    </w:p>
    <w:p w14:paraId="753A9ECA">
      <w:pPr>
        <w:pStyle w:val="2"/>
        <w:rPr>
          <w:rFonts w:hint="eastAsia" w:ascii="Times New Roman" w:hAnsi="Times New Roman" w:eastAsia="宋体" w:cs="Times New Roman"/>
          <w:color w:val="000000" w:themeColor="text1"/>
          <w:highlight w:val="none"/>
          <w:lang w:eastAsia="zh-CN"/>
          <w14:textFill>
            <w14:solidFill>
              <w14:schemeClr w14:val="tx1"/>
            </w14:solidFill>
          </w14:textFill>
        </w:rPr>
      </w:pPr>
    </w:p>
    <w:p w14:paraId="323B2326">
      <w:pPr>
        <w:rPr>
          <w:rFonts w:hint="eastAsia" w:ascii="Times New Roman" w:hAnsi="Times New Roman" w:eastAsia="宋体" w:cs="Times New Roman"/>
          <w:color w:val="000000" w:themeColor="text1"/>
          <w:highlight w:val="none"/>
          <w:lang w:eastAsia="zh-CN"/>
          <w14:textFill>
            <w14:solidFill>
              <w14:schemeClr w14:val="tx1"/>
            </w14:solidFill>
          </w14:textFill>
        </w:rPr>
      </w:pPr>
      <w:r>
        <w:rPr>
          <w:sz w:val="21"/>
        </w:rPr>
        <mc:AlternateContent>
          <mc:Choice Requires="wps">
            <w:drawing>
              <wp:anchor distT="0" distB="0" distL="114300" distR="114300" simplePos="0" relativeHeight="251731968" behindDoc="0" locked="0" layoutInCell="1" allowOverlap="1">
                <wp:simplePos x="0" y="0"/>
                <wp:positionH relativeFrom="column">
                  <wp:posOffset>8489950</wp:posOffset>
                </wp:positionH>
                <wp:positionV relativeFrom="paragraph">
                  <wp:posOffset>136525</wp:posOffset>
                </wp:positionV>
                <wp:extent cx="279400" cy="1562100"/>
                <wp:effectExtent l="0" t="0" r="10160" b="7620"/>
                <wp:wrapNone/>
                <wp:docPr id="155" name="矩形 155"/>
                <wp:cNvGraphicFramePr/>
                <a:graphic xmlns:a="http://schemas.openxmlformats.org/drawingml/2006/main">
                  <a:graphicData uri="http://schemas.microsoft.com/office/word/2010/wordprocessingShape">
                    <wps:wsp>
                      <wps:cNvSpPr/>
                      <wps:spPr>
                        <a:xfrm>
                          <a:off x="9570085" y="3255010"/>
                          <a:ext cx="279400" cy="15621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668.5pt;margin-top:10.75pt;height:123pt;width:22pt;z-index:251731968;v-text-anchor:middle;mso-width-relative:page;mso-height-relative:page;" fillcolor="#FFFFFF [3212]" filled="t" stroked="f" coordsize="21600,21600" o:gfxdata="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wbnq8tYAAAAMAQAADwAAAAAAAAABACAAAAAiAAAAZHJzL2Rvd25yZXYueG1sUEsB&#10;AhQAFAAAAAgAh07iQOMUAwppAgAAxAQAAA4AAAAAAAAAAQAgAAAAJQEAAGRycy9lMm9Eb2MueG1s&#10;UEsFBgAAAAAGAAYAWQEAAAAGAAAAAA==&#10;">
                <v:fill on="t" focussize="0,0"/>
                <v:stroke on="f" weight="2pt"/>
                <v:imagedata o:title=""/>
                <o:lock v:ext="edit" aspectratio="f"/>
              </v:rect>
            </w:pict>
          </mc:Fallback>
        </mc:AlternateContent>
      </w:r>
    </w:p>
    <w:p w14:paraId="659E5903">
      <w:pPr>
        <w:pStyle w:val="2"/>
        <w:rPr>
          <w:rFonts w:hint="eastAsia" w:ascii="Times New Roman" w:hAnsi="Times New Roman" w:eastAsia="宋体" w:cs="Times New Roman"/>
          <w:color w:val="000000" w:themeColor="text1"/>
          <w:highlight w:val="none"/>
          <w:lang w:eastAsia="zh-CN"/>
          <w14:textFill>
            <w14:solidFill>
              <w14:schemeClr w14:val="tx1"/>
            </w14:solidFill>
          </w14:textFill>
        </w:rPr>
      </w:pPr>
      <w:r>
        <w:rPr>
          <w:sz w:val="21"/>
        </w:rPr>
        <mc:AlternateContent>
          <mc:Choice Requires="wps">
            <w:drawing>
              <wp:anchor distT="0" distB="0" distL="114300" distR="114300" simplePos="0" relativeHeight="251714560" behindDoc="0" locked="0" layoutInCell="1" allowOverlap="1">
                <wp:simplePos x="0" y="0"/>
                <wp:positionH relativeFrom="column">
                  <wp:posOffset>5063490</wp:posOffset>
                </wp:positionH>
                <wp:positionV relativeFrom="paragraph">
                  <wp:posOffset>59055</wp:posOffset>
                </wp:positionV>
                <wp:extent cx="1085850" cy="1171575"/>
                <wp:effectExtent l="0" t="0" r="0" b="0"/>
                <wp:wrapNone/>
                <wp:docPr id="134" name="文本框 134"/>
                <wp:cNvGraphicFramePr/>
                <a:graphic xmlns:a="http://schemas.openxmlformats.org/drawingml/2006/main">
                  <a:graphicData uri="http://schemas.microsoft.com/office/word/2010/wordprocessingShape">
                    <wps:wsp>
                      <wps:cNvSpPr txBox="1"/>
                      <wps:spPr>
                        <a:xfrm>
                          <a:off x="0" y="0"/>
                          <a:ext cx="1085850" cy="117157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E9F199A">
                            <w:pPr>
                              <w:rPr>
                                <w:rFonts w:hint="eastAsia"/>
                                <w:sz w:val="28"/>
                                <w:szCs w:val="36"/>
                                <w:lang w:val="en-US" w:eastAsia="zh-CN"/>
                              </w:rPr>
                            </w:pPr>
                            <w:r>
                              <w:rPr>
                                <w:rFonts w:hint="eastAsia"/>
                                <w:sz w:val="28"/>
                                <w:szCs w:val="36"/>
                                <w:lang w:val="en-US" w:eastAsia="zh-CN"/>
                              </w:rPr>
                              <w:t>装</w:t>
                            </w:r>
                          </w:p>
                          <w:p w14:paraId="3E2A1F34">
                            <w:pPr>
                              <w:rPr>
                                <w:rFonts w:hint="eastAsia"/>
                                <w:sz w:val="28"/>
                                <w:szCs w:val="36"/>
                                <w:lang w:val="en-US" w:eastAsia="zh-CN"/>
                              </w:rPr>
                            </w:pPr>
                            <w:r>
                              <w:rPr>
                                <w:rFonts w:hint="eastAsia"/>
                                <w:sz w:val="28"/>
                                <w:szCs w:val="36"/>
                                <w:lang w:val="en-US" w:eastAsia="zh-CN"/>
                              </w:rPr>
                              <w:t>卸</w:t>
                            </w:r>
                          </w:p>
                          <w:p w14:paraId="7C3775FD">
                            <w:pPr>
                              <w:rPr>
                                <w:rFonts w:hint="eastAsia" w:eastAsia="宋体"/>
                                <w:sz w:val="28"/>
                                <w:szCs w:val="36"/>
                                <w:lang w:val="en-US" w:eastAsia="zh-CN"/>
                              </w:rPr>
                            </w:pPr>
                            <w:r>
                              <w:rPr>
                                <w:rFonts w:hint="eastAsia"/>
                                <w:sz w:val="28"/>
                                <w:szCs w:val="36"/>
                                <w:lang w:val="en-US" w:eastAsia="zh-CN"/>
                              </w:rPr>
                              <w:t>区</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98.7pt;margin-top:4.65pt;height:92.25pt;width:85.5pt;z-index:251714560;mso-width-relative:page;mso-height-relative:page;" filled="f" stroked="f" coordsize="21600,21600" o:gfxdata="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NY/1ZzaAAAACQEAAA8AAAAAAAAAAQAgAAAAIgAAAGRy&#10;cy9kb3ducmV2LnhtbFBLAQIUABQAAAAIAIdO4kBzEm/+PAIAAGsEAAAOAAAAAAAAAAEAIAAAACkB&#10;AABkcnMvZTJvRG9jLnhtbFBLBQYAAAAABgAGAFkBAADXBQAAAAA=&#10;">
                <v:fill on="f" focussize="0,0"/>
                <v:stroke on="f" weight="0.5pt"/>
                <v:imagedata o:title=""/>
                <o:lock v:ext="edit" aspectratio="f"/>
                <v:textbox>
                  <w:txbxContent>
                    <w:p w14:paraId="0E9F199A">
                      <w:pPr>
                        <w:rPr>
                          <w:rFonts w:hint="eastAsia"/>
                          <w:sz w:val="28"/>
                          <w:szCs w:val="36"/>
                          <w:lang w:val="en-US" w:eastAsia="zh-CN"/>
                        </w:rPr>
                      </w:pPr>
                      <w:r>
                        <w:rPr>
                          <w:rFonts w:hint="eastAsia"/>
                          <w:sz w:val="28"/>
                          <w:szCs w:val="36"/>
                          <w:lang w:val="en-US" w:eastAsia="zh-CN"/>
                        </w:rPr>
                        <w:t>装</w:t>
                      </w:r>
                    </w:p>
                    <w:p w14:paraId="3E2A1F34">
                      <w:pPr>
                        <w:rPr>
                          <w:rFonts w:hint="eastAsia"/>
                          <w:sz w:val="28"/>
                          <w:szCs w:val="36"/>
                          <w:lang w:val="en-US" w:eastAsia="zh-CN"/>
                        </w:rPr>
                      </w:pPr>
                      <w:r>
                        <w:rPr>
                          <w:rFonts w:hint="eastAsia"/>
                          <w:sz w:val="28"/>
                          <w:szCs w:val="36"/>
                          <w:lang w:val="en-US" w:eastAsia="zh-CN"/>
                        </w:rPr>
                        <w:t>卸</w:t>
                      </w:r>
                    </w:p>
                    <w:p w14:paraId="7C3775FD">
                      <w:pPr>
                        <w:rPr>
                          <w:rFonts w:hint="eastAsia" w:eastAsia="宋体"/>
                          <w:sz w:val="28"/>
                          <w:szCs w:val="36"/>
                          <w:lang w:val="en-US" w:eastAsia="zh-CN"/>
                        </w:rPr>
                      </w:pPr>
                      <w:r>
                        <w:rPr>
                          <w:rFonts w:hint="eastAsia"/>
                          <w:sz w:val="28"/>
                          <w:szCs w:val="36"/>
                          <w:lang w:val="en-US" w:eastAsia="zh-CN"/>
                        </w:rPr>
                        <w:t>区</w:t>
                      </w:r>
                    </w:p>
                  </w:txbxContent>
                </v:textbox>
              </v:shape>
            </w:pict>
          </mc:Fallback>
        </mc:AlternateContent>
      </w:r>
    </w:p>
    <w:p w14:paraId="69077AB5">
      <w:pPr>
        <w:rPr>
          <w:rFonts w:hint="eastAsia" w:ascii="Times New Roman" w:hAnsi="Times New Roman" w:eastAsia="宋体" w:cs="Times New Roman"/>
          <w:color w:val="000000" w:themeColor="text1"/>
          <w:highlight w:val="none"/>
          <w:lang w:eastAsia="zh-CN"/>
          <w14:textFill>
            <w14:solidFill>
              <w14:schemeClr w14:val="tx1"/>
            </w14:solidFill>
          </w14:textFill>
        </w:rPr>
      </w:pPr>
      <w:r>
        <w:rPr>
          <w:sz w:val="21"/>
        </w:rPr>
        <mc:AlternateContent>
          <mc:Choice Requires="wps">
            <w:drawing>
              <wp:anchor distT="0" distB="0" distL="114300" distR="114300" simplePos="0" relativeHeight="251732992" behindDoc="0" locked="0" layoutInCell="1" allowOverlap="1">
                <wp:simplePos x="0" y="0"/>
                <wp:positionH relativeFrom="column">
                  <wp:posOffset>8451850</wp:posOffset>
                </wp:positionH>
                <wp:positionV relativeFrom="paragraph">
                  <wp:posOffset>109220</wp:posOffset>
                </wp:positionV>
                <wp:extent cx="406400" cy="977900"/>
                <wp:effectExtent l="0" t="0" r="5080" b="12700"/>
                <wp:wrapNone/>
                <wp:docPr id="156" name="文本框 156"/>
                <wp:cNvGraphicFramePr/>
                <a:graphic xmlns:a="http://schemas.openxmlformats.org/drawingml/2006/main">
                  <a:graphicData uri="http://schemas.microsoft.com/office/word/2010/wordprocessingShape">
                    <wps:wsp>
                      <wps:cNvSpPr txBox="1"/>
                      <wps:spPr>
                        <a:xfrm>
                          <a:off x="9684385" y="3648710"/>
                          <a:ext cx="406400" cy="97790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097F7ADF">
                            <w:pPr>
                              <w:rPr>
                                <w:rFonts w:hint="eastAsia"/>
                                <w:sz w:val="28"/>
                                <w:szCs w:val="36"/>
                                <w:lang w:val="en-US" w:eastAsia="zh-CN"/>
                              </w:rPr>
                            </w:pPr>
                            <w:r>
                              <w:rPr>
                                <w:rFonts w:hint="eastAsia"/>
                                <w:sz w:val="28"/>
                                <w:szCs w:val="36"/>
                                <w:lang w:val="en-US" w:eastAsia="zh-CN"/>
                              </w:rPr>
                              <w:t>入</w:t>
                            </w:r>
                          </w:p>
                          <w:p w14:paraId="4E398762">
                            <w:pPr>
                              <w:rPr>
                                <w:rFonts w:hint="eastAsia"/>
                                <w:sz w:val="28"/>
                                <w:szCs w:val="36"/>
                                <w:lang w:val="en-US" w:eastAsia="zh-CN"/>
                              </w:rPr>
                            </w:pPr>
                          </w:p>
                          <w:p w14:paraId="6D345B22">
                            <w:pPr>
                              <w:rPr>
                                <w:rFonts w:hint="eastAsia" w:eastAsia="宋体"/>
                                <w:sz w:val="28"/>
                                <w:szCs w:val="36"/>
                                <w:lang w:val="en-US" w:eastAsia="zh-CN"/>
                              </w:rPr>
                            </w:pPr>
                            <w:r>
                              <w:rPr>
                                <w:rFonts w:hint="eastAsia"/>
                                <w:sz w:val="28"/>
                                <w:szCs w:val="36"/>
                                <w:lang w:val="en-US" w:eastAsia="zh-CN"/>
                              </w:rPr>
                              <w:t>口</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65.5pt;margin-top:8.6pt;height:77pt;width:32pt;z-index:251732992;mso-width-relative:page;mso-height-relative:page;" fillcolor="#FFFFFF [3201]" filled="t" stroked="f" coordsize="21600,21600" o:gfxdata="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CdmILr0wAA&#10;AAwBAAAPAAAAAAAAAAEAIAAAACIAAABkcnMvZG93bnJldi54bWxQSwECFAAUAAAACACHTuJASWYd&#10;yFwCAACeBAAADgAAAAAAAAABACAAAAAiAQAAZHJzL2Uyb0RvYy54bWxQSwUGAAAAAAYABgBZAQAA&#10;8AUAAAAA&#10;">
                <v:fill on="t" focussize="0,0"/>
                <v:stroke on="f" weight="0.5pt"/>
                <v:imagedata o:title=""/>
                <o:lock v:ext="edit" aspectratio="f"/>
                <v:textbox>
                  <w:txbxContent>
                    <w:p w14:paraId="097F7ADF">
                      <w:pPr>
                        <w:rPr>
                          <w:rFonts w:hint="eastAsia"/>
                          <w:sz w:val="28"/>
                          <w:szCs w:val="36"/>
                          <w:lang w:val="en-US" w:eastAsia="zh-CN"/>
                        </w:rPr>
                      </w:pPr>
                      <w:r>
                        <w:rPr>
                          <w:rFonts w:hint="eastAsia"/>
                          <w:sz w:val="28"/>
                          <w:szCs w:val="36"/>
                          <w:lang w:val="en-US" w:eastAsia="zh-CN"/>
                        </w:rPr>
                        <w:t>入</w:t>
                      </w:r>
                    </w:p>
                    <w:p w14:paraId="4E398762">
                      <w:pPr>
                        <w:rPr>
                          <w:rFonts w:hint="eastAsia"/>
                          <w:sz w:val="28"/>
                          <w:szCs w:val="36"/>
                          <w:lang w:val="en-US" w:eastAsia="zh-CN"/>
                        </w:rPr>
                      </w:pPr>
                    </w:p>
                    <w:p w14:paraId="6D345B22">
                      <w:pPr>
                        <w:rPr>
                          <w:rFonts w:hint="eastAsia" w:eastAsia="宋体"/>
                          <w:sz w:val="28"/>
                          <w:szCs w:val="36"/>
                          <w:lang w:val="en-US" w:eastAsia="zh-CN"/>
                        </w:rPr>
                      </w:pPr>
                      <w:r>
                        <w:rPr>
                          <w:rFonts w:hint="eastAsia"/>
                          <w:sz w:val="28"/>
                          <w:szCs w:val="36"/>
                          <w:lang w:val="en-US" w:eastAsia="zh-CN"/>
                        </w:rPr>
                        <w:t>口</w:t>
                      </w:r>
                    </w:p>
                  </w:txbxContent>
                </v:textbox>
              </v:shape>
            </w:pict>
          </mc:Fallback>
        </mc:AlternateContent>
      </w:r>
      <w:r>
        <w:rPr>
          <w:sz w:val="21"/>
        </w:rPr>
        <mc:AlternateContent>
          <mc:Choice Requires="wps">
            <w:drawing>
              <wp:anchor distT="0" distB="0" distL="114300" distR="114300" simplePos="0" relativeHeight="251721728" behindDoc="0" locked="0" layoutInCell="1" allowOverlap="1">
                <wp:simplePos x="0" y="0"/>
                <wp:positionH relativeFrom="column">
                  <wp:posOffset>2064385</wp:posOffset>
                </wp:positionH>
                <wp:positionV relativeFrom="paragraph">
                  <wp:posOffset>432435</wp:posOffset>
                </wp:positionV>
                <wp:extent cx="393065" cy="3175"/>
                <wp:effectExtent l="34925" t="0" r="38100" b="3175"/>
                <wp:wrapNone/>
                <wp:docPr id="144" name="肘形连接符 144"/>
                <wp:cNvGraphicFramePr/>
                <a:graphic xmlns:a="http://schemas.openxmlformats.org/drawingml/2006/main">
                  <a:graphicData uri="http://schemas.microsoft.com/office/word/2010/wordprocessingShape">
                    <wps:wsp>
                      <wps:cNvCnPr/>
                      <wps:spPr>
                        <a:xfrm rot="16200000" flipV="1">
                          <a:off x="3696970" y="4180205"/>
                          <a:ext cx="393065" cy="3175"/>
                        </a:xfrm>
                        <a:prstGeom prst="bentConnector3">
                          <a:avLst>
                            <a:gd name="adj1" fmla="val 49919"/>
                          </a:avLst>
                        </a:prstGeom>
                        <a:ln>
                          <a:solidFill>
                            <a:srgbClr val="00B050"/>
                          </a:solidFill>
                          <a:headEnd type="triangle" w="med" len="med"/>
                          <a:tailEnd type="none" w="med" len="me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4" type="#_x0000_t34" style="position:absolute;left:0pt;flip:y;margin-left:162.55pt;margin-top:34.05pt;height:0.25pt;width:30.95pt;rotation:5898240f;z-index:251721728;mso-width-relative:page;mso-height-relative:page;" filled="f" stroked="t" coordsize="21600,21600" o:gfxdata="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" adj="10783">
                <v:fill on="f" focussize="0,0"/>
                <v:stroke color="#00B050 [3204]" joinstyle="round" startarrow="block"/>
                <v:imagedata o:title=""/>
                <o:lock v:ext="edit" aspectratio="f"/>
              </v:shape>
            </w:pict>
          </mc:Fallback>
        </mc:AlternateContent>
      </w:r>
    </w:p>
    <w:p w14:paraId="6F3BE1AC">
      <w:pPr>
        <w:pStyle w:val="2"/>
        <w:rPr>
          <w:rFonts w:hint="eastAsia" w:ascii="Times New Roman" w:hAnsi="Times New Roman" w:eastAsia="宋体" w:cs="Times New Roman"/>
          <w:color w:val="000000" w:themeColor="text1"/>
          <w:highlight w:val="none"/>
          <w:lang w:eastAsia="zh-CN"/>
          <w14:textFill>
            <w14:solidFill>
              <w14:schemeClr w14:val="tx1"/>
            </w14:solidFill>
          </w14:textFill>
        </w:rPr>
      </w:pPr>
    </w:p>
    <w:p w14:paraId="1928A33D">
      <w:pPr>
        <w:rPr>
          <w:rFonts w:hint="eastAsia" w:ascii="Times New Roman" w:hAnsi="Times New Roman" w:eastAsia="宋体" w:cs="Times New Roman"/>
          <w:color w:val="000000" w:themeColor="text1"/>
          <w:highlight w:val="none"/>
          <w:lang w:eastAsia="zh-CN"/>
          <w14:textFill>
            <w14:solidFill>
              <w14:schemeClr w14:val="tx1"/>
            </w14:solidFill>
          </w14:textFill>
        </w:rPr>
      </w:pPr>
      <w:r>
        <w:rPr>
          <w:sz w:val="21"/>
        </w:rPr>
        <mc:AlternateContent>
          <mc:Choice Requires="wps">
            <w:drawing>
              <wp:anchor distT="0" distB="0" distL="114300" distR="114300" simplePos="0" relativeHeight="251707392" behindDoc="0" locked="0" layoutInCell="1" allowOverlap="1">
                <wp:simplePos x="0" y="0"/>
                <wp:positionH relativeFrom="column">
                  <wp:posOffset>3385820</wp:posOffset>
                </wp:positionH>
                <wp:positionV relativeFrom="paragraph">
                  <wp:posOffset>138430</wp:posOffset>
                </wp:positionV>
                <wp:extent cx="360045" cy="360045"/>
                <wp:effectExtent l="12700" t="12700" r="23495" b="23495"/>
                <wp:wrapNone/>
                <wp:docPr id="108" name="矩形 108"/>
                <wp:cNvGraphicFramePr/>
                <a:graphic xmlns:a="http://schemas.openxmlformats.org/drawingml/2006/main">
                  <a:graphicData uri="http://schemas.microsoft.com/office/word/2010/wordprocessingShape">
                    <wps:wsp>
                      <wps:cNvSpPr/>
                      <wps:spPr>
                        <a:xfrm>
                          <a:off x="4465955" y="3870325"/>
                          <a:ext cx="360045" cy="360045"/>
                        </a:xfrm>
                        <a:prstGeom prst="rect">
                          <a:avLst/>
                        </a:prstGeom>
                        <a:solidFill>
                          <a:srgbClr val="000000">
                            <a:alpha val="0"/>
                          </a:srgb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66.6pt;margin-top:10.9pt;height:28.35pt;width:28.35pt;z-index:251707392;v-text-anchor:middle;mso-width-relative:page;mso-height-relative:page;" fillcolor="#000000" filled="t" stroked="t" coordsize="21600,21600" o:gfxdata="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">
                <v:fill on="t" opacity="0f" focussize="0,0"/>
                <v:stroke weight="2pt" color="#385D8A [3204]" joinstyle="round"/>
                <v:imagedata o:title=""/>
                <o:lock v:ext="edit" aspectratio="f"/>
              </v:rect>
            </w:pict>
          </mc:Fallback>
        </mc:AlternateContent>
      </w:r>
    </w:p>
    <w:p w14:paraId="7F69AEC6">
      <w:pPr>
        <w:pStyle w:val="2"/>
        <w:rPr>
          <w:rFonts w:hint="eastAsia" w:ascii="Times New Roman" w:hAnsi="Times New Roman" w:eastAsia="宋体" w:cs="Times New Roman"/>
          <w:color w:val="000000" w:themeColor="text1"/>
          <w:highlight w:val="none"/>
          <w:lang w:eastAsia="zh-CN"/>
          <w14:textFill>
            <w14:solidFill>
              <w14:schemeClr w14:val="tx1"/>
            </w14:solidFill>
          </w14:textFill>
        </w:rPr>
      </w:pPr>
      <w:r>
        <w:rPr>
          <w:sz w:val="21"/>
        </w:rPr>
        <mc:AlternateContent>
          <mc:Choice Requires="wps">
            <w:drawing>
              <wp:anchor distT="0" distB="0" distL="114300" distR="114300" simplePos="0" relativeHeight="251708416" behindDoc="0" locked="0" layoutInCell="1" allowOverlap="1">
                <wp:simplePos x="0" y="0"/>
                <wp:positionH relativeFrom="column">
                  <wp:posOffset>4300220</wp:posOffset>
                </wp:positionH>
                <wp:positionV relativeFrom="paragraph">
                  <wp:posOffset>70485</wp:posOffset>
                </wp:positionV>
                <wp:extent cx="257175" cy="247650"/>
                <wp:effectExtent l="12700" t="12700" r="19685" b="13970"/>
                <wp:wrapNone/>
                <wp:docPr id="111" name="流程图: 汇总连接 111"/>
                <wp:cNvGraphicFramePr/>
                <a:graphic xmlns:a="http://schemas.openxmlformats.org/drawingml/2006/main">
                  <a:graphicData uri="http://schemas.microsoft.com/office/word/2010/wordprocessingShape">
                    <wps:wsp>
                      <wps:cNvSpPr/>
                      <wps:spPr>
                        <a:xfrm>
                          <a:off x="0" y="0"/>
                          <a:ext cx="257175" cy="247650"/>
                        </a:xfrm>
                        <a:prstGeom prst="flowChartSummingJunction">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23" type="#_x0000_t123" style="position:absolute;left:0pt;margin-left:338.6pt;margin-top:5.55pt;height:19.5pt;width:20.25pt;z-index:251708416;v-text-anchor:middle;mso-width-relative:page;mso-height-relative:page;" fillcolor="#4F81BD [3204]" filled="t" stroked="t" coordsize="21600,21600" o:gfxdata="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">
                <v:fill on="t" focussize="0,0"/>
                <v:stroke weight="2pt" color="#385D8A [3204]" joinstyle="round"/>
                <v:imagedata o:title=""/>
                <o:lock v:ext="edit" aspectratio="f"/>
              </v:shape>
            </w:pict>
          </mc:Fallback>
        </mc:AlternateContent>
      </w:r>
    </w:p>
    <w:p w14:paraId="7A4896CF">
      <w:pPr>
        <w:rPr>
          <w:rFonts w:hint="eastAsia" w:ascii="Times New Roman" w:hAnsi="Times New Roman" w:eastAsia="宋体" w:cs="Times New Roman"/>
          <w:color w:val="000000" w:themeColor="text1"/>
          <w:highlight w:val="none"/>
          <w:lang w:eastAsia="zh-CN"/>
          <w14:textFill>
            <w14:solidFill>
              <w14:schemeClr w14:val="tx1"/>
            </w14:solidFill>
          </w14:textFill>
        </w:rPr>
      </w:pPr>
      <w:r>
        <w:rPr>
          <w:sz w:val="21"/>
        </w:rPr>
        <mc:AlternateContent>
          <mc:Choice Requires="wps">
            <w:drawing>
              <wp:anchor distT="0" distB="0" distL="114300" distR="114300" simplePos="0" relativeHeight="251722752" behindDoc="0" locked="0" layoutInCell="1" allowOverlap="1">
                <wp:simplePos x="0" y="0"/>
                <wp:positionH relativeFrom="column">
                  <wp:posOffset>2261870</wp:posOffset>
                </wp:positionH>
                <wp:positionV relativeFrom="paragraph">
                  <wp:posOffset>12065</wp:posOffset>
                </wp:positionV>
                <wp:extent cx="1133475" cy="635"/>
                <wp:effectExtent l="0" t="38100" r="9525" b="37465"/>
                <wp:wrapNone/>
                <wp:docPr id="145" name="直接箭头连接符 145"/>
                <wp:cNvGraphicFramePr/>
                <a:graphic xmlns:a="http://schemas.openxmlformats.org/drawingml/2006/main">
                  <a:graphicData uri="http://schemas.microsoft.com/office/word/2010/wordprocessingShape">
                    <wps:wsp>
                      <wps:cNvCnPr/>
                      <wps:spPr>
                        <a:xfrm flipV="1">
                          <a:off x="3332480" y="4511040"/>
                          <a:ext cx="1133475" cy="635"/>
                        </a:xfrm>
                        <a:prstGeom prst="straightConnector1">
                          <a:avLst/>
                        </a:prstGeom>
                        <a:ln>
                          <a:solidFill>
                            <a:srgbClr val="00B050"/>
                          </a:solidFill>
                          <a:headEnd type="none"/>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y;margin-left:178.1pt;margin-top:0.95pt;height:0.05pt;width:89.25pt;z-index:251722752;mso-width-relative:page;mso-height-relative:page;" filled="f" stroked="t" coordsize="21600,21600" o:gfxdata="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oRBu0dgAAAAHAQAADwAAAAAAAAABACAAAAAiAAAAZHJzL2Rvd25yZXYueG1sUEsBAhQAFAAA&#10;AAgAh07iQINuiwkoAgAAEAQAAA4AAAAAAAAAAQAgAAAAJwEAAGRycy9lMm9Eb2MueG1sUEsFBgAA&#10;AAAGAAYAWQEAAMEFAAAAAA==&#10;">
                <v:fill on="f" focussize="0,0"/>
                <v:stroke color="#00B050 [3204]" joinstyle="round" endarrow="block"/>
                <v:imagedata o:title=""/>
                <o:lock v:ext="edit" aspectratio="f"/>
              </v:shape>
            </w:pict>
          </mc:Fallback>
        </mc:AlternateContent>
      </w:r>
      <w:r>
        <w:rPr>
          <w:sz w:val="21"/>
        </w:rPr>
        <mc:AlternateContent>
          <mc:Choice Requires="wps">
            <w:drawing>
              <wp:anchor distT="0" distB="0" distL="114300" distR="114300" simplePos="0" relativeHeight="251724800" behindDoc="0" locked="0" layoutInCell="1" allowOverlap="1">
                <wp:simplePos x="0" y="0"/>
                <wp:positionH relativeFrom="column">
                  <wp:posOffset>2261870</wp:posOffset>
                </wp:positionH>
                <wp:positionV relativeFrom="paragraph">
                  <wp:posOffset>15875</wp:posOffset>
                </wp:positionV>
                <wp:extent cx="0" cy="400050"/>
                <wp:effectExtent l="38100" t="0" r="38100" b="11430"/>
                <wp:wrapNone/>
                <wp:docPr id="147" name="直接箭头连接符 147"/>
                <wp:cNvGraphicFramePr/>
                <a:graphic xmlns:a="http://schemas.openxmlformats.org/drawingml/2006/main">
                  <a:graphicData uri="http://schemas.microsoft.com/office/word/2010/wordprocessingShape">
                    <wps:wsp>
                      <wps:cNvCnPr/>
                      <wps:spPr>
                        <a:xfrm flipV="1">
                          <a:off x="2532380" y="4044950"/>
                          <a:ext cx="0" cy="400050"/>
                        </a:xfrm>
                        <a:prstGeom prst="straightConnector1">
                          <a:avLst/>
                        </a:prstGeom>
                        <a:ln>
                          <a:solidFill>
                            <a:srgbClr val="00B050"/>
                          </a:solidFill>
                          <a:headEnd type="none"/>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y;margin-left:178.1pt;margin-top:1.25pt;height:31.5pt;width:0pt;z-index:251724800;mso-width-relative:page;mso-height-relative:page;" filled="f" stroked="t" coordsize="21600,21600" o:gfxdata="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C8kLK41gAA&#10;AAgBAAAPAAAAAAAAAAEAIAAAACIAAABkcnMvZG93bnJldi54bWxQSwECFAAUAAAACACHTuJARkGF&#10;NyACAAANBAAADgAAAAAAAAABACAAAAAlAQAAZHJzL2Uyb0RvYy54bWxQSwUGAAAAAAYABgBZAQAA&#10;twUAAAAA&#10;">
                <v:fill on="f" focussize="0,0"/>
                <v:stroke color="#00B050 [3204]" joinstyle="round" endarrow="block"/>
                <v:imagedata o:title=""/>
                <o:lock v:ext="edit" aspectratio="f"/>
              </v:shape>
            </w:pict>
          </mc:Fallback>
        </mc:AlternateContent>
      </w:r>
    </w:p>
    <w:p w14:paraId="048AC5EE">
      <w:pPr>
        <w:pStyle w:val="2"/>
        <w:rPr>
          <w:rFonts w:hint="eastAsia" w:ascii="Times New Roman" w:hAnsi="Times New Roman" w:eastAsia="宋体" w:cs="Times New Roman"/>
          <w:color w:val="000000" w:themeColor="text1"/>
          <w:highlight w:val="none"/>
          <w:lang w:eastAsia="zh-CN"/>
          <w14:textFill>
            <w14:solidFill>
              <w14:schemeClr w14:val="tx1"/>
            </w14:solidFill>
          </w14:textFill>
        </w:rPr>
      </w:pPr>
      <w:r>
        <w:rPr>
          <w:sz w:val="21"/>
        </w:rPr>
        <mc:AlternateContent>
          <mc:Choice Requires="wps">
            <w:drawing>
              <wp:anchor distT="0" distB="0" distL="114300" distR="114300" simplePos="0" relativeHeight="251718656" behindDoc="0" locked="0" layoutInCell="1" allowOverlap="1">
                <wp:simplePos x="0" y="0"/>
                <wp:positionH relativeFrom="column">
                  <wp:posOffset>4081145</wp:posOffset>
                </wp:positionH>
                <wp:positionV relativeFrom="paragraph">
                  <wp:posOffset>60960</wp:posOffset>
                </wp:positionV>
                <wp:extent cx="1085850" cy="333375"/>
                <wp:effectExtent l="0" t="0" r="0" b="0"/>
                <wp:wrapNone/>
                <wp:docPr id="139" name="文本框 139"/>
                <wp:cNvGraphicFramePr/>
                <a:graphic xmlns:a="http://schemas.openxmlformats.org/drawingml/2006/main">
                  <a:graphicData uri="http://schemas.microsoft.com/office/word/2010/wordprocessingShape">
                    <wps:wsp>
                      <wps:cNvSpPr txBox="1"/>
                      <wps:spPr>
                        <a:xfrm>
                          <a:off x="0" y="0"/>
                          <a:ext cx="1085850" cy="33337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6832EAE">
                            <w:pPr>
                              <w:rPr>
                                <w:rFonts w:hint="default" w:eastAsia="宋体"/>
                                <w:sz w:val="28"/>
                                <w:szCs w:val="36"/>
                                <w:lang w:val="en-US" w:eastAsia="zh-CN"/>
                              </w:rPr>
                            </w:pPr>
                            <w:r>
                              <w:rPr>
                                <w:rFonts w:hint="eastAsia"/>
                                <w:sz w:val="28"/>
                                <w:szCs w:val="36"/>
                                <w:lang w:val="en-US" w:eastAsia="zh-CN"/>
                              </w:rPr>
                              <w:t>卸油泵</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1.35pt;margin-top:4.8pt;height:26.25pt;width:85.5pt;z-index:251718656;mso-width-relative:page;mso-height-relative:page;" filled="f" stroked="f" coordsize="21600,21600" o:gfxdata="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AZEPG72AAAAAgBAAAPAAAAAAAAAAEAIAAAACIAAABkcnMv&#10;ZG93bnJldi54bWxQSwECFAAUAAAACACHTuJA8VYW1zwCAABqBAAADgAAAAAAAAABACAAAAAnAQAA&#10;ZHJzL2Uyb0RvYy54bWxQSwUGAAAAAAYABgBZAQAA1QUAAAAA&#10;">
                <v:fill on="f" focussize="0,0"/>
                <v:stroke on="f" weight="0.5pt"/>
                <v:imagedata o:title=""/>
                <o:lock v:ext="edit" aspectratio="f"/>
                <v:textbox>
                  <w:txbxContent>
                    <w:p w14:paraId="76832EAE">
                      <w:pPr>
                        <w:rPr>
                          <w:rFonts w:hint="default" w:eastAsia="宋体"/>
                          <w:sz w:val="28"/>
                          <w:szCs w:val="36"/>
                          <w:lang w:val="en-US" w:eastAsia="zh-CN"/>
                        </w:rPr>
                      </w:pPr>
                      <w:r>
                        <w:rPr>
                          <w:rFonts w:hint="eastAsia"/>
                          <w:sz w:val="28"/>
                          <w:szCs w:val="36"/>
                          <w:lang w:val="en-US" w:eastAsia="zh-CN"/>
                        </w:rPr>
                        <w:t>卸油泵</w:t>
                      </w:r>
                    </w:p>
                  </w:txbxContent>
                </v:textbox>
              </v:shape>
            </w:pict>
          </mc:Fallback>
        </mc:AlternateContent>
      </w:r>
    </w:p>
    <w:p w14:paraId="3B3B2BFD">
      <w:pPr>
        <w:rPr>
          <w:rFonts w:hint="eastAsia" w:ascii="Times New Roman" w:hAnsi="Times New Roman" w:eastAsia="宋体" w:cs="Times New Roman"/>
          <w:color w:val="000000" w:themeColor="text1"/>
          <w:highlight w:val="none"/>
          <w:lang w:eastAsia="zh-CN"/>
          <w14:textFill>
            <w14:solidFill>
              <w14:schemeClr w14:val="tx1"/>
            </w14:solidFill>
          </w14:textFill>
        </w:rPr>
      </w:pPr>
      <w:r>
        <w:rPr>
          <w:sz w:val="21"/>
        </w:rPr>
        <mc:AlternateContent>
          <mc:Choice Requires="wps">
            <w:drawing>
              <wp:anchor distT="0" distB="0" distL="114300" distR="114300" simplePos="0" relativeHeight="251705344" behindDoc="0" locked="0" layoutInCell="1" allowOverlap="1">
                <wp:simplePos x="0" y="0"/>
                <wp:positionH relativeFrom="column">
                  <wp:posOffset>385445</wp:posOffset>
                </wp:positionH>
                <wp:positionV relativeFrom="paragraph">
                  <wp:posOffset>125095</wp:posOffset>
                </wp:positionV>
                <wp:extent cx="3780155" cy="1043940"/>
                <wp:effectExtent l="12700" t="12700" r="17145" b="25400"/>
                <wp:wrapNone/>
                <wp:docPr id="106" name="圆角矩形 106"/>
                <wp:cNvGraphicFramePr/>
                <a:graphic xmlns:a="http://schemas.openxmlformats.org/drawingml/2006/main">
                  <a:graphicData uri="http://schemas.microsoft.com/office/word/2010/wordprocessingShape">
                    <wps:wsp>
                      <wps:cNvSpPr/>
                      <wps:spPr>
                        <a:xfrm>
                          <a:off x="0" y="0"/>
                          <a:ext cx="3780155" cy="1043940"/>
                        </a:xfrm>
                        <a:prstGeom prst="roundRect">
                          <a:avLst/>
                        </a:prstGeom>
                        <a:noFill/>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30.35pt;margin-top:9.85pt;height:82.2pt;width:297.65pt;z-index:251705344;v-text-anchor:middle;mso-width-relative:page;mso-height-relative:page;" filled="f" stroked="t" coordsize="21600,21600" arcsize="0.166666666666667" o:gfxdata="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">
                <v:fill on="f" focussize="0,0"/>
                <v:stroke weight="2pt" color="#F79646 [3209]" joinstyle="round"/>
                <v:imagedata o:title=""/>
                <o:lock v:ext="edit" aspectratio="f"/>
              </v:roundrect>
            </w:pict>
          </mc:Fallback>
        </mc:AlternateContent>
      </w:r>
    </w:p>
    <w:p w14:paraId="36F7C882">
      <w:pPr>
        <w:pStyle w:val="2"/>
        <w:rPr>
          <w:rFonts w:hint="eastAsia" w:ascii="Times New Roman" w:hAnsi="Times New Roman" w:eastAsia="宋体" w:cs="Times New Roman"/>
          <w:color w:val="000000" w:themeColor="text1"/>
          <w:highlight w:val="none"/>
          <w:lang w:eastAsia="zh-CN"/>
          <w14:textFill>
            <w14:solidFill>
              <w14:schemeClr w14:val="tx1"/>
            </w14:solidFill>
          </w14:textFill>
        </w:rPr>
      </w:pPr>
    </w:p>
    <w:p w14:paraId="5F8C3142">
      <w:pPr>
        <w:rPr>
          <w:rFonts w:hint="eastAsia" w:ascii="Times New Roman" w:hAnsi="Times New Roman" w:eastAsia="宋体" w:cs="Times New Roman"/>
          <w:color w:val="000000" w:themeColor="text1"/>
          <w:highlight w:val="none"/>
          <w:lang w:eastAsia="zh-CN"/>
          <w14:textFill>
            <w14:solidFill>
              <w14:schemeClr w14:val="tx1"/>
            </w14:solidFill>
          </w14:textFill>
        </w:rPr>
      </w:pPr>
    </w:p>
    <w:p w14:paraId="28FE4AE3">
      <w:pPr>
        <w:pStyle w:val="2"/>
        <w:rPr>
          <w:rFonts w:hint="eastAsia" w:ascii="Times New Roman" w:hAnsi="Times New Roman" w:eastAsia="宋体" w:cs="Times New Roman"/>
          <w:color w:val="000000" w:themeColor="text1"/>
          <w:highlight w:val="none"/>
          <w:lang w:eastAsia="zh-CN"/>
          <w14:textFill>
            <w14:solidFill>
              <w14:schemeClr w14:val="tx1"/>
            </w14:solidFill>
          </w14:textFill>
        </w:rPr>
      </w:pPr>
      <w:r>
        <w:rPr>
          <w:sz w:val="21"/>
        </w:rPr>
        <mc:AlternateContent>
          <mc:Choice Requires="wps">
            <w:drawing>
              <wp:anchor distT="0" distB="0" distL="114300" distR="114300" simplePos="0" relativeHeight="251712512" behindDoc="0" locked="0" layoutInCell="1" allowOverlap="1">
                <wp:simplePos x="0" y="0"/>
                <wp:positionH relativeFrom="column">
                  <wp:posOffset>1671320</wp:posOffset>
                </wp:positionH>
                <wp:positionV relativeFrom="paragraph">
                  <wp:posOffset>635</wp:posOffset>
                </wp:positionV>
                <wp:extent cx="1085850" cy="333375"/>
                <wp:effectExtent l="0" t="0" r="11430" b="1905"/>
                <wp:wrapNone/>
                <wp:docPr id="130" name="文本框 130"/>
                <wp:cNvGraphicFramePr/>
                <a:graphic xmlns:a="http://schemas.openxmlformats.org/drawingml/2006/main">
                  <a:graphicData uri="http://schemas.microsoft.com/office/word/2010/wordprocessingShape">
                    <wps:wsp>
                      <wps:cNvSpPr txBox="1"/>
                      <wps:spPr>
                        <a:xfrm>
                          <a:off x="0" y="0"/>
                          <a:ext cx="1085850" cy="33337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F511926">
                            <w:pPr>
                              <w:rPr>
                                <w:rFonts w:hint="eastAsia" w:eastAsia="宋体"/>
                                <w:sz w:val="28"/>
                                <w:szCs w:val="36"/>
                                <w:lang w:val="en-US" w:eastAsia="zh-CN"/>
                              </w:rPr>
                            </w:pPr>
                            <w:r>
                              <w:rPr>
                                <w:rFonts w:hint="eastAsia"/>
                                <w:sz w:val="28"/>
                                <w:szCs w:val="36"/>
                                <w:lang w:val="en-US" w:eastAsia="zh-CN"/>
                              </w:rPr>
                              <w:t>油罐（卧式）</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31.6pt;margin-top:0.05pt;height:26.25pt;width:85.5pt;z-index:251712512;mso-width-relative:page;mso-height-relative:page;" filled="f" stroked="f" coordsize="21600,21600" o:gfxdata="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Bd1N9Q1wAAAAcBAAAPAAAAAAAAAAEAIAAAACIAAABkcnMvZG93&#10;bnJldi54bWxQSwECFAAUAAAACACHTuJAdZjwBjoCAABqBAAADgAAAAAAAAABACAAAAAmAQAAZHJz&#10;L2Uyb0RvYy54bWxQSwUGAAAAAAYABgBZAQAA0gUAAAAA&#10;">
                <v:fill on="f" focussize="0,0"/>
                <v:stroke on="f" weight="0.5pt"/>
                <v:imagedata o:title=""/>
                <o:lock v:ext="edit" aspectratio="f"/>
                <v:textbox>
                  <w:txbxContent>
                    <w:p w14:paraId="6F511926">
                      <w:pPr>
                        <w:rPr>
                          <w:rFonts w:hint="eastAsia" w:eastAsia="宋体"/>
                          <w:sz w:val="28"/>
                          <w:szCs w:val="36"/>
                          <w:lang w:val="en-US" w:eastAsia="zh-CN"/>
                        </w:rPr>
                      </w:pPr>
                      <w:r>
                        <w:rPr>
                          <w:rFonts w:hint="eastAsia"/>
                          <w:sz w:val="28"/>
                          <w:szCs w:val="36"/>
                          <w:lang w:val="en-US" w:eastAsia="zh-CN"/>
                        </w:rPr>
                        <w:t>油罐（卧式）</w:t>
                      </w:r>
                    </w:p>
                  </w:txbxContent>
                </v:textbox>
              </v:shape>
            </w:pict>
          </mc:Fallback>
        </mc:AlternateContent>
      </w:r>
    </w:p>
    <w:p w14:paraId="5EA8E6B8">
      <w:pPr>
        <w:rPr>
          <w:rFonts w:hint="eastAsia" w:ascii="Times New Roman" w:hAnsi="Times New Roman" w:eastAsia="宋体" w:cs="Times New Roman"/>
          <w:color w:val="000000" w:themeColor="text1"/>
          <w:highlight w:val="none"/>
          <w:lang w:eastAsia="zh-CN"/>
          <w14:textFill>
            <w14:solidFill>
              <w14:schemeClr w14:val="tx1"/>
            </w14:solidFill>
          </w14:textFill>
        </w:rPr>
      </w:pPr>
    </w:p>
    <w:p w14:paraId="65771BAC">
      <w:pPr>
        <w:pStyle w:val="2"/>
        <w:rPr>
          <w:rFonts w:hint="eastAsia" w:ascii="Times New Roman" w:hAnsi="Times New Roman" w:eastAsia="宋体" w:cs="Times New Roman"/>
          <w:color w:val="000000" w:themeColor="text1"/>
          <w:highlight w:val="none"/>
          <w:lang w:eastAsia="zh-CN"/>
          <w14:textFill>
            <w14:solidFill>
              <w14:schemeClr w14:val="tx1"/>
            </w14:solidFill>
          </w14:textFill>
        </w:rPr>
      </w:pPr>
    </w:p>
    <w:p w14:paraId="710F7178">
      <w:pPr>
        <w:rPr>
          <w:rFonts w:hint="eastAsia" w:ascii="Times New Roman" w:hAnsi="Times New Roman" w:eastAsia="宋体" w:cs="Times New Roman"/>
          <w:color w:val="000000" w:themeColor="text1"/>
          <w:highlight w:val="none"/>
          <w:lang w:eastAsia="zh-CN"/>
          <w14:textFill>
            <w14:solidFill>
              <w14:schemeClr w14:val="tx1"/>
            </w14:solidFill>
          </w14:textFill>
        </w:rPr>
      </w:pPr>
    </w:p>
    <w:p w14:paraId="4747E63C">
      <w:pPr>
        <w:pStyle w:val="2"/>
        <w:rPr>
          <w:rFonts w:hint="eastAsia" w:ascii="Times New Roman" w:hAnsi="Times New Roman" w:eastAsia="宋体" w:cs="Times New Roman"/>
          <w:color w:val="000000" w:themeColor="text1"/>
          <w:highlight w:val="none"/>
          <w:lang w:eastAsia="zh-CN"/>
          <w14:textFill>
            <w14:solidFill>
              <w14:schemeClr w14:val="tx1"/>
            </w14:solidFill>
          </w14:textFill>
        </w:rPr>
      </w:pPr>
      <w:r>
        <w:rPr>
          <w:sz w:val="21"/>
        </w:rPr>
        <mc:AlternateContent>
          <mc:Choice Requires="wps">
            <w:drawing>
              <wp:anchor distT="0" distB="0" distL="114300" distR="114300" simplePos="0" relativeHeight="251715584" behindDoc="0" locked="0" layoutInCell="1" allowOverlap="1">
                <wp:simplePos x="0" y="0"/>
                <wp:positionH relativeFrom="column">
                  <wp:posOffset>73025</wp:posOffset>
                </wp:positionH>
                <wp:positionV relativeFrom="paragraph">
                  <wp:posOffset>149860</wp:posOffset>
                </wp:positionV>
                <wp:extent cx="585470" cy="292100"/>
                <wp:effectExtent l="12700" t="12700" r="26670" b="15240"/>
                <wp:wrapNone/>
                <wp:docPr id="135" name="矩形 135"/>
                <wp:cNvGraphicFramePr/>
                <a:graphic xmlns:a="http://schemas.openxmlformats.org/drawingml/2006/main">
                  <a:graphicData uri="http://schemas.microsoft.com/office/word/2010/wordprocessingShape">
                    <wps:wsp>
                      <wps:cNvSpPr/>
                      <wps:spPr>
                        <a:xfrm>
                          <a:off x="8899525" y="5404485"/>
                          <a:ext cx="585470" cy="292100"/>
                        </a:xfrm>
                        <a:prstGeom prst="rect">
                          <a:avLst/>
                        </a:prstGeom>
                        <a:solidFill>
                          <a:schemeClr val="accent3">
                            <a:lumMod val="60000"/>
                            <a:lumOff val="40000"/>
                          </a:schemeClr>
                        </a:solidFill>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5.75pt;margin-top:11.8pt;height:23pt;width:46.1pt;z-index:251715584;v-text-anchor:middle;mso-width-relative:page;mso-height-relative:page;" fillcolor="#C3D69B [1942]" filled="t" stroked="t" coordsize="21600,21600" o:gfxdata="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">
                <v:fill on="t" focussize="0,0"/>
                <v:stroke weight="2pt" color="#8C3836 [3205]" joinstyle="round"/>
                <v:imagedata o:title=""/>
                <o:lock v:ext="edit" aspectratio="f"/>
              </v:rect>
            </w:pict>
          </mc:Fallback>
        </mc:AlternateContent>
      </w:r>
    </w:p>
    <w:p w14:paraId="173C061C">
      <w:pPr>
        <w:rPr>
          <w:rFonts w:hint="eastAsia" w:ascii="Times New Roman" w:hAnsi="Times New Roman" w:eastAsia="宋体" w:cs="Times New Roman"/>
          <w:color w:val="000000" w:themeColor="text1"/>
          <w:highlight w:val="none"/>
          <w:lang w:eastAsia="zh-CN"/>
          <w14:textFill>
            <w14:solidFill>
              <w14:schemeClr w14:val="tx1"/>
            </w14:solidFill>
          </w14:textFill>
        </w:rPr>
      </w:pPr>
      <w:r>
        <w:rPr>
          <w:sz w:val="21"/>
        </w:rPr>
        <mc:AlternateContent>
          <mc:Choice Requires="wps">
            <w:drawing>
              <wp:anchor distT="0" distB="0" distL="114300" distR="114300" simplePos="0" relativeHeight="251745280" behindDoc="0" locked="0" layoutInCell="1" allowOverlap="1">
                <wp:simplePos x="0" y="0"/>
                <wp:positionH relativeFrom="column">
                  <wp:posOffset>4846955</wp:posOffset>
                </wp:positionH>
                <wp:positionV relativeFrom="paragraph">
                  <wp:posOffset>55245</wp:posOffset>
                </wp:positionV>
                <wp:extent cx="1085850" cy="333375"/>
                <wp:effectExtent l="0" t="0" r="0" b="0"/>
                <wp:wrapNone/>
                <wp:docPr id="178" name="文本框 178"/>
                <wp:cNvGraphicFramePr/>
                <a:graphic xmlns:a="http://schemas.openxmlformats.org/drawingml/2006/main">
                  <a:graphicData uri="http://schemas.microsoft.com/office/word/2010/wordprocessingShape">
                    <wps:wsp>
                      <wps:cNvSpPr txBox="1"/>
                      <wps:spPr>
                        <a:xfrm>
                          <a:off x="0" y="0"/>
                          <a:ext cx="1085850" cy="33337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9CEAAB0">
                            <w:pPr>
                              <w:rPr>
                                <w:rFonts w:hint="default" w:eastAsia="宋体"/>
                                <w:sz w:val="22"/>
                                <w:szCs w:val="28"/>
                                <w:lang w:val="en-US" w:eastAsia="zh-CN"/>
                              </w:rPr>
                            </w:pPr>
                            <w:r>
                              <w:rPr>
                                <w:rFonts w:hint="eastAsia"/>
                                <w:sz w:val="22"/>
                                <w:szCs w:val="28"/>
                                <w:lang w:val="en-US" w:eastAsia="zh-CN"/>
                              </w:rPr>
                              <w:t>一般防渗区</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81.65pt;margin-top:4.35pt;height:26.25pt;width:85.5pt;z-index:251745280;mso-width-relative:page;mso-height-relative:page;" filled="f" stroked="f" coordsize="21600,21600" o:gfxdata="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Aj+Ssz2QAAAAgBAAAPAAAAAAAAAAEAIAAAACIAAABkcnMv&#10;ZG93bnJldi54bWxQSwECFAAUAAAACACHTuJAX4diPjsCAABqBAAADgAAAAAAAAABACAAAAAoAQAA&#10;ZHJzL2Uyb0RvYy54bWxQSwUGAAAAAAYABgBZAQAA1QUAAAAA&#10;">
                <v:fill on="f" focussize="0,0"/>
                <v:stroke on="f" weight="0.5pt"/>
                <v:imagedata o:title=""/>
                <o:lock v:ext="edit" aspectratio="f"/>
                <v:textbox>
                  <w:txbxContent>
                    <w:p w14:paraId="19CEAAB0">
                      <w:pPr>
                        <w:rPr>
                          <w:rFonts w:hint="default" w:eastAsia="宋体"/>
                          <w:sz w:val="22"/>
                          <w:szCs w:val="28"/>
                          <w:lang w:val="en-US" w:eastAsia="zh-CN"/>
                        </w:rPr>
                      </w:pPr>
                      <w:r>
                        <w:rPr>
                          <w:rFonts w:hint="eastAsia"/>
                          <w:sz w:val="22"/>
                          <w:szCs w:val="28"/>
                          <w:lang w:val="en-US" w:eastAsia="zh-CN"/>
                        </w:rPr>
                        <w:t>一般防渗区</w:t>
                      </w:r>
                    </w:p>
                  </w:txbxContent>
                </v:textbox>
              </v:shape>
            </w:pict>
          </mc:Fallback>
        </mc:AlternateContent>
      </w:r>
      <w:r>
        <w:rPr>
          <w:sz w:val="21"/>
        </w:rPr>
        <mc:AlternateContent>
          <mc:Choice Requires="wps">
            <w:drawing>
              <wp:anchor distT="0" distB="0" distL="114300" distR="114300" simplePos="0" relativeHeight="251746304" behindDoc="0" locked="0" layoutInCell="1" allowOverlap="1">
                <wp:simplePos x="0" y="0"/>
                <wp:positionH relativeFrom="column">
                  <wp:posOffset>1874520</wp:posOffset>
                </wp:positionH>
                <wp:positionV relativeFrom="paragraph">
                  <wp:posOffset>38735</wp:posOffset>
                </wp:positionV>
                <wp:extent cx="1085850" cy="333375"/>
                <wp:effectExtent l="0" t="0" r="0" b="0"/>
                <wp:wrapNone/>
                <wp:docPr id="179" name="文本框 179"/>
                <wp:cNvGraphicFramePr/>
                <a:graphic xmlns:a="http://schemas.openxmlformats.org/drawingml/2006/main">
                  <a:graphicData uri="http://schemas.microsoft.com/office/word/2010/wordprocessingShape">
                    <wps:wsp>
                      <wps:cNvSpPr txBox="1"/>
                      <wps:spPr>
                        <a:xfrm>
                          <a:off x="0" y="0"/>
                          <a:ext cx="1085850" cy="33337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95D7C82">
                            <w:pPr>
                              <w:rPr>
                                <w:rFonts w:hint="default" w:eastAsia="宋体"/>
                                <w:sz w:val="22"/>
                                <w:szCs w:val="28"/>
                                <w:lang w:val="en-US" w:eastAsia="zh-CN"/>
                              </w:rPr>
                            </w:pPr>
                            <w:r>
                              <w:rPr>
                                <w:rFonts w:hint="eastAsia"/>
                                <w:sz w:val="22"/>
                                <w:szCs w:val="28"/>
                                <w:lang w:val="en-US" w:eastAsia="zh-CN"/>
                              </w:rPr>
                              <w:t>重点防渗区</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7.6pt;margin-top:3.05pt;height:26.25pt;width:85.5pt;z-index:251746304;mso-width-relative:page;mso-height-relative:page;" filled="f" stroked="f" coordsize="21600,21600" o:gfxdata="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DbhMV02QAAAAgBAAAPAAAAAAAAAAEAIAAAACIAAABkcnMv&#10;ZG93bnJldi54bWxQSwECFAAUAAAACACHTuJAzWBdrTsCAABqBAAADgAAAAAAAAABACAAAAAoAQAA&#10;ZHJzL2Uyb0RvYy54bWxQSwUGAAAAAAYABgBZAQAA1QUAAAAA&#10;">
                <v:fill on="f" focussize="0,0"/>
                <v:stroke on="f" weight="0.5pt"/>
                <v:imagedata o:title=""/>
                <o:lock v:ext="edit" aspectratio="f"/>
                <v:textbox>
                  <w:txbxContent>
                    <w:p w14:paraId="595D7C82">
                      <w:pPr>
                        <w:rPr>
                          <w:rFonts w:hint="default" w:eastAsia="宋体"/>
                          <w:sz w:val="22"/>
                          <w:szCs w:val="28"/>
                          <w:lang w:val="en-US" w:eastAsia="zh-CN"/>
                        </w:rPr>
                      </w:pPr>
                      <w:r>
                        <w:rPr>
                          <w:rFonts w:hint="eastAsia"/>
                          <w:sz w:val="22"/>
                          <w:szCs w:val="28"/>
                          <w:lang w:val="en-US" w:eastAsia="zh-CN"/>
                        </w:rPr>
                        <w:t>重点防渗区</w:t>
                      </w:r>
                    </w:p>
                  </w:txbxContent>
                </v:textbox>
              </v:shape>
            </w:pict>
          </mc:Fallback>
        </mc:AlternateContent>
      </w:r>
    </w:p>
    <w:p w14:paraId="73FD5D83">
      <w:pPr>
        <w:pStyle w:val="2"/>
        <w:rPr>
          <w:rFonts w:hint="eastAsia" w:ascii="Times New Roman" w:hAnsi="Times New Roman" w:eastAsia="宋体" w:cs="Times New Roman"/>
          <w:color w:val="000000" w:themeColor="text1"/>
          <w:highlight w:val="none"/>
          <w:lang w:eastAsia="zh-CN"/>
          <w14:textFill>
            <w14:solidFill>
              <w14:schemeClr w14:val="tx1"/>
            </w14:solidFill>
          </w14:textFill>
        </w:rPr>
      </w:pPr>
    </w:p>
    <w:p w14:paraId="5143A9FD">
      <w:pPr>
        <w:rPr>
          <w:rFonts w:hint="eastAsia" w:ascii="Times New Roman" w:hAnsi="Times New Roman" w:eastAsia="宋体" w:cs="Times New Roman"/>
          <w:color w:val="000000" w:themeColor="text1"/>
          <w:highlight w:val="none"/>
          <w:lang w:eastAsia="zh-CN"/>
          <w14:textFill>
            <w14:solidFill>
              <w14:schemeClr w14:val="tx1"/>
            </w14:solidFill>
          </w14:textFill>
        </w:rPr>
      </w:pPr>
      <w:r>
        <w:rPr>
          <w:sz w:val="21"/>
        </w:rPr>
        <mc:AlternateContent>
          <mc:Choice Requires="wps">
            <w:drawing>
              <wp:anchor distT="0" distB="0" distL="114300" distR="114300" simplePos="0" relativeHeight="251719680" behindDoc="0" locked="0" layoutInCell="1" allowOverlap="1">
                <wp:simplePos x="0" y="0"/>
                <wp:positionH relativeFrom="column">
                  <wp:posOffset>-192405</wp:posOffset>
                </wp:positionH>
                <wp:positionV relativeFrom="paragraph">
                  <wp:posOffset>53975</wp:posOffset>
                </wp:positionV>
                <wp:extent cx="1551305" cy="314325"/>
                <wp:effectExtent l="0" t="0" r="0" b="0"/>
                <wp:wrapNone/>
                <wp:docPr id="140" name="文本框 140"/>
                <wp:cNvGraphicFramePr/>
                <a:graphic xmlns:a="http://schemas.openxmlformats.org/drawingml/2006/main">
                  <a:graphicData uri="http://schemas.microsoft.com/office/word/2010/wordprocessingShape">
                    <wps:wsp>
                      <wps:cNvSpPr txBox="1"/>
                      <wps:spPr>
                        <a:xfrm>
                          <a:off x="0" y="0"/>
                          <a:ext cx="1551305" cy="3143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C124FC3">
                            <w:pPr>
                              <w:rPr>
                                <w:rFonts w:hint="default" w:eastAsia="宋体"/>
                                <w:sz w:val="22"/>
                                <w:szCs w:val="28"/>
                                <w:lang w:val="en-US" w:eastAsia="zh-CN"/>
                              </w:rPr>
                            </w:pPr>
                            <w:r>
                              <w:rPr>
                                <w:rFonts w:hint="eastAsia"/>
                                <w:sz w:val="22"/>
                                <w:szCs w:val="28"/>
                                <w:lang w:val="en-US" w:eastAsia="zh-CN"/>
                              </w:rPr>
                              <w:t>危险废物存放区</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5.15pt;margin-top:4.25pt;height:24.75pt;width:122.15pt;z-index:251719680;mso-width-relative:page;mso-height-relative:page;" filled="f" stroked="f" coordsize="21600,21600" o:gfxdata="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&#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LRekJNkAAAAIAQAADwAAAAAAAAABACAAAAAiAAAAZHJz&#10;L2Rvd25yZXYueG1sUEsBAhQAFAAAAAgAh07iQItDPNM8AgAAagQAAA4AAAAAAAAAAQAgAAAAKAEA&#10;AGRycy9lMm9Eb2MueG1sUEsFBgAAAAAGAAYAWQEAANYFAAAAAA==&#10;">
                <v:fill on="f" focussize="0,0"/>
                <v:stroke on="f" weight="0.5pt"/>
                <v:imagedata o:title=""/>
                <o:lock v:ext="edit" aspectratio="f"/>
                <v:textbox>
                  <w:txbxContent>
                    <w:p w14:paraId="2C124FC3">
                      <w:pPr>
                        <w:rPr>
                          <w:rFonts w:hint="default" w:eastAsia="宋体"/>
                          <w:sz w:val="22"/>
                          <w:szCs w:val="28"/>
                          <w:lang w:val="en-US" w:eastAsia="zh-CN"/>
                        </w:rPr>
                      </w:pPr>
                      <w:r>
                        <w:rPr>
                          <w:rFonts w:hint="eastAsia"/>
                          <w:sz w:val="22"/>
                          <w:szCs w:val="28"/>
                          <w:lang w:val="en-US" w:eastAsia="zh-CN"/>
                        </w:rPr>
                        <w:t>危险废物存放区</w:t>
                      </w:r>
                    </w:p>
                  </w:txbxContent>
                </v:textbox>
              </v:shape>
            </w:pict>
          </mc:Fallback>
        </mc:AlternateContent>
      </w:r>
    </w:p>
    <w:p w14:paraId="1540DFE9">
      <w:pPr>
        <w:tabs>
          <w:tab w:val="left" w:pos="12561"/>
        </w:tabs>
        <w:jc w:val="center"/>
        <w:rPr>
          <w:rFonts w:hint="default" w:ascii="Times New Roman" w:hAnsi="Times New Roman" w:eastAsia="宋体" w:cs="Times New Roman"/>
          <w:color w:val="000000" w:themeColor="text1"/>
          <w:sz w:val="28"/>
          <w:szCs w:val="36"/>
          <w:highlight w:val="none"/>
          <w:lang w:val="en-US" w:eastAsia="zh-CN"/>
          <w14:textFill>
            <w14:solidFill>
              <w14:schemeClr w14:val="tx1"/>
            </w14:solidFill>
          </w14:textFill>
        </w:rPr>
        <w:sectPr>
          <w:pgSz w:w="16838" w:h="11906" w:orient="landscape"/>
          <w:pgMar w:top="1531" w:right="1701" w:bottom="1531" w:left="1701" w:header="851" w:footer="851" w:gutter="0"/>
          <w:pgBorders>
            <w:top w:val="none" w:sz="0" w:space="0"/>
            <w:left w:val="none" w:sz="0" w:space="0"/>
            <w:bottom w:val="none" w:sz="0" w:space="0"/>
            <w:right w:val="none" w:sz="0" w:space="0"/>
          </w:pgBorders>
          <w:cols w:space="720" w:num="1"/>
          <w:docGrid w:linePitch="312" w:charSpace="0"/>
        </w:sectPr>
      </w:pPr>
      <w:r>
        <w:rPr>
          <w:rFonts w:hint="default" w:ascii="Times New Roman" w:hAnsi="Times New Roman" w:cs="Times New Roman"/>
          <w:b/>
          <w:bCs/>
          <w:color w:val="000000" w:themeColor="text1"/>
          <w:sz w:val="28"/>
          <w:szCs w:val="36"/>
          <w:highlight w:val="none"/>
          <w14:textFill>
            <w14:solidFill>
              <w14:schemeClr w14:val="tx1"/>
            </w14:solidFill>
          </w14:textFill>
        </w:rPr>
        <w:t>附图4项目平面布置</w:t>
      </w:r>
      <w:r>
        <w:rPr>
          <w:rFonts w:hint="eastAsia" w:ascii="Times New Roman" w:hAnsi="Times New Roman" w:cs="Times New Roman"/>
          <w:b/>
          <w:bCs/>
          <w:color w:val="000000" w:themeColor="text1"/>
          <w:sz w:val="28"/>
          <w:szCs w:val="36"/>
          <w:highlight w:val="none"/>
          <w:lang w:val="en-US" w:eastAsia="zh-CN"/>
          <w14:textFill>
            <w14:solidFill>
              <w14:schemeClr w14:val="tx1"/>
            </w14:solidFill>
          </w14:textFill>
        </w:rPr>
        <w:t>及分区防渗示意图</w:t>
      </w:r>
    </w:p>
    <w:p w14:paraId="040D3377">
      <w:pPr>
        <w:jc w:val="both"/>
        <w:rPr>
          <w:rFonts w:hint="default"/>
        </w:rPr>
      </w:pPr>
      <w:r>
        <w:rPr>
          <w:sz w:val="21"/>
        </w:rPr>
        <mc:AlternateContent>
          <mc:Choice Requires="wps">
            <w:drawing>
              <wp:anchor distT="0" distB="0" distL="114300" distR="114300" simplePos="0" relativeHeight="251742208" behindDoc="0" locked="0" layoutInCell="1" allowOverlap="1">
                <wp:simplePos x="0" y="0"/>
                <wp:positionH relativeFrom="column">
                  <wp:posOffset>6955155</wp:posOffset>
                </wp:positionH>
                <wp:positionV relativeFrom="paragraph">
                  <wp:posOffset>4591050</wp:posOffset>
                </wp:positionV>
                <wp:extent cx="169545" cy="102870"/>
                <wp:effectExtent l="12700" t="12700" r="15875" b="21590"/>
                <wp:wrapNone/>
                <wp:docPr id="174" name="圆角矩形 174"/>
                <wp:cNvGraphicFramePr/>
                <a:graphic xmlns:a="http://schemas.openxmlformats.org/drawingml/2006/main">
                  <a:graphicData uri="http://schemas.microsoft.com/office/word/2010/wordprocessingShape">
                    <wps:wsp>
                      <wps:cNvSpPr/>
                      <wps:spPr>
                        <a:xfrm>
                          <a:off x="8043545" y="5647690"/>
                          <a:ext cx="169545" cy="102870"/>
                        </a:xfrm>
                        <a:prstGeom prst="roundRect">
                          <a:avLst>
                            <a:gd name="adj" fmla="val 50000"/>
                          </a:avLst>
                        </a:prstGeom>
                        <a:solidFill>
                          <a:schemeClr val="bg1"/>
                        </a:solid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547.65pt;margin-top:361.5pt;height:8.1pt;width:13.35pt;z-index:251742208;v-text-anchor:middle;mso-width-relative:page;mso-height-relative:page;" fillcolor="#FFFFFF [3212]" filled="t" stroked="t" coordsize="21600,21600" arcsize="0.5" o:gfxdata="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">
                <v:fill on="t" focussize="0,0"/>
                <v:stroke weight="2pt" color="#00B050 [3204]" joinstyle="round"/>
                <v:imagedata o:title=""/>
                <o:lock v:ext="edit" aspectratio="f"/>
              </v:roundrect>
            </w:pict>
          </mc:Fallback>
        </mc:AlternateContent>
      </w:r>
      <w:r>
        <w:rPr>
          <w:sz w:val="21"/>
        </w:rPr>
        <mc:AlternateContent>
          <mc:Choice Requires="wps">
            <w:drawing>
              <wp:anchor distT="0" distB="0" distL="114300" distR="114300" simplePos="0" relativeHeight="251741184" behindDoc="0" locked="0" layoutInCell="1" allowOverlap="1">
                <wp:simplePos x="0" y="0"/>
                <wp:positionH relativeFrom="column">
                  <wp:posOffset>6953885</wp:posOffset>
                </wp:positionH>
                <wp:positionV relativeFrom="paragraph">
                  <wp:posOffset>4336415</wp:posOffset>
                </wp:positionV>
                <wp:extent cx="161290" cy="101600"/>
                <wp:effectExtent l="9525" t="9525" r="12065" b="10795"/>
                <wp:wrapNone/>
                <wp:docPr id="173" name="矩形 173"/>
                <wp:cNvGraphicFramePr/>
                <a:graphic xmlns:a="http://schemas.openxmlformats.org/drawingml/2006/main">
                  <a:graphicData uri="http://schemas.microsoft.com/office/word/2010/wordprocessingShape">
                    <wps:wsp>
                      <wps:cNvSpPr/>
                      <wps:spPr>
                        <a:xfrm>
                          <a:off x="8060055" y="5376545"/>
                          <a:ext cx="161290" cy="101600"/>
                        </a:xfrm>
                        <a:prstGeom prst="rect">
                          <a:avLst/>
                        </a:prstGeom>
                        <a:solidFill>
                          <a:schemeClr val="bg1"/>
                        </a:solid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547.55pt;margin-top:341.45pt;height:8pt;width:12.7pt;z-index:251741184;v-text-anchor:middle;mso-width-relative:page;mso-height-relative:page;" fillcolor="#FFFFFF [3212]" filled="t" stroked="t" coordsize="21600,21600" o:gfxdata="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">
                <v:fill on="t" focussize="0,0"/>
                <v:stroke weight="1.5pt" color="#FF0000 [3204]" joinstyle="round"/>
                <v:imagedata o:title=""/>
                <o:lock v:ext="edit" aspectratio="f"/>
              </v:rect>
            </w:pict>
          </mc:Fallback>
        </mc:AlternateContent>
      </w:r>
      <w:r>
        <w:rPr>
          <w:rFonts w:hint="default" w:ascii="Times New Roman" w:hAnsi="Times New Roman" w:cs="Times New Roman"/>
          <w:color w:val="000000" w:themeColor="text1"/>
          <w:highlight w:val="none"/>
          <w14:textFill>
            <w14:solidFill>
              <w14:schemeClr w14:val="tx1"/>
            </w14:solidFill>
          </w14:textFill>
        </w:rPr>
        <mc:AlternateContent>
          <mc:Choice Requires="wps">
            <w:drawing>
              <wp:anchor distT="0" distB="0" distL="114300" distR="114300" simplePos="0" relativeHeight="251740160" behindDoc="0" locked="0" layoutInCell="1" allowOverlap="1">
                <wp:simplePos x="0" y="0"/>
                <wp:positionH relativeFrom="column">
                  <wp:posOffset>6803390</wp:posOffset>
                </wp:positionH>
                <wp:positionV relativeFrom="paragraph">
                  <wp:posOffset>3995420</wp:posOffset>
                </wp:positionV>
                <wp:extent cx="1678940" cy="1224280"/>
                <wp:effectExtent l="4445" t="4445" r="8255" b="5715"/>
                <wp:wrapNone/>
                <wp:docPr id="172" name="文本框 299"/>
                <wp:cNvGraphicFramePr/>
                <a:graphic xmlns:a="http://schemas.openxmlformats.org/drawingml/2006/main">
                  <a:graphicData uri="http://schemas.microsoft.com/office/word/2010/wordprocessingShape">
                    <wps:wsp>
                      <wps:cNvSpPr txBox="1"/>
                      <wps:spPr>
                        <a:xfrm>
                          <a:off x="0" y="0"/>
                          <a:ext cx="1678940" cy="122428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399932F0">
                            <w:pPr>
                              <w:spacing w:line="360" w:lineRule="auto"/>
                              <w:jc w:val="center"/>
                            </w:pPr>
                            <w:r>
                              <w:rPr>
                                <w:rFonts w:hint="eastAsia"/>
                              </w:rPr>
                              <w:t>图例</w:t>
                            </w:r>
                          </w:p>
                          <w:p w14:paraId="7B0226FD">
                            <w:pPr>
                              <w:pStyle w:val="18"/>
                              <w:spacing w:line="360" w:lineRule="auto"/>
                              <w:ind w:firstLine="420" w:firstLineChars="200"/>
                            </w:pPr>
                            <w:r>
                              <w:rPr>
                                <w:rFonts w:hint="eastAsia"/>
                              </w:rPr>
                              <w:t>本项目</w:t>
                            </w:r>
                          </w:p>
                          <w:p w14:paraId="3C9FE75E">
                            <w:pPr>
                              <w:pStyle w:val="18"/>
                              <w:ind w:firstLine="420" w:firstLineChars="200"/>
                              <w:rPr>
                                <w:rFonts w:hint="default" w:eastAsia="宋体"/>
                                <w:lang w:val="en-US" w:eastAsia="zh-CN"/>
                              </w:rPr>
                            </w:pPr>
                            <w:r>
                              <w:rPr>
                                <w:rFonts w:hint="eastAsia"/>
                                <w:lang w:val="en-US" w:eastAsia="zh-CN"/>
                              </w:rPr>
                              <w:t>卫生防护距离包络线</w:t>
                            </w:r>
                          </w:p>
                          <w:p w14:paraId="4D2CAC9E">
                            <w:pPr>
                              <w:ind w:left="178" w:leftChars="85" w:firstLine="180" w:firstLineChars="100"/>
                              <w:rPr>
                                <w:rFonts w:hint="eastAsia"/>
                                <w:sz w:val="18"/>
                                <w:szCs w:val="21"/>
                              </w:rPr>
                            </w:pPr>
                          </w:p>
                          <w:p w14:paraId="12783139">
                            <w:pPr>
                              <w:pStyle w:val="2"/>
                              <w:rPr>
                                <w:rFonts w:hint="eastAsia"/>
                              </w:rPr>
                            </w:pPr>
                          </w:p>
                          <w:p w14:paraId="4D92D66D">
                            <w:pPr>
                              <w:ind w:left="178" w:leftChars="85" w:firstLine="180" w:firstLineChars="100"/>
                            </w:pPr>
                            <w:r>
                              <w:rPr>
                                <w:rFonts w:hint="eastAsia"/>
                                <w:sz w:val="18"/>
                                <w:szCs w:val="21"/>
                              </w:rPr>
                              <w:t xml:space="preserve">0m  </w:t>
                            </w:r>
                            <w:r>
                              <w:rPr>
                                <w:rFonts w:hint="eastAsia"/>
                                <w:sz w:val="18"/>
                                <w:szCs w:val="21"/>
                                <w:lang w:val="en-US" w:eastAsia="zh-CN"/>
                              </w:rPr>
                              <w:t xml:space="preserve">    </w:t>
                            </w:r>
                            <w:r>
                              <w:rPr>
                                <w:rFonts w:hint="eastAsia"/>
                                <w:sz w:val="18"/>
                                <w:szCs w:val="21"/>
                              </w:rPr>
                              <w:t xml:space="preserve">  </w:t>
                            </w:r>
                            <w:r>
                              <w:rPr>
                                <w:rFonts w:hint="eastAsia"/>
                                <w:sz w:val="18"/>
                                <w:szCs w:val="21"/>
                                <w:lang w:val="en-US" w:eastAsia="zh-CN"/>
                              </w:rPr>
                              <w:t>50</w:t>
                            </w:r>
                            <w:r>
                              <w:rPr>
                                <w:rFonts w:hint="eastAsia"/>
                                <w:sz w:val="18"/>
                                <w:szCs w:val="21"/>
                              </w:rPr>
                              <w:t>m</w:t>
                            </w:r>
                          </w:p>
                        </w:txbxContent>
                      </wps:txbx>
                      <wps:bodyPr wrap="square" upright="1"/>
                    </wps:wsp>
                  </a:graphicData>
                </a:graphic>
              </wp:anchor>
            </w:drawing>
          </mc:Choice>
          <mc:Fallback>
            <w:pict>
              <v:shape id="文本框 299" o:spid="_x0000_s1026" o:spt="202" type="#_x0000_t202" style="position:absolute;left:0pt;margin-left:535.7pt;margin-top:314.6pt;height:96.4pt;width:132.2pt;z-index:251740160;mso-width-relative:page;mso-height-relative:page;" fillcolor="#FFFFFF" filled="t" stroked="t" coordsize="21600,21600" o:gfxdata="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ckLF&#10;3doAAAANAQAADwAAAAAAAAABACAAAAAiAAAAZHJzL2Rvd25yZXYueG1sUEsBAhQAFAAAAAgAh07i&#10;QLFbc88gAgAAVwQAAA4AAAAAAAAAAQAgAAAAKQEAAGRycy9lMm9Eb2MueG1sUEsFBgAAAAAGAAYA&#10;WQEAALsFAAAAAA==&#10;">
                <v:fill on="t" focussize="0,0"/>
                <v:stroke color="#000000" joinstyle="miter"/>
                <v:imagedata o:title=""/>
                <o:lock v:ext="edit" aspectratio="f"/>
                <v:textbox>
                  <w:txbxContent>
                    <w:p w14:paraId="399932F0">
                      <w:pPr>
                        <w:spacing w:line="360" w:lineRule="auto"/>
                        <w:jc w:val="center"/>
                      </w:pPr>
                      <w:r>
                        <w:rPr>
                          <w:rFonts w:hint="eastAsia"/>
                        </w:rPr>
                        <w:t>图例</w:t>
                      </w:r>
                    </w:p>
                    <w:p w14:paraId="7B0226FD">
                      <w:pPr>
                        <w:pStyle w:val="18"/>
                        <w:spacing w:line="360" w:lineRule="auto"/>
                        <w:ind w:firstLine="420" w:firstLineChars="200"/>
                      </w:pPr>
                      <w:r>
                        <w:rPr>
                          <w:rFonts w:hint="eastAsia"/>
                        </w:rPr>
                        <w:t>本项目</w:t>
                      </w:r>
                    </w:p>
                    <w:p w14:paraId="3C9FE75E">
                      <w:pPr>
                        <w:pStyle w:val="18"/>
                        <w:ind w:firstLine="420" w:firstLineChars="200"/>
                        <w:rPr>
                          <w:rFonts w:hint="default" w:eastAsia="宋体"/>
                          <w:lang w:val="en-US" w:eastAsia="zh-CN"/>
                        </w:rPr>
                      </w:pPr>
                      <w:r>
                        <w:rPr>
                          <w:rFonts w:hint="eastAsia"/>
                          <w:lang w:val="en-US" w:eastAsia="zh-CN"/>
                        </w:rPr>
                        <w:t>卫生防护距离包络线</w:t>
                      </w:r>
                    </w:p>
                    <w:p w14:paraId="4D2CAC9E">
                      <w:pPr>
                        <w:ind w:left="178" w:leftChars="85" w:firstLine="180" w:firstLineChars="100"/>
                        <w:rPr>
                          <w:rFonts w:hint="eastAsia"/>
                          <w:sz w:val="18"/>
                          <w:szCs w:val="21"/>
                        </w:rPr>
                      </w:pPr>
                    </w:p>
                    <w:p w14:paraId="12783139">
                      <w:pPr>
                        <w:pStyle w:val="2"/>
                        <w:rPr>
                          <w:rFonts w:hint="eastAsia"/>
                        </w:rPr>
                      </w:pPr>
                    </w:p>
                    <w:p w14:paraId="4D92D66D">
                      <w:pPr>
                        <w:ind w:left="178" w:leftChars="85" w:firstLine="180" w:firstLineChars="100"/>
                      </w:pPr>
                      <w:r>
                        <w:rPr>
                          <w:rFonts w:hint="eastAsia"/>
                          <w:sz w:val="18"/>
                          <w:szCs w:val="21"/>
                        </w:rPr>
                        <w:t xml:space="preserve">0m  </w:t>
                      </w:r>
                      <w:r>
                        <w:rPr>
                          <w:rFonts w:hint="eastAsia"/>
                          <w:sz w:val="18"/>
                          <w:szCs w:val="21"/>
                          <w:lang w:val="en-US" w:eastAsia="zh-CN"/>
                        </w:rPr>
                        <w:t xml:space="preserve">    </w:t>
                      </w:r>
                      <w:r>
                        <w:rPr>
                          <w:rFonts w:hint="eastAsia"/>
                          <w:sz w:val="18"/>
                          <w:szCs w:val="21"/>
                        </w:rPr>
                        <w:t xml:space="preserve">  </w:t>
                      </w:r>
                      <w:r>
                        <w:rPr>
                          <w:rFonts w:hint="eastAsia"/>
                          <w:sz w:val="18"/>
                          <w:szCs w:val="21"/>
                          <w:lang w:val="en-US" w:eastAsia="zh-CN"/>
                        </w:rPr>
                        <w:t>50</w:t>
                      </w:r>
                      <w:r>
                        <w:rPr>
                          <w:rFonts w:hint="eastAsia"/>
                          <w:sz w:val="18"/>
                          <w:szCs w:val="21"/>
                        </w:rPr>
                        <w:t>m</w:t>
                      </w:r>
                    </w:p>
                  </w:txbxContent>
                </v:textbox>
              </v:shape>
            </w:pict>
          </mc:Fallback>
        </mc:AlternateContent>
      </w:r>
      <w:r>
        <w:rPr>
          <w:sz w:val="21"/>
        </w:rPr>
        <mc:AlternateContent>
          <mc:Choice Requires="wps">
            <w:drawing>
              <wp:anchor distT="0" distB="0" distL="114300" distR="114300" simplePos="0" relativeHeight="251744256" behindDoc="0" locked="0" layoutInCell="1" allowOverlap="1">
                <wp:simplePos x="0" y="0"/>
                <wp:positionH relativeFrom="column">
                  <wp:posOffset>7200900</wp:posOffset>
                </wp:positionH>
                <wp:positionV relativeFrom="paragraph">
                  <wp:posOffset>4921250</wp:posOffset>
                </wp:positionV>
                <wp:extent cx="745490" cy="53975"/>
                <wp:effectExtent l="5080" t="4445" r="11430" b="17780"/>
                <wp:wrapNone/>
                <wp:docPr id="176" name="矩形 176"/>
                <wp:cNvGraphicFramePr/>
                <a:graphic xmlns:a="http://schemas.openxmlformats.org/drawingml/2006/main">
                  <a:graphicData uri="http://schemas.microsoft.com/office/word/2010/wordprocessingShape">
                    <wps:wsp>
                      <wps:cNvSpPr/>
                      <wps:spPr>
                        <a:xfrm>
                          <a:off x="4563745" y="5249545"/>
                          <a:ext cx="745490" cy="53975"/>
                        </a:xfrm>
                        <a:prstGeom prst="rect">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567pt;margin-top:387.5pt;height:4.25pt;width:58.7pt;z-index:251744256;v-text-anchor:middle;mso-width-relative:page;mso-height-relative:page;" fillcolor="#FFFFFF [3212]" filled="t" stroked="t" coordsize="21600,21600" o:gfxdata="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">
                <v:fill on="t" focussize="0,0"/>
                <v:stroke color="#000000 [3213]" joinstyle="round"/>
                <v:imagedata o:title=""/>
                <o:lock v:ext="edit" aspectratio="f"/>
              </v:rect>
            </w:pict>
          </mc:Fallback>
        </mc:AlternateContent>
      </w:r>
      <w:r>
        <w:rPr>
          <w:sz w:val="21"/>
        </w:rPr>
        <mc:AlternateContent>
          <mc:Choice Requires="wps">
            <w:drawing>
              <wp:anchor distT="0" distB="0" distL="114300" distR="114300" simplePos="0" relativeHeight="251743232" behindDoc="0" locked="0" layoutInCell="1" allowOverlap="1">
                <wp:simplePos x="0" y="0"/>
                <wp:positionH relativeFrom="column">
                  <wp:posOffset>105410</wp:posOffset>
                </wp:positionH>
                <wp:positionV relativeFrom="paragraph">
                  <wp:posOffset>5115560</wp:posOffset>
                </wp:positionV>
                <wp:extent cx="744855" cy="0"/>
                <wp:effectExtent l="0" t="0" r="0" b="0"/>
                <wp:wrapNone/>
                <wp:docPr id="175" name="直接连接符 175"/>
                <wp:cNvGraphicFramePr/>
                <a:graphic xmlns:a="http://schemas.openxmlformats.org/drawingml/2006/main">
                  <a:graphicData uri="http://schemas.microsoft.com/office/word/2010/wordprocessingShape">
                    <wps:wsp>
                      <wps:cNvCnPr/>
                      <wps:spPr>
                        <a:xfrm>
                          <a:off x="1185545" y="6087745"/>
                          <a:ext cx="74485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8.3pt;margin-top:402.8pt;height:0pt;width:58.65pt;z-index:251743232;mso-width-relative:page;mso-height-relative:page;" filled="f" stroked="t" coordsize="21600,21600" o:gfxdata="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&#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BBvMyNgAAAAKAQAADwAAAAAAAAABACAAAAAiAAAAZHJz&#10;L2Rvd25yZXYueG1sUEsBAhQAFAAAAAgAh07iQMEJf2AEAgAA4gMAAA4AAAAAAAAAAQAgAAAAJwEA&#10;AGRycy9lMm9Eb2MueG1sUEsFBgAAAAAGAAYAWQEAAJ0FAAAAAA==&#10;">
                <v:fill on="f" focussize="0,0"/>
                <v:stroke color="#4A7EBB [3204]" joinstyle="round"/>
                <v:imagedata o:title=""/>
                <o:lock v:ext="edit" aspectratio="f"/>
              </v:line>
            </w:pict>
          </mc:Fallback>
        </mc:AlternateContent>
      </w:r>
      <w:r>
        <w:rPr>
          <w:sz w:val="21"/>
        </w:rPr>
        <mc:AlternateContent>
          <mc:Choice Requires="wps">
            <w:drawing>
              <wp:anchor distT="0" distB="0" distL="114300" distR="114300" simplePos="0" relativeHeight="251739136" behindDoc="0" locked="0" layoutInCell="1" allowOverlap="1">
                <wp:simplePos x="0" y="0"/>
                <wp:positionH relativeFrom="column">
                  <wp:posOffset>7674610</wp:posOffset>
                </wp:positionH>
                <wp:positionV relativeFrom="paragraph">
                  <wp:posOffset>14605</wp:posOffset>
                </wp:positionV>
                <wp:extent cx="822325" cy="965835"/>
                <wp:effectExtent l="4445" t="4445" r="11430" b="5080"/>
                <wp:wrapNone/>
                <wp:docPr id="169" name="文本框 169"/>
                <wp:cNvGraphicFramePr/>
                <a:graphic xmlns:a="http://schemas.openxmlformats.org/drawingml/2006/main">
                  <a:graphicData uri="http://schemas.microsoft.com/office/word/2010/wordprocessingShape">
                    <wps:wsp>
                      <wps:cNvSpPr txBox="1"/>
                      <wps:spPr>
                        <a:xfrm>
                          <a:off x="8669655" y="995045"/>
                          <a:ext cx="822325" cy="96583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6ADCAD57">
                            <w:r>
                              <w:rPr>
                                <w:color w:val="auto"/>
                              </w:rPr>
                              <w:drawing>
                                <wp:inline distT="0" distB="0" distL="114300" distR="114300">
                                  <wp:extent cx="608965" cy="828675"/>
                                  <wp:effectExtent l="0" t="0" r="635" b="9525"/>
                                  <wp:docPr id="17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图片 2"/>
                                          <pic:cNvPicPr>
                                            <a:picLocks noChangeAspect="1"/>
                                          </pic:cNvPicPr>
                                        </pic:nvPicPr>
                                        <pic:blipFill>
                                          <a:blip r:embed="rId18"/>
                                          <a:srcRect l="2738"/>
                                          <a:stretch>
                                            <a:fillRect/>
                                          </a:stretch>
                                        </pic:blipFill>
                                        <pic:spPr>
                                          <a:xfrm>
                                            <a:off x="0" y="0"/>
                                            <a:ext cx="608965" cy="82867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04.3pt;margin-top:1.15pt;height:76.05pt;width:64.75pt;z-index:251739136;mso-width-relative:page;mso-height-relative:page;" fillcolor="#FFFFFF [3201]" filled="t" stroked="t" coordsize="21600,21600" o:gfxdata="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IRp0OdYAAAALAQAADwAAAAAAAAABACAAAAAiAAAAZHJzL2Rvd25yZXYueG1sUEsBAhQA&#10;FAAAAAgAh07iQNWEYeFmAgAAxQQAAA4AAAAAAAAAAQAgAAAAJQEAAGRycy9lMm9Eb2MueG1sUEsF&#10;BgAAAAAGAAYAWQEAAP0FAAAAAA==&#10;">
                <v:fill on="t" focussize="0,0"/>
                <v:stroke weight="0.5pt" color="#000000 [3204]" joinstyle="round"/>
                <v:imagedata o:title=""/>
                <o:lock v:ext="edit" aspectratio="f"/>
                <v:textbox>
                  <w:txbxContent>
                    <w:p w14:paraId="6ADCAD57">
                      <w:r>
                        <w:rPr>
                          <w:color w:val="auto"/>
                        </w:rPr>
                        <w:drawing>
                          <wp:inline distT="0" distB="0" distL="114300" distR="114300">
                            <wp:extent cx="608965" cy="828675"/>
                            <wp:effectExtent l="0" t="0" r="635" b="9525"/>
                            <wp:docPr id="17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图片 2"/>
                                    <pic:cNvPicPr>
                                      <a:picLocks noChangeAspect="1"/>
                                    </pic:cNvPicPr>
                                  </pic:nvPicPr>
                                  <pic:blipFill>
                                    <a:blip r:embed="rId18"/>
                                    <a:srcRect l="2738"/>
                                    <a:stretch>
                                      <a:fillRect/>
                                    </a:stretch>
                                  </pic:blipFill>
                                  <pic:spPr>
                                    <a:xfrm>
                                      <a:off x="0" y="0"/>
                                      <a:ext cx="608965" cy="828675"/>
                                    </a:xfrm>
                                    <a:prstGeom prst="rect">
                                      <a:avLst/>
                                    </a:prstGeom>
                                    <a:noFill/>
                                    <a:ln>
                                      <a:noFill/>
                                    </a:ln>
                                  </pic:spPr>
                                </pic:pic>
                              </a:graphicData>
                            </a:graphic>
                          </wp:inline>
                        </w:drawing>
                      </w:r>
                    </w:p>
                  </w:txbxContent>
                </v:textbox>
              </v:shape>
            </w:pict>
          </mc:Fallback>
        </mc:AlternateContent>
      </w:r>
      <w:r>
        <w:rPr>
          <w:sz w:val="21"/>
        </w:rPr>
        <mc:AlternateContent>
          <mc:Choice Requires="wps">
            <w:drawing>
              <wp:anchor distT="0" distB="0" distL="114300" distR="114300" simplePos="0" relativeHeight="251738112" behindDoc="0" locked="0" layoutInCell="1" allowOverlap="1">
                <wp:simplePos x="0" y="0"/>
                <wp:positionH relativeFrom="column">
                  <wp:posOffset>4373245</wp:posOffset>
                </wp:positionH>
                <wp:positionV relativeFrom="paragraph">
                  <wp:posOffset>2044065</wp:posOffset>
                </wp:positionV>
                <wp:extent cx="770255" cy="422910"/>
                <wp:effectExtent l="0" t="0" r="0" b="0"/>
                <wp:wrapNone/>
                <wp:docPr id="166" name="文本框 166"/>
                <wp:cNvGraphicFramePr/>
                <a:graphic xmlns:a="http://schemas.openxmlformats.org/drawingml/2006/main">
                  <a:graphicData uri="http://schemas.microsoft.com/office/word/2010/wordprocessingShape">
                    <wps:wsp>
                      <wps:cNvSpPr txBox="1"/>
                      <wps:spPr>
                        <a:xfrm rot="20400000">
                          <a:off x="6367145" y="2745740"/>
                          <a:ext cx="770255" cy="42291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7300AEF">
                            <w:pPr>
                              <w:rPr>
                                <w:rFonts w:hint="default" w:eastAsia="宋体"/>
                                <w:b/>
                                <w:bCs/>
                                <w:color w:val="FFFF00"/>
                                <w:lang w:val="en-US" w:eastAsia="zh-CN"/>
                              </w:rPr>
                            </w:pPr>
                            <w:r>
                              <w:rPr>
                                <w:rFonts w:hint="eastAsia"/>
                                <w:b/>
                                <w:bCs/>
                                <w:color w:val="FFFF00"/>
                                <w:lang w:val="en-US" w:eastAsia="zh-CN"/>
                              </w:rPr>
                              <w:t>50m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44.35pt;margin-top:160.95pt;height:33.3pt;width:60.65pt;rotation:-1310720f;z-index:251738112;mso-width-relative:page;mso-height-relative:page;" filled="f" stroked="f" coordsize="21600,21600" o:gfxdata="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Op9QunaAAAACwEAAA8A&#10;AAAAAAAAAQAgAAAAIgAAAGRycy9kb3ducmV2LnhtbFBLAQIUABQAAAAIAIdO4kBN7qhiTgIAAIQE&#10;AAAOAAAAAAAAAAEAIAAAACkBAABkcnMvZTJvRG9jLnhtbFBLBQYAAAAABgAGAFkBAADpBQAAAAA=&#10;">
                <v:fill on="f" focussize="0,0"/>
                <v:stroke on="f" weight="0.5pt"/>
                <v:imagedata o:title=""/>
                <o:lock v:ext="edit" aspectratio="f"/>
                <v:textbox>
                  <w:txbxContent>
                    <w:p w14:paraId="47300AEF">
                      <w:pPr>
                        <w:rPr>
                          <w:rFonts w:hint="default" w:eastAsia="宋体"/>
                          <w:b/>
                          <w:bCs/>
                          <w:color w:val="FFFF00"/>
                          <w:lang w:val="en-US" w:eastAsia="zh-CN"/>
                        </w:rPr>
                      </w:pPr>
                      <w:r>
                        <w:rPr>
                          <w:rFonts w:hint="eastAsia"/>
                          <w:b/>
                          <w:bCs/>
                          <w:color w:val="FFFF00"/>
                          <w:lang w:val="en-US" w:eastAsia="zh-CN"/>
                        </w:rPr>
                        <w:t>50m</w:t>
                      </w:r>
                    </w:p>
                  </w:txbxContent>
                </v:textbox>
              </v:shape>
            </w:pict>
          </mc:Fallback>
        </mc:AlternateContent>
      </w:r>
      <w:r>
        <w:rPr>
          <w:sz w:val="21"/>
        </w:rPr>
        <mc:AlternateContent>
          <mc:Choice Requires="wps">
            <w:drawing>
              <wp:anchor distT="0" distB="0" distL="114300" distR="114300" simplePos="0" relativeHeight="251737088" behindDoc="0" locked="0" layoutInCell="1" allowOverlap="1">
                <wp:simplePos x="0" y="0"/>
                <wp:positionH relativeFrom="column">
                  <wp:posOffset>4280535</wp:posOffset>
                </wp:positionH>
                <wp:positionV relativeFrom="paragraph">
                  <wp:posOffset>2188210</wp:posOffset>
                </wp:positionV>
                <wp:extent cx="701675" cy="288290"/>
                <wp:effectExtent l="1905" t="13335" r="12700" b="18415"/>
                <wp:wrapNone/>
                <wp:docPr id="165" name="直接箭头连接符 165"/>
                <wp:cNvGraphicFramePr/>
                <a:graphic xmlns:a="http://schemas.openxmlformats.org/drawingml/2006/main">
                  <a:graphicData uri="http://schemas.microsoft.com/office/word/2010/wordprocessingShape">
                    <wps:wsp>
                      <wps:cNvCnPr>
                        <a:stCxn id="86" idx="3"/>
                      </wps:cNvCnPr>
                      <wps:spPr>
                        <a:xfrm flipV="1">
                          <a:off x="5360670" y="3160395"/>
                          <a:ext cx="701675" cy="288290"/>
                        </a:xfrm>
                        <a:prstGeom prst="straightConnector1">
                          <a:avLst/>
                        </a:prstGeom>
                        <a:ln>
                          <a:solidFill>
                            <a:srgbClr val="FFFF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y;margin-left:337.05pt;margin-top:172.3pt;height:22.7pt;width:55.25pt;z-index:251737088;mso-width-relative:page;mso-height-relative:page;" filled="f" stroked="t" coordsize="21600,21600" o:gfxdata="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D7&#10;mNF71wAAAAsBAAAPAAAAAAAAAAEAIAAAACIAAABkcnMvZG93bnJldi54bWxQSwECFAAUAAAACACH&#10;TuJAYp27pyUCAAAMBAAADgAAAAAAAAABACAAAAAmAQAAZHJzL2Uyb0RvYy54bWxQSwUGAAAAAAYA&#10;BgBZAQAAvQUAAAAA&#10;">
                <v:fill on="f" focussize="0,0"/>
                <v:stroke color="#FFFF00 [3204]" joinstyle="round" endarrow="open"/>
                <v:imagedata o:title=""/>
                <o:lock v:ext="edit" aspectratio="f"/>
              </v:shape>
            </w:pict>
          </mc:Fallback>
        </mc:AlternateContent>
      </w:r>
      <w:r>
        <w:rPr>
          <w:rFonts w:hint="default" w:ascii="Times New Roman" w:hAnsi="Times New Roman" w:cs="Times New Roman"/>
          <w:color w:val="000000" w:themeColor="text1"/>
          <w:highlight w:val="none"/>
          <w14:textFill>
            <w14:solidFill>
              <w14:schemeClr w14:val="tx1"/>
            </w14:solidFill>
          </w14:textFill>
        </w:rPr>
        <mc:AlternateContent>
          <mc:Choice Requires="wps">
            <w:drawing>
              <wp:anchor distT="0" distB="0" distL="114300" distR="114300" simplePos="0" relativeHeight="251671552" behindDoc="0" locked="0" layoutInCell="1" allowOverlap="1">
                <wp:simplePos x="0" y="0"/>
                <wp:positionH relativeFrom="column">
                  <wp:posOffset>3881755</wp:posOffset>
                </wp:positionH>
                <wp:positionV relativeFrom="paragraph">
                  <wp:posOffset>5520055</wp:posOffset>
                </wp:positionV>
                <wp:extent cx="81915" cy="75565"/>
                <wp:effectExtent l="4445" t="4445" r="5080" b="11430"/>
                <wp:wrapNone/>
                <wp:docPr id="57" name="椭圆 320"/>
                <wp:cNvGraphicFramePr/>
                <a:graphic xmlns:a="http://schemas.openxmlformats.org/drawingml/2006/main">
                  <a:graphicData uri="http://schemas.microsoft.com/office/word/2010/wordprocessingShape">
                    <wps:wsp>
                      <wps:cNvSpPr/>
                      <wps:spPr>
                        <a:xfrm>
                          <a:off x="0" y="0"/>
                          <a:ext cx="81915" cy="75565"/>
                        </a:xfrm>
                        <a:prstGeom prst="ellipse">
                          <a:avLst/>
                        </a:prstGeom>
                        <a:solidFill>
                          <a:srgbClr val="FF0000"/>
                        </a:solidFill>
                        <a:ln w="9525" cap="flat" cmpd="sng">
                          <a:solidFill>
                            <a:srgbClr val="000000"/>
                          </a:solidFill>
                          <a:prstDash val="solid"/>
                          <a:headEnd type="none" w="med" len="med"/>
                          <a:tailEnd type="none" w="med" len="med"/>
                        </a:ln>
                        <a:effectLst/>
                      </wps:spPr>
                      <wps:txbx>
                        <w:txbxContent>
                          <w:p w14:paraId="45CF3751"/>
                        </w:txbxContent>
                      </wps:txbx>
                      <wps:bodyPr wrap="square" upright="1"/>
                    </wps:wsp>
                  </a:graphicData>
                </a:graphic>
              </wp:anchor>
            </w:drawing>
          </mc:Choice>
          <mc:Fallback>
            <w:pict>
              <v:shape id="椭圆 320" o:spid="_x0000_s1026" o:spt="3" type="#_x0000_t3" style="position:absolute;left:0pt;margin-left:305.65pt;margin-top:434.65pt;height:5.95pt;width:6.45pt;z-index:251671552;mso-width-relative:page;mso-height-relative:page;" fillcolor="#FF0000" filled="t" stroked="t" coordsize="21600,21600" o:gfxdata="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AHlAaj2QAAAAsBAAAPAAAAAAAAAAEAIAAA&#10;ACIAAABkcnMvZG93bnJldi54bWxQSwECFAAUAAAACACHTuJA7R/10QsCAAA+BAAADgAAAAAAAAAB&#10;ACAAAAAoAQAAZHJzL2Uyb0RvYy54bWxQSwUGAAAAAAYABgBZAQAApQUAAAAA&#10;">
                <v:fill on="t" focussize="0,0"/>
                <v:stroke color="#000000" joinstyle="round"/>
                <v:imagedata o:title=""/>
                <o:lock v:ext="edit" aspectratio="f"/>
                <v:textbox>
                  <w:txbxContent>
                    <w:p w14:paraId="45CF3751"/>
                  </w:txbxContent>
                </v:textbox>
              </v:shape>
            </w:pict>
          </mc:Fallback>
        </mc:AlternateContent>
      </w:r>
      <w:r>
        <w:rPr>
          <w:rFonts w:hint="default" w:ascii="Times New Roman" w:hAnsi="Times New Roman" w:cs="Times New Roman"/>
          <w:color w:val="000000" w:themeColor="text1"/>
          <w:highlight w:val="none"/>
          <w14:textFill>
            <w14:solidFill>
              <w14:schemeClr w14:val="tx1"/>
            </w14:solidFill>
          </w14:textFill>
        </w:rPr>
        <mc:AlternateContent>
          <mc:Choice Requires="wps">
            <w:drawing>
              <wp:anchor distT="0" distB="0" distL="114300" distR="114300" simplePos="0" relativeHeight="251681792" behindDoc="0" locked="0" layoutInCell="1" allowOverlap="1">
                <wp:simplePos x="0" y="0"/>
                <wp:positionH relativeFrom="column">
                  <wp:posOffset>3173095</wp:posOffset>
                </wp:positionH>
                <wp:positionV relativeFrom="paragraph">
                  <wp:posOffset>5367655</wp:posOffset>
                </wp:positionV>
                <wp:extent cx="2720340" cy="313055"/>
                <wp:effectExtent l="0" t="0" r="7620" b="6985"/>
                <wp:wrapNone/>
                <wp:docPr id="117" name="文本框 117"/>
                <wp:cNvGraphicFramePr/>
                <a:graphic xmlns:a="http://schemas.openxmlformats.org/drawingml/2006/main">
                  <a:graphicData uri="http://schemas.microsoft.com/office/word/2010/wordprocessingShape">
                    <wps:wsp>
                      <wps:cNvSpPr txBox="1"/>
                      <wps:spPr>
                        <a:xfrm>
                          <a:off x="4253230" y="6339840"/>
                          <a:ext cx="2720340" cy="313055"/>
                        </a:xfrm>
                        <a:prstGeom prst="rect">
                          <a:avLst/>
                        </a:prstGeom>
                        <a:solidFill>
                          <a:srgbClr val="FFFFFF"/>
                        </a:solidFill>
                        <a:ln w="6350">
                          <a:noFill/>
                        </a:ln>
                        <a:effectLst/>
                      </wps:spPr>
                      <wps:txbx>
                        <w:txbxContent>
                          <w:p w14:paraId="6D755430">
                            <w:pPr>
                              <w:pStyle w:val="18"/>
                              <w:rPr>
                                <w:rFonts w:hint="default" w:ascii="Times New Roman" w:hAnsi="Times New Roman" w:eastAsia="宋体"/>
                                <w:b/>
                                <w:bCs/>
                                <w:sz w:val="24"/>
                                <w:szCs w:val="32"/>
                                <w:lang w:val="en-US" w:eastAsia="zh-CN"/>
                              </w:rPr>
                            </w:pPr>
                            <w:r>
                              <w:rPr>
                                <w:rFonts w:ascii="Times New Roman" w:hAnsi="Times New Roman"/>
                                <w:b/>
                                <w:bCs/>
                                <w:sz w:val="24"/>
                                <w:szCs w:val="32"/>
                              </w:rPr>
                              <w:t xml:space="preserve">附图5 </w:t>
                            </w:r>
                            <w:r>
                              <w:rPr>
                                <w:rFonts w:hint="eastAsia" w:ascii="Times New Roman" w:hAnsi="Times New Roman"/>
                                <w:b/>
                                <w:bCs/>
                                <w:sz w:val="24"/>
                                <w:szCs w:val="32"/>
                                <w:lang w:val="en-US" w:eastAsia="zh-CN"/>
                              </w:rPr>
                              <w:t>卫生防护距离包络线图</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85pt;margin-top:422.65pt;height:24.65pt;width:214.2pt;z-index:251681792;mso-width-relative:page;mso-height-relative:page;" fillcolor="#FFFFFF" filled="t" stroked="f" coordsize="21600,21600" o:gfxdata="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6uWF81wAAAAsBAAAPAAAAAAAAAAEAIAAAACIAAABkcnMvZG93bnJldi54bWxQSwECFAAUAAAA&#10;CACHTuJAlXxsu2ECAACtBAAADgAAAAAAAAABACAAAAAmAQAAZHJzL2Uyb0RvYy54bWxQSwUGAAAA&#10;AAYABgBZAQAA+QUAAAAA&#10;">
                <v:fill on="t" focussize="0,0"/>
                <v:stroke on="f" weight="0.5pt"/>
                <v:imagedata o:title=""/>
                <o:lock v:ext="edit" aspectratio="f"/>
                <v:textbox>
                  <w:txbxContent>
                    <w:p w14:paraId="6D755430">
                      <w:pPr>
                        <w:pStyle w:val="18"/>
                        <w:rPr>
                          <w:rFonts w:hint="default" w:ascii="Times New Roman" w:hAnsi="Times New Roman" w:eastAsia="宋体"/>
                          <w:b/>
                          <w:bCs/>
                          <w:sz w:val="24"/>
                          <w:szCs w:val="32"/>
                          <w:lang w:val="en-US" w:eastAsia="zh-CN"/>
                        </w:rPr>
                      </w:pPr>
                      <w:r>
                        <w:rPr>
                          <w:rFonts w:ascii="Times New Roman" w:hAnsi="Times New Roman"/>
                          <w:b/>
                          <w:bCs/>
                          <w:sz w:val="24"/>
                          <w:szCs w:val="32"/>
                        </w:rPr>
                        <w:t xml:space="preserve">附图5 </w:t>
                      </w:r>
                      <w:r>
                        <w:rPr>
                          <w:rFonts w:hint="eastAsia" w:ascii="Times New Roman" w:hAnsi="Times New Roman"/>
                          <w:b/>
                          <w:bCs/>
                          <w:sz w:val="24"/>
                          <w:szCs w:val="32"/>
                          <w:lang w:val="en-US" w:eastAsia="zh-CN"/>
                        </w:rPr>
                        <w:t>卫生防护距离包络线图</w:t>
                      </w:r>
                    </w:p>
                  </w:txbxContent>
                </v:textbox>
              </v:shape>
            </w:pict>
          </mc:Fallback>
        </mc:AlternateContent>
      </w:r>
      <w:r>
        <w:drawing>
          <wp:inline distT="0" distB="0" distL="114300" distR="114300">
            <wp:extent cx="8529320" cy="5234305"/>
            <wp:effectExtent l="0" t="0" r="5080" b="8255"/>
            <wp:docPr id="85"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图片 14"/>
                    <pic:cNvPicPr>
                      <a:picLocks noChangeAspect="1"/>
                    </pic:cNvPicPr>
                  </pic:nvPicPr>
                  <pic:blipFill>
                    <a:blip r:embed="rId21"/>
                    <a:stretch>
                      <a:fillRect/>
                    </a:stretch>
                  </pic:blipFill>
                  <pic:spPr>
                    <a:xfrm>
                      <a:off x="0" y="0"/>
                      <a:ext cx="8529320" cy="5234305"/>
                    </a:xfrm>
                    <a:prstGeom prst="rect">
                      <a:avLst/>
                    </a:prstGeom>
                    <a:noFill/>
                    <a:ln>
                      <a:noFill/>
                    </a:ln>
                  </pic:spPr>
                </pic:pic>
              </a:graphicData>
            </a:graphic>
          </wp:inline>
        </w:drawing>
      </w:r>
      <w:r>
        <w:rPr>
          <w:sz w:val="21"/>
        </w:rPr>
        <mc:AlternateContent>
          <mc:Choice Requires="wpg">
            <w:drawing>
              <wp:anchor distT="0" distB="0" distL="114300" distR="114300" simplePos="0" relativeHeight="251700224" behindDoc="0" locked="0" layoutInCell="1" allowOverlap="1">
                <wp:simplePos x="0" y="0"/>
                <wp:positionH relativeFrom="column">
                  <wp:posOffset>3268345</wp:posOffset>
                </wp:positionH>
                <wp:positionV relativeFrom="paragraph">
                  <wp:posOffset>1546225</wp:posOffset>
                </wp:positionV>
                <wp:extent cx="1846580" cy="1934210"/>
                <wp:effectExtent l="14605" t="14605" r="28575" b="17145"/>
                <wp:wrapNone/>
                <wp:docPr id="164" name="组合 164"/>
                <wp:cNvGraphicFramePr/>
                <a:graphic xmlns:a="http://schemas.openxmlformats.org/drawingml/2006/main">
                  <a:graphicData uri="http://schemas.microsoft.com/office/word/2010/wordprocessingGroup">
                    <wpg:wgp>
                      <wpg:cNvGrpSpPr/>
                      <wpg:grpSpPr>
                        <a:xfrm>
                          <a:off x="0" y="0"/>
                          <a:ext cx="1846580" cy="1934210"/>
                          <a:chOff x="10742" y="1178113"/>
                          <a:chExt cx="2908" cy="3046"/>
                        </a:xfrm>
                      </wpg:grpSpPr>
                      <wpg:grpSp>
                        <wpg:cNvPr id="163" name="组合 163"/>
                        <wpg:cNvGrpSpPr/>
                        <wpg:grpSpPr>
                          <a:xfrm>
                            <a:off x="11019" y="1178113"/>
                            <a:ext cx="2408" cy="2408"/>
                            <a:chOff x="11019" y="1178113"/>
                            <a:chExt cx="2408" cy="2408"/>
                          </a:xfrm>
                        </wpg:grpSpPr>
                        <wps:wsp>
                          <wps:cNvPr id="92" name="弧形 92"/>
                          <wps:cNvSpPr/>
                          <wps:spPr>
                            <a:xfrm rot="20220000">
                              <a:off x="11019" y="1178113"/>
                              <a:ext cx="2409" cy="2409"/>
                            </a:xfrm>
                            <a:prstGeom prst="arc">
                              <a:avLst/>
                            </a:prstGeom>
                            <a:ln w="28575">
                              <a:solidFill>
                                <a:srgbClr val="00B050"/>
                              </a:solidFill>
                            </a:ln>
                          </wps:spPr>
                          <wps:style>
                            <a:lnRef idx="1">
                              <a:schemeClr val="accent1"/>
                            </a:lnRef>
                            <a:fillRef idx="0">
                              <a:schemeClr val="accent1"/>
                            </a:fillRef>
                            <a:effectRef idx="0">
                              <a:schemeClr val="accent1"/>
                            </a:effectRef>
                            <a:fontRef idx="minor">
                              <a:schemeClr val="tx1"/>
                            </a:fontRef>
                          </wps:style>
                          <wps:bodyPr/>
                        </wps:wsp>
                        <wps:wsp>
                          <wps:cNvPr id="115" name="直接连接符 115"/>
                          <wps:cNvCnPr>
                            <a:stCxn id="92" idx="0"/>
                          </wps:cNvCnPr>
                          <wps:spPr>
                            <a:xfrm flipH="1">
                              <a:off x="11476" y="1178209"/>
                              <a:ext cx="276" cy="116"/>
                            </a:xfrm>
                            <a:prstGeom prst="line">
                              <a:avLst/>
                            </a:prstGeom>
                            <a:ln w="28575">
                              <a:solidFill>
                                <a:srgbClr val="00B050"/>
                              </a:solidFill>
                            </a:ln>
                          </wps:spPr>
                          <wps:style>
                            <a:lnRef idx="1">
                              <a:schemeClr val="accent1"/>
                            </a:lnRef>
                            <a:fillRef idx="0">
                              <a:schemeClr val="accent1"/>
                            </a:fillRef>
                            <a:effectRef idx="0">
                              <a:schemeClr val="accent1"/>
                            </a:effectRef>
                            <a:fontRef idx="minor">
                              <a:schemeClr val="tx1"/>
                            </a:fontRef>
                          </wps:style>
                          <wps:bodyPr/>
                        </wps:wsp>
                      </wpg:grpSp>
                      <wpg:grpSp>
                        <wpg:cNvPr id="125" name="组合 125"/>
                        <wpg:cNvGrpSpPr/>
                        <wpg:grpSpPr>
                          <a:xfrm>
                            <a:off x="10742" y="1178229"/>
                            <a:ext cx="2908" cy="2930"/>
                            <a:chOff x="7131" y="1156170"/>
                            <a:chExt cx="2908" cy="2930"/>
                          </a:xfrm>
                        </wpg:grpSpPr>
                        <wps:wsp>
                          <wps:cNvPr id="104" name="弧形 92"/>
                          <wps:cNvSpPr/>
                          <wps:spPr>
                            <a:xfrm rot="14820000">
                              <a:off x="7131" y="1156170"/>
                              <a:ext cx="2409" cy="2409"/>
                            </a:xfrm>
                            <a:prstGeom prst="arc">
                              <a:avLst/>
                            </a:prstGeom>
                            <a:ln w="28575">
                              <a:solidFill>
                                <a:srgbClr val="00B050"/>
                              </a:solidFill>
                            </a:ln>
                          </wps:spPr>
                          <wps:style>
                            <a:lnRef idx="1">
                              <a:schemeClr val="accent1"/>
                            </a:lnRef>
                            <a:fillRef idx="0">
                              <a:schemeClr val="accent1"/>
                            </a:fillRef>
                            <a:effectRef idx="0">
                              <a:schemeClr val="accent1"/>
                            </a:effectRef>
                            <a:fontRef idx="minor">
                              <a:schemeClr val="tx1"/>
                            </a:fontRef>
                          </wps:style>
                          <wps:bodyPr/>
                        </wps:wsp>
                        <wps:wsp>
                          <wps:cNvPr id="109" name="弧形 92"/>
                          <wps:cNvSpPr/>
                          <wps:spPr>
                            <a:xfrm rot="9420000">
                              <a:off x="7352" y="1156691"/>
                              <a:ext cx="2409" cy="2409"/>
                            </a:xfrm>
                            <a:prstGeom prst="arc">
                              <a:avLst/>
                            </a:prstGeom>
                            <a:ln w="28575">
                              <a:solidFill>
                                <a:srgbClr val="00B050"/>
                              </a:solidFill>
                            </a:ln>
                          </wps:spPr>
                          <wps:style>
                            <a:lnRef idx="1">
                              <a:schemeClr val="accent1"/>
                            </a:lnRef>
                            <a:fillRef idx="0">
                              <a:schemeClr val="accent1"/>
                            </a:fillRef>
                            <a:effectRef idx="0">
                              <a:schemeClr val="accent1"/>
                            </a:effectRef>
                            <a:fontRef idx="minor">
                              <a:schemeClr val="tx1"/>
                            </a:fontRef>
                          </wps:style>
                          <wps:bodyPr/>
                        </wps:wsp>
                        <wps:wsp>
                          <wps:cNvPr id="114" name="弧形 92"/>
                          <wps:cNvSpPr/>
                          <wps:spPr>
                            <a:xfrm rot="4020000">
                              <a:off x="7630" y="1156573"/>
                              <a:ext cx="2409" cy="2409"/>
                            </a:xfrm>
                            <a:prstGeom prst="arc">
                              <a:avLst/>
                            </a:prstGeom>
                            <a:ln w="28575">
                              <a:solidFill>
                                <a:srgbClr val="00B050"/>
                              </a:solidFill>
                            </a:ln>
                          </wps:spPr>
                          <wps:style>
                            <a:lnRef idx="1">
                              <a:schemeClr val="accent1"/>
                            </a:lnRef>
                            <a:fillRef idx="0">
                              <a:schemeClr val="accent1"/>
                            </a:fillRef>
                            <a:effectRef idx="0">
                              <a:schemeClr val="accent1"/>
                            </a:effectRef>
                            <a:fontRef idx="minor">
                              <a:schemeClr val="tx1"/>
                            </a:fontRef>
                          </wps:style>
                          <wps:bodyPr/>
                        </wps:wsp>
                        <wps:wsp>
                          <wps:cNvPr id="116" name="直接连接符 116"/>
                          <wps:cNvCnPr>
                            <a:stCxn id="92" idx="2"/>
                            <a:endCxn id="114" idx="0"/>
                          </wps:cNvCnPr>
                          <wps:spPr>
                            <a:xfrm>
                              <a:off x="9722" y="1156788"/>
                              <a:ext cx="221" cy="519"/>
                            </a:xfrm>
                            <a:prstGeom prst="line">
                              <a:avLst/>
                            </a:prstGeom>
                            <a:ln w="28575">
                              <a:solidFill>
                                <a:srgbClr val="00B050"/>
                              </a:solidFill>
                            </a:ln>
                          </wps:spPr>
                          <wps:style>
                            <a:lnRef idx="1">
                              <a:schemeClr val="accent1"/>
                            </a:lnRef>
                            <a:fillRef idx="0">
                              <a:schemeClr val="accent1"/>
                            </a:fillRef>
                            <a:effectRef idx="0">
                              <a:schemeClr val="accent1"/>
                            </a:effectRef>
                            <a:fontRef idx="minor">
                              <a:schemeClr val="tx1"/>
                            </a:fontRef>
                          </wps:style>
                          <wps:bodyPr/>
                        </wps:wsp>
                        <wps:wsp>
                          <wps:cNvPr id="118" name="直接连接符 118"/>
                          <wps:cNvCnPr>
                            <a:stCxn id="104" idx="0"/>
                            <a:endCxn id="109" idx="2"/>
                          </wps:cNvCnPr>
                          <wps:spPr>
                            <a:xfrm>
                              <a:off x="7227" y="1157845"/>
                              <a:ext cx="221" cy="521"/>
                            </a:xfrm>
                            <a:prstGeom prst="line">
                              <a:avLst/>
                            </a:prstGeom>
                            <a:ln w="28575">
                              <a:solidFill>
                                <a:srgbClr val="00B050"/>
                              </a:solidFill>
                            </a:ln>
                          </wps:spPr>
                          <wps:style>
                            <a:lnRef idx="1">
                              <a:schemeClr val="accent1"/>
                            </a:lnRef>
                            <a:fillRef idx="0">
                              <a:schemeClr val="accent1"/>
                            </a:fillRef>
                            <a:effectRef idx="0">
                              <a:schemeClr val="accent1"/>
                            </a:effectRef>
                            <a:fontRef idx="minor">
                              <a:schemeClr val="tx1"/>
                            </a:fontRef>
                          </wps:style>
                          <wps:bodyPr/>
                        </wps:wsp>
                        <wps:wsp>
                          <wps:cNvPr id="119" name="直接连接符 119"/>
                          <wps:cNvCnPr>
                            <a:stCxn id="109" idx="0"/>
                            <a:endCxn id="114" idx="2"/>
                          </wps:cNvCnPr>
                          <wps:spPr>
                            <a:xfrm flipV="1">
                              <a:off x="9027" y="1158886"/>
                              <a:ext cx="278" cy="118"/>
                            </a:xfrm>
                            <a:prstGeom prst="line">
                              <a:avLst/>
                            </a:prstGeom>
                            <a:ln w="28575">
                              <a:solidFill>
                                <a:srgbClr val="00B050"/>
                              </a:solidFill>
                            </a:ln>
                          </wps:spPr>
                          <wps:style>
                            <a:lnRef idx="1">
                              <a:schemeClr val="accent1"/>
                            </a:lnRef>
                            <a:fillRef idx="0">
                              <a:schemeClr val="accent1"/>
                            </a:fillRef>
                            <a:effectRef idx="0">
                              <a:schemeClr val="accent1"/>
                            </a:effectRef>
                            <a:fontRef idx="minor">
                              <a:schemeClr val="tx1"/>
                            </a:fontRef>
                          </wps:style>
                          <wps:bodyPr/>
                        </wps:wsp>
                      </wpg:grpSp>
                    </wpg:wgp>
                  </a:graphicData>
                </a:graphic>
              </wp:anchor>
            </w:drawing>
          </mc:Choice>
          <mc:Fallback>
            <w:pict>
              <v:group id="_x0000_s1026" o:spid="_x0000_s1026" o:spt="203" style="position:absolute;left:0pt;margin-left:257.35pt;margin-top:121.75pt;height:152.3pt;width:145.4pt;z-index:251700224;mso-width-relative:page;mso-height-relative:page;" coordorigin="10742,1178113" coordsize="2908,3046" o:gfxdata="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">
                <o:lock v:ext="edit" aspectratio="f"/>
                <v:group id="_x0000_s1026" o:spid="_x0000_s1026" o:spt="203" style="position:absolute;left:11019;top:1178113;height:2408;width:2408;" coordorigin="11019,1178113" coordsize="2408,2408" o:gfxdata="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oJfmBr0AAADcAAAADwAAAAAAAAABACAAAAAiAAAAZHJzL2Rvd25yZXYueG1s&#10;UEsBAhQAFAAAAAgAh07iQDMvBZ47AAAAOQAAABUAAAAAAAAAAQAgAAAADAEAAGRycy9ncm91cHNo&#10;YXBleG1sLnhtbFBLBQYAAAAABgAGAGABAADJAwAAAAA=&#10;">
                  <o:lock v:ext="edit" aspectratio="f"/>
                  <v:shape id="_x0000_s1026" o:spid="_x0000_s1026" style="position:absolute;left:11019;top:1178113;height:2409;width:2409;rotation:-1507328f;" filled="f" stroked="t" coordsize="2409,2409" o:gfxdata="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Wz79u/&#10;AAAA2wAAAA8AAAAAAAAAAQAgAAAAIgAAAGRycy9kb3ducmV2LnhtbFBLAQIUABQAAAAIAIdO4kAz&#10;LwWeOwAAADkAAAAQAAAAAAAAAAEAIAAAAA4BAABkcnMvc2hhcGV4bWwueG1sUEsFBgAAAAAGAAYA&#10;WwEAALgDAAAAAA==&#10;" path="m1204,0nsc1869,0,2408,539,2408,1204l1204,1204xem1204,0nfc1869,0,2408,539,2408,1204e">
                    <v:path o:connectlocs="1204,0;1204,1204;2409,1204" o:connectangles="164,123,82"/>
                    <v:fill on="f" focussize="0,0"/>
                    <v:stroke weight="2.25pt" color="#00B050 [3204]" joinstyle="round"/>
                    <v:imagedata o:title=""/>
                    <o:lock v:ext="edit" aspectratio="f"/>
                  </v:shape>
                  <v:line id="_x0000_s1026" o:spid="_x0000_s1026" o:spt="20" style="position:absolute;left:11476;top:1178209;flip:x;height:116;width:276;" filled="f" stroked="t" coordsize="21600,21600" o:gfxdata="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ttXowLsAAADc&#10;AAAADwAAAAAAAAABACAAAAAiAAAAZHJzL2Rvd25yZXYueG1sUEsBAhQAFAAAAAgAh07iQDMvBZ47&#10;AAAAOQAAABAAAAAAAAAAAQAgAAAACgEAAGRycy9zaGFwZXhtbC54bWxQSwUGAAAAAAYABgBbAQAA&#10;tAMAAAAA&#10;">
                    <v:fill on="f" focussize="0,0"/>
                    <v:stroke weight="2.25pt" color="#00B050 [3204]" joinstyle="round"/>
                    <v:imagedata o:title=""/>
                    <o:lock v:ext="edit" aspectratio="f"/>
                  </v:line>
                </v:group>
                <v:group id="_x0000_s1026" o:spid="_x0000_s1026" o:spt="203" style="position:absolute;left:10742;top:1178229;height:2930;width:2908;" coordorigin="7131,1156170" coordsize="2908,2930" o:gfxdata="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DWWGIpvAAAANwAAAAPAAAAAAAAAAEAIAAAACIAAABkcnMvZG93bnJldi54bWxQ&#10;SwECFAAUAAAACACHTuJAMy8FnjsAAAA5AAAAFQAAAAAAAAABACAAAAALAQAAZHJzL2dyb3Vwc2hh&#10;cGV4bWwueG1sUEsFBgAAAAAGAAYAYAEAAMgDAAAAAA==&#10;">
                  <o:lock v:ext="edit" aspectratio="f"/>
                  <v:shape id="弧形 92" o:spid="_x0000_s1026" style="position:absolute;left:7131;top:1156170;height:2409;width:2409;rotation:-7405568f;" filled="f" stroked="t" coordsize="2409,2409" o:gfxdata="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1HRVyLgAAADcAAAA&#10;DwAAAAAAAAABACAAAAAiAAAAZHJzL2Rvd25yZXYueG1sUEsBAhQAFAAAAAgAh07iQDMvBZ47AAAA&#10;OQAAABAAAAAAAAAAAQAgAAAABwEAAGRycy9zaGFwZXhtbC54bWxQSwUGAAAAAAYABgBbAQAAsQMA&#10;AAAA&#10;" path="m1204,0nsc1869,0,2408,539,2408,1204l1204,1204xem1204,0nfc1869,0,2408,539,2408,1204e">
                    <v:path o:connectlocs="1204,0;1204,1204;2409,1204" o:connectangles="164,123,82"/>
                    <v:fill on="f" focussize="0,0"/>
                    <v:stroke weight="2.25pt" color="#00B050 [3204]" joinstyle="round"/>
                    <v:imagedata o:title=""/>
                    <o:lock v:ext="edit" aspectratio="f"/>
                  </v:shape>
                  <v:shape id="弧形 92" o:spid="_x0000_s1026" style="position:absolute;left:7352;top:1156691;height:2409;width:2409;rotation:10289152f;" filled="f" stroked="t" coordsize="2409,2409" o:gfxdata="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xy/zb4A&#10;AADcAAAADwAAAAAAAAABACAAAAAiAAAAZHJzL2Rvd25yZXYueG1sUEsBAhQAFAAAAAgAh07iQDMv&#10;BZ47AAAAOQAAABAAAAAAAAAAAQAgAAAADQEAAGRycy9zaGFwZXhtbC54bWxQSwUGAAAAAAYABgBb&#10;AQAAtwMAAAAA&#10;" path="m1204,0nsc1869,0,2408,539,2408,1204l1204,1204xem1204,0nfc1869,0,2408,539,2408,1204e">
                    <v:path o:connectlocs="1204,0;1204,1204;2409,1204" o:connectangles="164,123,82"/>
                    <v:fill on="f" focussize="0,0"/>
                    <v:stroke weight="2.25pt" color="#00B050 [3204]" joinstyle="round"/>
                    <v:imagedata o:title=""/>
                    <o:lock v:ext="edit" aspectratio="f"/>
                  </v:shape>
                  <v:shape id="弧形 92" o:spid="_x0000_s1026" style="position:absolute;left:7630;top:1156573;height:2409;width:2409;rotation:4390912f;" filled="f" stroked="t" coordsize="2409,2409" o:gfxdata="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AbwD7+twAAANwAAAAP&#10;AAAAAAAAAAEAIAAAACIAAABkcnMvZG93bnJldi54bWxQSwECFAAUAAAACACHTuJAMy8FnjsAAAA5&#10;AAAAEAAAAAAAAAABACAAAAAGAQAAZHJzL3NoYXBleG1sLnhtbFBLBQYAAAAABgAGAFsBAACwAwAA&#10;AAA=&#10;" path="m1204,0nsc1869,0,2408,539,2408,1204l1204,1204xem1204,0nfc1869,0,2408,539,2408,1204e">
                    <v:path o:connectlocs="1204,0;1204,1204;2409,1204" o:connectangles="164,123,82"/>
                    <v:fill on="f" focussize="0,0"/>
                    <v:stroke weight="2.25pt" color="#00B050 [3204]" joinstyle="round"/>
                    <v:imagedata o:title=""/>
                    <o:lock v:ext="edit" aspectratio="f"/>
                  </v:shape>
                  <v:line id="_x0000_s1026" o:spid="_x0000_s1026" o:spt="20" style="position:absolute;left:9722;top:1156788;height:519;width:221;" filled="f" stroked="t" coordsize="21600,21600" o:gfxdata="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v1dENugAAANwA&#10;AAAPAAAAAAAAAAEAIAAAACIAAABkcnMvZG93bnJldi54bWxQSwECFAAUAAAACACHTuJAMy8FnjsA&#10;AAA5AAAAEAAAAAAAAAABACAAAAAJAQAAZHJzL3NoYXBleG1sLnhtbFBLBQYAAAAABgAGAFsBAACz&#10;AwAAAAA=&#10;">
                    <v:fill on="f" focussize="0,0"/>
                    <v:stroke weight="2.25pt" color="#00B050 [3204]" joinstyle="round"/>
                    <v:imagedata o:title=""/>
                    <o:lock v:ext="edit" aspectratio="f"/>
                  </v:line>
                  <v:line id="_x0000_s1026" o:spid="_x0000_s1026" o:spt="20" style="position:absolute;left:7227;top:1157845;height:521;width:221;" filled="f" stroked="t" coordsize="21600,21600" o:gfxdata="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xBuDkvQAA&#10;ANwAAAAPAAAAAAAAAAEAIAAAACIAAABkcnMvZG93bnJldi54bWxQSwECFAAUAAAACACHTuJAMy8F&#10;njsAAAA5AAAAEAAAAAAAAAABACAAAAAMAQAAZHJzL3NoYXBleG1sLnhtbFBLBQYAAAAABgAGAFsB&#10;AAC2AwAAAAA=&#10;">
                    <v:fill on="f" focussize="0,0"/>
                    <v:stroke weight="2.25pt" color="#00B050 [3204]" joinstyle="round"/>
                    <v:imagedata o:title=""/>
                    <o:lock v:ext="edit" aspectratio="f"/>
                  </v:line>
                  <v:line id="_x0000_s1026" o:spid="_x0000_s1026" o:spt="20" style="position:absolute;left:9027;top:1158886;flip:y;height:118;width:278;" filled="f" stroked="t" coordsize="21600,21600" o:gfxdata="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N5jixbsAAADc&#10;AAAADwAAAAAAAAABACAAAAAiAAAAZHJzL2Rvd25yZXYueG1sUEsBAhQAFAAAAAgAh07iQDMvBZ47&#10;AAAAOQAAABAAAAAAAAAAAQAgAAAACgEAAGRycy9zaGFwZXhtbC54bWxQSwUGAAAAAAYABgBbAQAA&#10;tAMAAAAA&#10;">
                    <v:fill on="f" focussize="0,0"/>
                    <v:stroke weight="2.25pt" color="#00B050 [3204]" joinstyle="round"/>
                    <v:imagedata o:title=""/>
                    <o:lock v:ext="edit" aspectratio="f"/>
                  </v:line>
                </v:group>
              </v:group>
            </w:pict>
          </mc:Fallback>
        </mc:AlternateContent>
      </w:r>
      <w:r>
        <w:rPr>
          <w:sz w:val="21"/>
        </w:rPr>
        <mc:AlternateContent>
          <mc:Choice Requires="wps">
            <w:drawing>
              <wp:anchor distT="0" distB="0" distL="114300" distR="114300" simplePos="0" relativeHeight="251697152" behindDoc="0" locked="0" layoutInCell="1" allowOverlap="1">
                <wp:simplePos x="0" y="0"/>
                <wp:positionH relativeFrom="column">
                  <wp:posOffset>4093210</wp:posOffset>
                </wp:positionH>
                <wp:positionV relativeFrom="paragraph">
                  <wp:posOffset>2332355</wp:posOffset>
                </wp:positionV>
                <wp:extent cx="194945" cy="363855"/>
                <wp:effectExtent l="73025" t="33020" r="82550" b="45085"/>
                <wp:wrapNone/>
                <wp:docPr id="86" name="矩形 86"/>
                <wp:cNvGraphicFramePr/>
                <a:graphic xmlns:a="http://schemas.openxmlformats.org/drawingml/2006/main">
                  <a:graphicData uri="http://schemas.microsoft.com/office/word/2010/wordprocessingShape">
                    <wps:wsp>
                      <wps:cNvSpPr/>
                      <wps:spPr>
                        <a:xfrm rot="20220000">
                          <a:off x="5139055" y="3347085"/>
                          <a:ext cx="194945" cy="363855"/>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22.3pt;margin-top:183.65pt;height:28.65pt;width:15.35pt;rotation:-1507328f;z-index:251697152;v-text-anchor:middle;mso-width-relative:page;mso-height-relative:page;" filled="f" stroked="t" coordsize="21600,21600" o:gfxdata="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">
                <v:fill on="f" focussize="0,0"/>
                <v:stroke weight="1.5pt" color="#FF0000 [3204]" joinstyle="round"/>
                <v:imagedata o:title=""/>
                <o:lock v:ext="edit" aspectratio="f"/>
              </v:rect>
            </w:pict>
          </mc:Fallback>
        </mc:AlternateContent>
      </w:r>
    </w:p>
    <w:p w14:paraId="2CC07ED7">
      <w:pPr>
        <w:rPr>
          <w:rFonts w:hint="default" w:ascii="Times New Roman" w:hAnsi="Times New Roman" w:cs="Times New Roman"/>
          <w:color w:val="000000" w:themeColor="text1"/>
          <w:highlight w:val="none"/>
          <w14:textFill>
            <w14:solidFill>
              <w14:schemeClr w14:val="tx1"/>
            </w14:solidFill>
          </w14:textFill>
        </w:rPr>
        <w:sectPr>
          <w:pgSz w:w="16838" w:h="11906" w:orient="landscape"/>
          <w:pgMar w:top="1531" w:right="1701" w:bottom="1531" w:left="1701" w:header="851" w:footer="851" w:gutter="0"/>
          <w:pgBorders>
            <w:top w:val="none" w:sz="0" w:space="0"/>
            <w:left w:val="none" w:sz="0" w:space="0"/>
            <w:bottom w:val="none" w:sz="0" w:space="0"/>
            <w:right w:val="none" w:sz="0" w:space="0"/>
          </w:pgBorders>
          <w:cols w:space="720" w:num="1"/>
          <w:docGrid w:linePitch="312" w:charSpace="0"/>
        </w:sectPr>
      </w:pPr>
    </w:p>
    <w:p w14:paraId="43C7DB58">
      <w:pPr>
        <w:ind w:left="210" w:hanging="210" w:hangingChars="10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附件1 环评委托书</w:t>
      </w:r>
    </w:p>
    <w:p w14:paraId="1C9FE849">
      <w:pPr>
        <w:pStyle w:val="18"/>
        <w:rPr>
          <w:rFonts w:hint="eastAsia" w:ascii="Times New Roman" w:hAnsi="Times New Roman" w:eastAsia="宋体" w:cs="Times New Roman"/>
          <w:color w:val="000000" w:themeColor="text1"/>
          <w:highlight w:val="none"/>
          <w:lang w:eastAsia="zh-CN"/>
          <w14:textFill>
            <w14:solidFill>
              <w14:schemeClr w14:val="tx1"/>
            </w14:solidFill>
          </w14:textFill>
        </w:rPr>
      </w:pPr>
    </w:p>
    <w:p w14:paraId="1A0DDA26">
      <w:pPr>
        <w:pStyle w:val="18"/>
        <w:rPr>
          <w:rFonts w:hint="eastAsia" w:ascii="Times New Roman" w:hAnsi="Times New Roman" w:eastAsia="宋体" w:cs="Times New Roman"/>
          <w:color w:val="000000" w:themeColor="text1"/>
          <w:highlight w:val="none"/>
          <w:lang w:eastAsia="zh-CN"/>
          <w14:textFill>
            <w14:solidFill>
              <w14:schemeClr w14:val="tx1"/>
            </w14:solidFill>
          </w14:textFill>
        </w:rPr>
      </w:pPr>
      <w:r>
        <w:rPr>
          <w:rFonts w:hint="eastAsia" w:ascii="Times New Roman" w:hAnsi="Times New Roman" w:eastAsia="宋体" w:cs="Times New Roman"/>
          <w:color w:val="000000" w:themeColor="text1"/>
          <w:highlight w:val="none"/>
          <w:lang w:eastAsia="zh-CN"/>
          <w14:textFill>
            <w14:solidFill>
              <w14:schemeClr w14:val="tx1"/>
            </w14:solidFill>
          </w14:textFill>
        </w:rPr>
        <w:drawing>
          <wp:inline distT="0" distB="0" distL="114300" distR="114300">
            <wp:extent cx="5127625" cy="8083550"/>
            <wp:effectExtent l="0" t="0" r="8255" b="8890"/>
            <wp:docPr id="5" name="图片 5" descr="a547ab31f0ff501bff09ff65dd5159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a547ab31f0ff501bff09ff65dd5159b"/>
                    <pic:cNvPicPr>
                      <a:picLocks noChangeAspect="1"/>
                    </pic:cNvPicPr>
                  </pic:nvPicPr>
                  <pic:blipFill>
                    <a:blip r:embed="rId22"/>
                    <a:srcRect t="3276" b="8041"/>
                    <a:stretch>
                      <a:fillRect/>
                    </a:stretch>
                  </pic:blipFill>
                  <pic:spPr>
                    <a:xfrm>
                      <a:off x="0" y="0"/>
                      <a:ext cx="5127625" cy="8083550"/>
                    </a:xfrm>
                    <a:prstGeom prst="rect">
                      <a:avLst/>
                    </a:prstGeom>
                  </pic:spPr>
                </pic:pic>
              </a:graphicData>
            </a:graphic>
          </wp:inline>
        </w:drawing>
      </w:r>
    </w:p>
    <w:p w14:paraId="4F631A31">
      <w:pPr>
        <w:ind w:left="210" w:hanging="210" w:hangingChars="100"/>
        <w:rPr>
          <w:rFonts w:hint="default" w:ascii="Times New Roman" w:hAnsi="Times New Roman" w:cs="Times New Roman"/>
          <w:color w:val="000000" w:themeColor="text1"/>
          <w:highlight w:val="none"/>
          <w14:textFill>
            <w14:solidFill>
              <w14:schemeClr w14:val="tx1"/>
            </w14:solidFill>
          </w14:textFill>
        </w:rPr>
      </w:pPr>
    </w:p>
    <w:p w14:paraId="4242D6C1">
      <w:pPr>
        <w:ind w:left="210" w:hanging="210" w:hangingChars="100"/>
        <w:rPr>
          <w:rFonts w:hint="default" w:ascii="Times New Roman" w:hAnsi="Times New Roman" w:cs="Times New Roman"/>
          <w:color w:val="000000" w:themeColor="text1"/>
          <w:highlight w:val="none"/>
          <w14:textFill>
            <w14:solidFill>
              <w14:schemeClr w14:val="tx1"/>
            </w14:solidFill>
          </w14:textFill>
        </w:rPr>
      </w:pPr>
    </w:p>
    <w:p w14:paraId="5E370ABA">
      <w:pPr>
        <w:ind w:left="210" w:hanging="210" w:hangingChars="100"/>
        <w:rPr>
          <w:rFonts w:hint="default" w:ascii="Times New Roman" w:hAnsi="Times New Roman" w:cs="Times New Roman"/>
          <w:color w:val="000000" w:themeColor="text1"/>
          <w:highlight w:val="none"/>
          <w14:textFill>
            <w14:solidFill>
              <w14:schemeClr w14:val="tx1"/>
            </w14:solidFill>
          </w14:textFill>
        </w:rPr>
      </w:pPr>
    </w:p>
    <w:p w14:paraId="64C8E4E8">
      <w:pPr>
        <w:ind w:left="210" w:hanging="210" w:hangingChars="10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附件2项目立项文件</w:t>
      </w:r>
    </w:p>
    <w:p w14:paraId="221D6861">
      <w:pPr>
        <w:ind w:left="210" w:hanging="210" w:hangingChars="100"/>
        <w:rPr>
          <w:rFonts w:hint="eastAsia" w:ascii="Times New Roman" w:hAnsi="Times New Roman" w:eastAsia="宋体" w:cs="Times New Roman"/>
          <w:color w:val="000000" w:themeColor="text1"/>
          <w:highlight w:val="none"/>
          <w:lang w:eastAsia="zh-CN"/>
          <w14:textFill>
            <w14:solidFill>
              <w14:schemeClr w14:val="tx1"/>
            </w14:solidFill>
          </w14:textFill>
        </w:rPr>
      </w:pPr>
      <w:r>
        <w:rPr>
          <w:rFonts w:hint="eastAsia" w:ascii="Times New Roman" w:hAnsi="Times New Roman" w:eastAsia="宋体" w:cs="Times New Roman"/>
          <w:color w:val="000000" w:themeColor="text1"/>
          <w:highlight w:val="none"/>
          <w:lang w:eastAsia="zh-CN"/>
          <w14:textFill>
            <w14:solidFill>
              <w14:schemeClr w14:val="tx1"/>
            </w14:solidFill>
          </w14:textFill>
        </w:rPr>
        <w:drawing>
          <wp:inline distT="0" distB="0" distL="114300" distR="114300">
            <wp:extent cx="5610225" cy="7483475"/>
            <wp:effectExtent l="0" t="0" r="13335" b="14605"/>
            <wp:docPr id="48" name="图片 48" descr="eed39f366d489ee519684a90bae5d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48" descr="eed39f366d489ee519684a90bae5d33"/>
                    <pic:cNvPicPr>
                      <a:picLocks noChangeAspect="1"/>
                    </pic:cNvPicPr>
                  </pic:nvPicPr>
                  <pic:blipFill>
                    <a:blip r:embed="rId23"/>
                    <a:stretch>
                      <a:fillRect/>
                    </a:stretch>
                  </pic:blipFill>
                  <pic:spPr>
                    <a:xfrm>
                      <a:off x="0" y="0"/>
                      <a:ext cx="5610225" cy="7483475"/>
                    </a:xfrm>
                    <a:prstGeom prst="rect">
                      <a:avLst/>
                    </a:prstGeom>
                  </pic:spPr>
                </pic:pic>
              </a:graphicData>
            </a:graphic>
          </wp:inline>
        </w:drawing>
      </w:r>
    </w:p>
    <w:p w14:paraId="70F931ED">
      <w:pPr>
        <w:ind w:left="210" w:hanging="210" w:hangingChars="100"/>
        <w:rPr>
          <w:rFonts w:hint="default" w:ascii="Times New Roman" w:hAnsi="Times New Roman" w:cs="Times New Roman"/>
          <w:color w:val="000000" w:themeColor="text1"/>
          <w:highlight w:val="none"/>
          <w14:textFill>
            <w14:solidFill>
              <w14:schemeClr w14:val="tx1"/>
            </w14:solidFill>
          </w14:textFill>
        </w:rPr>
      </w:pPr>
    </w:p>
    <w:p w14:paraId="340E9DDF">
      <w:pPr>
        <w:ind w:left="210" w:hanging="210" w:hangingChars="100"/>
        <w:rPr>
          <w:rFonts w:hint="default" w:ascii="Times New Roman" w:hAnsi="Times New Roman" w:cs="Times New Roman"/>
          <w:color w:val="000000" w:themeColor="text1"/>
          <w:highlight w:val="none"/>
          <w14:textFill>
            <w14:solidFill>
              <w14:schemeClr w14:val="tx1"/>
            </w14:solidFill>
          </w14:textFill>
        </w:rPr>
      </w:pPr>
    </w:p>
    <w:p w14:paraId="4A2C6299">
      <w:pPr>
        <w:ind w:left="210" w:hanging="210" w:hangingChars="100"/>
        <w:rPr>
          <w:rFonts w:hint="eastAsia" w:cs="Times New Roman"/>
          <w:color w:val="000000" w:themeColor="text1"/>
          <w:highlight w:val="none"/>
          <w:lang w:val="en-US" w:eastAsia="zh-CN"/>
          <w14:textFill>
            <w14:solidFill>
              <w14:schemeClr w14:val="tx1"/>
            </w14:solidFill>
          </w14:textFill>
        </w:rPr>
      </w:pPr>
      <w:r>
        <w:rPr>
          <w:rFonts w:hint="eastAsia" w:cs="Times New Roman"/>
          <w:color w:val="000000" w:themeColor="text1"/>
          <w:highlight w:val="none"/>
          <w:lang w:val="en-US" w:eastAsia="zh-CN"/>
          <w14:textFill>
            <w14:solidFill>
              <w14:schemeClr w14:val="tx1"/>
            </w14:solidFill>
          </w14:textFill>
        </w:rPr>
        <w:t>附件3租赁合同</w:t>
      </w:r>
    </w:p>
    <w:p w14:paraId="73DAD41C">
      <w:pPr>
        <w:pStyle w:val="18"/>
        <w:rPr>
          <w:rFonts w:hint="default"/>
          <w:lang w:val="en-US" w:eastAsia="zh-CN"/>
        </w:rPr>
      </w:pPr>
      <w:r>
        <w:rPr>
          <w:rFonts w:hint="default"/>
          <w:lang w:val="en-US" w:eastAsia="zh-CN"/>
        </w:rPr>
        <w:drawing>
          <wp:inline distT="0" distB="0" distL="114300" distR="114300">
            <wp:extent cx="5542915" cy="8268970"/>
            <wp:effectExtent l="0" t="0" r="4445" b="6350"/>
            <wp:docPr id="45" name="图片 45" descr="7c2341214a60783829e32e3c85aef4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45" descr="7c2341214a60783829e32e3c85aef4d"/>
                    <pic:cNvPicPr>
                      <a:picLocks noChangeAspect="1"/>
                    </pic:cNvPicPr>
                  </pic:nvPicPr>
                  <pic:blipFill>
                    <a:blip r:embed="rId24"/>
                    <a:srcRect t="7348" b="8733"/>
                    <a:stretch>
                      <a:fillRect/>
                    </a:stretch>
                  </pic:blipFill>
                  <pic:spPr>
                    <a:xfrm>
                      <a:off x="0" y="0"/>
                      <a:ext cx="5542915" cy="8268970"/>
                    </a:xfrm>
                    <a:prstGeom prst="rect">
                      <a:avLst/>
                    </a:prstGeom>
                  </pic:spPr>
                </pic:pic>
              </a:graphicData>
            </a:graphic>
          </wp:inline>
        </w:drawing>
      </w:r>
    </w:p>
    <w:p w14:paraId="31BA4088">
      <w:pPr>
        <w:rPr>
          <w:rFonts w:hint="eastAsia"/>
          <w:lang w:val="en-US" w:eastAsia="zh-CN"/>
        </w:rPr>
      </w:pPr>
      <w:r>
        <w:rPr>
          <w:rFonts w:hint="eastAsia"/>
          <w:lang w:val="en-US" w:eastAsia="zh-CN"/>
        </w:rPr>
        <w:t>附件4 土地使用证</w:t>
      </w:r>
    </w:p>
    <w:p w14:paraId="2CBD00AD">
      <w:pPr>
        <w:pStyle w:val="18"/>
        <w:rPr>
          <w:rFonts w:hint="default"/>
          <w:lang w:val="en-US" w:eastAsia="zh-CN"/>
        </w:rPr>
      </w:pPr>
      <w:r>
        <w:rPr>
          <w:rFonts w:hint="default"/>
          <w:lang w:val="en-US" w:eastAsia="zh-CN"/>
        </w:rPr>
        <w:drawing>
          <wp:inline distT="0" distB="0" distL="114300" distR="114300">
            <wp:extent cx="5610225" cy="7483475"/>
            <wp:effectExtent l="0" t="0" r="13335" b="14605"/>
            <wp:docPr id="46" name="图片 46" descr="bfece67402a09be054130d2c93391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46" descr="bfece67402a09be054130d2c93391ad"/>
                    <pic:cNvPicPr>
                      <a:picLocks noChangeAspect="1"/>
                    </pic:cNvPicPr>
                  </pic:nvPicPr>
                  <pic:blipFill>
                    <a:blip r:embed="rId25"/>
                    <a:stretch>
                      <a:fillRect/>
                    </a:stretch>
                  </pic:blipFill>
                  <pic:spPr>
                    <a:xfrm>
                      <a:off x="0" y="0"/>
                      <a:ext cx="5610225" cy="7483475"/>
                    </a:xfrm>
                    <a:prstGeom prst="rect">
                      <a:avLst/>
                    </a:prstGeom>
                  </pic:spPr>
                </pic:pic>
              </a:graphicData>
            </a:graphic>
          </wp:inline>
        </w:drawing>
      </w:r>
    </w:p>
    <w:p w14:paraId="0BD1091F">
      <w:pPr>
        <w:ind w:left="210" w:hanging="210" w:hangingChars="100"/>
        <w:rPr>
          <w:rFonts w:hint="default" w:ascii="Times New Roman" w:hAnsi="Times New Roman" w:cs="Times New Roman"/>
          <w:color w:val="000000" w:themeColor="text1"/>
          <w:highlight w:val="none"/>
          <w14:textFill>
            <w14:solidFill>
              <w14:schemeClr w14:val="tx1"/>
            </w14:solidFill>
          </w14:textFill>
        </w:rPr>
      </w:pPr>
    </w:p>
    <w:p w14:paraId="39CAB7E9">
      <w:pPr>
        <w:ind w:left="210" w:hanging="210" w:hangingChars="100"/>
        <w:rPr>
          <w:rFonts w:hint="default" w:ascii="Times New Roman" w:hAnsi="Times New Roman" w:cs="Times New Roman"/>
          <w:color w:val="000000" w:themeColor="text1"/>
          <w:highlight w:val="none"/>
          <w14:textFill>
            <w14:solidFill>
              <w14:schemeClr w14:val="tx1"/>
            </w14:solidFill>
          </w14:textFill>
        </w:rPr>
      </w:pPr>
    </w:p>
    <w:p w14:paraId="3295AC83">
      <w:pPr>
        <w:ind w:left="210" w:hanging="210" w:hangingChars="100"/>
        <w:rPr>
          <w:rFonts w:hint="default" w:ascii="Times New Roman" w:hAnsi="Times New Roman" w:cs="Times New Roman"/>
          <w:color w:val="000000" w:themeColor="text1"/>
          <w:highlight w:val="none"/>
          <w14:textFill>
            <w14:solidFill>
              <w14:schemeClr w14:val="tx1"/>
            </w14:solidFill>
          </w14:textFill>
        </w:rPr>
      </w:pPr>
    </w:p>
    <w:p w14:paraId="19439A33">
      <w:pPr>
        <w:ind w:left="210" w:hanging="210" w:hangingChars="100"/>
        <w:rPr>
          <w:rFonts w:hint="default" w:ascii="Times New Roman" w:hAnsi="Times New Roman" w:cs="Times New Roman"/>
          <w:color w:val="000000" w:themeColor="text1"/>
          <w:highlight w:val="none"/>
          <w14:textFill>
            <w14:solidFill>
              <w14:schemeClr w14:val="tx1"/>
            </w14:solidFill>
          </w14:textFill>
        </w:rPr>
      </w:pPr>
    </w:p>
    <w:p w14:paraId="056FDE31">
      <w:pPr>
        <w:ind w:left="210" w:hanging="210" w:hangingChars="100"/>
        <w:rPr>
          <w:rFonts w:hint="default" w:ascii="Times New Roman" w:hAnsi="Times New Roman" w:cs="Times New Roman"/>
          <w:color w:val="000000" w:themeColor="text1"/>
          <w:highlight w:val="none"/>
          <w14:textFill>
            <w14:solidFill>
              <w14:schemeClr w14:val="tx1"/>
            </w14:solidFill>
          </w14:textFill>
        </w:rPr>
      </w:pPr>
    </w:p>
    <w:p w14:paraId="4C6BAEC2">
      <w:pPr>
        <w:ind w:left="210" w:hanging="210" w:hangingChars="10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w:t>附件</w:t>
      </w:r>
      <w:r>
        <w:rPr>
          <w:rFonts w:hint="eastAsia" w:cs="Times New Roman"/>
          <w:color w:val="000000" w:themeColor="text1"/>
          <w:highlight w:val="none"/>
          <w:lang w:val="en-US" w:eastAsia="zh-CN"/>
          <w14:textFill>
            <w14:solidFill>
              <w14:schemeClr w14:val="tx1"/>
            </w14:solidFill>
          </w14:textFill>
        </w:rPr>
        <w:t>5</w:t>
      </w:r>
      <w:r>
        <w:rPr>
          <w:rFonts w:hint="default" w:ascii="Times New Roman" w:hAnsi="Times New Roman" w:cs="Times New Roman"/>
          <w:color w:val="000000" w:themeColor="text1"/>
          <w:highlight w:val="none"/>
          <w14:textFill>
            <w14:solidFill>
              <w14:schemeClr w14:val="tx1"/>
            </w14:solidFill>
          </w14:textFill>
        </w:rPr>
        <w:t xml:space="preserve"> 监测报告</w:t>
      </w:r>
    </w:p>
    <w:p w14:paraId="0BA24DC4">
      <w:pPr>
        <w:ind w:left="210" w:hanging="210" w:hangingChars="100"/>
        <w:rPr>
          <w:rFonts w:hint="default" w:ascii="Times New Roman" w:hAnsi="Times New Roman" w:cs="Times New Roman"/>
          <w:color w:val="000000" w:themeColor="text1"/>
          <w:highlight w:val="none"/>
          <w14:textFill>
            <w14:solidFill>
              <w14:schemeClr w14:val="tx1"/>
            </w14:solidFill>
          </w14:textFill>
        </w:rPr>
      </w:pPr>
      <w:r>
        <w:rPr>
          <w:color w:val="auto"/>
          <w:highlight w:val="none"/>
        </w:rPr>
        <w:drawing>
          <wp:inline distT="0" distB="0" distL="114300" distR="114300">
            <wp:extent cx="5610860" cy="7856855"/>
            <wp:effectExtent l="0" t="0" r="12700" b="6985"/>
            <wp:docPr id="1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5"/>
                    <pic:cNvPicPr>
                      <a:picLocks noChangeAspect="1"/>
                    </pic:cNvPicPr>
                  </pic:nvPicPr>
                  <pic:blipFill>
                    <a:blip r:embed="rId26"/>
                    <a:stretch>
                      <a:fillRect/>
                    </a:stretch>
                  </pic:blipFill>
                  <pic:spPr>
                    <a:xfrm>
                      <a:off x="0" y="0"/>
                      <a:ext cx="5610860" cy="7856855"/>
                    </a:xfrm>
                    <a:prstGeom prst="rect">
                      <a:avLst/>
                    </a:prstGeom>
                    <a:noFill/>
                    <a:ln>
                      <a:noFill/>
                    </a:ln>
                  </pic:spPr>
                </pic:pic>
              </a:graphicData>
            </a:graphic>
          </wp:inline>
        </w:drawing>
      </w:r>
      <w:r>
        <w:rPr>
          <w:color w:val="auto"/>
          <w:highlight w:val="none"/>
        </w:rPr>
        <w:drawing>
          <wp:inline distT="0" distB="0" distL="114300" distR="114300">
            <wp:extent cx="5611495" cy="7658735"/>
            <wp:effectExtent l="0" t="0" r="12065" b="6985"/>
            <wp:docPr id="19"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6"/>
                    <pic:cNvPicPr>
                      <a:picLocks noChangeAspect="1"/>
                    </pic:cNvPicPr>
                  </pic:nvPicPr>
                  <pic:blipFill>
                    <a:blip r:embed="rId27"/>
                    <a:stretch>
                      <a:fillRect/>
                    </a:stretch>
                  </pic:blipFill>
                  <pic:spPr>
                    <a:xfrm>
                      <a:off x="0" y="0"/>
                      <a:ext cx="5611495" cy="7658735"/>
                    </a:xfrm>
                    <a:prstGeom prst="rect">
                      <a:avLst/>
                    </a:prstGeom>
                    <a:noFill/>
                    <a:ln>
                      <a:noFill/>
                    </a:ln>
                  </pic:spPr>
                </pic:pic>
              </a:graphicData>
            </a:graphic>
          </wp:inline>
        </w:drawing>
      </w:r>
    </w:p>
    <w:p w14:paraId="781609D6">
      <w:pPr>
        <w:pStyle w:val="22"/>
        <w:ind w:left="0" w:leftChars="0" w:firstLine="0" w:firstLineChars="0"/>
        <w:rPr>
          <w:rFonts w:hint="default" w:ascii="Times New Roman" w:hAnsi="Times New Roman" w:cs="Times New Roman"/>
          <w:color w:val="000000" w:themeColor="text1"/>
          <w:highlight w:val="none"/>
          <w14:textFill>
            <w14:solidFill>
              <w14:schemeClr w14:val="tx1"/>
            </w14:solidFill>
          </w14:textFill>
        </w:rPr>
      </w:pPr>
      <w:r>
        <w:rPr>
          <w:color w:val="auto"/>
          <w:highlight w:val="none"/>
        </w:rPr>
        <w:drawing>
          <wp:inline distT="0" distB="0" distL="114300" distR="114300">
            <wp:extent cx="5610860" cy="7639050"/>
            <wp:effectExtent l="0" t="0" r="12700" b="11430"/>
            <wp:docPr id="59"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7"/>
                    <pic:cNvPicPr>
                      <a:picLocks noChangeAspect="1"/>
                    </pic:cNvPicPr>
                  </pic:nvPicPr>
                  <pic:blipFill>
                    <a:blip r:embed="rId28"/>
                    <a:stretch>
                      <a:fillRect/>
                    </a:stretch>
                  </pic:blipFill>
                  <pic:spPr>
                    <a:xfrm>
                      <a:off x="0" y="0"/>
                      <a:ext cx="5610860" cy="7639050"/>
                    </a:xfrm>
                    <a:prstGeom prst="rect">
                      <a:avLst/>
                    </a:prstGeom>
                    <a:noFill/>
                    <a:ln>
                      <a:noFill/>
                    </a:ln>
                  </pic:spPr>
                </pic:pic>
              </a:graphicData>
            </a:graphic>
          </wp:inline>
        </w:drawing>
      </w:r>
      <w:r>
        <w:rPr>
          <w:color w:val="auto"/>
          <w:highlight w:val="none"/>
        </w:rPr>
        <w:drawing>
          <wp:inline distT="0" distB="0" distL="114300" distR="114300">
            <wp:extent cx="5600700" cy="8010525"/>
            <wp:effectExtent l="0" t="0" r="7620" b="5715"/>
            <wp:docPr id="71"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8"/>
                    <pic:cNvPicPr>
                      <a:picLocks noChangeAspect="1"/>
                    </pic:cNvPicPr>
                  </pic:nvPicPr>
                  <pic:blipFill>
                    <a:blip r:embed="rId29"/>
                    <a:stretch>
                      <a:fillRect/>
                    </a:stretch>
                  </pic:blipFill>
                  <pic:spPr>
                    <a:xfrm>
                      <a:off x="0" y="0"/>
                      <a:ext cx="5600700" cy="8010525"/>
                    </a:xfrm>
                    <a:prstGeom prst="rect">
                      <a:avLst/>
                    </a:prstGeom>
                    <a:noFill/>
                    <a:ln>
                      <a:noFill/>
                    </a:ln>
                  </pic:spPr>
                </pic:pic>
              </a:graphicData>
            </a:graphic>
          </wp:inline>
        </w:drawing>
      </w:r>
      <w:r>
        <w:rPr>
          <w:color w:val="auto"/>
          <w:highlight w:val="none"/>
        </w:rPr>
        <w:drawing>
          <wp:inline distT="0" distB="0" distL="114300" distR="114300">
            <wp:extent cx="5614670" cy="7612380"/>
            <wp:effectExtent l="0" t="0" r="8890" b="7620"/>
            <wp:docPr id="72"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9"/>
                    <pic:cNvPicPr>
                      <a:picLocks noChangeAspect="1"/>
                    </pic:cNvPicPr>
                  </pic:nvPicPr>
                  <pic:blipFill>
                    <a:blip r:embed="rId30"/>
                    <a:stretch>
                      <a:fillRect/>
                    </a:stretch>
                  </pic:blipFill>
                  <pic:spPr>
                    <a:xfrm>
                      <a:off x="0" y="0"/>
                      <a:ext cx="5614670" cy="7612380"/>
                    </a:xfrm>
                    <a:prstGeom prst="rect">
                      <a:avLst/>
                    </a:prstGeom>
                    <a:noFill/>
                    <a:ln>
                      <a:noFill/>
                    </a:ln>
                  </pic:spPr>
                </pic:pic>
              </a:graphicData>
            </a:graphic>
          </wp:inline>
        </w:drawing>
      </w:r>
      <w:r>
        <w:rPr>
          <w:color w:val="auto"/>
          <w:highlight w:val="none"/>
        </w:rPr>
        <w:drawing>
          <wp:inline distT="0" distB="0" distL="114300" distR="114300">
            <wp:extent cx="5553075" cy="7400925"/>
            <wp:effectExtent l="0" t="0" r="9525" b="5715"/>
            <wp:docPr id="73"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10"/>
                    <pic:cNvPicPr>
                      <a:picLocks noChangeAspect="1"/>
                    </pic:cNvPicPr>
                  </pic:nvPicPr>
                  <pic:blipFill>
                    <a:blip r:embed="rId31"/>
                    <a:stretch>
                      <a:fillRect/>
                    </a:stretch>
                  </pic:blipFill>
                  <pic:spPr>
                    <a:xfrm>
                      <a:off x="0" y="0"/>
                      <a:ext cx="5553075" cy="7400925"/>
                    </a:xfrm>
                    <a:prstGeom prst="rect">
                      <a:avLst/>
                    </a:prstGeom>
                    <a:noFill/>
                    <a:ln>
                      <a:noFill/>
                    </a:ln>
                  </pic:spPr>
                </pic:pic>
              </a:graphicData>
            </a:graphic>
          </wp:inline>
        </w:drawing>
      </w:r>
      <w:r>
        <w:rPr>
          <w:color w:val="auto"/>
          <w:highlight w:val="none"/>
        </w:rPr>
        <w:drawing>
          <wp:inline distT="0" distB="0" distL="114300" distR="114300">
            <wp:extent cx="5612765" cy="7718425"/>
            <wp:effectExtent l="0" t="0" r="10795" b="8255"/>
            <wp:docPr id="76"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11"/>
                    <pic:cNvPicPr>
                      <a:picLocks noChangeAspect="1"/>
                    </pic:cNvPicPr>
                  </pic:nvPicPr>
                  <pic:blipFill>
                    <a:blip r:embed="rId32"/>
                    <a:stretch>
                      <a:fillRect/>
                    </a:stretch>
                  </pic:blipFill>
                  <pic:spPr>
                    <a:xfrm>
                      <a:off x="0" y="0"/>
                      <a:ext cx="5612765" cy="7718425"/>
                    </a:xfrm>
                    <a:prstGeom prst="rect">
                      <a:avLst/>
                    </a:prstGeom>
                    <a:noFill/>
                    <a:ln>
                      <a:noFill/>
                    </a:ln>
                  </pic:spPr>
                </pic:pic>
              </a:graphicData>
            </a:graphic>
          </wp:inline>
        </w:drawing>
      </w:r>
      <w:r>
        <w:rPr>
          <w:color w:val="auto"/>
          <w:highlight w:val="none"/>
        </w:rPr>
        <w:drawing>
          <wp:inline distT="0" distB="0" distL="114300" distR="114300">
            <wp:extent cx="5614035" cy="8011795"/>
            <wp:effectExtent l="0" t="0" r="9525" b="4445"/>
            <wp:docPr id="77"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12"/>
                    <pic:cNvPicPr>
                      <a:picLocks noChangeAspect="1"/>
                    </pic:cNvPicPr>
                  </pic:nvPicPr>
                  <pic:blipFill>
                    <a:blip r:embed="rId33"/>
                    <a:stretch>
                      <a:fillRect/>
                    </a:stretch>
                  </pic:blipFill>
                  <pic:spPr>
                    <a:xfrm>
                      <a:off x="0" y="0"/>
                      <a:ext cx="5614035" cy="8011795"/>
                    </a:xfrm>
                    <a:prstGeom prst="rect">
                      <a:avLst/>
                    </a:prstGeom>
                    <a:noFill/>
                    <a:ln>
                      <a:noFill/>
                    </a:ln>
                  </pic:spPr>
                </pic:pic>
              </a:graphicData>
            </a:graphic>
          </wp:inline>
        </w:drawing>
      </w:r>
      <w:r>
        <w:rPr>
          <w:color w:val="auto"/>
          <w:highlight w:val="none"/>
        </w:rPr>
        <w:drawing>
          <wp:inline distT="0" distB="0" distL="114300" distR="114300">
            <wp:extent cx="5562600" cy="7991475"/>
            <wp:effectExtent l="0" t="0" r="0" b="9525"/>
            <wp:docPr id="84"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图片 13"/>
                    <pic:cNvPicPr>
                      <a:picLocks noChangeAspect="1"/>
                    </pic:cNvPicPr>
                  </pic:nvPicPr>
                  <pic:blipFill>
                    <a:blip r:embed="rId34"/>
                    <a:stretch>
                      <a:fillRect/>
                    </a:stretch>
                  </pic:blipFill>
                  <pic:spPr>
                    <a:xfrm>
                      <a:off x="0" y="0"/>
                      <a:ext cx="5562600" cy="7991475"/>
                    </a:xfrm>
                    <a:prstGeom prst="rect">
                      <a:avLst/>
                    </a:prstGeom>
                    <a:noFill/>
                    <a:ln>
                      <a:noFill/>
                    </a:ln>
                  </pic:spPr>
                </pic:pic>
              </a:graphicData>
            </a:graphic>
          </wp:inline>
        </w:drawing>
      </w:r>
    </w:p>
    <w:sectPr>
      <w:pgSz w:w="11906" w:h="16838"/>
      <w:pgMar w:top="1701" w:right="1531" w:bottom="1701" w:left="1531" w:header="851" w:footer="851" w:gutter="0"/>
      <w:pgBorders>
        <w:top w:val="none" w:sz="0" w:space="0"/>
        <w:left w:val="none" w:sz="0" w:space="0"/>
        <w:bottom w:val="none" w:sz="0" w:space="0"/>
        <w:right w:val="none" w:sz="0" w:space="0"/>
      </w:pgBorders>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Gulim">
    <w:panose1 w:val="020B0600000101010101"/>
    <w:charset w:val="81"/>
    <w:family w:val="swiss"/>
    <w:pitch w:val="default"/>
    <w:sig w:usb0="B00002AF" w:usb1="69D77CFB" w:usb2="00000030" w:usb3="00000000" w:csb0="4008009F" w:csb1="DFD7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小标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楷体_GB2312">
    <w:panose1 w:val="02010609030101010101"/>
    <w:charset w:val="86"/>
    <w:family w:val="modern"/>
    <w:pitch w:val="default"/>
    <w:sig w:usb0="00000001" w:usb1="080E0000" w:usb2="00000000" w:usb3="00000000" w:csb0="00040000" w:csb1="00000000"/>
  </w:font>
  <w:font w:name="华文仿宋">
    <w:altName w:val="仿宋"/>
    <w:panose1 w:val="02010600040101010101"/>
    <w:charset w:val="86"/>
    <w:family w:val="auto"/>
    <w:pitch w:val="default"/>
    <w:sig w:usb0="00000000" w:usb1="0000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5AA9E3">
    <w:pPr>
      <w:pStyle w:val="20"/>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6423C6">
    <w:pPr>
      <w:pStyle w:val="20"/>
      <w:framePr w:wrap="around" w:vAnchor="text" w:hAnchor="margin" w:xAlign="center" w:y="1"/>
      <w:ind w:firstLine="360"/>
      <w:rPr>
        <w:rStyle w:val="31"/>
      </w:rPr>
    </w:pPr>
    <w:r>
      <w:fldChar w:fldCharType="begin"/>
    </w:r>
    <w:r>
      <w:rPr>
        <w:rStyle w:val="31"/>
      </w:rPr>
      <w:instrText xml:space="preserve">PAGE  </w:instrText>
    </w:r>
    <w:r>
      <w:fldChar w:fldCharType="separate"/>
    </w:r>
    <w:r>
      <w:rPr>
        <w:rStyle w:val="31"/>
      </w:rPr>
      <w:t>3</w:t>
    </w:r>
    <w:r>
      <w:fldChar w:fldCharType="end"/>
    </w:r>
  </w:p>
  <w:p w14:paraId="50D0618F">
    <w:pPr>
      <w:pStyle w:val="20"/>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021C3E">
    <w:pPr>
      <w:pStyle w:val="2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94"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7E2F09E4">
                          <w:pPr>
                            <w:pStyle w:val="20"/>
                          </w:pPr>
                          <w:r>
                            <w:fldChar w:fldCharType="begin"/>
                          </w:r>
                          <w:r>
                            <w:instrText xml:space="preserve"> PAGE  \* MERGEFORMAT </w:instrText>
                          </w:r>
                          <w:r>
                            <w:fldChar w:fldCharType="separate"/>
                          </w:r>
                          <w:r>
                            <w:t>22</w:t>
                          </w:r>
                          <w:r>
                            <w:fldChar w:fldCharType="end"/>
                          </w:r>
                        </w:p>
                      </w:txbxContent>
                    </wps:txbx>
                    <wps:bodyPr wrap="none" lIns="0" tIns="0" rIns="0" bIns="0" upright="0">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zql5uc8AAAAFAQAADwAAAAAAAAABACAAAAAiAAAAZHJzL2Rvd25y&#10;ZXYueG1sUEsBAhQAFAAAAAgAh07iQEvAY4nOAQAAqAMAAA4AAAAAAAAAAQAgAAAAHgEAAGRycy9l&#10;Mm9Eb2MueG1sUEsFBgAAAAAGAAYAWQEAAF4FAAAAAA==&#10;">
              <v:fill on="f" focussize="0,0"/>
              <v:stroke on="f"/>
              <v:imagedata o:title=""/>
              <o:lock v:ext="edit" aspectratio="f"/>
              <v:textbox inset="0mm,0mm,0mm,0mm" style="mso-fit-shape-to-text:t;">
                <w:txbxContent>
                  <w:p w14:paraId="7E2F09E4">
                    <w:pPr>
                      <w:pStyle w:val="20"/>
                    </w:pPr>
                    <w:r>
                      <w:fldChar w:fldCharType="begin"/>
                    </w:r>
                    <w:r>
                      <w:instrText xml:space="preserve"> PAGE  \* MERGEFORMAT </w:instrText>
                    </w:r>
                    <w:r>
                      <w:fldChar w:fldCharType="separate"/>
                    </w:r>
                    <w:r>
                      <w:t>22</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245CA4">
    <w:pPr>
      <w:pStyle w:val="20"/>
      <w:ind w:right="360" w:firstLine="360"/>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95"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36F6C9C4">
                          <w:pPr>
                            <w:pStyle w:val="20"/>
                            <w:ind w:firstLine="560"/>
                            <w:rPr>
                              <w:rStyle w:val="31"/>
                              <w:rFonts w:ascii="宋体" w:hAnsi="宋体"/>
                              <w:sz w:val="28"/>
                              <w:szCs w:val="28"/>
                            </w:rPr>
                          </w:pPr>
                          <w:r>
                            <w:rPr>
                              <w:rFonts w:ascii="宋体" w:hAnsi="宋体"/>
                              <w:sz w:val="26"/>
                              <w:szCs w:val="26"/>
                            </w:rPr>
                            <w:fldChar w:fldCharType="begin"/>
                          </w:r>
                          <w:r>
                            <w:rPr>
                              <w:rStyle w:val="31"/>
                              <w:rFonts w:ascii="宋体" w:hAnsi="宋体"/>
                              <w:sz w:val="26"/>
                              <w:szCs w:val="26"/>
                            </w:rPr>
                            <w:instrText xml:space="preserve">PAGE  </w:instrText>
                          </w:r>
                          <w:r>
                            <w:rPr>
                              <w:rFonts w:ascii="宋体" w:hAnsi="宋体"/>
                              <w:sz w:val="26"/>
                              <w:szCs w:val="26"/>
                            </w:rPr>
                            <w:fldChar w:fldCharType="separate"/>
                          </w:r>
                          <w:r>
                            <w:rPr>
                              <w:rStyle w:val="31"/>
                              <w:rFonts w:ascii="宋体" w:hAnsi="宋体"/>
                              <w:sz w:val="26"/>
                              <w:szCs w:val="26"/>
                            </w:rPr>
                            <w:t>92</w:t>
                          </w:r>
                          <w:r>
                            <w:rPr>
                              <w:rFonts w:ascii="宋体" w:hAnsi="宋体"/>
                              <w:sz w:val="26"/>
                              <w:szCs w:val="26"/>
                            </w:rPr>
                            <w:fldChar w:fldCharType="end"/>
                          </w:r>
                          <w:r>
                            <w:rPr>
                              <w:rStyle w:val="31"/>
                              <w:rFonts w:hint="eastAsia" w:ascii="宋体" w:hAnsi="宋体"/>
                              <w:sz w:val="20"/>
                            </w:rPr>
                            <w:t xml:space="preserve">  </w:t>
                          </w:r>
                        </w:p>
                      </w:txbxContent>
                    </wps:txbx>
                    <wps:bodyPr wrap="none" lIns="0" tIns="0" rIns="0" bIns="0" upright="0">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zql5uc8AAAAFAQAADwAAAAAAAAABACAAAAAiAAAAZHJzL2Rvd25y&#10;ZXYueG1sUEsBAhQAFAAAAAgAh07iQJt3Tk/OAQAAqAMAAA4AAAAAAAAAAQAgAAAAHgEAAGRycy9l&#10;Mm9Eb2MueG1sUEsFBgAAAAAGAAYAWQEAAF4FAAAAAA==&#10;">
              <v:fill on="f" focussize="0,0"/>
              <v:stroke on="f"/>
              <v:imagedata o:title=""/>
              <o:lock v:ext="edit" aspectratio="f"/>
              <v:textbox inset="0mm,0mm,0mm,0mm" style="mso-fit-shape-to-text:t;">
                <w:txbxContent>
                  <w:p w14:paraId="36F6C9C4">
                    <w:pPr>
                      <w:pStyle w:val="20"/>
                      <w:ind w:firstLine="560"/>
                      <w:rPr>
                        <w:rStyle w:val="31"/>
                        <w:rFonts w:ascii="宋体" w:hAnsi="宋体"/>
                        <w:sz w:val="28"/>
                        <w:szCs w:val="28"/>
                      </w:rPr>
                    </w:pPr>
                    <w:r>
                      <w:rPr>
                        <w:rFonts w:ascii="宋体" w:hAnsi="宋体"/>
                        <w:sz w:val="26"/>
                        <w:szCs w:val="26"/>
                      </w:rPr>
                      <w:fldChar w:fldCharType="begin"/>
                    </w:r>
                    <w:r>
                      <w:rPr>
                        <w:rStyle w:val="31"/>
                        <w:rFonts w:ascii="宋体" w:hAnsi="宋体"/>
                        <w:sz w:val="26"/>
                        <w:szCs w:val="26"/>
                      </w:rPr>
                      <w:instrText xml:space="preserve">PAGE  </w:instrText>
                    </w:r>
                    <w:r>
                      <w:rPr>
                        <w:rFonts w:ascii="宋体" w:hAnsi="宋体"/>
                        <w:sz w:val="26"/>
                        <w:szCs w:val="26"/>
                      </w:rPr>
                      <w:fldChar w:fldCharType="separate"/>
                    </w:r>
                    <w:r>
                      <w:rPr>
                        <w:rStyle w:val="31"/>
                        <w:rFonts w:ascii="宋体" w:hAnsi="宋体"/>
                        <w:sz w:val="26"/>
                        <w:szCs w:val="26"/>
                      </w:rPr>
                      <w:t>92</w:t>
                    </w:r>
                    <w:r>
                      <w:rPr>
                        <w:rFonts w:ascii="宋体" w:hAnsi="宋体"/>
                        <w:sz w:val="26"/>
                        <w:szCs w:val="26"/>
                      </w:rPr>
                      <w:fldChar w:fldCharType="end"/>
                    </w:r>
                    <w:r>
                      <w:rPr>
                        <w:rStyle w:val="31"/>
                        <w:rFonts w:hint="eastAsia" w:ascii="宋体" w:hAnsi="宋体"/>
                        <w:sz w:val="20"/>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C4322B">
    <w:pPr>
      <w:pStyle w:val="4"/>
      <w:pBdr>
        <w:bottom w:val="none" w:color="auto" w:sz="0" w:space="1"/>
      </w:pBdr>
    </w:pPr>
    <w:r>
      <w:rPr>
        <w:sz w:val="18"/>
      </w:rPr>
      <mc:AlternateContent>
        <mc:Choice Requires="wps">
          <w:drawing>
            <wp:anchor distT="0" distB="0" distL="114300" distR="114300" simplePos="0" relativeHeight="251661312" behindDoc="0" locked="0" layoutInCell="1" allowOverlap="1">
              <wp:simplePos x="0" y="0"/>
              <wp:positionH relativeFrom="column">
                <wp:posOffset>7689215</wp:posOffset>
              </wp:positionH>
              <wp:positionV relativeFrom="paragraph">
                <wp:posOffset>664845</wp:posOffset>
              </wp:positionV>
              <wp:extent cx="1007745" cy="982345"/>
              <wp:effectExtent l="4445" t="4445" r="8890" b="19050"/>
              <wp:wrapNone/>
              <wp:docPr id="9" name="文本框 9"/>
              <wp:cNvGraphicFramePr/>
              <a:graphic xmlns:a="http://schemas.openxmlformats.org/drawingml/2006/main">
                <a:graphicData uri="http://schemas.microsoft.com/office/word/2010/wordprocessingShape">
                  <wps:wsp>
                    <wps:cNvSpPr txBox="1"/>
                    <wps:spPr>
                      <a:xfrm>
                        <a:off x="8661400" y="1205230"/>
                        <a:ext cx="1007745" cy="98234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1DDFD66E"/>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05.45pt;margin-top:52.35pt;height:77.35pt;width:79.35pt;z-index:251661312;mso-width-relative:page;mso-height-relative:page;" fillcolor="#FFFFFF [3201]" filled="t" stroked="t" coordsize="21600,21600" o:gfxdata="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5oVwi9kAAAANAQAADwAAAAAAAAABACAAAAAiAAAAZHJzL2Rvd25yZXYueG1sUEsBAhQA&#10;FAAAAAgAh07iQEEG+f5jAgAAwwQAAA4AAAAAAAAAAQAgAAAAKAEAAGRycy9lMm9Eb2MueG1sUEsF&#10;BgAAAAAGAAYAWQEAAP0FAAAAAA==&#10;">
              <v:fill on="t" focussize="0,0"/>
              <v:stroke weight="0.5pt" color="#000000 [3204]" joinstyle="round"/>
              <v:imagedata o:title=""/>
              <o:lock v:ext="edit" aspectratio="f"/>
              <v:textbox>
                <w:txbxContent>
                  <w:p w14:paraId="1DDFD66E"/>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F71783"/>
    <w:multiLevelType w:val="singleLevel"/>
    <w:tmpl w:val="BEF71783"/>
    <w:lvl w:ilvl="0" w:tentative="0">
      <w:start w:val="1"/>
      <w:numFmt w:val="decimal"/>
      <w:suff w:val="nothing"/>
      <w:lvlText w:val="（%1）"/>
      <w:lvlJc w:val="left"/>
    </w:lvl>
  </w:abstractNum>
  <w:abstractNum w:abstractNumId="1">
    <w:nsid w:val="C576BA32"/>
    <w:multiLevelType w:val="singleLevel"/>
    <w:tmpl w:val="C576BA32"/>
    <w:lvl w:ilvl="0" w:tentative="0">
      <w:start w:val="1"/>
      <w:numFmt w:val="decimal"/>
      <w:suff w:val="nothing"/>
      <w:lvlText w:val="（%1）"/>
      <w:lvlJc w:val="left"/>
    </w:lvl>
  </w:abstractNum>
  <w:abstractNum w:abstractNumId="2">
    <w:nsid w:val="CA0DDDC0"/>
    <w:multiLevelType w:val="singleLevel"/>
    <w:tmpl w:val="CA0DDDC0"/>
    <w:lvl w:ilvl="0" w:tentative="0">
      <w:start w:val="1"/>
      <w:numFmt w:val="decimal"/>
      <w:suff w:val="nothing"/>
      <w:lvlText w:val="（%1）"/>
      <w:lvlJc w:val="left"/>
    </w:lvl>
  </w:abstractNum>
  <w:abstractNum w:abstractNumId="3">
    <w:nsid w:val="00000006"/>
    <w:multiLevelType w:val="multilevel"/>
    <w:tmpl w:val="00000006"/>
    <w:lvl w:ilvl="0" w:tentative="0">
      <w:start w:val="1"/>
      <w:numFmt w:val="decimal"/>
      <w:lvlText w:val="%1."/>
      <w:lvlJc w:val="left"/>
      <w:pPr>
        <w:ind w:left="420" w:hanging="420"/>
      </w:pPr>
      <w:rPr>
        <w:b/>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0000000A"/>
    <w:multiLevelType w:val="multilevel"/>
    <w:tmpl w:val="0000000A"/>
    <w:lvl w:ilvl="0" w:tentative="0">
      <w:start w:val="1"/>
      <w:numFmt w:val="decimal"/>
      <w:lvlText w:val="%1."/>
      <w:lvlJc w:val="left"/>
      <w:pPr>
        <w:ind w:left="1134" w:hanging="1134"/>
      </w:pPr>
      <w:rPr>
        <w:rFonts w:hint="default"/>
        <w:b/>
        <w:bCs/>
        <w:spacing w:val="-3"/>
        <w:w w:val="100"/>
        <w:sz w:val="21"/>
        <w:szCs w:val="21"/>
        <w:lang w:val="zh-CN" w:eastAsia="zh-CN" w:bidi="zh-CN"/>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5">
    <w:nsid w:val="0000000F"/>
    <w:multiLevelType w:val="singleLevel"/>
    <w:tmpl w:val="0000000F"/>
    <w:lvl w:ilvl="0" w:tentative="0">
      <w:start w:val="1"/>
      <w:numFmt w:val="decimal"/>
      <w:suff w:val="nothing"/>
      <w:lvlText w:val="（%1）"/>
      <w:lvlJc w:val="left"/>
      <w:pPr>
        <w:ind w:left="630"/>
      </w:pPr>
    </w:lvl>
  </w:abstractNum>
  <w:abstractNum w:abstractNumId="6">
    <w:nsid w:val="00000010"/>
    <w:multiLevelType w:val="multilevel"/>
    <w:tmpl w:val="00000010"/>
    <w:lvl w:ilvl="0" w:tentative="0">
      <w:start w:val="1"/>
      <w:numFmt w:val="decimal"/>
      <w:suff w:val="nothing"/>
      <w:lvlText w:val="%1."/>
      <w:lvlJc w:val="left"/>
      <w:pPr>
        <w:ind w:left="420" w:hanging="420"/>
      </w:pPr>
      <w:rPr>
        <w:rFonts w:hint="eastAsia"/>
        <w:b/>
        <w:sz w:val="24"/>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00000011"/>
    <w:multiLevelType w:val="singleLevel"/>
    <w:tmpl w:val="00000011"/>
    <w:lvl w:ilvl="0" w:tentative="0">
      <w:start w:val="1"/>
      <w:numFmt w:val="decimal"/>
      <w:suff w:val="nothing"/>
      <w:lvlText w:val="%1、"/>
      <w:lvlJc w:val="left"/>
    </w:lvl>
  </w:abstractNum>
  <w:abstractNum w:abstractNumId="8">
    <w:nsid w:val="00000012"/>
    <w:multiLevelType w:val="multilevel"/>
    <w:tmpl w:val="00000012"/>
    <w:lvl w:ilvl="0" w:tentative="0">
      <w:start w:val="1"/>
      <w:numFmt w:val="decimal"/>
      <w:lvlText w:val="%1."/>
      <w:lvlJc w:val="left"/>
      <w:pPr>
        <w:ind w:left="1134" w:hanging="1134"/>
      </w:pPr>
      <w:rPr>
        <w:rFonts w:hint="default"/>
        <w:b/>
        <w:bCs/>
        <w:spacing w:val="-3"/>
        <w:w w:val="100"/>
        <w:sz w:val="21"/>
        <w:szCs w:val="21"/>
        <w:lang w:val="zh-CN" w:eastAsia="zh-CN" w:bidi="zh-CN"/>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9">
    <w:nsid w:val="00000013"/>
    <w:multiLevelType w:val="singleLevel"/>
    <w:tmpl w:val="00000013"/>
    <w:lvl w:ilvl="0" w:tentative="0">
      <w:start w:val="4"/>
      <w:numFmt w:val="decimal"/>
      <w:suff w:val="nothing"/>
      <w:lvlText w:val="%1、"/>
      <w:lvlJc w:val="left"/>
    </w:lvl>
  </w:abstractNum>
  <w:abstractNum w:abstractNumId="10">
    <w:nsid w:val="32D6FD0C"/>
    <w:multiLevelType w:val="singleLevel"/>
    <w:tmpl w:val="32D6FD0C"/>
    <w:lvl w:ilvl="0" w:tentative="0">
      <w:start w:val="4"/>
      <w:numFmt w:val="decimal"/>
      <w:suff w:val="nothing"/>
      <w:lvlText w:val="（%1）"/>
      <w:lvlJc w:val="left"/>
    </w:lvl>
  </w:abstractNum>
  <w:abstractNum w:abstractNumId="11">
    <w:nsid w:val="423647D7"/>
    <w:multiLevelType w:val="singleLevel"/>
    <w:tmpl w:val="423647D7"/>
    <w:lvl w:ilvl="0" w:tentative="0">
      <w:start w:val="1"/>
      <w:numFmt w:val="decimal"/>
      <w:suff w:val="nothing"/>
      <w:lvlText w:val="（%1）"/>
      <w:lvlJc w:val="left"/>
    </w:lvl>
  </w:abstractNum>
  <w:abstractNum w:abstractNumId="12">
    <w:nsid w:val="6ABDF4B6"/>
    <w:multiLevelType w:val="singleLevel"/>
    <w:tmpl w:val="6ABDF4B6"/>
    <w:lvl w:ilvl="0" w:tentative="0">
      <w:start w:val="3"/>
      <w:numFmt w:val="decimal"/>
      <w:suff w:val="nothing"/>
      <w:lvlText w:val="%1、"/>
      <w:lvlJc w:val="left"/>
    </w:lvl>
  </w:abstractNum>
  <w:abstractNum w:abstractNumId="13">
    <w:nsid w:val="772DC6F7"/>
    <w:multiLevelType w:val="singleLevel"/>
    <w:tmpl w:val="772DC6F7"/>
    <w:lvl w:ilvl="0" w:tentative="0">
      <w:start w:val="1"/>
      <w:numFmt w:val="upperLetter"/>
      <w:lvlText w:val="%1."/>
      <w:lvlJc w:val="left"/>
      <w:pPr>
        <w:tabs>
          <w:tab w:val="left" w:pos="312"/>
        </w:tabs>
      </w:pPr>
    </w:lvl>
  </w:abstractNum>
  <w:abstractNum w:abstractNumId="14">
    <w:nsid w:val="7DF55165"/>
    <w:multiLevelType w:val="singleLevel"/>
    <w:tmpl w:val="7DF55165"/>
    <w:lvl w:ilvl="0" w:tentative="0">
      <w:start w:val="1"/>
      <w:numFmt w:val="decimal"/>
      <w:suff w:val="nothing"/>
      <w:lvlText w:val="%1、"/>
      <w:lvlJc w:val="left"/>
    </w:lvl>
  </w:abstractNum>
  <w:num w:numId="1">
    <w:abstractNumId w:val="6"/>
  </w:num>
  <w:num w:numId="2">
    <w:abstractNumId w:val="2"/>
  </w:num>
  <w:num w:numId="3">
    <w:abstractNumId w:val="3"/>
  </w:num>
  <w:num w:numId="4">
    <w:abstractNumId w:val="12"/>
  </w:num>
  <w:num w:numId="5">
    <w:abstractNumId w:val="9"/>
  </w:num>
  <w:num w:numId="6">
    <w:abstractNumId w:val="5"/>
  </w:num>
  <w:num w:numId="7">
    <w:abstractNumId w:val="7"/>
  </w:num>
  <w:num w:numId="8">
    <w:abstractNumId w:val="11"/>
  </w:num>
  <w:num w:numId="9">
    <w:abstractNumId w:val="4"/>
  </w:num>
  <w:num w:numId="10">
    <w:abstractNumId w:val="8"/>
  </w:num>
  <w:num w:numId="11">
    <w:abstractNumId w:val="10"/>
  </w:num>
  <w:num w:numId="12">
    <w:abstractNumId w:val="1"/>
  </w:num>
  <w:num w:numId="13">
    <w:abstractNumId w:val="13"/>
  </w:num>
  <w:num w:numId="14">
    <w:abstractNumId w:val="14"/>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hideSpellingErrors/>
  <w:attachedTemplate r:id="rId1"/>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ˇˉ―‖’”…∶、。〃々〉》」』】〕〗！＂＇），．：；？］｀｜｝～￠"/>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ZjYmY5ZWNmZDY4NGVhN2Q1ODU2M2MyMjIwNmU0NzAifQ=="/>
  </w:docVars>
  <w:rsids>
    <w:rsidRoot w:val="00172A27"/>
    <w:rsid w:val="00057B7A"/>
    <w:rsid w:val="000D53DB"/>
    <w:rsid w:val="00172A27"/>
    <w:rsid w:val="001F3D8F"/>
    <w:rsid w:val="002356E3"/>
    <w:rsid w:val="00337B7D"/>
    <w:rsid w:val="003509FA"/>
    <w:rsid w:val="00565CE2"/>
    <w:rsid w:val="00666B11"/>
    <w:rsid w:val="0067579A"/>
    <w:rsid w:val="00681B8A"/>
    <w:rsid w:val="006C6828"/>
    <w:rsid w:val="007B481B"/>
    <w:rsid w:val="00875267"/>
    <w:rsid w:val="008C3C68"/>
    <w:rsid w:val="00923A3A"/>
    <w:rsid w:val="009A35B6"/>
    <w:rsid w:val="009E5AA7"/>
    <w:rsid w:val="00A67182"/>
    <w:rsid w:val="00B37C4C"/>
    <w:rsid w:val="00B97795"/>
    <w:rsid w:val="00D125C6"/>
    <w:rsid w:val="00D47033"/>
    <w:rsid w:val="00F31559"/>
    <w:rsid w:val="00F90076"/>
    <w:rsid w:val="03996E3F"/>
    <w:rsid w:val="048C423E"/>
    <w:rsid w:val="05616A91"/>
    <w:rsid w:val="05843554"/>
    <w:rsid w:val="07875481"/>
    <w:rsid w:val="07C56C06"/>
    <w:rsid w:val="0C577F0F"/>
    <w:rsid w:val="0CE258B5"/>
    <w:rsid w:val="13A4398A"/>
    <w:rsid w:val="18A10E4B"/>
    <w:rsid w:val="19106E2D"/>
    <w:rsid w:val="1E692290"/>
    <w:rsid w:val="208C1ADB"/>
    <w:rsid w:val="22B733D1"/>
    <w:rsid w:val="23386DF9"/>
    <w:rsid w:val="234C04E6"/>
    <w:rsid w:val="24AB7F7A"/>
    <w:rsid w:val="25113762"/>
    <w:rsid w:val="260455FF"/>
    <w:rsid w:val="26FF606E"/>
    <w:rsid w:val="27B11BF0"/>
    <w:rsid w:val="29BB4D84"/>
    <w:rsid w:val="2A6428AE"/>
    <w:rsid w:val="2E340ADB"/>
    <w:rsid w:val="323C137E"/>
    <w:rsid w:val="33532E6D"/>
    <w:rsid w:val="34525893"/>
    <w:rsid w:val="34DC1217"/>
    <w:rsid w:val="35A85298"/>
    <w:rsid w:val="37D94F95"/>
    <w:rsid w:val="3A5B439E"/>
    <w:rsid w:val="4233342E"/>
    <w:rsid w:val="42480EB7"/>
    <w:rsid w:val="436B1286"/>
    <w:rsid w:val="4A4823D0"/>
    <w:rsid w:val="4C0570C8"/>
    <w:rsid w:val="4C665687"/>
    <w:rsid w:val="4F6706B6"/>
    <w:rsid w:val="524A1A92"/>
    <w:rsid w:val="531B736C"/>
    <w:rsid w:val="54DD0FD6"/>
    <w:rsid w:val="57C94B1D"/>
    <w:rsid w:val="57EA3E89"/>
    <w:rsid w:val="5B0D4C62"/>
    <w:rsid w:val="5BAD06AA"/>
    <w:rsid w:val="5D0042C6"/>
    <w:rsid w:val="6177706C"/>
    <w:rsid w:val="64295D03"/>
    <w:rsid w:val="680A68FD"/>
    <w:rsid w:val="68D033F2"/>
    <w:rsid w:val="6C1F38F9"/>
    <w:rsid w:val="72EC3A47"/>
    <w:rsid w:val="73AC5ACE"/>
    <w:rsid w:val="740D4C92"/>
    <w:rsid w:val="770D6607"/>
    <w:rsid w:val="78263FA6"/>
    <w:rsid w:val="7B9D46A4"/>
    <w:rsid w:val="7CE426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endarrow="open"/>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semiHidden="0" w:name="heading 4"/>
    <w:lsdException w:unhideWhenUsed="0" w:uiPriority="0" w:semiHidden="0" w:name="heading 5"/>
    <w:lsdException w:unhideWhenUsed="0" w:uiPriority="0" w:semiHidden="0" w:name="heading 6"/>
    <w:lsdException w:unhideWhenUsed="0" w:uiPriority="0" w:semiHidden="0" w:name="heading 7"/>
    <w:lsdException w:unhideWhenUsed="0" w:uiPriority="0" w:semiHidden="0" w:name="heading 8"/>
    <w:lsdException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qFormat="1"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7">
    <w:name w:val="heading 1"/>
    <w:basedOn w:val="1"/>
    <w:next w:val="1"/>
    <w:qFormat/>
    <w:uiPriority w:val="0"/>
    <w:pPr>
      <w:keepNext/>
      <w:overflowPunct w:val="0"/>
      <w:snapToGrid w:val="0"/>
      <w:spacing w:line="259" w:lineRule="auto"/>
      <w:ind w:left="432" w:hanging="432"/>
      <w:outlineLvl w:val="0"/>
    </w:pPr>
    <w:rPr>
      <w:rFonts w:eastAsia="黑体"/>
      <w:b/>
      <w:bCs/>
      <w:color w:val="000000"/>
      <w:kern w:val="44"/>
      <w:sz w:val="30"/>
      <w:szCs w:val="30"/>
    </w:rPr>
  </w:style>
  <w:style w:type="paragraph" w:styleId="8">
    <w:name w:val="heading 2"/>
    <w:basedOn w:val="1"/>
    <w:next w:val="1"/>
    <w:qFormat/>
    <w:uiPriority w:val="0"/>
    <w:pPr>
      <w:keepNext/>
      <w:keepLines/>
      <w:spacing w:line="360" w:lineRule="auto"/>
      <w:outlineLvl w:val="1"/>
    </w:pPr>
    <w:rPr>
      <w:rFonts w:eastAsia="Times New Roman"/>
      <w:b/>
      <w:bCs/>
      <w:sz w:val="30"/>
      <w:szCs w:val="32"/>
    </w:rPr>
  </w:style>
  <w:style w:type="paragraph" w:styleId="9">
    <w:name w:val="heading 3"/>
    <w:basedOn w:val="1"/>
    <w:next w:val="1"/>
    <w:link w:val="37"/>
    <w:qFormat/>
    <w:uiPriority w:val="0"/>
    <w:pPr>
      <w:keepNext/>
      <w:keepLines/>
      <w:spacing w:line="416" w:lineRule="auto"/>
      <w:outlineLvl w:val="2"/>
    </w:pPr>
    <w:rPr>
      <w:b/>
      <w:bCs/>
      <w:sz w:val="32"/>
      <w:szCs w:val="32"/>
    </w:rPr>
  </w:style>
  <w:style w:type="paragraph" w:styleId="10">
    <w:name w:val="heading 4"/>
    <w:basedOn w:val="1"/>
    <w:next w:val="1"/>
    <w:unhideWhenUsed/>
    <w:qFormat/>
    <w:uiPriority w:val="0"/>
    <w:pPr>
      <w:keepNext/>
      <w:keepLines/>
      <w:spacing w:before="280" w:after="290" w:line="372" w:lineRule="auto"/>
      <w:outlineLvl w:val="3"/>
    </w:pPr>
    <w:rPr>
      <w:b/>
    </w:rPr>
  </w:style>
  <w:style w:type="character" w:default="1" w:styleId="29">
    <w:name w:val="Default Paragraph Font"/>
    <w:semiHidden/>
    <w:unhideWhenUsed/>
    <w:qFormat/>
    <w:uiPriority w:val="1"/>
  </w:style>
  <w:style w:type="table" w:default="1" w:styleId="27">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1"/>
    <w:link w:val="48"/>
    <w:qFormat/>
    <w:uiPriority w:val="0"/>
    <w:pPr>
      <w:ind w:firstLine="420" w:firstLineChars="200"/>
    </w:pPr>
    <w:rPr>
      <w:sz w:val="21"/>
    </w:rPr>
  </w:style>
  <w:style w:type="paragraph" w:styleId="3">
    <w:name w:val="Body Text Indent"/>
    <w:basedOn w:val="1"/>
    <w:next w:val="4"/>
    <w:link w:val="40"/>
    <w:qFormat/>
    <w:uiPriority w:val="0"/>
    <w:pPr>
      <w:ind w:left="420" w:leftChars="200"/>
    </w:pPr>
    <w:rPr>
      <w:sz w:val="24"/>
    </w:rPr>
  </w:style>
  <w:style w:type="paragraph" w:styleId="4">
    <w:name w:val="header"/>
    <w:basedOn w:val="1"/>
    <w:next w:val="5"/>
    <w:link w:val="44"/>
    <w:qFormat/>
    <w:uiPriority w:val="0"/>
    <w:pPr>
      <w:pBdr>
        <w:bottom w:val="single" w:color="auto" w:sz="6" w:space="1"/>
      </w:pBdr>
      <w:tabs>
        <w:tab w:val="center" w:pos="4153"/>
        <w:tab w:val="right" w:pos="8306"/>
      </w:tabs>
      <w:snapToGrid w:val="0"/>
      <w:jc w:val="center"/>
    </w:pPr>
    <w:rPr>
      <w:sz w:val="18"/>
    </w:rPr>
  </w:style>
  <w:style w:type="paragraph" w:customStyle="1" w:styleId="5">
    <w:name w:val="样式5"/>
    <w:basedOn w:val="6"/>
    <w:qFormat/>
    <w:uiPriority w:val="0"/>
    <w:pPr>
      <w:pBdr>
        <w:top w:val="single" w:color="auto" w:sz="4" w:space="1"/>
      </w:pBdr>
      <w:tabs>
        <w:tab w:val="center" w:pos="4153"/>
        <w:tab w:val="right" w:pos="8306"/>
      </w:tabs>
      <w:ind w:right="360"/>
    </w:pPr>
  </w:style>
  <w:style w:type="paragraph" w:styleId="6">
    <w:name w:val="Normal Indent"/>
    <w:basedOn w:val="1"/>
    <w:next w:val="1"/>
    <w:qFormat/>
    <w:uiPriority w:val="0"/>
    <w:pPr>
      <w:ind w:firstLine="420" w:firstLineChars="200"/>
    </w:pPr>
  </w:style>
  <w:style w:type="paragraph" w:styleId="11">
    <w:name w:val="List 3"/>
    <w:basedOn w:val="1"/>
    <w:qFormat/>
    <w:uiPriority w:val="0"/>
    <w:pPr>
      <w:jc w:val="center"/>
    </w:pPr>
    <w:rPr>
      <w:szCs w:val="20"/>
    </w:rPr>
  </w:style>
  <w:style w:type="paragraph" w:styleId="12">
    <w:name w:val="caption"/>
    <w:basedOn w:val="1"/>
    <w:next w:val="1"/>
    <w:qFormat/>
    <w:uiPriority w:val="0"/>
    <w:rPr>
      <w:rFonts w:ascii="Cambria" w:hAnsi="Cambria" w:eastAsia="黑体"/>
      <w:sz w:val="20"/>
      <w:szCs w:val="20"/>
    </w:rPr>
  </w:style>
  <w:style w:type="paragraph" w:styleId="13">
    <w:name w:val="Document Map"/>
    <w:basedOn w:val="1"/>
    <w:link w:val="90"/>
    <w:qFormat/>
    <w:uiPriority w:val="0"/>
    <w:rPr>
      <w:rFonts w:ascii="宋体"/>
      <w:sz w:val="18"/>
      <w:szCs w:val="18"/>
    </w:rPr>
  </w:style>
  <w:style w:type="paragraph" w:styleId="14">
    <w:name w:val="annotation text"/>
    <w:basedOn w:val="1"/>
    <w:link w:val="38"/>
    <w:qFormat/>
    <w:uiPriority w:val="0"/>
    <w:pPr>
      <w:jc w:val="left"/>
    </w:pPr>
    <w:rPr>
      <w:sz w:val="24"/>
    </w:rPr>
  </w:style>
  <w:style w:type="paragraph" w:styleId="15">
    <w:name w:val="Body Text"/>
    <w:basedOn w:val="1"/>
    <w:next w:val="16"/>
    <w:link w:val="39"/>
    <w:qFormat/>
    <w:uiPriority w:val="0"/>
    <w:pPr>
      <w:widowControl/>
      <w:snapToGrid w:val="0"/>
      <w:spacing w:line="259" w:lineRule="auto"/>
      <w:ind w:right="113"/>
    </w:pPr>
    <w:rPr>
      <w:sz w:val="18"/>
    </w:rPr>
  </w:style>
  <w:style w:type="paragraph" w:styleId="16">
    <w:name w:val="Plain Text"/>
    <w:basedOn w:val="1"/>
    <w:qFormat/>
    <w:uiPriority w:val="0"/>
    <w:rPr>
      <w:rFonts w:cs="Courier New"/>
      <w:szCs w:val="28"/>
    </w:rPr>
  </w:style>
  <w:style w:type="paragraph" w:styleId="17">
    <w:name w:val="Date"/>
    <w:basedOn w:val="1"/>
    <w:next w:val="1"/>
    <w:link w:val="41"/>
    <w:qFormat/>
    <w:uiPriority w:val="0"/>
    <w:pPr>
      <w:ind w:left="100" w:leftChars="2500"/>
    </w:pPr>
    <w:rPr>
      <w:sz w:val="24"/>
    </w:rPr>
  </w:style>
  <w:style w:type="paragraph" w:styleId="18">
    <w:name w:val="Body Text Indent 2"/>
    <w:basedOn w:val="1"/>
    <w:next w:val="1"/>
    <w:qFormat/>
    <w:uiPriority w:val="0"/>
    <w:rPr>
      <w:rFonts w:ascii="宋体" w:hAnsi="宋体"/>
    </w:rPr>
  </w:style>
  <w:style w:type="paragraph" w:styleId="19">
    <w:name w:val="Balloon Text"/>
    <w:basedOn w:val="1"/>
    <w:link w:val="42"/>
    <w:qFormat/>
    <w:uiPriority w:val="0"/>
    <w:rPr>
      <w:sz w:val="18"/>
    </w:rPr>
  </w:style>
  <w:style w:type="paragraph" w:styleId="20">
    <w:name w:val="footer"/>
    <w:basedOn w:val="1"/>
    <w:next w:val="1"/>
    <w:link w:val="43"/>
    <w:qFormat/>
    <w:uiPriority w:val="0"/>
    <w:pPr>
      <w:tabs>
        <w:tab w:val="center" w:pos="4153"/>
        <w:tab w:val="right" w:pos="8306"/>
      </w:tabs>
      <w:snapToGrid w:val="0"/>
      <w:jc w:val="left"/>
    </w:pPr>
    <w:rPr>
      <w:sz w:val="18"/>
    </w:rPr>
  </w:style>
  <w:style w:type="paragraph" w:styleId="21">
    <w:name w:val="List"/>
    <w:basedOn w:val="1"/>
    <w:qFormat/>
    <w:uiPriority w:val="0"/>
    <w:pPr>
      <w:ind w:left="200" w:hanging="200" w:hangingChars="200"/>
      <w:contextualSpacing/>
    </w:pPr>
  </w:style>
  <w:style w:type="paragraph" w:styleId="22">
    <w:name w:val="table of figures"/>
    <w:basedOn w:val="1"/>
    <w:next w:val="1"/>
    <w:qFormat/>
    <w:uiPriority w:val="0"/>
    <w:pPr>
      <w:ind w:left="200" w:leftChars="200" w:hanging="200" w:hangingChars="200"/>
    </w:pPr>
  </w:style>
  <w:style w:type="paragraph" w:styleId="23">
    <w:name w:val="Normal (Web)"/>
    <w:basedOn w:val="1"/>
    <w:next w:val="1"/>
    <w:link w:val="45"/>
    <w:qFormat/>
    <w:uiPriority w:val="0"/>
    <w:pPr>
      <w:widowControl/>
      <w:spacing w:beforeAutospacing="1" w:afterAutospacing="1"/>
      <w:jc w:val="left"/>
    </w:pPr>
    <w:rPr>
      <w:rFonts w:ascii="宋体" w:hAnsi="宋体"/>
      <w:sz w:val="24"/>
    </w:rPr>
  </w:style>
  <w:style w:type="paragraph" w:styleId="24">
    <w:name w:val="Title"/>
    <w:basedOn w:val="21"/>
    <w:next w:val="1"/>
    <w:link w:val="46"/>
    <w:qFormat/>
    <w:uiPriority w:val="0"/>
    <w:pPr>
      <w:ind w:left="0" w:firstLine="0" w:firstLineChars="0"/>
      <w:jc w:val="center"/>
      <w:outlineLvl w:val="0"/>
    </w:pPr>
    <w:rPr>
      <w:bCs/>
      <w:szCs w:val="32"/>
    </w:rPr>
  </w:style>
  <w:style w:type="paragraph" w:styleId="25">
    <w:name w:val="annotation subject"/>
    <w:basedOn w:val="14"/>
    <w:next w:val="14"/>
    <w:link w:val="47"/>
    <w:qFormat/>
    <w:uiPriority w:val="0"/>
    <w:rPr>
      <w:b/>
    </w:rPr>
  </w:style>
  <w:style w:type="paragraph" w:styleId="26">
    <w:name w:val="Body Text First Indent"/>
    <w:basedOn w:val="15"/>
    <w:next w:val="1"/>
    <w:qFormat/>
    <w:uiPriority w:val="0"/>
    <w:pPr>
      <w:ind w:firstLine="420" w:firstLineChars="100"/>
    </w:pPr>
  </w:style>
  <w:style w:type="table" w:styleId="28">
    <w:name w:val="Table Grid"/>
    <w:basedOn w:val="2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0">
    <w:name w:val="Strong"/>
    <w:qFormat/>
    <w:uiPriority w:val="0"/>
    <w:rPr>
      <w:b/>
      <w:bCs/>
    </w:rPr>
  </w:style>
  <w:style w:type="character" w:styleId="31">
    <w:name w:val="page number"/>
    <w:basedOn w:val="29"/>
    <w:qFormat/>
    <w:uiPriority w:val="0"/>
  </w:style>
  <w:style w:type="character" w:styleId="32">
    <w:name w:val="Hyperlink"/>
    <w:basedOn w:val="29"/>
    <w:qFormat/>
    <w:uiPriority w:val="0"/>
    <w:rPr>
      <w:color w:val="0000FF"/>
      <w:u w:val="single"/>
    </w:rPr>
  </w:style>
  <w:style w:type="character" w:styleId="33">
    <w:name w:val="annotation reference"/>
    <w:qFormat/>
    <w:uiPriority w:val="0"/>
    <w:rPr>
      <w:sz w:val="21"/>
    </w:rPr>
  </w:style>
  <w:style w:type="paragraph" w:customStyle="1" w:styleId="34">
    <w:name w:val="表格内容"/>
    <w:basedOn w:val="1"/>
    <w:next w:val="1"/>
    <w:link w:val="49"/>
    <w:qFormat/>
    <w:uiPriority w:val="0"/>
    <w:pPr>
      <w:jc w:val="center"/>
    </w:pPr>
  </w:style>
  <w:style w:type="paragraph" w:customStyle="1" w:styleId="35">
    <w:name w:val="Default"/>
    <w:qFormat/>
    <w:uiPriority w:val="0"/>
    <w:pPr>
      <w:widowControl w:val="0"/>
      <w:autoSpaceDE w:val="0"/>
      <w:autoSpaceDN w:val="0"/>
      <w:adjustRightInd w:val="0"/>
    </w:pPr>
    <w:rPr>
      <w:rFonts w:ascii="黑体" w:hAnsi="Times New Roman" w:eastAsia="黑体" w:cs="Times New Roman"/>
      <w:color w:val="000000"/>
      <w:sz w:val="24"/>
      <w:szCs w:val="24"/>
      <w:lang w:val="en-US" w:eastAsia="zh-CN" w:bidi="ar-SA"/>
    </w:rPr>
  </w:style>
  <w:style w:type="paragraph" w:customStyle="1" w:styleId="36">
    <w:name w:val="样式3"/>
    <w:basedOn w:val="1"/>
    <w:qFormat/>
    <w:uiPriority w:val="0"/>
    <w:pPr>
      <w:spacing w:line="360" w:lineRule="auto"/>
    </w:pPr>
    <w:rPr>
      <w:sz w:val="24"/>
      <w:szCs w:val="21"/>
    </w:rPr>
  </w:style>
  <w:style w:type="character" w:customStyle="1" w:styleId="37">
    <w:name w:val="标题 3 Char"/>
    <w:link w:val="9"/>
    <w:qFormat/>
    <w:uiPriority w:val="0"/>
    <w:rPr>
      <w:b/>
      <w:bCs/>
      <w:kern w:val="2"/>
      <w:sz w:val="32"/>
      <w:szCs w:val="32"/>
    </w:rPr>
  </w:style>
  <w:style w:type="character" w:customStyle="1" w:styleId="38">
    <w:name w:val="批注文字 Char"/>
    <w:basedOn w:val="29"/>
    <w:link w:val="14"/>
    <w:qFormat/>
    <w:uiPriority w:val="0"/>
    <w:rPr>
      <w:sz w:val="24"/>
    </w:rPr>
  </w:style>
  <w:style w:type="character" w:customStyle="1" w:styleId="39">
    <w:name w:val="正文文本 Char"/>
    <w:link w:val="15"/>
    <w:qFormat/>
    <w:uiPriority w:val="0"/>
    <w:rPr>
      <w:sz w:val="18"/>
    </w:rPr>
  </w:style>
  <w:style w:type="character" w:customStyle="1" w:styleId="40">
    <w:name w:val="正文文本缩进 Char"/>
    <w:link w:val="3"/>
    <w:qFormat/>
    <w:uiPriority w:val="0"/>
    <w:rPr>
      <w:rFonts w:ascii="Times New Roman" w:hAnsi="Times New Roman" w:eastAsia="宋体"/>
      <w:sz w:val="24"/>
    </w:rPr>
  </w:style>
  <w:style w:type="character" w:customStyle="1" w:styleId="41">
    <w:name w:val="日期 Char"/>
    <w:link w:val="17"/>
    <w:qFormat/>
    <w:uiPriority w:val="0"/>
    <w:rPr>
      <w:rFonts w:ascii="Times New Roman" w:hAnsi="Times New Roman" w:eastAsia="宋体"/>
      <w:sz w:val="24"/>
    </w:rPr>
  </w:style>
  <w:style w:type="character" w:customStyle="1" w:styleId="42">
    <w:name w:val="批注框文本 Char"/>
    <w:link w:val="19"/>
    <w:qFormat/>
    <w:uiPriority w:val="0"/>
    <w:rPr>
      <w:rFonts w:ascii="Times New Roman" w:hAnsi="Times New Roman" w:eastAsia="宋体"/>
      <w:sz w:val="18"/>
    </w:rPr>
  </w:style>
  <w:style w:type="character" w:customStyle="1" w:styleId="43">
    <w:name w:val="页脚 Char"/>
    <w:link w:val="20"/>
    <w:qFormat/>
    <w:uiPriority w:val="0"/>
    <w:rPr>
      <w:sz w:val="18"/>
    </w:rPr>
  </w:style>
  <w:style w:type="character" w:customStyle="1" w:styleId="44">
    <w:name w:val="页眉 Char"/>
    <w:link w:val="4"/>
    <w:qFormat/>
    <w:uiPriority w:val="0"/>
    <w:rPr>
      <w:sz w:val="18"/>
    </w:rPr>
  </w:style>
  <w:style w:type="character" w:customStyle="1" w:styleId="45">
    <w:name w:val="普通(网站) Char"/>
    <w:link w:val="23"/>
    <w:qFormat/>
    <w:uiPriority w:val="0"/>
    <w:rPr>
      <w:rFonts w:ascii="宋体" w:hAnsi="宋体" w:eastAsia="宋体"/>
      <w:sz w:val="24"/>
    </w:rPr>
  </w:style>
  <w:style w:type="character" w:customStyle="1" w:styleId="46">
    <w:name w:val="标题 Char"/>
    <w:link w:val="24"/>
    <w:qFormat/>
    <w:uiPriority w:val="0"/>
    <w:rPr>
      <w:bCs/>
      <w:sz w:val="21"/>
      <w:szCs w:val="32"/>
    </w:rPr>
  </w:style>
  <w:style w:type="character" w:customStyle="1" w:styleId="47">
    <w:name w:val="批注主题 Char"/>
    <w:link w:val="25"/>
    <w:qFormat/>
    <w:uiPriority w:val="0"/>
    <w:rPr>
      <w:rFonts w:ascii="Times New Roman" w:hAnsi="Times New Roman" w:eastAsia="宋体"/>
      <w:b/>
      <w:kern w:val="2"/>
      <w:sz w:val="24"/>
    </w:rPr>
  </w:style>
  <w:style w:type="character" w:customStyle="1" w:styleId="48">
    <w:name w:val="正文首行缩进 2 Char"/>
    <w:link w:val="2"/>
    <w:qFormat/>
    <w:uiPriority w:val="0"/>
    <w:rPr>
      <w:rFonts w:ascii="Times New Roman" w:hAnsi="Times New Roman" w:eastAsia="宋体"/>
      <w:kern w:val="2"/>
      <w:sz w:val="21"/>
      <w:szCs w:val="24"/>
    </w:rPr>
  </w:style>
  <w:style w:type="character" w:customStyle="1" w:styleId="49">
    <w:name w:val="表格内容 Char Char"/>
    <w:link w:val="34"/>
    <w:qFormat/>
    <w:uiPriority w:val="0"/>
    <w:rPr>
      <w:kern w:val="2"/>
      <w:sz w:val="21"/>
      <w:szCs w:val="24"/>
    </w:rPr>
  </w:style>
  <w:style w:type="character" w:customStyle="1" w:styleId="50">
    <w:name w:val="表格 Char"/>
    <w:link w:val="51"/>
    <w:qFormat/>
    <w:uiPriority w:val="0"/>
    <w:rPr>
      <w:rFonts w:ascii="宋体"/>
      <w:sz w:val="21"/>
    </w:rPr>
  </w:style>
  <w:style w:type="paragraph" w:customStyle="1" w:styleId="51">
    <w:name w:val="表格"/>
    <w:basedOn w:val="1"/>
    <w:next w:val="1"/>
    <w:link w:val="50"/>
    <w:qFormat/>
    <w:uiPriority w:val="0"/>
    <w:pPr>
      <w:adjustRightInd w:val="0"/>
      <w:snapToGrid w:val="0"/>
      <w:spacing w:beforeLines="10" w:afterLines="10" w:line="259" w:lineRule="auto"/>
      <w:jc w:val="center"/>
    </w:pPr>
    <w:rPr>
      <w:rFonts w:ascii="宋体"/>
    </w:rPr>
  </w:style>
  <w:style w:type="character" w:customStyle="1" w:styleId="52">
    <w:name w:val="批注文字 Char Char"/>
    <w:qFormat/>
    <w:uiPriority w:val="0"/>
    <w:rPr>
      <w:rFonts w:ascii="Times New Roman" w:hAnsi="Times New Roman" w:eastAsia="宋体"/>
      <w:sz w:val="24"/>
    </w:rPr>
  </w:style>
  <w:style w:type="character" w:customStyle="1" w:styleId="53">
    <w:name w:val="图表文字 Char Char"/>
    <w:link w:val="54"/>
    <w:qFormat/>
    <w:uiPriority w:val="0"/>
    <w:rPr>
      <w:rFonts w:ascii="Gulim" w:eastAsia="Gulim" w:cs="Calibri"/>
      <w:bCs/>
    </w:rPr>
  </w:style>
  <w:style w:type="paragraph" w:customStyle="1" w:styleId="54">
    <w:name w:val="图表文字"/>
    <w:basedOn w:val="1"/>
    <w:link w:val="53"/>
    <w:qFormat/>
    <w:uiPriority w:val="0"/>
    <w:pPr>
      <w:spacing w:line="300" w:lineRule="exact"/>
      <w:jc w:val="center"/>
    </w:pPr>
    <w:rPr>
      <w:rFonts w:ascii="Gulim" w:eastAsia="Gulim" w:cs="Calibri"/>
      <w:bCs/>
    </w:rPr>
  </w:style>
  <w:style w:type="character" w:customStyle="1" w:styleId="55">
    <w:name w:val="样式  Char Char1 + Times New Roman 加粗 首行缩进:  2 字符 Char Char"/>
    <w:link w:val="56"/>
    <w:qFormat/>
    <w:uiPriority w:val="0"/>
    <w:rPr>
      <w:rFonts w:ascii="宋体" w:hAnsi="宋体" w:cs="宋体"/>
      <w:b/>
      <w:bCs/>
      <w:kern w:val="2"/>
      <w:sz w:val="28"/>
    </w:rPr>
  </w:style>
  <w:style w:type="paragraph" w:customStyle="1" w:styleId="56">
    <w:name w:val="样式  Char Char1 + Times New Roman 加粗 首行缩进:  2 字符"/>
    <w:basedOn w:val="1"/>
    <w:link w:val="55"/>
    <w:qFormat/>
    <w:uiPriority w:val="0"/>
    <w:pPr>
      <w:spacing w:line="360" w:lineRule="auto"/>
    </w:pPr>
    <w:rPr>
      <w:rFonts w:ascii="宋体" w:hAnsi="宋体" w:cs="宋体"/>
      <w:b/>
      <w:bCs/>
      <w:sz w:val="28"/>
    </w:rPr>
  </w:style>
  <w:style w:type="character" w:customStyle="1" w:styleId="57">
    <w:name w:val="页脚 字符"/>
    <w:basedOn w:val="29"/>
    <w:qFormat/>
    <w:uiPriority w:val="0"/>
  </w:style>
  <w:style w:type="character" w:customStyle="1" w:styleId="58">
    <w:name w:val="日期 字符"/>
    <w:qFormat/>
    <w:uiPriority w:val="0"/>
    <w:rPr>
      <w:rFonts w:ascii="Times New Roman" w:hAnsi="Times New Roman" w:eastAsia="宋体"/>
      <w:sz w:val="24"/>
    </w:rPr>
  </w:style>
  <w:style w:type="character" w:customStyle="1" w:styleId="59">
    <w:name w:val="报告书正文 Char Char"/>
    <w:link w:val="60"/>
    <w:qFormat/>
    <w:uiPriority w:val="0"/>
    <w:rPr>
      <w:kern w:val="2"/>
      <w:sz w:val="24"/>
      <w:szCs w:val="24"/>
    </w:rPr>
  </w:style>
  <w:style w:type="paragraph" w:customStyle="1" w:styleId="60">
    <w:name w:val="报告书正文"/>
    <w:basedOn w:val="1"/>
    <w:link w:val="59"/>
    <w:qFormat/>
    <w:uiPriority w:val="0"/>
    <w:pPr>
      <w:spacing w:line="360" w:lineRule="auto"/>
      <w:ind w:firstLine="480" w:firstLineChars="200"/>
    </w:pPr>
    <w:rPr>
      <w:sz w:val="24"/>
    </w:rPr>
  </w:style>
  <w:style w:type="character" w:customStyle="1" w:styleId="61">
    <w:name w:val="表头 Char Char"/>
    <w:link w:val="62"/>
    <w:qFormat/>
    <w:uiPriority w:val="0"/>
    <w:rPr>
      <w:b/>
      <w:sz w:val="21"/>
      <w:szCs w:val="24"/>
    </w:rPr>
  </w:style>
  <w:style w:type="paragraph" w:customStyle="1" w:styleId="62">
    <w:name w:val="表头"/>
    <w:basedOn w:val="15"/>
    <w:link w:val="61"/>
    <w:qFormat/>
    <w:uiPriority w:val="0"/>
    <w:pPr>
      <w:widowControl w:val="0"/>
      <w:adjustRightInd w:val="0"/>
      <w:spacing w:line="240" w:lineRule="auto"/>
      <w:ind w:right="0"/>
      <w:jc w:val="center"/>
    </w:pPr>
    <w:rPr>
      <w:b/>
      <w:sz w:val="21"/>
    </w:rPr>
  </w:style>
  <w:style w:type="character" w:customStyle="1" w:styleId="63">
    <w:name w:val="正文文本 字符1"/>
    <w:qFormat/>
    <w:uiPriority w:val="0"/>
    <w:rPr>
      <w:rFonts w:ascii="Times New Roman" w:hAnsi="Times New Roman" w:eastAsia="宋体"/>
      <w:sz w:val="24"/>
    </w:rPr>
  </w:style>
  <w:style w:type="character" w:customStyle="1" w:styleId="64">
    <w:name w:val="批注文字 字符1"/>
    <w:qFormat/>
    <w:uiPriority w:val="0"/>
    <w:rPr>
      <w:rFonts w:ascii="Times New Roman" w:hAnsi="Times New Roman" w:eastAsia="宋体"/>
      <w:sz w:val="24"/>
    </w:rPr>
  </w:style>
  <w:style w:type="character" w:customStyle="1" w:styleId="65">
    <w:name w:val="font51"/>
    <w:qFormat/>
    <w:uiPriority w:val="0"/>
    <w:rPr>
      <w:rFonts w:hint="default" w:ascii="Times New Roman" w:hAnsi="Times New Roman" w:cs="Times New Roman"/>
      <w:color w:val="000000"/>
      <w:sz w:val="18"/>
      <w:szCs w:val="18"/>
      <w:u w:val="none"/>
      <w:vertAlign w:val="superscript"/>
    </w:rPr>
  </w:style>
  <w:style w:type="character" w:customStyle="1" w:styleId="66">
    <w:name w:val="apple-style-span"/>
    <w:basedOn w:val="29"/>
    <w:qFormat/>
    <w:uiPriority w:val="0"/>
  </w:style>
  <w:style w:type="character" w:customStyle="1" w:styleId="67">
    <w:name w:val="报告正文 Char Char"/>
    <w:link w:val="68"/>
    <w:qFormat/>
    <w:uiPriority w:val="0"/>
    <w:rPr>
      <w:bCs/>
      <w:kern w:val="2"/>
      <w:sz w:val="24"/>
      <w:szCs w:val="21"/>
    </w:rPr>
  </w:style>
  <w:style w:type="paragraph" w:customStyle="1" w:styleId="68">
    <w:name w:val="报告正文"/>
    <w:basedOn w:val="1"/>
    <w:link w:val="67"/>
    <w:qFormat/>
    <w:uiPriority w:val="0"/>
    <w:pPr>
      <w:adjustRightInd w:val="0"/>
      <w:snapToGrid w:val="0"/>
      <w:spacing w:line="360" w:lineRule="auto"/>
      <w:ind w:firstLine="200" w:firstLineChars="200"/>
    </w:pPr>
    <w:rPr>
      <w:bCs/>
      <w:sz w:val="24"/>
      <w:szCs w:val="21"/>
    </w:rPr>
  </w:style>
  <w:style w:type="paragraph" w:customStyle="1" w:styleId="69">
    <w:name w:val="表格 内容"/>
    <w:basedOn w:val="1"/>
    <w:qFormat/>
    <w:uiPriority w:val="0"/>
    <w:pPr>
      <w:autoSpaceDE w:val="0"/>
      <w:autoSpaceDN w:val="0"/>
      <w:adjustRightInd w:val="0"/>
      <w:jc w:val="center"/>
    </w:pPr>
    <w:rPr>
      <w:kern w:val="0"/>
      <w:szCs w:val="44"/>
    </w:rPr>
  </w:style>
  <w:style w:type="paragraph" w:customStyle="1" w:styleId="70">
    <w:name w:val="样式1"/>
    <w:basedOn w:val="6"/>
    <w:qFormat/>
    <w:uiPriority w:val="0"/>
    <w:pPr>
      <w:tabs>
        <w:tab w:val="right" w:leader="dot" w:pos="8607"/>
        <w:tab w:val="right" w:leader="dot" w:pos="8891"/>
      </w:tabs>
      <w:spacing w:line="360" w:lineRule="auto"/>
      <w:ind w:firstLine="482"/>
      <w:jc w:val="left"/>
    </w:pPr>
    <w:rPr>
      <w:sz w:val="24"/>
      <w:szCs w:val="28"/>
    </w:rPr>
  </w:style>
  <w:style w:type="paragraph" w:customStyle="1" w:styleId="71">
    <w:name w:val="正文1"/>
    <w:qFormat/>
    <w:uiPriority w:val="0"/>
    <w:pPr>
      <w:spacing w:line="360" w:lineRule="auto"/>
    </w:pPr>
    <w:rPr>
      <w:rFonts w:ascii="Times New Roman" w:hAnsi="Times New Roman" w:eastAsia="宋体" w:cs="Times New Roman"/>
      <w:sz w:val="24"/>
      <w:lang w:val="en-US" w:eastAsia="zh-CN" w:bidi="ar-SA"/>
    </w:rPr>
  </w:style>
  <w:style w:type="paragraph" w:customStyle="1" w:styleId="72">
    <w:name w:val="a正文"/>
    <w:qFormat/>
    <w:uiPriority w:val="0"/>
    <w:pPr>
      <w:spacing w:line="480" w:lineRule="exact"/>
      <w:ind w:firstLine="200" w:firstLineChars="200"/>
      <w:jc w:val="both"/>
    </w:pPr>
    <w:rPr>
      <w:rFonts w:ascii="Times New Roman" w:hAnsi="Times New Roman" w:eastAsia="宋体" w:cs="Times New Roman"/>
      <w:spacing w:val="5"/>
      <w:kern w:val="2"/>
      <w:sz w:val="25"/>
      <w:szCs w:val="25"/>
      <w:lang w:val="en-US" w:eastAsia="zh-CN" w:bidi="ar-SA"/>
    </w:rPr>
  </w:style>
  <w:style w:type="paragraph" w:customStyle="1" w:styleId="73">
    <w:name w:val="正文_1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4">
    <w:name w:val="样式2"/>
    <w:basedOn w:val="1"/>
    <w:qFormat/>
    <w:uiPriority w:val="0"/>
    <w:pPr>
      <w:spacing w:beforeLines="50" w:afterLines="50" w:line="360" w:lineRule="auto"/>
      <w:outlineLvl w:val="1"/>
    </w:pPr>
    <w:rPr>
      <w:rFonts w:eastAsia="黑体"/>
      <w:b/>
      <w:sz w:val="30"/>
    </w:rPr>
  </w:style>
  <w:style w:type="paragraph" w:customStyle="1" w:styleId="75">
    <w:name w:val="0正文"/>
    <w:qFormat/>
    <w:uiPriority w:val="0"/>
    <w:pPr>
      <w:widowControl w:val="0"/>
      <w:spacing w:line="360" w:lineRule="auto"/>
      <w:ind w:firstLine="720" w:firstLineChars="200"/>
    </w:pPr>
    <w:rPr>
      <w:rFonts w:ascii="Times New Roman" w:hAnsi="Times New Roman" w:eastAsia="宋体" w:cs="Times New Roman"/>
      <w:sz w:val="24"/>
      <w:szCs w:val="22"/>
      <w:lang w:val="en-US" w:eastAsia="zh-CN" w:bidi="ar-SA"/>
    </w:rPr>
  </w:style>
  <w:style w:type="paragraph" w:customStyle="1" w:styleId="76">
    <w:name w:val="环保正文"/>
    <w:basedOn w:val="1"/>
    <w:qFormat/>
    <w:uiPriority w:val="0"/>
    <w:pPr>
      <w:spacing w:line="360" w:lineRule="auto"/>
      <w:ind w:firstLine="200" w:firstLineChars="200"/>
    </w:pPr>
    <w:rPr>
      <w:sz w:val="24"/>
      <w:szCs w:val="22"/>
    </w:rPr>
  </w:style>
  <w:style w:type="paragraph" w:customStyle="1" w:styleId="77">
    <w:name w:val="新表头"/>
    <w:basedOn w:val="1"/>
    <w:qFormat/>
    <w:uiPriority w:val="0"/>
    <w:pPr>
      <w:tabs>
        <w:tab w:val="center" w:pos="4011"/>
      </w:tabs>
      <w:ind w:firstLine="422" w:firstLineChars="200"/>
    </w:pPr>
    <w:rPr>
      <w:b/>
    </w:rPr>
  </w:style>
  <w:style w:type="paragraph" w:customStyle="1" w:styleId="78">
    <w:name w:val="Table Paragraph"/>
    <w:basedOn w:val="1"/>
    <w:qFormat/>
    <w:uiPriority w:val="0"/>
    <w:pPr>
      <w:autoSpaceDE w:val="0"/>
      <w:autoSpaceDN w:val="0"/>
      <w:jc w:val="left"/>
    </w:pPr>
    <w:rPr>
      <w:rFonts w:ascii="仿宋" w:hAnsi="仿宋" w:eastAsia="仿宋" w:cs="仿宋"/>
      <w:kern w:val="0"/>
      <w:sz w:val="22"/>
      <w:szCs w:val="22"/>
      <w:lang w:val="zh-CN" w:bidi="zh-CN"/>
    </w:rPr>
  </w:style>
  <w:style w:type="paragraph" w:customStyle="1" w:styleId="79">
    <w:name w:val="样式 小四 居中 行距: 1.5 倍行距"/>
    <w:basedOn w:val="1"/>
    <w:qFormat/>
    <w:uiPriority w:val="0"/>
    <w:pPr>
      <w:spacing w:line="360" w:lineRule="auto"/>
      <w:jc w:val="center"/>
    </w:pPr>
    <w:rPr>
      <w:rFonts w:eastAsia="黑体"/>
    </w:rPr>
  </w:style>
  <w:style w:type="paragraph" w:customStyle="1" w:styleId="80">
    <w:name w:val="环评表一四小FJW"/>
    <w:basedOn w:val="1"/>
    <w:qFormat/>
    <w:uiPriority w:val="0"/>
    <w:pPr>
      <w:spacing w:line="372" w:lineRule="auto"/>
      <w:ind w:firstLine="200" w:firstLineChars="200"/>
    </w:pPr>
    <w:rPr>
      <w:rFonts w:ascii="Calibri" w:hAnsi="Calibri" w:cs="宋体"/>
      <w:color w:val="060606"/>
      <w:spacing w:val="2"/>
      <w:w w:val="101"/>
      <w:sz w:val="24"/>
      <w:szCs w:val="23"/>
    </w:rPr>
  </w:style>
  <w:style w:type="paragraph" w:customStyle="1" w:styleId="81">
    <w:name w:val="普通(网站)2"/>
    <w:basedOn w:val="1"/>
    <w:qFormat/>
    <w:uiPriority w:val="0"/>
    <w:pPr>
      <w:widowControl/>
      <w:spacing w:beforeAutospacing="1" w:afterAutospacing="1"/>
      <w:jc w:val="left"/>
    </w:pPr>
    <w:rPr>
      <w:rFonts w:ascii="宋体" w:hAnsi="宋体"/>
      <w:sz w:val="24"/>
      <w:szCs w:val="20"/>
    </w:rPr>
  </w:style>
  <w:style w:type="paragraph" w:customStyle="1" w:styleId="82">
    <w:name w:val="环评一室报告表头"/>
    <w:basedOn w:val="1"/>
    <w:qFormat/>
    <w:uiPriority w:val="0"/>
    <w:pPr>
      <w:spacing w:line="360" w:lineRule="auto"/>
      <w:jc w:val="center"/>
    </w:pPr>
    <w:rPr>
      <w:rFonts w:ascii="宋体" w:hAnsi="宋体" w:cs="仿宋_GB2312"/>
      <w:b/>
      <w:sz w:val="24"/>
    </w:rPr>
  </w:style>
  <w:style w:type="paragraph" w:customStyle="1" w:styleId="83">
    <w:name w:val="新表头2"/>
    <w:basedOn w:val="77"/>
    <w:qFormat/>
    <w:uiPriority w:val="0"/>
    <w:pPr>
      <w:tabs>
        <w:tab w:val="center" w:pos="3990"/>
        <w:tab w:val="clear" w:pos="4011"/>
      </w:tabs>
    </w:pPr>
  </w:style>
  <w:style w:type="paragraph" w:customStyle="1" w:styleId="84">
    <w:name w:val="BodyText1I"/>
    <w:basedOn w:val="85"/>
    <w:qFormat/>
    <w:uiPriority w:val="0"/>
    <w:pPr>
      <w:ind w:firstLine="420" w:firstLineChars="100"/>
    </w:pPr>
  </w:style>
  <w:style w:type="paragraph" w:customStyle="1" w:styleId="85">
    <w:name w:val="BodyText"/>
    <w:basedOn w:val="1"/>
    <w:qFormat/>
    <w:uiPriority w:val="0"/>
    <w:pPr>
      <w:spacing w:after="120"/>
      <w:textAlignment w:val="baseline"/>
    </w:pPr>
  </w:style>
  <w:style w:type="paragraph" w:customStyle="1" w:styleId="86">
    <w:name w:val="立威报告正文"/>
    <w:basedOn w:val="1"/>
    <w:qFormat/>
    <w:uiPriority w:val="0"/>
    <w:pPr>
      <w:ind w:firstLine="480"/>
    </w:pPr>
  </w:style>
  <w:style w:type="paragraph" w:customStyle="1" w:styleId="87">
    <w:name w:val="赢创正文"/>
    <w:basedOn w:val="1"/>
    <w:qFormat/>
    <w:uiPriority w:val="0"/>
    <w:pPr>
      <w:ind w:firstLine="480"/>
    </w:pPr>
    <w:rPr>
      <w:color w:val="000000"/>
      <w:szCs w:val="22"/>
    </w:rPr>
  </w:style>
  <w:style w:type="character" w:customStyle="1" w:styleId="88">
    <w:name w:val="批注文字 Char1"/>
    <w:qFormat/>
    <w:uiPriority w:val="0"/>
    <w:rPr>
      <w:sz w:val="24"/>
    </w:rPr>
  </w:style>
  <w:style w:type="paragraph" w:customStyle="1" w:styleId="89">
    <w:name w:val="修订1"/>
    <w:hidden/>
    <w:unhideWhenUsed/>
    <w:qFormat/>
    <w:uiPriority w:val="99"/>
    <w:rPr>
      <w:rFonts w:ascii="Times New Roman" w:hAnsi="Times New Roman" w:eastAsia="宋体" w:cs="Times New Roman"/>
      <w:kern w:val="2"/>
      <w:sz w:val="21"/>
      <w:szCs w:val="24"/>
      <w:lang w:val="en-US" w:eastAsia="zh-CN" w:bidi="ar-SA"/>
    </w:rPr>
  </w:style>
  <w:style w:type="character" w:customStyle="1" w:styleId="90">
    <w:name w:val="文档结构图 Char"/>
    <w:basedOn w:val="29"/>
    <w:link w:val="13"/>
    <w:qFormat/>
    <w:uiPriority w:val="0"/>
    <w:rPr>
      <w:rFonts w:ascii="宋体"/>
      <w:kern w:val="2"/>
      <w:sz w:val="18"/>
      <w:szCs w:val="18"/>
    </w:rPr>
  </w:style>
  <w:style w:type="paragraph" w:customStyle="1" w:styleId="91">
    <w:name w:val="Revision"/>
    <w:hidden/>
    <w:unhideWhenUsed/>
    <w:qFormat/>
    <w:uiPriority w:val="99"/>
    <w:rPr>
      <w:rFonts w:ascii="Times New Roman" w:hAnsi="Times New Roman" w:eastAsia="宋体" w:cs="Times New Roman"/>
      <w:kern w:val="2"/>
      <w:sz w:val="21"/>
      <w:szCs w:val="24"/>
      <w:lang w:val="en-US" w:eastAsia="zh-CN" w:bidi="ar-SA"/>
    </w:rPr>
  </w:style>
  <w:style w:type="paragraph" w:customStyle="1" w:styleId="92">
    <w:name w:val="_Style 4"/>
    <w:next w:val="1"/>
    <w:qFormat/>
    <w:uiPriority w:val="1"/>
    <w:pPr>
      <w:widowControl w:val="0"/>
      <w:jc w:val="both"/>
    </w:pPr>
    <w:rPr>
      <w:rFonts w:ascii="Times New Roman" w:hAnsi="Times New Roman" w:eastAsia="仿宋_GB2312" w:cs="Times New Roman"/>
      <w:kern w:val="2"/>
      <w:sz w:val="24"/>
      <w:szCs w:val="22"/>
      <w:lang w:val="en-US" w:eastAsia="zh-CN" w:bidi="ar-SA"/>
    </w:rPr>
  </w:style>
  <w:style w:type="paragraph" w:customStyle="1" w:styleId="93">
    <w:name w:val="表文字"/>
    <w:qFormat/>
    <w:uiPriority w:val="0"/>
    <w:pPr>
      <w:jc w:val="center"/>
    </w:pPr>
    <w:rPr>
      <w:rFonts w:ascii="Times New Roman" w:hAnsi="Times New Roman" w:eastAsia="宋体" w:cs="Times New Roman"/>
      <w:sz w:val="21"/>
      <w:szCs w:val="21"/>
      <w:lang w:val="en-US" w:eastAsia="zh-CN" w:bidi="ar-SA"/>
    </w:rPr>
  </w:style>
  <w:style w:type="paragraph" w:customStyle="1" w:styleId="94">
    <w:name w:val="表内"/>
    <w:basedOn w:val="95"/>
    <w:qFormat/>
    <w:uiPriority w:val="0"/>
    <w:pPr>
      <w:widowControl/>
      <w:jc w:val="center"/>
    </w:pPr>
    <w:rPr>
      <w:rFonts w:ascii="宋体" w:hAnsi="宋体"/>
      <w:kern w:val="0"/>
      <w:szCs w:val="21"/>
    </w:rPr>
  </w:style>
  <w:style w:type="paragraph" w:customStyle="1" w:styleId="95">
    <w:name w:val="表头文字"/>
    <w:basedOn w:val="1"/>
    <w:next w:val="16"/>
    <w:qFormat/>
    <w:uiPriority w:val="0"/>
    <w:pPr>
      <w:widowControl/>
      <w:spacing w:beforeLines="100"/>
      <w:jc w:val="left"/>
    </w:pPr>
    <w:rPr>
      <w:b/>
      <w:kern w:val="0"/>
      <w:sz w:val="21"/>
      <w:szCs w:val="24"/>
    </w:rPr>
  </w:style>
</w:styles>
</file>

<file path=word/_rels/document.xml.rels><?xml version="1.0" encoding="UTF-8" standalone="yes"?>
<Relationships xmlns="http://schemas.openxmlformats.org/package/2006/relationships"><Relationship Id="rId9" Type="http://schemas.openxmlformats.org/officeDocument/2006/relationships/oleObject" Target="embeddings/oleObject1.bin"/><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8" Type="http://schemas.openxmlformats.org/officeDocument/2006/relationships/fontTable" Target="fontTable.xml"/><Relationship Id="rId37" Type="http://schemas.openxmlformats.org/officeDocument/2006/relationships/customXml" Target="../customXml/item2.xml"/><Relationship Id="rId36" Type="http://schemas.openxmlformats.org/officeDocument/2006/relationships/numbering" Target="numbering.xml"/><Relationship Id="rId35" Type="http://schemas.openxmlformats.org/officeDocument/2006/relationships/customXml" Target="../customXml/item1.xml"/><Relationship Id="rId34" Type="http://schemas.openxmlformats.org/officeDocument/2006/relationships/image" Target="media/image24.png"/><Relationship Id="rId33" Type="http://schemas.openxmlformats.org/officeDocument/2006/relationships/image" Target="media/image23.png"/><Relationship Id="rId32" Type="http://schemas.openxmlformats.org/officeDocument/2006/relationships/image" Target="media/image22.png"/><Relationship Id="rId31" Type="http://schemas.openxmlformats.org/officeDocument/2006/relationships/image" Target="media/image21.png"/><Relationship Id="rId30" Type="http://schemas.openxmlformats.org/officeDocument/2006/relationships/image" Target="media/image20.png"/><Relationship Id="rId3" Type="http://schemas.openxmlformats.org/officeDocument/2006/relationships/header" Target="header1.xml"/><Relationship Id="rId29" Type="http://schemas.openxmlformats.org/officeDocument/2006/relationships/image" Target="media/image19.png"/><Relationship Id="rId28" Type="http://schemas.openxmlformats.org/officeDocument/2006/relationships/image" Target="media/image18.png"/><Relationship Id="rId27" Type="http://schemas.openxmlformats.org/officeDocument/2006/relationships/image" Target="media/image17.png"/><Relationship Id="rId26" Type="http://schemas.openxmlformats.org/officeDocument/2006/relationships/image" Target="media/image16.png"/><Relationship Id="rId25" Type="http://schemas.openxmlformats.org/officeDocument/2006/relationships/image" Target="media/image15.jpeg"/><Relationship Id="rId24" Type="http://schemas.openxmlformats.org/officeDocument/2006/relationships/image" Target="media/image14.jpeg"/><Relationship Id="rId23" Type="http://schemas.openxmlformats.org/officeDocument/2006/relationships/image" Target="media/image13.jpeg"/><Relationship Id="rId22" Type="http://schemas.openxmlformats.org/officeDocument/2006/relationships/image" Target="media/image12.jpeg"/><Relationship Id="rId21" Type="http://schemas.openxmlformats.org/officeDocument/2006/relationships/image" Target="media/image11.png"/><Relationship Id="rId20" Type="http://schemas.openxmlformats.org/officeDocument/2006/relationships/image" Target="media/image10.png"/><Relationship Id="rId2" Type="http://schemas.openxmlformats.org/officeDocument/2006/relationships/settings" Target="settings.xml"/><Relationship Id="rId19" Type="http://schemas.openxmlformats.org/officeDocument/2006/relationships/image" Target="media/image9.png"/><Relationship Id="rId18" Type="http://schemas.openxmlformats.org/officeDocument/2006/relationships/image" Target="media/image8.png"/><Relationship Id="rId17" Type="http://schemas.openxmlformats.org/officeDocument/2006/relationships/image" Target="media/image7.png"/><Relationship Id="rId16" Type="http://schemas.openxmlformats.org/officeDocument/2006/relationships/image" Target="media/image6.jpeg"/><Relationship Id="rId15" Type="http://schemas.openxmlformats.org/officeDocument/2006/relationships/image" Target="media/image5.png"/><Relationship Id="rId14" Type="http://schemas.openxmlformats.org/officeDocument/2006/relationships/image" Target="media/image4.png"/><Relationship Id="rId13" Type="http://schemas.openxmlformats.org/officeDocument/2006/relationships/image" Target="media/image3.png"/><Relationship Id="rId12" Type="http://schemas.openxmlformats.org/officeDocument/2006/relationships/image" Target="media/image2.wmf"/><Relationship Id="rId11" Type="http://schemas.openxmlformats.org/officeDocument/2006/relationships/oleObject" Target="embeddings/oleObject2.bin"/><Relationship Id="rId10" Type="http://schemas.openxmlformats.org/officeDocument/2006/relationships/image" Target="media/image1.wmf"/><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24037;&#20316;\&#20159;&#26041;&#21361;&#24223;&#38388;\wdzx97"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2A77AE3-A306-4FDA-B87D-84CCD9B2F453}">
  <ds:schemaRefs/>
</ds:datastoreItem>
</file>

<file path=docProps/app.xml><?xml version="1.0" encoding="utf-8"?>
<Properties xmlns="http://schemas.openxmlformats.org/officeDocument/2006/extended-properties" xmlns:vt="http://schemas.openxmlformats.org/officeDocument/2006/docPropsVTypes">
  <Template>wdzx97</Template>
  <Company>微软中国</Company>
  <Pages>77</Pages>
  <Words>14072</Words>
  <Characters>14918</Characters>
  <Lines>404</Lines>
  <Paragraphs>113</Paragraphs>
  <TotalTime>6</TotalTime>
  <ScaleCrop>false</ScaleCrop>
  <LinksUpToDate>false</LinksUpToDate>
  <CharactersWithSpaces>15130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2020-12-24T01:29:00Z</dcterms:created>
  <dc:creator>lhj</dc:creator>
  <cp:lastModifiedBy>樹</cp:lastModifiedBy>
  <cp:lastPrinted>2020-12-29T02:43:00Z</cp:lastPrinted>
  <dcterms:modified xsi:type="dcterms:W3CDTF">2026-03-12T08:45:53Z</dcterms:modified>
  <dc:title>附件2</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3C0892EF57944AC3B5DBDB842EE442B9_13</vt:lpwstr>
  </property>
  <property fmtid="{D5CDD505-2E9C-101B-9397-08002B2CF9AE}" pid="4" name="KSOTemplateDocerSaveRecord">
    <vt:lpwstr>eyJoZGlkIjoiYzc1ZGVhNGRiMzU5N2I2YjZlOTMxYWQxNDAyMTlhNGIiLCJ1c2VySWQiOiIzNDk5MTg3NDIifQ==</vt:lpwstr>
  </property>
</Properties>
</file>