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3516CF">
      <w:pPr>
        <w:widowControl/>
        <w:shd w:val="clear" w:color="auto" w:fill="FFFFFF"/>
        <w:jc w:val="center"/>
        <w:rPr>
          <w:rFonts w:hint="eastAsia" w:ascii="宋体" w:hAnsi="宋体" w:eastAsia="宋体" w:cs="宋体"/>
          <w:b/>
          <w:bCs/>
          <w:color w:val="333333"/>
          <w:kern w:val="0"/>
          <w:sz w:val="53"/>
          <w:szCs w:val="53"/>
        </w:rPr>
      </w:pPr>
    </w:p>
    <w:p w14:paraId="15A59289">
      <w:pPr>
        <w:widowControl/>
        <w:shd w:val="clear" w:color="auto" w:fill="FFFFFF"/>
        <w:jc w:val="center"/>
        <w:rPr>
          <w:rFonts w:ascii="宋体" w:hAnsi="宋体" w:eastAsia="宋体" w:cs="宋体"/>
          <w:b/>
          <w:bCs/>
          <w:color w:val="333333"/>
          <w:kern w:val="0"/>
          <w:sz w:val="53"/>
          <w:szCs w:val="53"/>
        </w:rPr>
      </w:pPr>
    </w:p>
    <w:p w14:paraId="694FF3A3">
      <w:pPr>
        <w:widowControl/>
        <w:shd w:val="clear" w:color="auto" w:fill="FFFFFF"/>
        <w:jc w:val="center"/>
        <w:rPr>
          <w:rFonts w:ascii="宋体" w:hAnsi="宋体" w:eastAsia="宋体" w:cs="宋体"/>
          <w:b/>
          <w:bCs/>
          <w:color w:val="333333"/>
          <w:kern w:val="0"/>
          <w:sz w:val="53"/>
          <w:szCs w:val="53"/>
        </w:rPr>
      </w:pPr>
    </w:p>
    <w:p w14:paraId="61A3B5EB">
      <w:pPr>
        <w:widowControl/>
        <w:shd w:val="clear" w:color="auto" w:fill="FFFFFF"/>
        <w:jc w:val="center"/>
        <w:rPr>
          <w:rFonts w:ascii="宋体" w:hAnsi="宋体" w:eastAsia="宋体" w:cs="宋体"/>
          <w:b/>
          <w:bCs/>
          <w:color w:val="333333"/>
          <w:kern w:val="0"/>
          <w:sz w:val="53"/>
          <w:szCs w:val="53"/>
        </w:rPr>
      </w:pPr>
    </w:p>
    <w:p w14:paraId="4820AB5C">
      <w:pPr>
        <w:widowControl/>
        <w:shd w:val="clear" w:color="auto" w:fill="FFFFFF"/>
        <w:jc w:val="center"/>
        <w:rPr>
          <w:rFonts w:ascii="宋体" w:hAnsi="宋体" w:eastAsia="宋体" w:cs="宋体"/>
          <w:b/>
          <w:bCs/>
          <w:color w:val="333333"/>
          <w:kern w:val="0"/>
          <w:sz w:val="53"/>
          <w:szCs w:val="53"/>
        </w:rPr>
      </w:pPr>
    </w:p>
    <w:p w14:paraId="0DE80258">
      <w:pPr>
        <w:widowControl/>
        <w:shd w:val="clear" w:color="auto" w:fill="FFFFFF"/>
        <w:jc w:val="center"/>
        <w:rPr>
          <w:rFonts w:ascii="微软雅黑" w:hAnsi="微软雅黑" w:eastAsia="微软雅黑" w:cs="宋体"/>
          <w:color w:val="333333"/>
          <w:kern w:val="0"/>
          <w:sz w:val="24"/>
          <w:szCs w:val="24"/>
        </w:rPr>
      </w:pPr>
      <w:r>
        <w:rPr>
          <w:rFonts w:hint="eastAsia" w:ascii="宋体" w:hAnsi="宋体" w:eastAsia="宋体" w:cs="宋体"/>
          <w:b/>
          <w:bCs/>
          <w:color w:val="333333"/>
          <w:kern w:val="0"/>
          <w:sz w:val="53"/>
          <w:szCs w:val="53"/>
        </w:rPr>
        <w:t>本溪市溪湖区</w:t>
      </w:r>
      <w:r>
        <w:rPr>
          <w:rFonts w:hint="eastAsia" w:ascii="宋体" w:hAnsi="宋体" w:eastAsia="宋体" w:cs="宋体"/>
          <w:b/>
          <w:bCs/>
          <w:color w:val="333333"/>
          <w:kern w:val="0"/>
          <w:sz w:val="53"/>
          <w:szCs w:val="53"/>
          <w:lang w:eastAsia="zh-CN"/>
        </w:rPr>
        <w:t>政府办公室</w:t>
      </w:r>
      <w:r>
        <w:rPr>
          <w:rFonts w:hint="eastAsia" w:ascii="宋体" w:hAnsi="宋体" w:eastAsia="宋体" w:cs="宋体"/>
          <w:b/>
          <w:bCs/>
          <w:color w:val="333333"/>
          <w:kern w:val="0"/>
          <w:sz w:val="53"/>
          <w:szCs w:val="53"/>
        </w:rPr>
        <w:t>2021年部门预算</w:t>
      </w:r>
    </w:p>
    <w:p w14:paraId="3987F625">
      <w:pPr>
        <w:widowControl/>
        <w:shd w:val="clear" w:color="auto" w:fill="FFFFFF"/>
        <w:jc w:val="center"/>
        <w:rPr>
          <w:rFonts w:ascii="微软雅黑" w:hAnsi="微软雅黑" w:eastAsia="微软雅黑" w:cs="宋体"/>
          <w:color w:val="333333"/>
          <w:kern w:val="0"/>
          <w:sz w:val="24"/>
          <w:szCs w:val="24"/>
        </w:rPr>
      </w:pPr>
    </w:p>
    <w:p w14:paraId="25554A70">
      <w:pPr>
        <w:widowControl/>
        <w:shd w:val="clear" w:color="auto" w:fill="FFFFFF"/>
        <w:jc w:val="center"/>
        <w:rPr>
          <w:rFonts w:ascii="微软雅黑" w:hAnsi="微软雅黑" w:eastAsia="微软雅黑" w:cs="宋体"/>
          <w:color w:val="333333"/>
          <w:kern w:val="0"/>
          <w:sz w:val="24"/>
          <w:szCs w:val="24"/>
        </w:rPr>
      </w:pPr>
    </w:p>
    <w:p w14:paraId="3FC9D25B">
      <w:pPr>
        <w:widowControl/>
        <w:shd w:val="clear" w:color="auto" w:fill="FFFFFF"/>
        <w:jc w:val="center"/>
        <w:rPr>
          <w:rFonts w:ascii="微软雅黑" w:hAnsi="微软雅黑" w:eastAsia="微软雅黑" w:cs="宋体"/>
          <w:color w:val="333333"/>
          <w:kern w:val="0"/>
          <w:sz w:val="24"/>
          <w:szCs w:val="24"/>
        </w:rPr>
      </w:pPr>
    </w:p>
    <w:p w14:paraId="733D35F1">
      <w:pPr>
        <w:widowControl/>
        <w:shd w:val="clear" w:color="auto" w:fill="FFFFFF"/>
        <w:jc w:val="center"/>
        <w:rPr>
          <w:rFonts w:ascii="微软雅黑" w:hAnsi="微软雅黑" w:eastAsia="微软雅黑" w:cs="宋体"/>
          <w:color w:val="333333"/>
          <w:kern w:val="0"/>
          <w:sz w:val="24"/>
          <w:szCs w:val="24"/>
        </w:rPr>
      </w:pPr>
    </w:p>
    <w:p w14:paraId="20C40BA4">
      <w:pPr>
        <w:widowControl/>
        <w:shd w:val="clear" w:color="auto" w:fill="FFFFFF"/>
        <w:jc w:val="center"/>
        <w:rPr>
          <w:rFonts w:ascii="微软雅黑" w:hAnsi="微软雅黑" w:eastAsia="微软雅黑" w:cs="宋体"/>
          <w:color w:val="333333"/>
          <w:kern w:val="0"/>
          <w:sz w:val="24"/>
          <w:szCs w:val="24"/>
        </w:rPr>
      </w:pPr>
    </w:p>
    <w:p w14:paraId="67447AE4">
      <w:pPr>
        <w:widowControl/>
        <w:shd w:val="clear" w:color="auto" w:fill="FFFFFF"/>
        <w:jc w:val="center"/>
        <w:rPr>
          <w:rFonts w:ascii="微软雅黑" w:hAnsi="微软雅黑" w:eastAsia="微软雅黑" w:cs="宋体"/>
          <w:color w:val="333333"/>
          <w:kern w:val="0"/>
          <w:sz w:val="24"/>
          <w:szCs w:val="24"/>
        </w:rPr>
      </w:pPr>
    </w:p>
    <w:p w14:paraId="735983FE">
      <w:pPr>
        <w:widowControl/>
        <w:shd w:val="clear" w:color="auto" w:fill="FFFFFF"/>
        <w:jc w:val="center"/>
        <w:rPr>
          <w:rFonts w:ascii="微软雅黑" w:hAnsi="微软雅黑" w:eastAsia="微软雅黑" w:cs="宋体"/>
          <w:color w:val="333333"/>
          <w:kern w:val="0"/>
          <w:sz w:val="24"/>
          <w:szCs w:val="24"/>
        </w:rPr>
      </w:pPr>
    </w:p>
    <w:p w14:paraId="386B09D3">
      <w:pPr>
        <w:widowControl/>
        <w:shd w:val="clear" w:color="auto" w:fill="FFFFFF"/>
        <w:jc w:val="center"/>
        <w:rPr>
          <w:rFonts w:ascii="微软雅黑" w:hAnsi="微软雅黑" w:eastAsia="微软雅黑" w:cs="宋体"/>
          <w:color w:val="333333"/>
          <w:kern w:val="0"/>
          <w:sz w:val="24"/>
          <w:szCs w:val="24"/>
        </w:rPr>
      </w:pPr>
    </w:p>
    <w:p w14:paraId="2FA3E04D">
      <w:pPr>
        <w:widowControl/>
        <w:shd w:val="clear" w:color="auto" w:fill="FFFFFF"/>
        <w:jc w:val="center"/>
        <w:rPr>
          <w:rFonts w:ascii="微软雅黑" w:hAnsi="微软雅黑" w:eastAsia="微软雅黑" w:cs="宋体"/>
          <w:color w:val="333333"/>
          <w:kern w:val="0"/>
          <w:sz w:val="24"/>
          <w:szCs w:val="24"/>
        </w:rPr>
      </w:pPr>
    </w:p>
    <w:p w14:paraId="788E01A3">
      <w:pPr>
        <w:widowControl/>
        <w:shd w:val="clear" w:color="auto" w:fill="FFFFFF"/>
        <w:jc w:val="center"/>
        <w:rPr>
          <w:rFonts w:ascii="微软雅黑" w:hAnsi="微软雅黑" w:eastAsia="微软雅黑" w:cs="宋体"/>
          <w:color w:val="333333"/>
          <w:kern w:val="0"/>
          <w:sz w:val="24"/>
          <w:szCs w:val="24"/>
        </w:rPr>
      </w:pPr>
    </w:p>
    <w:p w14:paraId="513CC555">
      <w:pPr>
        <w:widowControl/>
        <w:shd w:val="clear" w:color="auto" w:fill="FFFFFF"/>
        <w:jc w:val="center"/>
        <w:rPr>
          <w:rFonts w:ascii="微软雅黑" w:hAnsi="微软雅黑" w:eastAsia="微软雅黑" w:cs="宋体"/>
          <w:color w:val="333333"/>
          <w:kern w:val="0"/>
          <w:sz w:val="24"/>
          <w:szCs w:val="24"/>
        </w:rPr>
      </w:pPr>
    </w:p>
    <w:p w14:paraId="62C57CC7">
      <w:pPr>
        <w:widowControl/>
        <w:shd w:val="clear" w:color="auto" w:fill="FFFFFF"/>
        <w:jc w:val="center"/>
        <w:rPr>
          <w:rFonts w:ascii="微软雅黑" w:hAnsi="微软雅黑" w:eastAsia="微软雅黑" w:cs="宋体"/>
          <w:color w:val="333333"/>
          <w:kern w:val="0"/>
          <w:sz w:val="24"/>
          <w:szCs w:val="24"/>
        </w:rPr>
      </w:pPr>
    </w:p>
    <w:p w14:paraId="3B5F05F1">
      <w:pPr>
        <w:widowControl/>
        <w:shd w:val="clear" w:color="auto" w:fill="FFFFFF"/>
        <w:jc w:val="center"/>
        <w:rPr>
          <w:rFonts w:hint="eastAsia" w:ascii="微软雅黑" w:hAnsi="微软雅黑" w:eastAsia="宋体" w:cs="宋体"/>
          <w:color w:val="333333"/>
          <w:kern w:val="0"/>
          <w:sz w:val="24"/>
          <w:szCs w:val="24"/>
          <w:lang w:eastAsia="zh-CN"/>
        </w:rPr>
      </w:pPr>
      <w:r>
        <w:rPr>
          <w:rFonts w:hint="eastAsia" w:ascii="宋体" w:hAnsi="宋体" w:eastAsia="宋体" w:cs="宋体"/>
          <w:b/>
          <w:bCs/>
          <w:color w:val="333333"/>
          <w:kern w:val="0"/>
          <w:sz w:val="44"/>
          <w:szCs w:val="44"/>
        </w:rPr>
        <w:t>本溪市溪湖区</w:t>
      </w:r>
      <w:r>
        <w:rPr>
          <w:rFonts w:hint="eastAsia" w:ascii="宋体" w:hAnsi="宋体" w:eastAsia="宋体" w:cs="宋体"/>
          <w:b/>
          <w:bCs/>
          <w:color w:val="333333"/>
          <w:kern w:val="0"/>
          <w:sz w:val="44"/>
          <w:szCs w:val="44"/>
          <w:lang w:eastAsia="zh-CN"/>
        </w:rPr>
        <w:t>政府办公室</w:t>
      </w:r>
    </w:p>
    <w:p w14:paraId="5428CA94">
      <w:pPr>
        <w:widowControl/>
        <w:shd w:val="clear" w:color="auto" w:fill="FFFFFF"/>
        <w:jc w:val="center"/>
        <w:rPr>
          <w:rFonts w:ascii="微软雅黑" w:hAnsi="微软雅黑" w:eastAsia="微软雅黑" w:cs="宋体"/>
          <w:color w:val="333333"/>
          <w:kern w:val="0"/>
          <w:sz w:val="24"/>
          <w:szCs w:val="24"/>
        </w:rPr>
      </w:pPr>
      <w:r>
        <w:rPr>
          <w:rFonts w:hint="eastAsia" w:ascii="宋体" w:hAnsi="宋体" w:eastAsia="宋体" w:cs="宋体"/>
          <w:b/>
          <w:bCs/>
          <w:color w:val="333333"/>
          <w:kern w:val="0"/>
          <w:sz w:val="44"/>
          <w:szCs w:val="44"/>
        </w:rPr>
        <w:t>目录</w:t>
      </w:r>
    </w:p>
    <w:p w14:paraId="5A5CD83B">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第一部分 部门预算公开管理文件</w:t>
      </w:r>
    </w:p>
    <w:p w14:paraId="46CB79C0">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第二部分 本溪市溪湖区</w:t>
      </w:r>
      <w:r>
        <w:rPr>
          <w:rFonts w:hint="eastAsia" w:ascii="黑体" w:hAnsi="黑体" w:eastAsia="黑体" w:cs="宋体"/>
          <w:color w:val="333333"/>
          <w:kern w:val="0"/>
          <w:sz w:val="32"/>
          <w:szCs w:val="32"/>
          <w:lang w:eastAsia="zh-CN"/>
        </w:rPr>
        <w:t>政府办公室</w:t>
      </w:r>
      <w:r>
        <w:rPr>
          <w:rFonts w:hint="eastAsia" w:ascii="黑体" w:hAnsi="黑体" w:eastAsia="黑体" w:cs="宋体"/>
          <w:color w:val="333333"/>
          <w:kern w:val="0"/>
          <w:sz w:val="32"/>
          <w:szCs w:val="32"/>
        </w:rPr>
        <w:t>概况</w:t>
      </w:r>
    </w:p>
    <w:p w14:paraId="1A255B32">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主要职责</w:t>
      </w:r>
    </w:p>
    <w:p w14:paraId="3CAFD31C">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第三部分 本溪市溪湖</w:t>
      </w:r>
      <w:r>
        <w:rPr>
          <w:rFonts w:hint="eastAsia" w:ascii="黑体" w:hAnsi="黑体" w:eastAsia="黑体" w:cs="宋体"/>
          <w:color w:val="333333"/>
          <w:kern w:val="0"/>
          <w:sz w:val="32"/>
          <w:szCs w:val="32"/>
          <w:lang w:eastAsia="zh-CN"/>
        </w:rPr>
        <w:t>政府办公室</w:t>
      </w:r>
      <w:r>
        <w:rPr>
          <w:rFonts w:hint="eastAsia" w:ascii="黑体" w:hAnsi="黑体" w:eastAsia="黑体" w:cs="宋体"/>
          <w:color w:val="333333"/>
          <w:kern w:val="0"/>
          <w:sz w:val="32"/>
          <w:szCs w:val="32"/>
        </w:rPr>
        <w:t>2021年部门预算情况说明</w:t>
      </w:r>
    </w:p>
    <w:p w14:paraId="104AFCA2">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第四部分 名词解释</w:t>
      </w:r>
    </w:p>
    <w:p w14:paraId="79BF9859">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第五部分 2021年本溪市溪湖区</w:t>
      </w:r>
      <w:r>
        <w:rPr>
          <w:rFonts w:hint="eastAsia" w:ascii="黑体" w:hAnsi="黑体" w:eastAsia="黑体" w:cs="宋体"/>
          <w:color w:val="333333"/>
          <w:kern w:val="0"/>
          <w:sz w:val="32"/>
          <w:szCs w:val="32"/>
          <w:lang w:eastAsia="zh-CN"/>
        </w:rPr>
        <w:t>政府办公室</w:t>
      </w:r>
      <w:r>
        <w:rPr>
          <w:rFonts w:hint="eastAsia" w:ascii="黑体" w:hAnsi="黑体" w:eastAsia="黑体" w:cs="宋体"/>
          <w:color w:val="333333"/>
          <w:kern w:val="0"/>
          <w:sz w:val="32"/>
          <w:szCs w:val="32"/>
        </w:rPr>
        <w:t>预算批复公开表</w:t>
      </w:r>
    </w:p>
    <w:p w14:paraId="7B778145">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一、财政拨款收支预算总表</w:t>
      </w:r>
    </w:p>
    <w:p w14:paraId="74DC2D3A">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二、一般公共预算支出表</w:t>
      </w:r>
    </w:p>
    <w:p w14:paraId="72128ECE">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三、一般公共预算基本支出表</w:t>
      </w:r>
    </w:p>
    <w:p w14:paraId="54A4144B">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四、一般公共预算“三公”经费支出表</w:t>
      </w:r>
    </w:p>
    <w:p w14:paraId="5A2AE614">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五、政府性基金预算支出表</w:t>
      </w:r>
    </w:p>
    <w:p w14:paraId="5B937C11">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六、部门收支预算总表</w:t>
      </w:r>
    </w:p>
    <w:p w14:paraId="3365FB96">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七、部门收入预算总表</w:t>
      </w:r>
    </w:p>
    <w:p w14:paraId="32FC13F3">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八、部门支出预算总表（一）</w:t>
      </w:r>
    </w:p>
    <w:p w14:paraId="5810E2DE">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九、部门支出预算总表（二）</w:t>
      </w:r>
    </w:p>
    <w:p w14:paraId="4B96C718">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十、项目支出明细表</w:t>
      </w:r>
    </w:p>
    <w:p w14:paraId="699A6A41">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十一、政府采购计划表</w:t>
      </w:r>
    </w:p>
    <w:p w14:paraId="70B72077">
      <w:pPr>
        <w:widowControl/>
        <w:shd w:val="clear" w:color="auto" w:fill="FFFFFF"/>
        <w:spacing w:line="560" w:lineRule="exact"/>
        <w:jc w:val="left"/>
        <w:rPr>
          <w:rFonts w:hint="eastAsia"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十二、三公经费汇总表</w:t>
      </w:r>
    </w:p>
    <w:p w14:paraId="2A735798">
      <w:pPr>
        <w:widowControl/>
        <w:shd w:val="clear" w:color="auto" w:fill="FFFFFF"/>
        <w:spacing w:line="560" w:lineRule="exact"/>
        <w:jc w:val="left"/>
        <w:rPr>
          <w:rFonts w:hint="eastAsia"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十三、项目绩效目标情况表</w:t>
      </w:r>
    </w:p>
    <w:p w14:paraId="4F95657D">
      <w:pPr>
        <w:widowControl/>
        <w:shd w:val="clear" w:color="auto" w:fill="FFFFFF"/>
        <w:spacing w:line="560" w:lineRule="exact"/>
        <w:jc w:val="left"/>
        <w:rPr>
          <w:rFonts w:hint="eastAsia"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十四、政府预算经济分类支出预算表</w:t>
      </w:r>
    </w:p>
    <w:p w14:paraId="2D8069CA">
      <w:pPr>
        <w:widowControl/>
        <w:shd w:val="clear" w:color="auto" w:fill="FFFFFF"/>
        <w:spacing w:line="560" w:lineRule="exact"/>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十五、部门整体绩效目标情况表</w:t>
      </w:r>
    </w:p>
    <w:p w14:paraId="581C6D0F">
      <w:pPr>
        <w:keepLines/>
        <w:widowControl/>
        <w:shd w:val="clear" w:color="auto" w:fill="FFFFFF"/>
        <w:jc w:val="center"/>
        <w:rPr>
          <w:rFonts w:hint="eastAsia" w:ascii="宋体" w:hAnsi="宋体" w:eastAsia="宋体" w:cs="宋体"/>
          <w:b/>
          <w:bCs/>
          <w:color w:val="333333"/>
          <w:kern w:val="0"/>
          <w:sz w:val="36"/>
          <w:szCs w:val="36"/>
        </w:rPr>
      </w:pPr>
    </w:p>
    <w:p w14:paraId="2BE6867E">
      <w:pPr>
        <w:keepLines/>
        <w:widowControl/>
        <w:shd w:val="clear" w:color="auto" w:fill="FFFFFF"/>
        <w:jc w:val="center"/>
        <w:rPr>
          <w:rFonts w:ascii="微软雅黑" w:hAnsi="微软雅黑" w:eastAsia="微软雅黑" w:cs="宋体"/>
          <w:color w:val="333333"/>
          <w:kern w:val="0"/>
          <w:sz w:val="24"/>
          <w:szCs w:val="24"/>
        </w:rPr>
      </w:pPr>
      <w:r>
        <w:rPr>
          <w:rFonts w:hint="eastAsia" w:ascii="宋体" w:hAnsi="宋体" w:eastAsia="宋体" w:cs="宋体"/>
          <w:b/>
          <w:bCs/>
          <w:color w:val="333333"/>
          <w:kern w:val="0"/>
          <w:sz w:val="36"/>
          <w:szCs w:val="36"/>
        </w:rPr>
        <w:t>第一部分 部门预算公开管理文件</w:t>
      </w:r>
    </w:p>
    <w:p w14:paraId="2384F12E">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p>
    <w:p w14:paraId="7737BCB5">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《关于印发&lt;本溪市财政局部门预决算信息公开管理办法（试行）&gt;的通知》(本财发〔2020〕36号)、本溪市财政局部门预决算信息公开管理办法（试行）</w:t>
      </w:r>
    </w:p>
    <w:p w14:paraId="0D0D2FD0">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第一条为推进和规范预决算信息公开工作，强化社会监督，促进依法理财，建立透明预算制度，根据《中华人民共和国预算法》和《中华人民共和国政府信息公开条例》等有关规定，结合我局实际，制定本办法。</w:t>
      </w:r>
    </w:p>
    <w:p w14:paraId="6FC3FE6E">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第二条本办法适用于本溪市溪湖区部门名称部门预决算信息公开管理。</w:t>
      </w:r>
    </w:p>
    <w:p w14:paraId="742E3D88">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第三条本办法所称部门预决算信息包括预算收支安排、预算执行、决算数据等。</w:t>
      </w:r>
    </w:p>
    <w:p w14:paraId="004DDC5F">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第四条预决算信息公开的原则：以公开为常态，不公开为例外，依法依规公开预决算。除涉及国家秘密外，不得少公开、不公开应当公开的事项，确保预决算信息公开及时、准确和完整。</w:t>
      </w:r>
    </w:p>
    <w:p w14:paraId="1D38AA48">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第五条财务核算部负责我局部门预决算信息公开工作，履行下列职责：</w:t>
      </w:r>
    </w:p>
    <w:p w14:paraId="1E5AD029">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（一）制定我局部门预决算信息公开的工作方案；</w:t>
      </w:r>
    </w:p>
    <w:p w14:paraId="5E32A8AD">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（二）按规定公开我局部门预决算信息；</w:t>
      </w:r>
    </w:p>
    <w:p w14:paraId="0E87861A">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（三）按规定做好公民、法人或者其他组织依申请公开部门预决算信息的答复工作。</w:t>
      </w:r>
    </w:p>
    <w:p w14:paraId="43A50EEA">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第六条部门预决算信息公开内容包括：</w:t>
      </w:r>
    </w:p>
    <w:p w14:paraId="61C8EA10">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（一）部门文件。部门预决算信息公开管理办法。</w:t>
      </w:r>
    </w:p>
    <w:p w14:paraId="07C6AC80">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（二）部门概况。包括部门职责、机构设置、实有人员等情况。</w:t>
      </w:r>
    </w:p>
    <w:p w14:paraId="23454DE2">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（三）预决算收支情况表。包括部门收支总体情况、财政拨款安排使用情况、“三公”经费财政拨款安排使用情况等。</w:t>
      </w:r>
    </w:p>
    <w:p w14:paraId="340DD902">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（四）情况说明。包括预决算年度收支、机关运行经费、政府采购、“三公”经费、国有资产占有使用和项目支出绩效目标等情况说明。</w:t>
      </w:r>
    </w:p>
    <w:p w14:paraId="3EC4E09A">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（五）名词解释。对预决算相关专业名词进行解释说明。</w:t>
      </w:r>
    </w:p>
    <w:p w14:paraId="709527F3">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第七条部门预决算信息在我局门户网站“财政预决算”专栏公开，并保持长期公开状态，便于社会公众查询监督。</w:t>
      </w:r>
    </w:p>
    <w:p w14:paraId="044E333C">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第八条经市财政局批复的部门预决算及报表，应当在批复后20日内公开。</w:t>
      </w:r>
    </w:p>
    <w:p w14:paraId="1178CED8">
      <w:pPr>
        <w:keepLines/>
        <w:widowControl/>
        <w:shd w:val="clear" w:color="auto" w:fill="FFFFFF"/>
        <w:spacing w:line="480" w:lineRule="atLeast"/>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第九条本办法自印发之日起实行。</w:t>
      </w:r>
    </w:p>
    <w:p w14:paraId="63D9A3CB">
      <w:pPr>
        <w:keepLines/>
        <w:widowControl/>
        <w:shd w:val="clear" w:color="auto" w:fill="FFFFFF"/>
        <w:jc w:val="center"/>
        <w:rPr>
          <w:rFonts w:ascii="微软雅黑" w:hAnsi="微软雅黑" w:eastAsia="微软雅黑" w:cs="宋体"/>
          <w:color w:val="333333"/>
          <w:kern w:val="0"/>
          <w:sz w:val="24"/>
          <w:szCs w:val="24"/>
        </w:rPr>
      </w:pPr>
    </w:p>
    <w:p w14:paraId="16869851">
      <w:pPr>
        <w:keepLines/>
        <w:widowControl/>
        <w:shd w:val="clear" w:color="auto" w:fill="FFFFFF"/>
        <w:jc w:val="center"/>
        <w:rPr>
          <w:rFonts w:ascii="微软雅黑" w:hAnsi="微软雅黑" w:eastAsia="微软雅黑" w:cs="宋体"/>
          <w:color w:val="333333"/>
          <w:kern w:val="0"/>
          <w:sz w:val="24"/>
          <w:szCs w:val="24"/>
        </w:rPr>
      </w:pPr>
    </w:p>
    <w:p w14:paraId="7E0638B1">
      <w:pPr>
        <w:keepLines/>
        <w:widowControl/>
        <w:shd w:val="clear" w:color="auto" w:fill="FFFFFF"/>
        <w:jc w:val="center"/>
        <w:rPr>
          <w:rFonts w:ascii="微软雅黑" w:hAnsi="微软雅黑" w:eastAsia="微软雅黑" w:cs="宋体"/>
          <w:color w:val="333333"/>
          <w:kern w:val="0"/>
          <w:sz w:val="24"/>
          <w:szCs w:val="24"/>
        </w:rPr>
      </w:pPr>
    </w:p>
    <w:p w14:paraId="50948C0C">
      <w:pPr>
        <w:keepLines/>
        <w:widowControl/>
        <w:shd w:val="clear" w:color="auto" w:fill="FFFFFF"/>
        <w:jc w:val="center"/>
        <w:rPr>
          <w:rFonts w:ascii="微软雅黑" w:hAnsi="微软雅黑" w:eastAsia="微软雅黑" w:cs="宋体"/>
          <w:color w:val="333333"/>
          <w:kern w:val="0"/>
          <w:sz w:val="24"/>
          <w:szCs w:val="24"/>
        </w:rPr>
      </w:pPr>
    </w:p>
    <w:p w14:paraId="3C5D5750">
      <w:pPr>
        <w:keepLines/>
        <w:widowControl/>
        <w:shd w:val="clear" w:color="auto" w:fill="FFFFFF"/>
        <w:jc w:val="center"/>
        <w:rPr>
          <w:rFonts w:hint="eastAsia" w:ascii="宋体" w:hAnsi="宋体" w:eastAsia="宋体" w:cs="宋体"/>
          <w:b/>
          <w:bCs/>
          <w:color w:val="333333"/>
          <w:kern w:val="0"/>
          <w:sz w:val="36"/>
          <w:szCs w:val="36"/>
        </w:rPr>
      </w:pPr>
    </w:p>
    <w:p w14:paraId="692ED929">
      <w:pPr>
        <w:keepLines/>
        <w:widowControl/>
        <w:shd w:val="clear" w:color="auto" w:fill="FFFFFF"/>
        <w:jc w:val="center"/>
        <w:rPr>
          <w:rFonts w:hint="eastAsia" w:ascii="宋体" w:hAnsi="宋体" w:eastAsia="宋体" w:cs="宋体"/>
          <w:b/>
          <w:bCs/>
          <w:color w:val="333333"/>
          <w:kern w:val="0"/>
          <w:sz w:val="36"/>
          <w:szCs w:val="36"/>
        </w:rPr>
      </w:pPr>
    </w:p>
    <w:p w14:paraId="4BEB2345">
      <w:pPr>
        <w:keepLines/>
        <w:widowControl/>
        <w:shd w:val="clear" w:color="auto" w:fill="FFFFFF"/>
        <w:jc w:val="center"/>
        <w:rPr>
          <w:rFonts w:ascii="微软雅黑" w:hAnsi="微软雅黑" w:eastAsia="微软雅黑" w:cs="宋体"/>
          <w:color w:val="333333"/>
          <w:kern w:val="0"/>
          <w:sz w:val="24"/>
          <w:szCs w:val="24"/>
        </w:rPr>
      </w:pPr>
      <w:r>
        <w:rPr>
          <w:rFonts w:hint="eastAsia" w:ascii="宋体" w:hAnsi="宋体" w:eastAsia="宋体" w:cs="宋体"/>
          <w:b/>
          <w:bCs/>
          <w:color w:val="333333"/>
          <w:kern w:val="0"/>
          <w:sz w:val="36"/>
          <w:szCs w:val="36"/>
        </w:rPr>
        <w:t>第二部分 本溪市溪湖区</w:t>
      </w:r>
      <w:r>
        <w:rPr>
          <w:rFonts w:hint="eastAsia" w:ascii="黑体" w:hAnsi="黑体" w:eastAsia="黑体" w:cs="宋体"/>
          <w:color w:val="333333"/>
          <w:kern w:val="0"/>
          <w:sz w:val="32"/>
          <w:szCs w:val="32"/>
          <w:lang w:eastAsia="zh-CN"/>
        </w:rPr>
        <w:t>政府办公室</w:t>
      </w:r>
      <w:r>
        <w:rPr>
          <w:rFonts w:hint="eastAsia" w:ascii="宋体" w:hAnsi="宋体" w:eastAsia="宋体" w:cs="宋体"/>
          <w:b/>
          <w:bCs/>
          <w:color w:val="333333"/>
          <w:kern w:val="0"/>
          <w:sz w:val="36"/>
          <w:szCs w:val="36"/>
        </w:rPr>
        <w:t>概况</w:t>
      </w:r>
    </w:p>
    <w:p w14:paraId="5BF02599">
      <w:pPr>
        <w:keepLines/>
        <w:widowControl/>
        <w:shd w:val="clear" w:color="auto" w:fill="FFFFFF"/>
        <w:ind w:firstLine="645"/>
        <w:jc w:val="left"/>
        <w:rPr>
          <w:rFonts w:ascii="微软雅黑" w:hAnsi="微软雅黑" w:eastAsia="微软雅黑" w:cs="宋体"/>
          <w:color w:val="333333"/>
          <w:kern w:val="0"/>
          <w:sz w:val="24"/>
          <w:szCs w:val="24"/>
        </w:rPr>
      </w:pPr>
    </w:p>
    <w:p w14:paraId="578A3E31">
      <w:pPr>
        <w:keepLines/>
        <w:widowControl/>
        <w:numPr>
          <w:ilvl w:val="0"/>
          <w:numId w:val="0"/>
        </w:numPr>
        <w:shd w:val="clear" w:color="auto" w:fill="FFFFFF"/>
        <w:ind w:firstLine="640" w:firstLineChars="200"/>
        <w:jc w:val="left"/>
        <w:rPr>
          <w:rFonts w:hint="eastAsia" w:ascii="黑体" w:hAnsi="黑体" w:eastAsia="黑体" w:cs="宋体"/>
          <w:color w:val="333333"/>
          <w:kern w:val="0"/>
          <w:sz w:val="32"/>
          <w:szCs w:val="32"/>
        </w:rPr>
      </w:pPr>
      <w:r>
        <w:rPr>
          <w:rFonts w:hint="eastAsia" w:ascii="黑体" w:hAnsi="黑体" w:eastAsia="黑体" w:cs="宋体"/>
          <w:color w:val="333333"/>
          <w:kern w:val="0"/>
          <w:sz w:val="32"/>
          <w:szCs w:val="32"/>
        </w:rPr>
        <w:t>部门职责</w:t>
      </w:r>
    </w:p>
    <w:p w14:paraId="7DEB1D78">
      <w:pPr>
        <w:spacing w:line="480" w:lineRule="auto"/>
        <w:ind w:firstLine="640" w:firstLineChars="200"/>
        <w:rPr>
          <w:rFonts w:hint="eastAsia" w:ascii="仿宋_GB2312" w:hAnsi="宋体" w:eastAsia="仿宋_GB2312" w:cs="宋体"/>
          <w:kern w:val="0"/>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负责区政府会议和区政府领导同志重要活动的组织安排，协助区政府领导同志组织实施会议决定事项。</w:t>
      </w:r>
      <w:r>
        <w:rPr>
          <w:rFonts w:hint="eastAsia" w:ascii="仿宋_GB2312" w:hAnsi="宋体" w:eastAsia="仿宋_GB2312" w:cs="宋体"/>
          <w:color w:val="000000"/>
          <w:kern w:val="0"/>
          <w:sz w:val="32"/>
          <w:szCs w:val="32"/>
        </w:rPr>
        <w:t xml:space="preserve"> </w:t>
      </w:r>
    </w:p>
    <w:p w14:paraId="0435128C">
      <w:pPr>
        <w:widowControl/>
        <w:spacing w:line="480" w:lineRule="auto"/>
        <w:jc w:val="left"/>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 xml:space="preserve">    （二）负责或参与党和国家领导人、国家机关各部门，省及外省领导、省直机关各部门领导，市及外市领导、市直机关各部门领导，外区领导以及重要外宾来我区政务活动组织安排。</w:t>
      </w:r>
    </w:p>
    <w:p w14:paraId="3F3CA4C1">
      <w:pPr>
        <w:keepNext w:val="0"/>
        <w:keepLines w:val="0"/>
        <w:pageBreakBefore w:val="0"/>
        <w:widowControl/>
        <w:kinsoku/>
        <w:wordWrap/>
        <w:overflowPunct/>
        <w:topLinePunct w:val="0"/>
        <w:autoSpaceDE/>
        <w:autoSpaceDN/>
        <w:bidi w:val="0"/>
        <w:adjustRightInd/>
        <w:snapToGrid/>
        <w:spacing w:line="480" w:lineRule="auto"/>
        <w:ind w:left="0" w:leftChars="0" w:right="0" w:rightChars="0" w:firstLine="640" w:firstLineChars="200"/>
        <w:jc w:val="left"/>
        <w:textAlignment w:val="auto"/>
        <w:outlineLvl w:val="9"/>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（三）协助区政府领导同志组织起草或审核以区政府、区政府办公室名义发布的公文，指导全区行政机关公文处理工作。</w:t>
      </w:r>
    </w:p>
    <w:p w14:paraId="49F46353">
      <w:pPr>
        <w:keepNext w:val="0"/>
        <w:keepLines w:val="0"/>
        <w:pageBreakBefore w:val="0"/>
        <w:widowControl/>
        <w:kinsoku/>
        <w:wordWrap/>
        <w:overflowPunct/>
        <w:topLinePunct w:val="0"/>
        <w:autoSpaceDE/>
        <w:autoSpaceDN/>
        <w:bidi w:val="0"/>
        <w:adjustRightInd/>
        <w:snapToGrid/>
        <w:spacing w:line="480" w:lineRule="auto"/>
        <w:ind w:left="0" w:leftChars="0" w:right="0" w:rightChars="0" w:firstLine="640" w:firstLineChars="200"/>
        <w:jc w:val="left"/>
        <w:textAlignment w:val="auto"/>
        <w:outlineLvl w:val="9"/>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（四）审核区政府各部门请示、报告区政府的事项，提出办理意见，报区政府领导同志审批，办理国务院、国家各部委，省政府、省政府各部门和市政府、市政府各部门及各方面的来文来电。</w:t>
      </w:r>
    </w:p>
    <w:p w14:paraId="587C16F7">
      <w:pPr>
        <w:keepNext w:val="0"/>
        <w:keepLines w:val="0"/>
        <w:pageBreakBefore w:val="0"/>
        <w:widowControl/>
        <w:kinsoku/>
        <w:wordWrap/>
        <w:overflowPunct/>
        <w:topLinePunct w:val="0"/>
        <w:autoSpaceDE/>
        <w:autoSpaceDN/>
        <w:bidi w:val="0"/>
        <w:adjustRightInd/>
        <w:snapToGrid/>
        <w:spacing w:line="480" w:lineRule="auto"/>
        <w:ind w:left="0" w:leftChars="0" w:right="0" w:rightChars="0" w:firstLine="640" w:firstLineChars="200"/>
        <w:jc w:val="left"/>
        <w:textAlignment w:val="auto"/>
        <w:outlineLvl w:val="9"/>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（五）根据区政府领导同志的指示，对区政府的重要工作部署组织开展调查研究和综合协调。</w:t>
      </w:r>
    </w:p>
    <w:p w14:paraId="16D12946">
      <w:pPr>
        <w:keepNext w:val="0"/>
        <w:keepLines w:val="0"/>
        <w:pageBreakBefore w:val="0"/>
        <w:widowControl/>
        <w:kinsoku/>
        <w:wordWrap/>
        <w:overflowPunct/>
        <w:topLinePunct w:val="0"/>
        <w:autoSpaceDE/>
        <w:autoSpaceDN/>
        <w:bidi w:val="0"/>
        <w:adjustRightInd/>
        <w:snapToGrid/>
        <w:spacing w:line="480" w:lineRule="auto"/>
        <w:ind w:left="0" w:leftChars="0" w:right="0" w:rightChars="0" w:firstLine="640" w:firstLineChars="200"/>
        <w:jc w:val="left"/>
        <w:textAlignment w:val="auto"/>
        <w:outlineLvl w:val="9"/>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（六）负责党中央、国务院和省委、省政府和市委、市政府以及区委、区政府决策部署贯彻落实情况的督促检查，并及时报告督查情况，指导协调和统筹规范政府系统考核工作，组织实施绩效考核工作。</w:t>
      </w:r>
    </w:p>
    <w:p w14:paraId="3BE6F9B2">
      <w:pPr>
        <w:keepNext w:val="0"/>
        <w:keepLines w:val="0"/>
        <w:pageBreakBefore w:val="0"/>
        <w:widowControl/>
        <w:kinsoku/>
        <w:wordWrap/>
        <w:overflowPunct/>
        <w:topLinePunct w:val="0"/>
        <w:autoSpaceDE/>
        <w:autoSpaceDN/>
        <w:bidi w:val="0"/>
        <w:adjustRightInd/>
        <w:snapToGrid/>
        <w:spacing w:line="480" w:lineRule="auto"/>
        <w:ind w:left="0" w:leftChars="0" w:right="0" w:rightChars="0" w:firstLine="640" w:firstLineChars="200"/>
        <w:jc w:val="left"/>
        <w:textAlignment w:val="auto"/>
        <w:outlineLvl w:val="9"/>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（七）负责组织协调、指导督促区政府系统承办的全国和省市区人大代表建议、政协提案办理工作。</w:t>
      </w:r>
    </w:p>
    <w:p w14:paraId="76467786">
      <w:pPr>
        <w:keepNext w:val="0"/>
        <w:keepLines w:val="0"/>
        <w:pageBreakBefore w:val="0"/>
        <w:widowControl/>
        <w:kinsoku/>
        <w:wordWrap/>
        <w:overflowPunct/>
        <w:topLinePunct w:val="0"/>
        <w:autoSpaceDE/>
        <w:autoSpaceDN/>
        <w:bidi w:val="0"/>
        <w:adjustRightInd/>
        <w:snapToGrid/>
        <w:spacing w:line="480" w:lineRule="auto"/>
        <w:ind w:left="0" w:leftChars="0" w:right="0" w:rightChars="0" w:firstLine="640" w:firstLineChars="200"/>
        <w:jc w:val="left"/>
        <w:textAlignment w:val="auto"/>
        <w:outlineLvl w:val="9"/>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（八）负责区政府值班工作，及时报告重要情况，传达和督促落实党中央、国务院和省委、省政府和市委、市政府以及区委、区政府领导同志的指示。</w:t>
      </w:r>
    </w:p>
    <w:p w14:paraId="673DE790">
      <w:pPr>
        <w:keepNext w:val="0"/>
        <w:keepLines w:val="0"/>
        <w:pageBreakBefore w:val="0"/>
        <w:widowControl/>
        <w:kinsoku/>
        <w:wordWrap/>
        <w:overflowPunct/>
        <w:topLinePunct w:val="0"/>
        <w:autoSpaceDE/>
        <w:autoSpaceDN/>
        <w:bidi w:val="0"/>
        <w:adjustRightInd/>
        <w:snapToGrid/>
        <w:spacing w:line="480" w:lineRule="auto"/>
        <w:ind w:left="0" w:leftChars="0" w:right="0" w:rightChars="0" w:firstLine="640" w:firstLineChars="200"/>
        <w:jc w:val="left"/>
        <w:textAlignment w:val="auto"/>
        <w:outlineLvl w:val="9"/>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（九）负责全区政务信息搜集、整理、报送工作，指导政府系统信息工作。</w:t>
      </w:r>
    </w:p>
    <w:p w14:paraId="68D8EB69">
      <w:pPr>
        <w:keepNext w:val="0"/>
        <w:keepLines w:val="0"/>
        <w:pageBreakBefore w:val="0"/>
        <w:widowControl/>
        <w:kinsoku/>
        <w:wordWrap/>
        <w:overflowPunct/>
        <w:topLinePunct w:val="0"/>
        <w:autoSpaceDE/>
        <w:autoSpaceDN/>
        <w:bidi w:val="0"/>
        <w:adjustRightInd/>
        <w:snapToGrid/>
        <w:spacing w:line="480" w:lineRule="auto"/>
        <w:ind w:left="0" w:leftChars="0" w:right="0" w:rightChars="0" w:firstLine="640" w:firstLineChars="200"/>
        <w:jc w:val="left"/>
        <w:textAlignment w:val="auto"/>
        <w:outlineLvl w:val="9"/>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（十）负责规划协调、指导监督全区政府系统电子政务建设工作。</w:t>
      </w:r>
    </w:p>
    <w:p w14:paraId="71C51B77">
      <w:pPr>
        <w:keepNext w:val="0"/>
        <w:keepLines w:val="0"/>
        <w:pageBreakBefore w:val="0"/>
        <w:widowControl/>
        <w:kinsoku/>
        <w:wordWrap/>
        <w:overflowPunct/>
        <w:topLinePunct w:val="0"/>
        <w:autoSpaceDE/>
        <w:autoSpaceDN/>
        <w:bidi w:val="0"/>
        <w:adjustRightInd/>
        <w:snapToGrid/>
        <w:spacing w:line="480" w:lineRule="auto"/>
        <w:ind w:left="0" w:leftChars="0" w:right="0" w:rightChars="0" w:firstLine="640" w:firstLineChars="200"/>
        <w:jc w:val="left"/>
        <w:textAlignment w:val="auto"/>
        <w:outlineLvl w:val="9"/>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（十一）负责组织或参与对改革开放和经济社会发展中重大问题的调查研究、决策咨询，提出政策性建议和咨询意见。</w:t>
      </w:r>
    </w:p>
    <w:p w14:paraId="5ECEC910">
      <w:pPr>
        <w:keepNext w:val="0"/>
        <w:keepLines w:val="0"/>
        <w:pageBreakBefore w:val="0"/>
        <w:widowControl/>
        <w:kinsoku/>
        <w:wordWrap/>
        <w:overflowPunct/>
        <w:topLinePunct w:val="0"/>
        <w:autoSpaceDE/>
        <w:autoSpaceDN/>
        <w:bidi w:val="0"/>
        <w:adjustRightInd/>
        <w:snapToGrid/>
        <w:spacing w:line="480" w:lineRule="auto"/>
        <w:ind w:left="0" w:leftChars="0" w:right="0" w:rightChars="0" w:firstLine="640" w:firstLineChars="200"/>
        <w:jc w:val="left"/>
        <w:textAlignment w:val="auto"/>
        <w:outlineLvl w:val="9"/>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（十二）负责推进、指导、协调、监督政府信息与政务公开工作，组织协调区政府系统政务舆情应对工作。</w:t>
      </w:r>
    </w:p>
    <w:p w14:paraId="746E4B43">
      <w:pPr>
        <w:keepNext w:val="0"/>
        <w:keepLines w:val="0"/>
        <w:pageBreakBefore w:val="0"/>
        <w:widowControl/>
        <w:kinsoku/>
        <w:wordWrap/>
        <w:overflowPunct/>
        <w:topLinePunct w:val="0"/>
        <w:autoSpaceDE/>
        <w:autoSpaceDN/>
        <w:bidi w:val="0"/>
        <w:adjustRightInd/>
        <w:snapToGrid/>
        <w:spacing w:line="480" w:lineRule="auto"/>
        <w:ind w:left="0" w:leftChars="0" w:right="0" w:rightChars="0" w:firstLine="640" w:firstLineChars="200"/>
        <w:jc w:val="left"/>
        <w:textAlignment w:val="auto"/>
        <w:outlineLvl w:val="9"/>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（十三）负责协调组织区政府重点工作的宣传报道，对区政府各部门宣传工作督促检查。</w:t>
      </w:r>
    </w:p>
    <w:p w14:paraId="4CE6A16F">
      <w:pPr>
        <w:keepNext w:val="0"/>
        <w:keepLines w:val="0"/>
        <w:pageBreakBefore w:val="0"/>
        <w:widowControl/>
        <w:kinsoku/>
        <w:wordWrap/>
        <w:overflowPunct/>
        <w:topLinePunct w:val="0"/>
        <w:autoSpaceDE/>
        <w:autoSpaceDN/>
        <w:bidi w:val="0"/>
        <w:adjustRightInd/>
        <w:snapToGrid/>
        <w:spacing w:line="480" w:lineRule="auto"/>
        <w:ind w:left="0" w:leftChars="0" w:right="0" w:rightChars="0" w:firstLine="640" w:firstLineChars="200"/>
        <w:jc w:val="left"/>
        <w:textAlignment w:val="auto"/>
        <w:outlineLvl w:val="9"/>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（十四）承担区政府绩效管理工作领导小组日常工作。</w:t>
      </w:r>
    </w:p>
    <w:p w14:paraId="0C6238E3">
      <w:pPr>
        <w:keepNext w:val="0"/>
        <w:keepLines w:val="0"/>
        <w:pageBreakBefore w:val="0"/>
        <w:widowControl/>
        <w:kinsoku/>
        <w:wordWrap/>
        <w:overflowPunct/>
        <w:topLinePunct w:val="0"/>
        <w:autoSpaceDE/>
        <w:autoSpaceDN/>
        <w:bidi w:val="0"/>
        <w:adjustRightInd/>
        <w:snapToGrid/>
        <w:spacing w:line="480" w:lineRule="auto"/>
        <w:ind w:left="0" w:leftChars="0" w:right="0" w:rightChars="0" w:firstLine="640" w:firstLineChars="200"/>
        <w:jc w:val="left"/>
        <w:textAlignment w:val="auto"/>
        <w:outlineLvl w:val="9"/>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（十五）完成区委、区政府领导同志交办的其他任务。</w:t>
      </w:r>
    </w:p>
    <w:p w14:paraId="2F5CC9FC">
      <w:pPr>
        <w:keepNext w:val="0"/>
        <w:keepLines w:val="0"/>
        <w:pageBreakBefore w:val="0"/>
        <w:widowControl/>
        <w:kinsoku/>
        <w:wordWrap/>
        <w:overflowPunct/>
        <w:topLinePunct w:val="0"/>
        <w:autoSpaceDE/>
        <w:autoSpaceDN/>
        <w:bidi w:val="0"/>
        <w:adjustRightInd/>
        <w:snapToGrid/>
        <w:spacing w:line="480" w:lineRule="auto"/>
        <w:ind w:left="0" w:leftChars="0" w:right="0" w:rightChars="0" w:firstLine="640" w:firstLineChars="200"/>
        <w:jc w:val="left"/>
        <w:textAlignment w:val="auto"/>
        <w:outlineLvl w:val="9"/>
        <w:rPr>
          <w:rFonts w:hint="eastAsia"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十六）职能转变。区政府办公室应加强督查督办工作，加强政府绩效管理工作，实现督考合一，推动党和政府重大决策部署的贯彻落实。加强和改进区政府宣传工作，为推动区政府重点工作和政策措施的落实营造良好环境。加强政务公开，指导各单位主动回应社会关切，接受群众监督。</w:t>
      </w:r>
    </w:p>
    <w:p w14:paraId="32C24CCD">
      <w:pPr>
        <w:keepNext w:val="0"/>
        <w:keepLines w:val="0"/>
        <w:pageBreakBefore w:val="0"/>
        <w:widowControl/>
        <w:kinsoku/>
        <w:wordWrap/>
        <w:overflowPunct/>
        <w:topLinePunct w:val="0"/>
        <w:autoSpaceDE/>
        <w:autoSpaceDN/>
        <w:bidi w:val="0"/>
        <w:adjustRightInd/>
        <w:snapToGrid/>
        <w:spacing w:line="480" w:lineRule="auto"/>
        <w:ind w:left="0" w:leftChars="0" w:right="0" w:rightChars="0" w:firstLine="640" w:firstLineChars="200"/>
        <w:jc w:val="left"/>
        <w:textAlignment w:val="auto"/>
        <w:outlineLvl w:val="9"/>
        <w:rPr>
          <w:rFonts w:hint="eastAsia" w:ascii="黑体" w:hAnsi="黑体" w:eastAsia="黑体" w:cs="宋体"/>
          <w:color w:val="333333"/>
          <w:kern w:val="0"/>
          <w:sz w:val="32"/>
          <w:szCs w:val="32"/>
        </w:rPr>
      </w:pPr>
      <w:r>
        <w:rPr>
          <w:rFonts w:hint="eastAsia" w:ascii="仿宋_GB2312" w:hAnsi="宋体" w:eastAsia="仿宋_GB2312" w:cs="宋体"/>
          <w:color w:val="000000"/>
          <w:kern w:val="0"/>
          <w:sz w:val="32"/>
          <w:szCs w:val="32"/>
        </w:rPr>
        <w:t>（十七）关于实绩考核工作的职责分工。区委办公室负责协调区直党群政法部门业务指标考核上报。区政府办公室负责协调区政府部门的业务指标考核上报。</w:t>
      </w:r>
    </w:p>
    <w:p w14:paraId="503D7834">
      <w:pPr>
        <w:keepLines/>
        <w:widowControl/>
        <w:shd w:val="clear" w:color="auto" w:fill="FFFFFF"/>
        <w:jc w:val="center"/>
        <w:rPr>
          <w:rFonts w:ascii="微软雅黑" w:hAnsi="微软雅黑" w:eastAsia="微软雅黑" w:cs="宋体"/>
          <w:color w:val="333333"/>
          <w:kern w:val="0"/>
          <w:sz w:val="24"/>
          <w:szCs w:val="24"/>
        </w:rPr>
      </w:pPr>
    </w:p>
    <w:p w14:paraId="66C31531">
      <w:pPr>
        <w:keepLines/>
        <w:widowControl/>
        <w:shd w:val="clear" w:color="auto" w:fill="FFFFFF"/>
        <w:jc w:val="center"/>
        <w:rPr>
          <w:rFonts w:hint="eastAsia" w:ascii="宋体" w:hAnsi="宋体" w:eastAsia="宋体" w:cs="宋体"/>
          <w:b/>
          <w:bCs/>
          <w:color w:val="333333"/>
          <w:kern w:val="0"/>
          <w:sz w:val="36"/>
          <w:szCs w:val="36"/>
        </w:rPr>
      </w:pPr>
    </w:p>
    <w:p w14:paraId="22F4BA02">
      <w:pPr>
        <w:keepLines/>
        <w:widowControl/>
        <w:shd w:val="clear" w:color="auto" w:fill="FFFFFF"/>
        <w:jc w:val="center"/>
        <w:rPr>
          <w:rFonts w:hint="eastAsia" w:ascii="宋体" w:hAnsi="宋体" w:eastAsia="宋体" w:cs="宋体"/>
          <w:b/>
          <w:bCs/>
          <w:color w:val="333333"/>
          <w:kern w:val="0"/>
          <w:sz w:val="36"/>
          <w:szCs w:val="36"/>
        </w:rPr>
      </w:pPr>
    </w:p>
    <w:p w14:paraId="2DFF11CB">
      <w:pPr>
        <w:keepLines/>
        <w:widowControl/>
        <w:shd w:val="clear" w:color="auto" w:fill="FFFFFF"/>
        <w:jc w:val="center"/>
        <w:rPr>
          <w:rFonts w:hint="eastAsia" w:ascii="宋体" w:hAnsi="宋体" w:eastAsia="宋体" w:cs="宋体"/>
          <w:b/>
          <w:bCs/>
          <w:color w:val="333333"/>
          <w:kern w:val="0"/>
          <w:sz w:val="36"/>
          <w:szCs w:val="36"/>
        </w:rPr>
      </w:pPr>
    </w:p>
    <w:p w14:paraId="165015FB">
      <w:pPr>
        <w:keepLines/>
        <w:widowControl/>
        <w:shd w:val="clear" w:color="auto" w:fill="FFFFFF"/>
        <w:jc w:val="center"/>
        <w:rPr>
          <w:rFonts w:hint="eastAsia" w:ascii="宋体" w:hAnsi="宋体" w:eastAsia="宋体" w:cs="宋体"/>
          <w:b/>
          <w:bCs/>
          <w:color w:val="333333"/>
          <w:kern w:val="0"/>
          <w:sz w:val="36"/>
          <w:szCs w:val="36"/>
        </w:rPr>
      </w:pPr>
    </w:p>
    <w:p w14:paraId="49AB6438">
      <w:pPr>
        <w:keepLines/>
        <w:widowControl/>
        <w:shd w:val="clear" w:color="auto" w:fill="FFFFFF"/>
        <w:jc w:val="center"/>
        <w:rPr>
          <w:rFonts w:hint="eastAsia" w:ascii="宋体" w:hAnsi="宋体" w:eastAsia="宋体" w:cs="宋体"/>
          <w:b/>
          <w:bCs/>
          <w:color w:val="333333"/>
          <w:kern w:val="0"/>
          <w:sz w:val="36"/>
          <w:szCs w:val="36"/>
        </w:rPr>
      </w:pPr>
    </w:p>
    <w:p w14:paraId="2C4B6FB2">
      <w:pPr>
        <w:keepLines/>
        <w:widowControl/>
        <w:shd w:val="clear" w:color="auto" w:fill="FFFFFF"/>
        <w:jc w:val="center"/>
        <w:rPr>
          <w:rFonts w:hint="eastAsia" w:ascii="宋体" w:hAnsi="宋体" w:eastAsia="宋体" w:cs="宋体"/>
          <w:b/>
          <w:bCs/>
          <w:color w:val="333333"/>
          <w:kern w:val="0"/>
          <w:sz w:val="36"/>
          <w:szCs w:val="36"/>
        </w:rPr>
      </w:pPr>
    </w:p>
    <w:p w14:paraId="53AE5A41">
      <w:pPr>
        <w:keepLines/>
        <w:widowControl/>
        <w:shd w:val="clear" w:color="auto" w:fill="FFFFFF"/>
        <w:jc w:val="center"/>
        <w:rPr>
          <w:rFonts w:hint="eastAsia" w:ascii="宋体" w:hAnsi="宋体" w:eastAsia="宋体" w:cs="宋体"/>
          <w:b/>
          <w:bCs/>
          <w:color w:val="333333"/>
          <w:kern w:val="0"/>
          <w:sz w:val="36"/>
          <w:szCs w:val="36"/>
        </w:rPr>
      </w:pPr>
    </w:p>
    <w:p w14:paraId="08B5103C">
      <w:pPr>
        <w:keepLines/>
        <w:widowControl/>
        <w:shd w:val="clear" w:color="auto" w:fill="FFFFFF"/>
        <w:jc w:val="center"/>
        <w:rPr>
          <w:rFonts w:hint="eastAsia" w:ascii="宋体" w:hAnsi="宋体" w:eastAsia="宋体" w:cs="宋体"/>
          <w:b/>
          <w:bCs/>
          <w:color w:val="333333"/>
          <w:kern w:val="0"/>
          <w:sz w:val="36"/>
          <w:szCs w:val="36"/>
        </w:rPr>
      </w:pPr>
    </w:p>
    <w:p w14:paraId="420B315B">
      <w:pPr>
        <w:keepLines/>
        <w:widowControl/>
        <w:shd w:val="clear" w:color="auto" w:fill="FFFFFF"/>
        <w:jc w:val="center"/>
        <w:rPr>
          <w:rFonts w:hint="eastAsia" w:ascii="宋体" w:hAnsi="宋体" w:eastAsia="宋体" w:cs="宋体"/>
          <w:b/>
          <w:bCs/>
          <w:color w:val="333333"/>
          <w:kern w:val="0"/>
          <w:sz w:val="36"/>
          <w:szCs w:val="36"/>
        </w:rPr>
      </w:pPr>
    </w:p>
    <w:p w14:paraId="7EB76FF9">
      <w:pPr>
        <w:keepLines/>
        <w:widowControl/>
        <w:shd w:val="clear" w:color="auto" w:fill="FFFFFF"/>
        <w:jc w:val="center"/>
        <w:rPr>
          <w:rFonts w:hint="eastAsia" w:ascii="宋体" w:hAnsi="宋体" w:eastAsia="宋体" w:cs="宋体"/>
          <w:b/>
          <w:bCs/>
          <w:color w:val="333333"/>
          <w:kern w:val="0"/>
          <w:sz w:val="36"/>
          <w:szCs w:val="36"/>
        </w:rPr>
      </w:pPr>
    </w:p>
    <w:p w14:paraId="44037941">
      <w:pPr>
        <w:keepLines/>
        <w:widowControl/>
        <w:shd w:val="clear" w:color="auto" w:fill="FFFFFF"/>
        <w:jc w:val="center"/>
        <w:rPr>
          <w:rFonts w:hint="eastAsia" w:ascii="宋体" w:hAnsi="宋体" w:eastAsia="宋体" w:cs="宋体"/>
          <w:b/>
          <w:bCs/>
          <w:color w:val="333333"/>
          <w:kern w:val="0"/>
          <w:sz w:val="36"/>
          <w:szCs w:val="36"/>
        </w:rPr>
      </w:pPr>
    </w:p>
    <w:p w14:paraId="76BC6593">
      <w:pPr>
        <w:keepLines/>
        <w:widowControl/>
        <w:shd w:val="clear" w:color="auto" w:fill="FFFFFF"/>
        <w:jc w:val="center"/>
        <w:rPr>
          <w:rFonts w:hint="eastAsia" w:ascii="宋体" w:hAnsi="宋体" w:eastAsia="宋体" w:cs="宋体"/>
          <w:b/>
          <w:bCs/>
          <w:color w:val="333333"/>
          <w:kern w:val="0"/>
          <w:sz w:val="36"/>
          <w:szCs w:val="36"/>
        </w:rPr>
      </w:pPr>
    </w:p>
    <w:p w14:paraId="51E52D48">
      <w:pPr>
        <w:keepLines/>
        <w:widowControl/>
        <w:shd w:val="clear" w:color="auto" w:fill="FFFFFF"/>
        <w:jc w:val="center"/>
        <w:rPr>
          <w:rFonts w:hint="eastAsia" w:ascii="宋体" w:hAnsi="宋体" w:eastAsia="宋体" w:cs="宋体"/>
          <w:b/>
          <w:bCs/>
          <w:color w:val="333333"/>
          <w:kern w:val="0"/>
          <w:sz w:val="36"/>
          <w:szCs w:val="36"/>
        </w:rPr>
      </w:pPr>
    </w:p>
    <w:p w14:paraId="5815A679">
      <w:pPr>
        <w:keepLines/>
        <w:widowControl/>
        <w:shd w:val="clear" w:color="auto" w:fill="FFFFFF"/>
        <w:jc w:val="center"/>
        <w:rPr>
          <w:rFonts w:hint="eastAsia" w:ascii="宋体" w:hAnsi="宋体" w:eastAsia="宋体" w:cs="宋体"/>
          <w:b/>
          <w:bCs/>
          <w:color w:val="333333"/>
          <w:kern w:val="0"/>
          <w:sz w:val="36"/>
          <w:szCs w:val="36"/>
        </w:rPr>
      </w:pPr>
    </w:p>
    <w:p w14:paraId="3F7B011F">
      <w:pPr>
        <w:keepLines/>
        <w:widowControl/>
        <w:shd w:val="clear" w:color="auto" w:fill="FFFFFF"/>
        <w:jc w:val="center"/>
        <w:rPr>
          <w:rFonts w:hint="eastAsia" w:ascii="宋体" w:hAnsi="宋体" w:eastAsia="宋体" w:cs="宋体"/>
          <w:b/>
          <w:bCs/>
          <w:color w:val="333333"/>
          <w:kern w:val="0"/>
          <w:sz w:val="36"/>
          <w:szCs w:val="36"/>
        </w:rPr>
      </w:pPr>
    </w:p>
    <w:p w14:paraId="15056B54">
      <w:pPr>
        <w:keepLines/>
        <w:widowControl/>
        <w:shd w:val="clear" w:color="auto" w:fill="FFFFFF"/>
        <w:jc w:val="center"/>
        <w:rPr>
          <w:rFonts w:hint="eastAsia" w:ascii="宋体" w:hAnsi="宋体" w:eastAsia="宋体" w:cs="宋体"/>
          <w:b/>
          <w:bCs/>
          <w:color w:val="333333"/>
          <w:kern w:val="0"/>
          <w:sz w:val="36"/>
          <w:szCs w:val="36"/>
        </w:rPr>
      </w:pPr>
      <w:r>
        <w:rPr>
          <w:rFonts w:hint="eastAsia" w:ascii="宋体" w:hAnsi="宋体" w:eastAsia="宋体" w:cs="宋体"/>
          <w:b/>
          <w:bCs/>
          <w:color w:val="333333"/>
          <w:kern w:val="0"/>
          <w:sz w:val="36"/>
          <w:szCs w:val="36"/>
        </w:rPr>
        <w:t>第三部分本溪市溪湖区</w:t>
      </w:r>
      <w:r>
        <w:rPr>
          <w:rFonts w:hint="eastAsia" w:ascii="黑体" w:hAnsi="黑体" w:eastAsia="黑体" w:cs="宋体"/>
          <w:color w:val="333333"/>
          <w:kern w:val="0"/>
          <w:sz w:val="32"/>
          <w:szCs w:val="32"/>
          <w:lang w:eastAsia="zh-CN"/>
        </w:rPr>
        <w:t>政府办公室</w:t>
      </w:r>
      <w:r>
        <w:rPr>
          <w:rFonts w:hint="eastAsia" w:ascii="宋体" w:hAnsi="宋体" w:eastAsia="宋体" w:cs="宋体"/>
          <w:b/>
          <w:bCs/>
          <w:color w:val="333333"/>
          <w:kern w:val="0"/>
          <w:sz w:val="36"/>
          <w:szCs w:val="36"/>
        </w:rPr>
        <w:t>2021年部门</w:t>
      </w:r>
    </w:p>
    <w:p w14:paraId="6B00F974">
      <w:pPr>
        <w:keepLines/>
        <w:widowControl/>
        <w:shd w:val="clear" w:color="auto" w:fill="FFFFFF"/>
        <w:jc w:val="center"/>
        <w:rPr>
          <w:rFonts w:ascii="微软雅黑" w:hAnsi="微软雅黑" w:eastAsia="微软雅黑" w:cs="宋体"/>
          <w:color w:val="333333"/>
          <w:kern w:val="0"/>
          <w:sz w:val="24"/>
          <w:szCs w:val="24"/>
        </w:rPr>
      </w:pPr>
      <w:r>
        <w:rPr>
          <w:rFonts w:hint="eastAsia" w:ascii="宋体" w:hAnsi="宋体" w:eastAsia="宋体" w:cs="宋体"/>
          <w:b/>
          <w:bCs/>
          <w:color w:val="333333"/>
          <w:kern w:val="0"/>
          <w:sz w:val="36"/>
          <w:szCs w:val="36"/>
        </w:rPr>
        <w:t>预算情况说明</w:t>
      </w:r>
    </w:p>
    <w:p w14:paraId="7486D910">
      <w:pPr>
        <w:keepLines/>
        <w:widowControl/>
        <w:shd w:val="clear" w:color="auto" w:fill="FFFFFF"/>
        <w:jc w:val="left"/>
        <w:rPr>
          <w:rFonts w:ascii="微软雅黑" w:hAnsi="微软雅黑" w:eastAsia="微软雅黑" w:cs="宋体"/>
          <w:color w:val="333333"/>
          <w:kern w:val="0"/>
          <w:sz w:val="24"/>
          <w:szCs w:val="24"/>
        </w:rPr>
      </w:pPr>
    </w:p>
    <w:p w14:paraId="1D7D6CE8">
      <w:pPr>
        <w:keepLines/>
        <w:widowControl/>
        <w:shd w:val="clear" w:color="auto" w:fill="FFFFFF"/>
        <w:ind w:firstLine="630"/>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一、收支预算的总体情况</w:t>
      </w:r>
    </w:p>
    <w:p w14:paraId="45E72861">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按照综合预算的原则，本溪市溪湖区</w:t>
      </w:r>
      <w:r>
        <w:rPr>
          <w:rFonts w:hint="eastAsia" w:ascii="仿宋_GB2312" w:hAnsi="微软雅黑" w:eastAsia="仿宋_GB2312" w:cs="宋体"/>
          <w:color w:val="333333"/>
          <w:kern w:val="0"/>
          <w:sz w:val="32"/>
          <w:szCs w:val="32"/>
          <w:lang w:eastAsia="zh-CN"/>
        </w:rPr>
        <w:t>政府办公室</w:t>
      </w:r>
      <w:r>
        <w:rPr>
          <w:rFonts w:hint="eastAsia" w:ascii="仿宋_GB2312" w:hAnsi="微软雅黑" w:eastAsia="仿宋_GB2312" w:cs="宋体"/>
          <w:color w:val="333333"/>
          <w:kern w:val="0"/>
          <w:sz w:val="32"/>
          <w:szCs w:val="32"/>
        </w:rPr>
        <w:t>所有收入和支出均纳入部门预算管理。其中：</w:t>
      </w:r>
    </w:p>
    <w:p w14:paraId="47F07D75">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仿宋_GB2312" w:hAnsi="微软雅黑" w:eastAsia="仿宋_GB2312" w:cs="宋体"/>
          <w:b/>
          <w:bCs/>
          <w:color w:val="333333"/>
          <w:kern w:val="0"/>
          <w:sz w:val="32"/>
          <w:szCs w:val="32"/>
        </w:rPr>
        <w:t>（一）收入预算</w:t>
      </w:r>
      <w:r>
        <w:rPr>
          <w:rFonts w:hint="eastAsia" w:ascii="仿宋_GB2312" w:hAnsi="微软雅黑" w:eastAsia="仿宋_GB2312" w:cs="宋体"/>
          <w:b/>
          <w:bCs/>
          <w:color w:val="333333"/>
          <w:kern w:val="0"/>
          <w:sz w:val="32"/>
          <w:szCs w:val="32"/>
          <w:lang w:val="en-US" w:eastAsia="zh-CN"/>
        </w:rPr>
        <w:t>287.53</w:t>
      </w:r>
      <w:r>
        <w:rPr>
          <w:rFonts w:hint="eastAsia" w:ascii="仿宋_GB2312" w:hAnsi="微软雅黑" w:eastAsia="仿宋_GB2312" w:cs="宋体"/>
          <w:b/>
          <w:bCs/>
          <w:color w:val="333333"/>
          <w:kern w:val="0"/>
          <w:sz w:val="32"/>
          <w:szCs w:val="32"/>
        </w:rPr>
        <w:t>万元，</w:t>
      </w:r>
      <w:r>
        <w:rPr>
          <w:rFonts w:hint="eastAsia" w:ascii="仿宋_GB2312" w:hAnsi="微软雅黑" w:eastAsia="仿宋_GB2312" w:cs="宋体"/>
          <w:color w:val="333333"/>
          <w:kern w:val="0"/>
          <w:sz w:val="32"/>
          <w:szCs w:val="32"/>
        </w:rPr>
        <w:t>包括：</w:t>
      </w:r>
    </w:p>
    <w:p w14:paraId="696AE6E6">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1.财政拨款收</w:t>
      </w:r>
      <w:r>
        <w:rPr>
          <w:rFonts w:hint="eastAsia" w:ascii="仿宋_GB2312" w:hAnsi="微软雅黑" w:eastAsia="仿宋_GB2312" w:cs="宋体"/>
          <w:color w:val="333333"/>
          <w:kern w:val="0"/>
          <w:sz w:val="32"/>
          <w:szCs w:val="32"/>
          <w:lang w:eastAsia="zh-CN"/>
        </w:rPr>
        <w:t>入</w:t>
      </w:r>
      <w:bookmarkStart w:id="1" w:name="_GoBack"/>
      <w:bookmarkEnd w:id="1"/>
      <w:r>
        <w:rPr>
          <w:rFonts w:hint="eastAsia" w:ascii="仿宋_GB2312" w:hAnsi="微软雅黑" w:eastAsia="仿宋_GB2312" w:cs="宋体"/>
          <w:color w:val="333333"/>
          <w:kern w:val="0"/>
          <w:sz w:val="32"/>
          <w:szCs w:val="32"/>
          <w:lang w:val="en-US" w:eastAsia="zh-CN"/>
        </w:rPr>
        <w:t>287.53</w:t>
      </w:r>
      <w:r>
        <w:rPr>
          <w:rFonts w:hint="eastAsia" w:ascii="仿宋_GB2312" w:hAnsi="微软雅黑" w:eastAsia="仿宋_GB2312" w:cs="宋体"/>
          <w:color w:val="333333"/>
          <w:kern w:val="0"/>
          <w:sz w:val="32"/>
          <w:szCs w:val="32"/>
        </w:rPr>
        <w:t>万元；</w:t>
      </w:r>
    </w:p>
    <w:p w14:paraId="0E3BAD6D">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2.纳入预算管理的行政事业性收费等非税收入0万元；</w:t>
      </w:r>
    </w:p>
    <w:p w14:paraId="16D9795F">
      <w:pPr>
        <w:keepLines/>
        <w:widowControl/>
        <w:shd w:val="clear" w:color="auto" w:fill="FFFFFF"/>
        <w:ind w:firstLine="645"/>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3.纳入预算管理的政府性基金收入0万元；</w:t>
      </w:r>
    </w:p>
    <w:p w14:paraId="5716B447">
      <w:pPr>
        <w:keepLines/>
        <w:widowControl/>
        <w:shd w:val="clear" w:color="auto" w:fill="FFFFFF"/>
        <w:ind w:firstLine="645"/>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4.纳入专户管理的行政事业性收费收入0万元；</w:t>
      </w:r>
    </w:p>
    <w:p w14:paraId="30968A9B">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5.转移性收入0万元。</w:t>
      </w:r>
    </w:p>
    <w:p w14:paraId="0D0083DC">
      <w:pPr>
        <w:keepLines/>
        <w:widowControl/>
        <w:shd w:val="clear" w:color="auto" w:fill="FFFFFF"/>
        <w:ind w:firstLine="645"/>
        <w:jc w:val="left"/>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6.其他收入0万元。</w:t>
      </w:r>
    </w:p>
    <w:p w14:paraId="4210BC45">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仿宋_GB2312" w:hAnsi="微软雅黑" w:eastAsia="仿宋_GB2312" w:cs="宋体"/>
          <w:b/>
          <w:bCs/>
          <w:color w:val="333333"/>
          <w:kern w:val="0"/>
          <w:sz w:val="32"/>
          <w:szCs w:val="32"/>
        </w:rPr>
        <w:t>（二）支出预算</w:t>
      </w:r>
      <w:r>
        <w:rPr>
          <w:rFonts w:hint="eastAsia" w:ascii="仿宋_GB2312" w:hAnsi="微软雅黑" w:eastAsia="仿宋_GB2312" w:cs="宋体"/>
          <w:b/>
          <w:bCs/>
          <w:color w:val="333333"/>
          <w:kern w:val="0"/>
          <w:sz w:val="32"/>
          <w:szCs w:val="32"/>
          <w:lang w:val="en-US" w:eastAsia="zh-CN"/>
        </w:rPr>
        <w:t>287.53</w:t>
      </w:r>
      <w:r>
        <w:rPr>
          <w:rFonts w:hint="eastAsia" w:ascii="仿宋_GB2312" w:hAnsi="微软雅黑" w:eastAsia="仿宋_GB2312" w:cs="宋体"/>
          <w:b/>
          <w:bCs/>
          <w:color w:val="333333"/>
          <w:kern w:val="0"/>
          <w:sz w:val="32"/>
          <w:szCs w:val="32"/>
        </w:rPr>
        <w:t>万元，</w:t>
      </w:r>
      <w:r>
        <w:rPr>
          <w:rFonts w:hint="eastAsia" w:ascii="仿宋_GB2312" w:hAnsi="微软雅黑" w:eastAsia="仿宋_GB2312" w:cs="宋体"/>
          <w:color w:val="333333"/>
          <w:kern w:val="0"/>
          <w:sz w:val="32"/>
          <w:szCs w:val="32"/>
        </w:rPr>
        <w:t>包括：</w:t>
      </w:r>
    </w:p>
    <w:p w14:paraId="560009CC">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1.基本支出</w:t>
      </w:r>
      <w:r>
        <w:rPr>
          <w:rFonts w:hint="eastAsia" w:ascii="仿宋_GB2312" w:hAnsi="微软雅黑" w:eastAsia="仿宋_GB2312" w:cs="宋体"/>
          <w:color w:val="333333"/>
          <w:kern w:val="0"/>
          <w:sz w:val="32"/>
          <w:szCs w:val="32"/>
          <w:lang w:val="en-US" w:eastAsia="zh-CN"/>
        </w:rPr>
        <w:t>189.25</w:t>
      </w:r>
      <w:r>
        <w:rPr>
          <w:rFonts w:hint="eastAsia" w:ascii="仿宋_GB2312" w:hAnsi="微软雅黑" w:eastAsia="仿宋_GB2312" w:cs="宋体"/>
          <w:color w:val="333333"/>
          <w:kern w:val="0"/>
          <w:sz w:val="32"/>
          <w:szCs w:val="32"/>
        </w:rPr>
        <w:t>万元；</w:t>
      </w:r>
    </w:p>
    <w:p w14:paraId="560E50C9">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2.项目支出</w:t>
      </w:r>
      <w:r>
        <w:rPr>
          <w:rFonts w:hint="eastAsia" w:ascii="仿宋_GB2312" w:hAnsi="微软雅黑" w:eastAsia="仿宋_GB2312" w:cs="宋体"/>
          <w:color w:val="333333"/>
          <w:kern w:val="0"/>
          <w:sz w:val="32"/>
          <w:szCs w:val="32"/>
          <w:lang w:val="en-US" w:eastAsia="zh-CN"/>
        </w:rPr>
        <w:t>98.28</w:t>
      </w:r>
      <w:r>
        <w:rPr>
          <w:rFonts w:hint="eastAsia" w:ascii="仿宋_GB2312" w:hAnsi="微软雅黑" w:eastAsia="仿宋_GB2312" w:cs="宋体"/>
          <w:color w:val="333333"/>
          <w:kern w:val="0"/>
          <w:sz w:val="32"/>
          <w:szCs w:val="32"/>
        </w:rPr>
        <w:t>万元；</w:t>
      </w:r>
    </w:p>
    <w:p w14:paraId="7BC4DD75">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2021年预算收支比2020年减少</w:t>
      </w:r>
      <w:r>
        <w:rPr>
          <w:rFonts w:hint="eastAsia" w:ascii="仿宋_GB2312" w:hAnsi="微软雅黑" w:eastAsia="仿宋_GB2312" w:cs="宋体"/>
          <w:color w:val="333333"/>
          <w:kern w:val="0"/>
          <w:sz w:val="32"/>
          <w:szCs w:val="32"/>
          <w:lang w:val="en-US" w:eastAsia="zh-CN"/>
        </w:rPr>
        <w:t>115.89</w:t>
      </w:r>
      <w:r>
        <w:rPr>
          <w:rFonts w:hint="eastAsia" w:ascii="仿宋_GB2312" w:hAnsi="微软雅黑" w:eastAsia="仿宋_GB2312" w:cs="宋体"/>
          <w:color w:val="333333"/>
          <w:kern w:val="0"/>
          <w:sz w:val="32"/>
          <w:szCs w:val="32"/>
        </w:rPr>
        <w:t>万元，增减变化的主要原因为</w:t>
      </w:r>
      <w:r>
        <w:rPr>
          <w:rFonts w:hint="eastAsia" w:ascii="仿宋_GB2312" w:hAnsi="微软雅黑" w:eastAsia="仿宋_GB2312" w:cs="宋体"/>
          <w:color w:val="333333"/>
          <w:kern w:val="0"/>
          <w:sz w:val="32"/>
          <w:szCs w:val="32"/>
          <w:lang w:val="en-US" w:eastAsia="zh-CN"/>
        </w:rPr>
        <w:t>1.</w:t>
      </w:r>
      <w:r>
        <w:rPr>
          <w:rFonts w:hint="eastAsia" w:ascii="仿宋_GB2312" w:hAnsi="微软雅黑" w:eastAsia="仿宋_GB2312" w:cs="宋体"/>
          <w:color w:val="333333"/>
          <w:kern w:val="0"/>
          <w:sz w:val="32"/>
          <w:szCs w:val="32"/>
          <w:lang w:eastAsia="zh-CN"/>
        </w:rPr>
        <w:t>全区供暖费用由政府办转移至机关事务局负责缴纳；</w:t>
      </w:r>
      <w:r>
        <w:rPr>
          <w:rFonts w:hint="eastAsia" w:ascii="仿宋_GB2312" w:hAnsi="微软雅黑" w:eastAsia="仿宋_GB2312" w:cs="宋体"/>
          <w:color w:val="333333"/>
          <w:kern w:val="0"/>
          <w:sz w:val="32"/>
          <w:szCs w:val="32"/>
          <w:lang w:val="en-US" w:eastAsia="zh-CN"/>
        </w:rPr>
        <w:t>2.在职</w:t>
      </w:r>
      <w:r>
        <w:rPr>
          <w:rFonts w:hint="eastAsia" w:ascii="仿宋_GB2312" w:hAnsi="微软雅黑" w:eastAsia="仿宋_GB2312" w:cs="宋体"/>
          <w:color w:val="333333"/>
          <w:kern w:val="0"/>
          <w:sz w:val="32"/>
          <w:szCs w:val="32"/>
          <w:lang w:eastAsia="zh-CN"/>
        </w:rPr>
        <w:t>人员减少</w:t>
      </w:r>
      <w:r>
        <w:rPr>
          <w:rFonts w:hint="eastAsia" w:ascii="仿宋_GB2312" w:hAnsi="微软雅黑" w:eastAsia="仿宋_GB2312" w:cs="宋体"/>
          <w:color w:val="333333"/>
          <w:kern w:val="0"/>
          <w:sz w:val="32"/>
          <w:szCs w:val="32"/>
        </w:rPr>
        <w:t>。</w:t>
      </w:r>
    </w:p>
    <w:p w14:paraId="497B6975">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二、机关运行经费安排情况</w:t>
      </w:r>
    </w:p>
    <w:p w14:paraId="0794B4AB">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2021年本溪市溪湖区</w:t>
      </w:r>
      <w:r>
        <w:rPr>
          <w:rFonts w:hint="eastAsia" w:ascii="仿宋_GB2312" w:hAnsi="微软雅黑" w:eastAsia="仿宋_GB2312" w:cs="宋体"/>
          <w:color w:val="333333"/>
          <w:kern w:val="0"/>
          <w:sz w:val="32"/>
          <w:szCs w:val="32"/>
          <w:lang w:eastAsia="zh-CN"/>
        </w:rPr>
        <w:t>政府办公室</w:t>
      </w:r>
      <w:r>
        <w:rPr>
          <w:rFonts w:hint="eastAsia" w:ascii="仿宋_GB2312" w:hAnsi="微软雅黑" w:eastAsia="仿宋_GB2312" w:cs="宋体"/>
          <w:color w:val="333333"/>
          <w:kern w:val="0"/>
          <w:sz w:val="32"/>
          <w:szCs w:val="32"/>
        </w:rPr>
        <w:t>机关运行经费预算为</w:t>
      </w:r>
      <w:r>
        <w:rPr>
          <w:rFonts w:hint="eastAsia" w:ascii="仿宋_GB2312" w:hAnsi="微软雅黑" w:eastAsia="仿宋_GB2312" w:cs="宋体"/>
          <w:color w:val="333333"/>
          <w:kern w:val="0"/>
          <w:sz w:val="32"/>
          <w:szCs w:val="32"/>
          <w:lang w:val="en-US" w:eastAsia="zh-CN"/>
        </w:rPr>
        <w:t>123.86</w:t>
      </w:r>
      <w:r>
        <w:rPr>
          <w:rFonts w:hint="eastAsia" w:ascii="仿宋_GB2312" w:hAnsi="微软雅黑" w:eastAsia="仿宋_GB2312" w:cs="宋体"/>
          <w:color w:val="333333"/>
          <w:kern w:val="0"/>
          <w:sz w:val="32"/>
          <w:szCs w:val="32"/>
        </w:rPr>
        <w:t>万元，主要包括办公及印刷费、邮电费、差旅费、会议费、福利费、日常维修费、专用材料及一般设备购置费、办公用房水电费、办公用房取暖费、办公用房物业管理费、公务用车运行维护费以及其他费用。2021年预算比2020年减少</w:t>
      </w:r>
      <w:r>
        <w:rPr>
          <w:rFonts w:hint="eastAsia" w:ascii="仿宋_GB2312" w:hAnsi="微软雅黑" w:eastAsia="仿宋_GB2312" w:cs="宋体"/>
          <w:color w:val="333333"/>
          <w:kern w:val="0"/>
          <w:sz w:val="32"/>
          <w:szCs w:val="32"/>
          <w:lang w:val="en-US" w:eastAsia="zh-CN"/>
        </w:rPr>
        <w:t>83.95</w:t>
      </w:r>
      <w:r>
        <w:rPr>
          <w:rFonts w:hint="eastAsia" w:ascii="仿宋_GB2312" w:hAnsi="微软雅黑" w:eastAsia="仿宋_GB2312" w:cs="宋体"/>
          <w:color w:val="333333"/>
          <w:kern w:val="0"/>
          <w:sz w:val="32"/>
          <w:szCs w:val="32"/>
        </w:rPr>
        <w:t>万元，主要原因是</w:t>
      </w:r>
      <w:r>
        <w:rPr>
          <w:rFonts w:hint="eastAsia" w:ascii="仿宋_GB2312" w:hAnsi="微软雅黑" w:eastAsia="仿宋_GB2312" w:cs="宋体"/>
          <w:color w:val="333333"/>
          <w:kern w:val="0"/>
          <w:sz w:val="32"/>
          <w:szCs w:val="32"/>
          <w:lang w:eastAsia="zh-CN"/>
        </w:rPr>
        <w:t>按照相关文件要求缩减办公开支</w:t>
      </w:r>
      <w:r>
        <w:rPr>
          <w:rFonts w:hint="eastAsia" w:ascii="仿宋_GB2312" w:hAnsi="微软雅黑" w:eastAsia="仿宋_GB2312" w:cs="宋体"/>
          <w:color w:val="333333"/>
          <w:kern w:val="0"/>
          <w:sz w:val="32"/>
          <w:szCs w:val="32"/>
        </w:rPr>
        <w:t>。</w:t>
      </w:r>
    </w:p>
    <w:p w14:paraId="0A128A3E">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三、政府采购情况</w:t>
      </w:r>
    </w:p>
    <w:p w14:paraId="03DCC3E1">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2021年本溪市溪湖区</w:t>
      </w:r>
      <w:r>
        <w:rPr>
          <w:rFonts w:hint="eastAsia" w:ascii="仿宋_GB2312" w:hAnsi="微软雅黑" w:eastAsia="仿宋_GB2312" w:cs="宋体"/>
          <w:color w:val="333333"/>
          <w:kern w:val="0"/>
          <w:sz w:val="32"/>
          <w:szCs w:val="32"/>
          <w:lang w:eastAsia="zh-CN"/>
        </w:rPr>
        <w:t>政府办公室</w:t>
      </w:r>
      <w:r>
        <w:rPr>
          <w:rFonts w:hint="eastAsia" w:ascii="仿宋_GB2312" w:hAnsi="微软雅黑" w:eastAsia="仿宋_GB2312" w:cs="宋体"/>
          <w:color w:val="333333"/>
          <w:kern w:val="0"/>
          <w:sz w:val="32"/>
          <w:szCs w:val="32"/>
        </w:rPr>
        <w:t>安排政府采购预算</w:t>
      </w:r>
      <w:r>
        <w:rPr>
          <w:rFonts w:hint="eastAsia" w:ascii="仿宋_GB2312" w:hAnsi="微软雅黑" w:eastAsia="仿宋_GB2312" w:cs="宋体"/>
          <w:color w:val="333333"/>
          <w:kern w:val="0"/>
          <w:sz w:val="32"/>
          <w:szCs w:val="32"/>
          <w:lang w:val="en-US" w:eastAsia="zh-CN"/>
        </w:rPr>
        <w:t>0</w:t>
      </w:r>
      <w:r>
        <w:rPr>
          <w:rFonts w:hint="eastAsia" w:ascii="仿宋_GB2312" w:hAnsi="微软雅黑" w:eastAsia="仿宋_GB2312" w:cs="宋体"/>
          <w:color w:val="333333"/>
          <w:kern w:val="0"/>
          <w:sz w:val="32"/>
          <w:szCs w:val="32"/>
        </w:rPr>
        <w:t>万元，其中：政府采购货物支出0万元，政府购买服务支出</w:t>
      </w:r>
      <w:r>
        <w:rPr>
          <w:rFonts w:hint="eastAsia" w:ascii="仿宋_GB2312" w:hAnsi="微软雅黑" w:eastAsia="仿宋_GB2312" w:cs="宋体"/>
          <w:color w:val="333333"/>
          <w:kern w:val="0"/>
          <w:sz w:val="32"/>
          <w:szCs w:val="32"/>
          <w:lang w:val="en-US" w:eastAsia="zh-CN"/>
        </w:rPr>
        <w:t>0</w:t>
      </w:r>
      <w:r>
        <w:rPr>
          <w:rFonts w:hint="eastAsia" w:ascii="仿宋_GB2312" w:hAnsi="微软雅黑" w:eastAsia="仿宋_GB2312" w:cs="宋体"/>
          <w:color w:val="333333"/>
          <w:kern w:val="0"/>
          <w:sz w:val="32"/>
          <w:szCs w:val="32"/>
        </w:rPr>
        <w:t>万元，政府采购工程支出0万元。</w:t>
      </w:r>
    </w:p>
    <w:p w14:paraId="48971037">
      <w:pPr>
        <w:keepLines/>
        <w:widowControl/>
        <w:shd w:val="clear" w:color="auto" w:fill="FFFFFF"/>
        <w:ind w:firstLine="660"/>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四、“三公”经费预算情况</w:t>
      </w:r>
    </w:p>
    <w:p w14:paraId="60EA7203">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2021年，本溪市溪湖区</w:t>
      </w:r>
      <w:r>
        <w:rPr>
          <w:rFonts w:hint="eastAsia" w:ascii="仿宋_GB2312" w:hAnsi="微软雅黑" w:eastAsia="仿宋_GB2312" w:cs="宋体"/>
          <w:color w:val="333333"/>
          <w:kern w:val="0"/>
          <w:sz w:val="32"/>
          <w:szCs w:val="32"/>
          <w:lang w:eastAsia="zh-CN"/>
        </w:rPr>
        <w:t>政府办公室</w:t>
      </w:r>
      <w:r>
        <w:rPr>
          <w:rFonts w:hint="eastAsia" w:ascii="仿宋_GB2312" w:hAnsi="微软雅黑" w:eastAsia="仿宋_GB2312" w:cs="宋体"/>
          <w:color w:val="333333"/>
          <w:kern w:val="0"/>
          <w:sz w:val="32"/>
          <w:szCs w:val="32"/>
        </w:rPr>
        <w:t>一般公共预算安排“三公”经费预算为</w:t>
      </w:r>
      <w:r>
        <w:rPr>
          <w:rFonts w:hint="eastAsia" w:ascii="仿宋_GB2312" w:hAnsi="微软雅黑" w:eastAsia="仿宋_GB2312" w:cs="宋体"/>
          <w:color w:val="333333"/>
          <w:kern w:val="0"/>
          <w:sz w:val="32"/>
          <w:szCs w:val="32"/>
          <w:lang w:val="en-US" w:eastAsia="zh-CN"/>
        </w:rPr>
        <w:t>2.26</w:t>
      </w:r>
      <w:r>
        <w:rPr>
          <w:rFonts w:hint="eastAsia" w:ascii="仿宋_GB2312" w:hAnsi="微软雅黑" w:eastAsia="仿宋_GB2312" w:cs="宋体"/>
          <w:color w:val="333333"/>
          <w:kern w:val="0"/>
          <w:sz w:val="32"/>
          <w:szCs w:val="32"/>
        </w:rPr>
        <w:t>万元，比2020年减少</w:t>
      </w:r>
      <w:r>
        <w:rPr>
          <w:rFonts w:hint="eastAsia" w:ascii="仿宋_GB2312" w:hAnsi="微软雅黑" w:eastAsia="仿宋_GB2312" w:cs="宋体"/>
          <w:color w:val="333333"/>
          <w:kern w:val="0"/>
          <w:sz w:val="32"/>
          <w:szCs w:val="32"/>
          <w:lang w:val="en-US" w:eastAsia="zh-CN"/>
        </w:rPr>
        <w:t>4.44</w:t>
      </w:r>
      <w:r>
        <w:rPr>
          <w:rFonts w:hint="eastAsia" w:ascii="仿宋_GB2312" w:hAnsi="微软雅黑" w:eastAsia="仿宋_GB2312" w:cs="宋体"/>
          <w:color w:val="333333"/>
          <w:kern w:val="0"/>
          <w:sz w:val="32"/>
          <w:szCs w:val="32"/>
        </w:rPr>
        <w:t>万元，下降</w:t>
      </w:r>
      <w:r>
        <w:rPr>
          <w:rFonts w:hint="eastAsia" w:ascii="仿宋_GB2312" w:hAnsi="微软雅黑" w:eastAsia="仿宋_GB2312" w:cs="宋体"/>
          <w:color w:val="333333"/>
          <w:kern w:val="0"/>
          <w:sz w:val="32"/>
          <w:szCs w:val="32"/>
          <w:lang w:val="en-US" w:eastAsia="zh-CN"/>
        </w:rPr>
        <w:t>66.27</w:t>
      </w:r>
      <w:r>
        <w:rPr>
          <w:rFonts w:hint="eastAsia" w:ascii="仿宋_GB2312" w:hAnsi="微软雅黑" w:eastAsia="仿宋_GB2312" w:cs="宋体"/>
          <w:color w:val="333333"/>
          <w:kern w:val="0"/>
          <w:sz w:val="32"/>
          <w:szCs w:val="32"/>
        </w:rPr>
        <w:t>%。其中：</w:t>
      </w:r>
    </w:p>
    <w:p w14:paraId="54CD815D">
      <w:pPr>
        <w:keepLines/>
        <w:widowControl/>
        <w:numPr>
          <w:ilvl w:val="0"/>
          <w:numId w:val="1"/>
        </w:numPr>
        <w:shd w:val="clear" w:color="auto" w:fill="FFFFFF"/>
        <w:ind w:firstLine="645"/>
        <w:jc w:val="left"/>
        <w:rPr>
          <w:rFonts w:hint="eastAsia" w:ascii="仿宋_GB2312" w:hAnsi="微软雅黑" w:eastAsia="仿宋_GB2312" w:cs="宋体"/>
          <w:color w:val="333333"/>
          <w:kern w:val="0"/>
          <w:sz w:val="32"/>
          <w:szCs w:val="32"/>
          <w:lang w:eastAsia="zh-CN"/>
        </w:rPr>
      </w:pPr>
      <w:r>
        <w:rPr>
          <w:rFonts w:hint="eastAsia" w:ascii="仿宋_GB2312" w:hAnsi="微软雅黑" w:eastAsia="仿宋_GB2312" w:cs="宋体"/>
          <w:color w:val="333333"/>
          <w:kern w:val="0"/>
          <w:sz w:val="32"/>
          <w:szCs w:val="32"/>
        </w:rPr>
        <w:t>因公出国（境）费0万元，比2020年持平万元</w:t>
      </w:r>
      <w:r>
        <w:rPr>
          <w:rFonts w:hint="eastAsia" w:ascii="仿宋_GB2312" w:hAnsi="微软雅黑" w:eastAsia="仿宋_GB2312" w:cs="宋体"/>
          <w:color w:val="333333"/>
          <w:kern w:val="0"/>
          <w:sz w:val="32"/>
          <w:szCs w:val="32"/>
          <w:lang w:eastAsia="zh-CN"/>
        </w:rPr>
        <w:t>。</w:t>
      </w:r>
    </w:p>
    <w:p w14:paraId="09D147C5">
      <w:pPr>
        <w:keepLines/>
        <w:widowControl/>
        <w:numPr>
          <w:ilvl w:val="0"/>
          <w:numId w:val="0"/>
        </w:numPr>
        <w:shd w:val="clear" w:color="auto" w:fill="FFFFFF"/>
        <w:ind w:firstLine="640" w:firstLineChars="200"/>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2.公务接待费</w:t>
      </w:r>
      <w:r>
        <w:rPr>
          <w:rFonts w:hint="eastAsia" w:ascii="仿宋_GB2312" w:hAnsi="微软雅黑" w:eastAsia="仿宋_GB2312" w:cs="宋体"/>
          <w:color w:val="333333"/>
          <w:kern w:val="0"/>
          <w:sz w:val="32"/>
          <w:szCs w:val="32"/>
          <w:lang w:val="en-US" w:eastAsia="zh-CN"/>
        </w:rPr>
        <w:t>0.19</w:t>
      </w:r>
      <w:r>
        <w:rPr>
          <w:rFonts w:hint="eastAsia" w:ascii="仿宋_GB2312" w:hAnsi="微软雅黑" w:eastAsia="仿宋_GB2312" w:cs="宋体"/>
          <w:color w:val="333333"/>
          <w:kern w:val="0"/>
          <w:sz w:val="32"/>
          <w:szCs w:val="32"/>
        </w:rPr>
        <w:t>万元，比2020年减少</w:t>
      </w:r>
      <w:r>
        <w:rPr>
          <w:rFonts w:hint="eastAsia" w:ascii="仿宋_GB2312" w:hAnsi="微软雅黑" w:eastAsia="仿宋_GB2312" w:cs="宋体"/>
          <w:color w:val="333333"/>
          <w:kern w:val="0"/>
          <w:sz w:val="32"/>
          <w:szCs w:val="32"/>
          <w:lang w:val="en-US" w:eastAsia="zh-CN"/>
        </w:rPr>
        <w:t>0.51</w:t>
      </w:r>
      <w:r>
        <w:rPr>
          <w:rFonts w:hint="eastAsia" w:ascii="仿宋_GB2312" w:hAnsi="微软雅黑" w:eastAsia="仿宋_GB2312" w:cs="宋体"/>
          <w:color w:val="333333"/>
          <w:kern w:val="0"/>
          <w:sz w:val="32"/>
          <w:szCs w:val="32"/>
        </w:rPr>
        <w:t>万元，主要原因是</w:t>
      </w:r>
      <w:r>
        <w:rPr>
          <w:rFonts w:hint="eastAsia" w:ascii="仿宋_GB2312" w:hAnsi="微软雅黑" w:eastAsia="仿宋_GB2312" w:cs="宋体"/>
          <w:color w:val="333333"/>
          <w:kern w:val="0"/>
          <w:sz w:val="32"/>
          <w:szCs w:val="32"/>
          <w:lang w:eastAsia="zh-CN"/>
        </w:rPr>
        <w:t>按照相关要求减少公务接待次数</w:t>
      </w:r>
      <w:r>
        <w:rPr>
          <w:rFonts w:hint="eastAsia" w:ascii="仿宋_GB2312" w:hAnsi="微软雅黑" w:eastAsia="仿宋_GB2312" w:cs="宋体"/>
          <w:color w:val="333333"/>
          <w:kern w:val="0"/>
          <w:sz w:val="32"/>
          <w:szCs w:val="32"/>
        </w:rPr>
        <w:t>。</w:t>
      </w:r>
    </w:p>
    <w:p w14:paraId="6B67F1FE">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3.公务用车购置及运行费</w:t>
      </w:r>
      <w:r>
        <w:rPr>
          <w:rFonts w:hint="eastAsia" w:ascii="仿宋_GB2312" w:hAnsi="微软雅黑" w:eastAsia="仿宋_GB2312" w:cs="宋体"/>
          <w:color w:val="333333"/>
          <w:kern w:val="0"/>
          <w:sz w:val="32"/>
          <w:szCs w:val="32"/>
          <w:lang w:val="en-US" w:eastAsia="zh-CN"/>
        </w:rPr>
        <w:t>2.1</w:t>
      </w:r>
      <w:r>
        <w:rPr>
          <w:rFonts w:hint="eastAsia" w:ascii="仿宋_GB2312" w:hAnsi="微软雅黑" w:eastAsia="仿宋_GB2312" w:cs="宋体"/>
          <w:color w:val="333333"/>
          <w:kern w:val="0"/>
          <w:sz w:val="32"/>
          <w:szCs w:val="32"/>
        </w:rPr>
        <w:t>万元，比2020年减少</w:t>
      </w:r>
      <w:r>
        <w:rPr>
          <w:rFonts w:hint="eastAsia" w:ascii="仿宋_GB2312" w:hAnsi="微软雅黑" w:eastAsia="仿宋_GB2312" w:cs="宋体"/>
          <w:color w:val="333333"/>
          <w:kern w:val="0"/>
          <w:sz w:val="32"/>
          <w:szCs w:val="32"/>
          <w:lang w:val="en-US" w:eastAsia="zh-CN"/>
        </w:rPr>
        <w:t>3.9</w:t>
      </w:r>
      <w:r>
        <w:rPr>
          <w:rFonts w:hint="eastAsia" w:ascii="仿宋_GB2312" w:hAnsi="微软雅黑" w:eastAsia="仿宋_GB2312" w:cs="宋体"/>
          <w:color w:val="333333"/>
          <w:kern w:val="0"/>
          <w:sz w:val="32"/>
          <w:szCs w:val="32"/>
        </w:rPr>
        <w:t>万元，主要原因是</w:t>
      </w:r>
      <w:r>
        <w:rPr>
          <w:rFonts w:hint="eastAsia" w:ascii="仿宋_GB2312" w:hAnsi="微软雅黑" w:eastAsia="仿宋_GB2312" w:cs="宋体"/>
          <w:color w:val="333333"/>
          <w:kern w:val="0"/>
          <w:sz w:val="32"/>
          <w:szCs w:val="32"/>
          <w:lang w:eastAsia="zh-CN"/>
        </w:rPr>
        <w:t>车辆减少</w:t>
      </w:r>
      <w:r>
        <w:rPr>
          <w:rFonts w:hint="eastAsia" w:ascii="仿宋_GB2312" w:hAnsi="微软雅黑" w:eastAsia="仿宋_GB2312" w:cs="宋体"/>
          <w:color w:val="333333"/>
          <w:kern w:val="0"/>
          <w:sz w:val="32"/>
          <w:szCs w:val="32"/>
        </w:rPr>
        <w:t>。</w:t>
      </w:r>
    </w:p>
    <w:p w14:paraId="3B82BF0B">
      <w:pPr>
        <w:keepLines/>
        <w:widowControl/>
        <w:shd w:val="clear" w:color="auto" w:fill="FFFFFF"/>
        <w:jc w:val="center"/>
        <w:rPr>
          <w:rFonts w:hint="eastAsia" w:ascii="仿宋_GB2312" w:hAnsi="微软雅黑" w:eastAsia="仿宋_GB2312" w:cs="宋体"/>
          <w:b/>
          <w:bCs/>
          <w:color w:val="333333"/>
          <w:kern w:val="0"/>
          <w:sz w:val="32"/>
          <w:szCs w:val="32"/>
        </w:rPr>
      </w:pPr>
    </w:p>
    <w:p w14:paraId="2BF68881">
      <w:pPr>
        <w:keepLines/>
        <w:widowControl/>
        <w:shd w:val="clear" w:color="auto" w:fill="FFFFFF"/>
        <w:jc w:val="center"/>
        <w:rPr>
          <w:rFonts w:hint="eastAsia" w:ascii="仿宋_GB2312" w:hAnsi="微软雅黑" w:eastAsia="仿宋_GB2312" w:cs="宋体"/>
          <w:b/>
          <w:bCs/>
          <w:color w:val="333333"/>
          <w:kern w:val="0"/>
          <w:sz w:val="32"/>
          <w:szCs w:val="32"/>
        </w:rPr>
      </w:pPr>
    </w:p>
    <w:p w14:paraId="61E4232F">
      <w:pPr>
        <w:keepLines/>
        <w:widowControl/>
        <w:shd w:val="clear" w:color="auto" w:fill="FFFFFF"/>
        <w:jc w:val="center"/>
        <w:rPr>
          <w:rFonts w:ascii="微软雅黑" w:hAnsi="微软雅黑" w:eastAsia="微软雅黑" w:cs="宋体"/>
          <w:color w:val="333333"/>
          <w:kern w:val="0"/>
          <w:sz w:val="24"/>
          <w:szCs w:val="24"/>
        </w:rPr>
      </w:pPr>
      <w:r>
        <w:rPr>
          <w:rFonts w:hint="eastAsia" w:ascii="仿宋_GB2312" w:hAnsi="微软雅黑" w:eastAsia="仿宋_GB2312" w:cs="宋体"/>
          <w:b/>
          <w:bCs/>
          <w:color w:val="333333"/>
          <w:kern w:val="0"/>
          <w:sz w:val="32"/>
          <w:szCs w:val="32"/>
        </w:rPr>
        <w:t>2021年本溪市溪湖区</w:t>
      </w:r>
      <w:r>
        <w:rPr>
          <w:rFonts w:hint="eastAsia" w:ascii="仿宋_GB2312" w:hAnsi="微软雅黑" w:eastAsia="仿宋_GB2312" w:cs="宋体"/>
          <w:b/>
          <w:bCs/>
          <w:color w:val="333333"/>
          <w:kern w:val="0"/>
          <w:sz w:val="32"/>
          <w:szCs w:val="32"/>
          <w:lang w:eastAsia="zh-CN"/>
        </w:rPr>
        <w:t>政府办公室</w:t>
      </w:r>
      <w:r>
        <w:rPr>
          <w:rFonts w:hint="eastAsia" w:ascii="仿宋_GB2312" w:hAnsi="微软雅黑" w:eastAsia="仿宋_GB2312" w:cs="宋体"/>
          <w:b/>
          <w:bCs/>
          <w:color w:val="333333"/>
          <w:kern w:val="0"/>
          <w:sz w:val="32"/>
          <w:szCs w:val="32"/>
        </w:rPr>
        <w:t>“三公”经费预算表</w:t>
      </w:r>
    </w:p>
    <w:p w14:paraId="24294823">
      <w:pPr>
        <w:keepLines/>
        <w:widowControl/>
        <w:shd w:val="clear" w:color="auto" w:fill="FFFFFF"/>
        <w:jc w:val="center"/>
        <w:rPr>
          <w:rFonts w:ascii="微软雅黑" w:hAnsi="微软雅黑" w:eastAsia="微软雅黑" w:cs="宋体"/>
          <w:color w:val="333333"/>
          <w:kern w:val="0"/>
          <w:sz w:val="24"/>
          <w:szCs w:val="24"/>
        </w:rPr>
      </w:pPr>
      <w:r>
        <w:rPr>
          <w:rFonts w:hint="eastAsia" w:ascii="仿宋_GB2312" w:hAnsi="微软雅黑" w:eastAsia="仿宋_GB2312" w:cs="宋体"/>
          <w:b/>
          <w:bCs/>
          <w:color w:val="333333"/>
          <w:kern w:val="0"/>
          <w:sz w:val="29"/>
          <w:szCs w:val="29"/>
        </w:rPr>
        <w:t>单位：万元</w:t>
      </w:r>
    </w:p>
    <w:tbl>
      <w:tblPr>
        <w:tblStyle w:val="3"/>
        <w:tblW w:w="8625" w:type="dxa"/>
        <w:tblInd w:w="0" w:type="dxa"/>
        <w:tblLayout w:type="fixed"/>
        <w:tblCellMar>
          <w:top w:w="0" w:type="dxa"/>
          <w:left w:w="0" w:type="dxa"/>
          <w:bottom w:w="0" w:type="dxa"/>
          <w:right w:w="0" w:type="dxa"/>
        </w:tblCellMar>
      </w:tblPr>
      <w:tblGrid>
        <w:gridCol w:w="4125"/>
        <w:gridCol w:w="2145"/>
        <w:gridCol w:w="2355"/>
      </w:tblGrid>
      <w:tr w14:paraId="1A9532D8">
        <w:tblPrEx>
          <w:tblCellMar>
            <w:top w:w="0" w:type="dxa"/>
            <w:left w:w="0" w:type="dxa"/>
            <w:bottom w:w="0" w:type="dxa"/>
            <w:right w:w="0" w:type="dxa"/>
          </w:tblCellMar>
        </w:tblPrEx>
        <w:trPr>
          <w:trHeight w:val="480" w:hRule="atLeast"/>
        </w:trPr>
        <w:tc>
          <w:tcPr>
            <w:tcW w:w="4125" w:type="dxa"/>
            <w:vMerge w:val="restart"/>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14:paraId="48287B83">
            <w:pPr>
              <w:keepLines/>
              <w:widowControl/>
              <w:jc w:val="center"/>
              <w:textAlignment w:val="center"/>
              <w:rPr>
                <w:rFonts w:ascii="宋体" w:hAnsi="宋体" w:eastAsia="宋体" w:cs="宋体"/>
                <w:kern w:val="0"/>
                <w:sz w:val="24"/>
                <w:szCs w:val="24"/>
              </w:rPr>
            </w:pPr>
            <w:r>
              <w:rPr>
                <w:rFonts w:hint="eastAsia" w:ascii="宋体" w:hAnsi="宋体" w:eastAsia="宋体" w:cs="宋体"/>
                <w:b/>
                <w:bCs/>
                <w:kern w:val="0"/>
                <w:sz w:val="24"/>
                <w:szCs w:val="24"/>
              </w:rPr>
              <w:t>项目</w:t>
            </w:r>
          </w:p>
        </w:tc>
        <w:tc>
          <w:tcPr>
            <w:tcW w:w="4500" w:type="dxa"/>
            <w:gridSpan w:val="2"/>
            <w:tcBorders>
              <w:top w:val="single" w:color="000000" w:sz="6" w:space="0"/>
              <w:left w:val="nil"/>
              <w:bottom w:val="single" w:color="DDDDDD" w:sz="6" w:space="0"/>
              <w:right w:val="single" w:color="000000" w:sz="6" w:space="0"/>
            </w:tcBorders>
            <w:tcMar>
              <w:top w:w="15" w:type="dxa"/>
              <w:left w:w="15" w:type="dxa"/>
              <w:bottom w:w="15" w:type="dxa"/>
              <w:right w:w="15" w:type="dxa"/>
            </w:tcMar>
            <w:vAlign w:val="center"/>
          </w:tcPr>
          <w:p w14:paraId="53132C22">
            <w:pPr>
              <w:keepLines/>
              <w:widowControl/>
              <w:jc w:val="center"/>
              <w:rPr>
                <w:rFonts w:ascii="宋体" w:hAnsi="宋体" w:eastAsia="宋体" w:cs="宋体"/>
                <w:kern w:val="0"/>
                <w:sz w:val="24"/>
                <w:szCs w:val="24"/>
              </w:rPr>
            </w:pPr>
            <w:r>
              <w:rPr>
                <w:rFonts w:hint="eastAsia" w:ascii="宋体" w:hAnsi="宋体" w:eastAsia="宋体" w:cs="宋体"/>
                <w:b/>
                <w:bCs/>
                <w:kern w:val="0"/>
                <w:sz w:val="24"/>
                <w:szCs w:val="24"/>
              </w:rPr>
              <w:t>金额</w:t>
            </w:r>
          </w:p>
        </w:tc>
      </w:tr>
      <w:tr w14:paraId="7A2294C5">
        <w:tblPrEx>
          <w:tblCellMar>
            <w:top w:w="0" w:type="dxa"/>
            <w:left w:w="0" w:type="dxa"/>
            <w:bottom w:w="0" w:type="dxa"/>
            <w:right w:w="0" w:type="dxa"/>
          </w:tblCellMar>
        </w:tblPrEx>
        <w:trPr>
          <w:trHeight w:val="510" w:hRule="atLeast"/>
        </w:trPr>
        <w:tc>
          <w:tcPr>
            <w:tcW w:w="4125" w:type="dxa"/>
            <w:vMerge w:val="continue"/>
            <w:tcBorders>
              <w:top w:val="single" w:color="000000" w:sz="6" w:space="0"/>
              <w:left w:val="single" w:color="000000" w:sz="6" w:space="0"/>
              <w:bottom w:val="single" w:color="000000" w:sz="6" w:space="0"/>
              <w:right w:val="single" w:color="000000" w:sz="6" w:space="0"/>
            </w:tcBorders>
            <w:vAlign w:val="center"/>
          </w:tcPr>
          <w:p w14:paraId="7D1D6922">
            <w:pPr>
              <w:keepLines/>
              <w:widowControl/>
              <w:jc w:val="left"/>
              <w:rPr>
                <w:rFonts w:ascii="宋体" w:hAnsi="宋体" w:eastAsia="宋体" w:cs="宋体"/>
                <w:kern w:val="0"/>
                <w:sz w:val="24"/>
                <w:szCs w:val="24"/>
              </w:rPr>
            </w:pPr>
          </w:p>
        </w:tc>
        <w:tc>
          <w:tcPr>
            <w:tcW w:w="2145" w:type="dxa"/>
            <w:tcBorders>
              <w:top w:val="single" w:color="000000" w:sz="6" w:space="0"/>
              <w:left w:val="nil"/>
              <w:bottom w:val="single" w:color="000000" w:sz="6" w:space="0"/>
              <w:right w:val="single" w:color="000000" w:sz="6" w:space="0"/>
            </w:tcBorders>
            <w:tcMar>
              <w:top w:w="15" w:type="dxa"/>
              <w:left w:w="15" w:type="dxa"/>
              <w:bottom w:w="15" w:type="dxa"/>
              <w:right w:w="15" w:type="dxa"/>
            </w:tcMar>
            <w:vAlign w:val="center"/>
          </w:tcPr>
          <w:p w14:paraId="27350091">
            <w:pPr>
              <w:keepLines/>
              <w:widowControl/>
              <w:jc w:val="center"/>
              <w:textAlignment w:val="center"/>
              <w:rPr>
                <w:rFonts w:ascii="宋体" w:hAnsi="宋体" w:eastAsia="宋体" w:cs="宋体"/>
                <w:kern w:val="0"/>
                <w:sz w:val="24"/>
                <w:szCs w:val="24"/>
              </w:rPr>
            </w:pPr>
            <w:r>
              <w:rPr>
                <w:rFonts w:hint="eastAsia" w:ascii="宋体" w:hAnsi="宋体" w:eastAsia="宋体" w:cs="宋体"/>
                <w:b/>
                <w:bCs/>
                <w:kern w:val="0"/>
                <w:sz w:val="24"/>
                <w:szCs w:val="24"/>
              </w:rPr>
              <w:t>2020年</w:t>
            </w:r>
          </w:p>
        </w:tc>
        <w:tc>
          <w:tcPr>
            <w:tcW w:w="2355" w:type="dxa"/>
            <w:tcBorders>
              <w:top w:val="single" w:color="000000" w:sz="6" w:space="0"/>
              <w:left w:val="nil"/>
              <w:bottom w:val="single" w:color="000000" w:sz="6" w:space="0"/>
              <w:right w:val="single" w:color="000000" w:sz="6" w:space="0"/>
            </w:tcBorders>
            <w:tcMar>
              <w:top w:w="15" w:type="dxa"/>
              <w:left w:w="15" w:type="dxa"/>
              <w:bottom w:w="15" w:type="dxa"/>
              <w:right w:w="15" w:type="dxa"/>
            </w:tcMar>
            <w:vAlign w:val="center"/>
          </w:tcPr>
          <w:p w14:paraId="3C10F20B">
            <w:pPr>
              <w:keepLines/>
              <w:widowControl/>
              <w:jc w:val="center"/>
              <w:textAlignment w:val="center"/>
              <w:rPr>
                <w:rFonts w:ascii="宋体" w:hAnsi="宋体" w:eastAsia="宋体" w:cs="宋体"/>
                <w:kern w:val="0"/>
                <w:sz w:val="24"/>
                <w:szCs w:val="24"/>
              </w:rPr>
            </w:pPr>
            <w:r>
              <w:rPr>
                <w:rFonts w:hint="eastAsia" w:ascii="宋体" w:hAnsi="宋体" w:eastAsia="宋体" w:cs="宋体"/>
                <w:b/>
                <w:bCs/>
                <w:kern w:val="0"/>
                <w:sz w:val="24"/>
                <w:szCs w:val="24"/>
              </w:rPr>
              <w:t>2021年</w:t>
            </w:r>
          </w:p>
        </w:tc>
      </w:tr>
      <w:tr w14:paraId="5E62E0F1">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000000" w:sz="6" w:space="0"/>
            </w:tcBorders>
            <w:tcMar>
              <w:top w:w="15" w:type="dxa"/>
              <w:left w:w="15" w:type="dxa"/>
              <w:bottom w:w="15" w:type="dxa"/>
              <w:right w:w="15" w:type="dxa"/>
            </w:tcMar>
            <w:vAlign w:val="center"/>
          </w:tcPr>
          <w:p w14:paraId="32452D98">
            <w:pPr>
              <w:keepLines/>
              <w:widowControl/>
              <w:jc w:val="center"/>
              <w:textAlignment w:val="center"/>
              <w:rPr>
                <w:rFonts w:ascii="宋体" w:hAnsi="宋体" w:eastAsia="宋体" w:cs="宋体"/>
                <w:kern w:val="0"/>
                <w:sz w:val="24"/>
                <w:szCs w:val="24"/>
              </w:rPr>
            </w:pPr>
            <w:r>
              <w:rPr>
                <w:rFonts w:hint="eastAsia" w:ascii="宋体" w:hAnsi="宋体" w:eastAsia="宋体" w:cs="宋体"/>
                <w:b/>
                <w:bCs/>
                <w:kern w:val="0"/>
                <w:sz w:val="24"/>
                <w:szCs w:val="24"/>
              </w:rPr>
              <w:t>合计</w:t>
            </w:r>
          </w:p>
        </w:tc>
        <w:tc>
          <w:tcPr>
            <w:tcW w:w="2145" w:type="dxa"/>
            <w:tcBorders>
              <w:top w:val="nil"/>
              <w:left w:val="nil"/>
              <w:bottom w:val="single" w:color="DDDDDD" w:sz="6" w:space="0"/>
              <w:right w:val="single" w:color="000000" w:sz="6" w:space="0"/>
            </w:tcBorders>
            <w:tcMar>
              <w:top w:w="15" w:type="dxa"/>
              <w:left w:w="15" w:type="dxa"/>
              <w:bottom w:w="15" w:type="dxa"/>
              <w:right w:w="15" w:type="dxa"/>
            </w:tcMar>
            <w:vAlign w:val="center"/>
          </w:tcPr>
          <w:p w14:paraId="33460EA2">
            <w:pPr>
              <w:keepLines/>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6.7</w:t>
            </w:r>
          </w:p>
        </w:tc>
        <w:tc>
          <w:tcPr>
            <w:tcW w:w="2355" w:type="dxa"/>
            <w:tcBorders>
              <w:top w:val="nil"/>
              <w:left w:val="nil"/>
              <w:bottom w:val="single" w:color="DDDDDD" w:sz="6" w:space="0"/>
              <w:right w:val="single" w:color="000000" w:sz="6" w:space="0"/>
            </w:tcBorders>
            <w:tcMar>
              <w:top w:w="15" w:type="dxa"/>
              <w:left w:w="15" w:type="dxa"/>
              <w:bottom w:w="15" w:type="dxa"/>
              <w:right w:w="15" w:type="dxa"/>
            </w:tcMar>
            <w:vAlign w:val="center"/>
          </w:tcPr>
          <w:p w14:paraId="0E99C8A1">
            <w:pPr>
              <w:keepLines/>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2.26</w:t>
            </w:r>
          </w:p>
        </w:tc>
      </w:tr>
      <w:tr w14:paraId="6A1F2487">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14:paraId="5B6D43AF">
            <w:pPr>
              <w:keepLines/>
              <w:widowControl/>
              <w:jc w:val="left"/>
              <w:textAlignment w:val="center"/>
              <w:rPr>
                <w:rFonts w:ascii="宋体" w:hAnsi="宋体" w:eastAsia="宋体" w:cs="宋体"/>
                <w:kern w:val="0"/>
                <w:sz w:val="24"/>
                <w:szCs w:val="24"/>
              </w:rPr>
            </w:pPr>
            <w:r>
              <w:rPr>
                <w:rFonts w:hint="eastAsia" w:ascii="宋体" w:hAnsi="宋体" w:eastAsia="宋体" w:cs="宋体"/>
                <w:kern w:val="0"/>
                <w:sz w:val="24"/>
                <w:szCs w:val="24"/>
              </w:rPr>
              <w:t>1、因公出国（境）费</w:t>
            </w:r>
          </w:p>
        </w:tc>
        <w:tc>
          <w:tcPr>
            <w:tcW w:w="2145" w:type="dxa"/>
            <w:tcBorders>
              <w:top w:val="single" w:color="000000" w:sz="6" w:space="0"/>
              <w:left w:val="single" w:color="000000" w:sz="6" w:space="0"/>
              <w:bottom w:val="single" w:color="DDDDDD" w:sz="6" w:space="0"/>
              <w:right w:val="single" w:color="DDDDDD" w:sz="6" w:space="0"/>
            </w:tcBorders>
            <w:tcMar>
              <w:top w:w="15" w:type="dxa"/>
              <w:left w:w="15" w:type="dxa"/>
              <w:bottom w:w="15" w:type="dxa"/>
              <w:right w:w="15" w:type="dxa"/>
            </w:tcMar>
            <w:vAlign w:val="center"/>
          </w:tcPr>
          <w:p w14:paraId="22CBB338">
            <w:pPr>
              <w:keepLines/>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2355" w:type="dxa"/>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14:paraId="785EAAAD">
            <w:pPr>
              <w:keepLines/>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r w14:paraId="36865159">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14:paraId="32B63BD3">
            <w:pPr>
              <w:keepLines/>
              <w:widowControl/>
              <w:jc w:val="left"/>
              <w:textAlignment w:val="center"/>
              <w:rPr>
                <w:rFonts w:ascii="宋体" w:hAnsi="宋体" w:eastAsia="宋体" w:cs="宋体"/>
                <w:kern w:val="0"/>
                <w:sz w:val="24"/>
                <w:szCs w:val="24"/>
              </w:rPr>
            </w:pPr>
            <w:r>
              <w:rPr>
                <w:rFonts w:hint="eastAsia" w:ascii="宋体" w:hAnsi="宋体" w:eastAsia="宋体" w:cs="宋体"/>
                <w:kern w:val="0"/>
                <w:sz w:val="24"/>
                <w:szCs w:val="24"/>
              </w:rPr>
              <w:t>2、公务接待费</w:t>
            </w:r>
          </w:p>
        </w:tc>
        <w:tc>
          <w:tcPr>
            <w:tcW w:w="2145" w:type="dxa"/>
            <w:tcBorders>
              <w:top w:val="single" w:color="000000" w:sz="6" w:space="0"/>
              <w:left w:val="single" w:color="000000" w:sz="6" w:space="0"/>
              <w:bottom w:val="single" w:color="000000" w:sz="6" w:space="0"/>
              <w:right w:val="single" w:color="DDDDDD" w:sz="6" w:space="0"/>
            </w:tcBorders>
            <w:tcMar>
              <w:top w:w="15" w:type="dxa"/>
              <w:left w:w="15" w:type="dxa"/>
              <w:bottom w:w="15" w:type="dxa"/>
              <w:right w:w="15" w:type="dxa"/>
            </w:tcMar>
            <w:vAlign w:val="center"/>
          </w:tcPr>
          <w:p w14:paraId="5542A60F">
            <w:pPr>
              <w:keepLines/>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0.7</w:t>
            </w:r>
          </w:p>
        </w:tc>
        <w:tc>
          <w:tcPr>
            <w:tcW w:w="2355" w:type="dxa"/>
            <w:tcBorders>
              <w:top w:val="single" w:color="DDDDDD"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14:paraId="3A92FD55">
            <w:pPr>
              <w:keepLines/>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0.16</w:t>
            </w:r>
          </w:p>
        </w:tc>
      </w:tr>
      <w:tr w14:paraId="262A5D58">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14:paraId="2FA4D54E">
            <w:pPr>
              <w:keepLines/>
              <w:widowControl/>
              <w:jc w:val="left"/>
              <w:textAlignment w:val="center"/>
              <w:rPr>
                <w:rFonts w:ascii="宋体" w:hAnsi="宋体" w:eastAsia="宋体" w:cs="宋体"/>
                <w:kern w:val="0"/>
                <w:sz w:val="24"/>
                <w:szCs w:val="24"/>
              </w:rPr>
            </w:pPr>
            <w:r>
              <w:rPr>
                <w:rFonts w:hint="eastAsia" w:ascii="宋体" w:hAnsi="宋体" w:eastAsia="宋体" w:cs="宋体"/>
                <w:kern w:val="0"/>
                <w:sz w:val="24"/>
                <w:szCs w:val="24"/>
              </w:rPr>
              <w:t>3、公务用车购置及运行费</w:t>
            </w:r>
          </w:p>
        </w:tc>
        <w:tc>
          <w:tcPr>
            <w:tcW w:w="2145" w:type="dxa"/>
            <w:tcBorders>
              <w:top w:val="single" w:color="DDDDDD" w:sz="6" w:space="0"/>
              <w:left w:val="single" w:color="000000" w:sz="6" w:space="0"/>
              <w:bottom w:val="single" w:color="DDDDDD" w:sz="6" w:space="0"/>
              <w:right w:val="single" w:color="DDDDDD" w:sz="6" w:space="0"/>
            </w:tcBorders>
            <w:tcMar>
              <w:top w:w="15" w:type="dxa"/>
              <w:left w:w="15" w:type="dxa"/>
              <w:bottom w:w="15" w:type="dxa"/>
              <w:right w:w="15" w:type="dxa"/>
            </w:tcMar>
            <w:vAlign w:val="center"/>
          </w:tcPr>
          <w:p w14:paraId="71BCD3D8">
            <w:pPr>
              <w:keepLines/>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w:t>
            </w:r>
          </w:p>
        </w:tc>
        <w:tc>
          <w:tcPr>
            <w:tcW w:w="2355" w:type="dxa"/>
            <w:tcBorders>
              <w:top w:val="single" w:color="DDDDDD" w:sz="6" w:space="0"/>
              <w:left w:val="single" w:color="000000" w:sz="6" w:space="0"/>
              <w:bottom w:val="single" w:color="DDDDDD" w:sz="6" w:space="0"/>
              <w:right w:val="single" w:color="000000" w:sz="6" w:space="0"/>
            </w:tcBorders>
            <w:tcMar>
              <w:top w:w="15" w:type="dxa"/>
              <w:left w:w="15" w:type="dxa"/>
              <w:bottom w:w="15" w:type="dxa"/>
              <w:right w:w="15" w:type="dxa"/>
            </w:tcMar>
            <w:vAlign w:val="center"/>
          </w:tcPr>
          <w:p w14:paraId="244DBEB8">
            <w:pPr>
              <w:keepLines/>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w:t>
            </w:r>
          </w:p>
        </w:tc>
      </w:tr>
      <w:tr w14:paraId="0A87C16F">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14:paraId="1B45A37D">
            <w:pPr>
              <w:keepLines/>
              <w:widowControl/>
              <w:jc w:val="left"/>
              <w:textAlignment w:val="center"/>
              <w:rPr>
                <w:rFonts w:ascii="宋体" w:hAnsi="宋体" w:eastAsia="宋体" w:cs="宋体"/>
                <w:kern w:val="0"/>
                <w:sz w:val="24"/>
                <w:szCs w:val="24"/>
              </w:rPr>
            </w:pPr>
            <w:r>
              <w:rPr>
                <w:rFonts w:hint="eastAsia" w:ascii="宋体" w:hAnsi="宋体" w:eastAsia="宋体" w:cs="宋体"/>
                <w:kern w:val="0"/>
                <w:sz w:val="24"/>
                <w:szCs w:val="24"/>
              </w:rPr>
              <w:t>其中：公务用车购置</w:t>
            </w:r>
          </w:p>
        </w:tc>
        <w:tc>
          <w:tcPr>
            <w:tcW w:w="2145" w:type="dxa"/>
            <w:tcBorders>
              <w:top w:val="single" w:color="000000" w:sz="6" w:space="0"/>
              <w:left w:val="single" w:color="000000" w:sz="6" w:space="0"/>
              <w:bottom w:val="single" w:color="DDDDDD" w:sz="6" w:space="0"/>
              <w:right w:val="single" w:color="DDDDDD" w:sz="6" w:space="0"/>
            </w:tcBorders>
            <w:tcMar>
              <w:top w:w="15" w:type="dxa"/>
              <w:left w:w="15" w:type="dxa"/>
              <w:bottom w:w="15" w:type="dxa"/>
              <w:right w:w="15" w:type="dxa"/>
            </w:tcMar>
            <w:vAlign w:val="center"/>
          </w:tcPr>
          <w:p w14:paraId="73343242">
            <w:pPr>
              <w:keepLines/>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c>
          <w:tcPr>
            <w:tcW w:w="2355" w:type="dxa"/>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14:paraId="58DC5E2F">
            <w:pPr>
              <w:keepLines/>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0</w:t>
            </w:r>
          </w:p>
        </w:tc>
      </w:tr>
      <w:tr w14:paraId="7A5D4CF3">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14:paraId="7A3A3E86">
            <w:pPr>
              <w:keepLines/>
              <w:widowControl/>
              <w:jc w:val="left"/>
              <w:textAlignment w:val="center"/>
              <w:rPr>
                <w:rFonts w:ascii="宋体" w:hAnsi="宋体" w:eastAsia="宋体" w:cs="宋体"/>
                <w:kern w:val="0"/>
                <w:sz w:val="24"/>
                <w:szCs w:val="24"/>
              </w:rPr>
            </w:pPr>
            <w:r>
              <w:rPr>
                <w:rFonts w:hint="eastAsia" w:ascii="宋体" w:hAnsi="宋体" w:eastAsia="宋体" w:cs="宋体"/>
                <w:kern w:val="0"/>
                <w:sz w:val="24"/>
                <w:szCs w:val="24"/>
              </w:rPr>
              <w:t>公务用车运行费</w:t>
            </w:r>
          </w:p>
        </w:tc>
        <w:tc>
          <w:tcPr>
            <w:tcW w:w="2145" w:type="dxa"/>
            <w:tcBorders>
              <w:top w:val="single" w:color="000000" w:sz="6" w:space="0"/>
              <w:left w:val="single" w:color="000000" w:sz="6" w:space="0"/>
              <w:bottom w:val="single" w:color="000000" w:sz="6" w:space="0"/>
              <w:right w:val="single" w:color="DDDDDD" w:sz="6" w:space="0"/>
            </w:tcBorders>
            <w:tcMar>
              <w:top w:w="15" w:type="dxa"/>
              <w:left w:w="15" w:type="dxa"/>
              <w:bottom w:w="15" w:type="dxa"/>
              <w:right w:w="15" w:type="dxa"/>
            </w:tcMar>
            <w:vAlign w:val="center"/>
          </w:tcPr>
          <w:p w14:paraId="08537F63">
            <w:pPr>
              <w:keepLines/>
              <w:widowControl/>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6</w:t>
            </w:r>
          </w:p>
        </w:tc>
        <w:tc>
          <w:tcPr>
            <w:tcW w:w="2355" w:type="dxa"/>
            <w:tcBorders>
              <w:top w:val="single" w:color="DDDDDD"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14:paraId="22D62D75">
            <w:pPr>
              <w:keepLines/>
              <w:widowControl/>
              <w:jc w:val="center"/>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2.1</w:t>
            </w:r>
          </w:p>
        </w:tc>
      </w:tr>
    </w:tbl>
    <w:p w14:paraId="233E5D24">
      <w:pPr>
        <w:keepLines/>
        <w:widowControl/>
        <w:shd w:val="clear" w:color="auto" w:fill="FFFFFF"/>
        <w:jc w:val="left"/>
        <w:rPr>
          <w:rFonts w:ascii="微软雅黑" w:hAnsi="微软雅黑" w:eastAsia="微软雅黑" w:cs="宋体"/>
          <w:color w:val="333333"/>
          <w:kern w:val="0"/>
          <w:sz w:val="24"/>
          <w:szCs w:val="24"/>
        </w:rPr>
      </w:pPr>
    </w:p>
    <w:p w14:paraId="15E55DE1">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五、国有资产占用情况</w:t>
      </w:r>
    </w:p>
    <w:p w14:paraId="40488EDE">
      <w:pPr>
        <w:keepLines/>
        <w:widowControl/>
        <w:shd w:val="clear" w:color="auto" w:fill="FFFFFF"/>
        <w:ind w:firstLine="645"/>
        <w:jc w:val="left"/>
        <w:rPr>
          <w:rFonts w:hint="eastAsia"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本溪市溪湖区</w:t>
      </w:r>
      <w:r>
        <w:rPr>
          <w:rFonts w:hint="eastAsia" w:ascii="仿宋_GB2312" w:hAnsi="微软雅黑" w:eastAsia="仿宋_GB2312" w:cs="宋体"/>
          <w:color w:val="333333"/>
          <w:kern w:val="0"/>
          <w:sz w:val="32"/>
          <w:szCs w:val="32"/>
          <w:lang w:eastAsia="zh-CN"/>
        </w:rPr>
        <w:t>政府办公室</w:t>
      </w:r>
      <w:r>
        <w:rPr>
          <w:rFonts w:hint="eastAsia" w:ascii="仿宋_GB2312" w:hAnsi="微软雅黑" w:eastAsia="仿宋_GB2312" w:cs="宋体"/>
          <w:color w:val="333333"/>
          <w:kern w:val="0"/>
          <w:sz w:val="32"/>
          <w:szCs w:val="32"/>
        </w:rPr>
        <w:t>共有车辆</w:t>
      </w:r>
      <w:r>
        <w:rPr>
          <w:rFonts w:hint="eastAsia" w:ascii="仿宋_GB2312" w:hAnsi="微软雅黑" w:eastAsia="仿宋_GB2312" w:cs="宋体"/>
          <w:color w:val="333333"/>
          <w:kern w:val="0"/>
          <w:sz w:val="32"/>
          <w:szCs w:val="32"/>
          <w:lang w:val="en-US" w:eastAsia="zh-CN"/>
        </w:rPr>
        <w:t>1</w:t>
      </w:r>
      <w:r>
        <w:rPr>
          <w:rFonts w:hint="eastAsia" w:ascii="仿宋_GB2312" w:hAnsi="微软雅黑" w:eastAsia="仿宋_GB2312" w:cs="宋体"/>
          <w:color w:val="333333"/>
          <w:kern w:val="0"/>
          <w:sz w:val="32"/>
          <w:szCs w:val="32"/>
        </w:rPr>
        <w:t>台，其中：一般公务用车</w:t>
      </w:r>
      <w:r>
        <w:rPr>
          <w:rFonts w:hint="eastAsia" w:ascii="仿宋_GB2312" w:hAnsi="微软雅黑" w:eastAsia="仿宋_GB2312" w:cs="宋体"/>
          <w:color w:val="333333"/>
          <w:kern w:val="0"/>
          <w:sz w:val="32"/>
          <w:szCs w:val="32"/>
          <w:lang w:val="en-US" w:eastAsia="zh-CN"/>
        </w:rPr>
        <w:t>1</w:t>
      </w:r>
      <w:r>
        <w:rPr>
          <w:rFonts w:hint="eastAsia" w:ascii="仿宋_GB2312" w:hAnsi="微软雅黑" w:eastAsia="仿宋_GB2312" w:cs="宋体"/>
          <w:color w:val="333333"/>
          <w:kern w:val="0"/>
          <w:sz w:val="32"/>
          <w:szCs w:val="32"/>
        </w:rPr>
        <w:t>台。</w:t>
      </w:r>
    </w:p>
    <w:p w14:paraId="01E92388">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黑体" w:hAnsi="黑体" w:eastAsia="黑体" w:cs="宋体"/>
          <w:color w:val="333333"/>
          <w:kern w:val="0"/>
          <w:sz w:val="32"/>
          <w:szCs w:val="32"/>
        </w:rPr>
        <w:t>六、绩效情况</w:t>
      </w:r>
    </w:p>
    <w:p w14:paraId="21BE2C75">
      <w:pPr>
        <w:keepLines/>
        <w:widowControl/>
        <w:shd w:val="clear" w:color="auto" w:fill="FFFFFF"/>
        <w:ind w:firstLine="645"/>
        <w:jc w:val="left"/>
        <w:rPr>
          <w:rFonts w:ascii="微软雅黑" w:hAnsi="微软雅黑" w:eastAsia="微软雅黑" w:cs="宋体"/>
          <w:color w:val="333333"/>
          <w:kern w:val="0"/>
          <w:sz w:val="24"/>
          <w:szCs w:val="24"/>
        </w:rPr>
      </w:pPr>
      <w:r>
        <w:rPr>
          <w:rFonts w:hint="eastAsia" w:ascii="仿宋_GB2312" w:hAnsi="微软雅黑" w:eastAsia="仿宋_GB2312" w:cs="宋体"/>
          <w:color w:val="333333"/>
          <w:kern w:val="0"/>
          <w:sz w:val="32"/>
          <w:szCs w:val="32"/>
        </w:rPr>
        <w:t>根据预算绩效管理要求，本溪市溪湖区</w:t>
      </w:r>
      <w:r>
        <w:rPr>
          <w:rFonts w:hint="eastAsia" w:ascii="仿宋_GB2312" w:hAnsi="微软雅黑" w:eastAsia="仿宋_GB2312" w:cs="宋体"/>
          <w:color w:val="333333"/>
          <w:kern w:val="0"/>
          <w:sz w:val="32"/>
          <w:szCs w:val="32"/>
          <w:lang w:eastAsia="zh-CN"/>
        </w:rPr>
        <w:t>政府办公室</w:t>
      </w:r>
      <w:r>
        <w:rPr>
          <w:rFonts w:hint="eastAsia" w:ascii="仿宋_GB2312" w:hAnsi="微软雅黑" w:eastAsia="仿宋_GB2312" w:cs="宋体"/>
          <w:color w:val="333333"/>
          <w:kern w:val="0"/>
          <w:sz w:val="32"/>
          <w:szCs w:val="32"/>
        </w:rPr>
        <w:t>2021年应编制绩效目标的项目共</w:t>
      </w:r>
      <w:r>
        <w:rPr>
          <w:rFonts w:hint="eastAsia" w:ascii="仿宋_GB2312" w:hAnsi="微软雅黑" w:eastAsia="仿宋_GB2312" w:cs="宋体"/>
          <w:color w:val="333333"/>
          <w:kern w:val="0"/>
          <w:sz w:val="32"/>
          <w:szCs w:val="32"/>
          <w:lang w:val="en-US" w:eastAsia="zh-CN"/>
        </w:rPr>
        <w:t>6</w:t>
      </w:r>
      <w:r>
        <w:rPr>
          <w:rFonts w:hint="eastAsia" w:ascii="仿宋_GB2312" w:hAnsi="微软雅黑" w:eastAsia="仿宋_GB2312" w:cs="宋体"/>
          <w:color w:val="333333"/>
          <w:kern w:val="0"/>
          <w:sz w:val="32"/>
          <w:szCs w:val="32"/>
        </w:rPr>
        <w:t>个，实际编制绩效目标的项目共</w:t>
      </w:r>
      <w:r>
        <w:rPr>
          <w:rFonts w:hint="eastAsia" w:ascii="仿宋_GB2312" w:hAnsi="微软雅黑" w:eastAsia="仿宋_GB2312" w:cs="宋体"/>
          <w:color w:val="333333"/>
          <w:kern w:val="0"/>
          <w:sz w:val="32"/>
          <w:szCs w:val="32"/>
          <w:lang w:val="en-US" w:eastAsia="zh-CN"/>
        </w:rPr>
        <w:t>6</w:t>
      </w:r>
      <w:r>
        <w:rPr>
          <w:rFonts w:hint="eastAsia" w:ascii="仿宋_GB2312" w:hAnsi="微软雅黑" w:eastAsia="仿宋_GB2312" w:cs="宋体"/>
          <w:color w:val="333333"/>
          <w:kern w:val="0"/>
          <w:sz w:val="32"/>
          <w:szCs w:val="32"/>
        </w:rPr>
        <w:t>个，涉及资金</w:t>
      </w:r>
      <w:r>
        <w:rPr>
          <w:rFonts w:hint="eastAsia" w:ascii="仿宋_GB2312" w:hAnsi="微软雅黑" w:eastAsia="仿宋_GB2312" w:cs="宋体"/>
          <w:color w:val="333333"/>
          <w:kern w:val="0"/>
          <w:sz w:val="32"/>
          <w:szCs w:val="32"/>
          <w:lang w:val="en-US" w:eastAsia="zh-CN"/>
        </w:rPr>
        <w:t>98.28</w:t>
      </w:r>
      <w:r>
        <w:rPr>
          <w:rFonts w:hint="eastAsia" w:ascii="仿宋_GB2312" w:hAnsi="微软雅黑" w:eastAsia="仿宋_GB2312" w:cs="宋体"/>
          <w:color w:val="333333"/>
          <w:kern w:val="0"/>
          <w:sz w:val="32"/>
          <w:szCs w:val="32"/>
        </w:rPr>
        <w:t>万元，编制绩效目标的项目覆盖率（实际编制绩效目标的项目/应编制绩效目标的项目）为100%。</w:t>
      </w:r>
    </w:p>
    <w:p w14:paraId="24681C95">
      <w:pPr>
        <w:keepLines/>
        <w:rPr>
          <w:rFonts w:hint="eastAsia"/>
        </w:rPr>
      </w:pPr>
    </w:p>
    <w:p w14:paraId="0540C12A">
      <w:pPr>
        <w:keepLines/>
        <w:rPr>
          <w:rFonts w:hint="eastAsia"/>
        </w:rPr>
      </w:pPr>
    </w:p>
    <w:p w14:paraId="17E5A4D4">
      <w:pPr>
        <w:keepLines/>
        <w:rPr>
          <w:rFonts w:hint="eastAsia"/>
        </w:rPr>
      </w:pPr>
    </w:p>
    <w:p w14:paraId="1B2A78A9">
      <w:pPr>
        <w:keepLines/>
        <w:rPr>
          <w:rFonts w:hint="eastAsia"/>
        </w:rPr>
      </w:pPr>
    </w:p>
    <w:p w14:paraId="0FCC1947">
      <w:pPr>
        <w:keepLines/>
        <w:rPr>
          <w:rFonts w:hint="eastAsia"/>
        </w:rPr>
      </w:pPr>
    </w:p>
    <w:p w14:paraId="35A61B7F">
      <w:pPr>
        <w:keepLines/>
        <w:rPr>
          <w:rFonts w:hint="eastAsia"/>
        </w:rPr>
      </w:pPr>
    </w:p>
    <w:p w14:paraId="463FE90C">
      <w:pPr>
        <w:keepLines/>
        <w:rPr>
          <w:rFonts w:hint="eastAsia"/>
        </w:rPr>
      </w:pPr>
    </w:p>
    <w:p w14:paraId="228A1BEC">
      <w:pPr>
        <w:keepLines/>
        <w:rPr>
          <w:rFonts w:hint="eastAsia"/>
        </w:rPr>
      </w:pPr>
    </w:p>
    <w:p w14:paraId="7065C9EF">
      <w:pPr>
        <w:keepLines/>
        <w:rPr>
          <w:rFonts w:hint="eastAsia"/>
        </w:rPr>
      </w:pPr>
    </w:p>
    <w:p w14:paraId="5BF5817F">
      <w:pPr>
        <w:keepLines/>
        <w:rPr>
          <w:rFonts w:hint="eastAsia"/>
        </w:rPr>
      </w:pPr>
    </w:p>
    <w:p w14:paraId="2370D47A">
      <w:pPr>
        <w:keepLines/>
        <w:rPr>
          <w:rFonts w:hint="eastAsia"/>
        </w:rPr>
      </w:pPr>
    </w:p>
    <w:p w14:paraId="6E30D178">
      <w:pPr>
        <w:keepLines/>
        <w:rPr>
          <w:rFonts w:hint="eastAsia"/>
        </w:rPr>
      </w:pPr>
    </w:p>
    <w:tbl>
      <w:tblPr>
        <w:tblStyle w:val="3"/>
        <w:tblW w:w="8519" w:type="dxa"/>
        <w:tblInd w:w="93" w:type="dxa"/>
        <w:tblLayout w:type="fixed"/>
        <w:tblCellMar>
          <w:top w:w="0" w:type="dxa"/>
          <w:left w:w="108" w:type="dxa"/>
          <w:bottom w:w="0" w:type="dxa"/>
          <w:right w:w="108" w:type="dxa"/>
        </w:tblCellMar>
      </w:tblPr>
      <w:tblGrid>
        <w:gridCol w:w="582"/>
        <w:gridCol w:w="709"/>
        <w:gridCol w:w="1417"/>
        <w:gridCol w:w="2977"/>
        <w:gridCol w:w="567"/>
        <w:gridCol w:w="567"/>
        <w:gridCol w:w="567"/>
        <w:gridCol w:w="567"/>
        <w:gridCol w:w="566"/>
      </w:tblGrid>
      <w:tr w14:paraId="3D124593">
        <w:tblPrEx>
          <w:tblCellMar>
            <w:top w:w="0" w:type="dxa"/>
            <w:left w:w="108" w:type="dxa"/>
            <w:bottom w:w="0" w:type="dxa"/>
            <w:right w:w="108" w:type="dxa"/>
          </w:tblCellMar>
        </w:tblPrEx>
        <w:trPr>
          <w:trHeight w:val="619" w:hRule="atLeast"/>
        </w:trPr>
        <w:tc>
          <w:tcPr>
            <w:tcW w:w="8519" w:type="dxa"/>
            <w:gridSpan w:val="9"/>
            <w:tcBorders>
              <w:top w:val="nil"/>
              <w:left w:val="nil"/>
              <w:bottom w:val="nil"/>
              <w:right w:val="nil"/>
            </w:tcBorders>
            <w:shd w:val="clear" w:color="auto" w:fill="auto"/>
            <w:noWrap/>
            <w:vAlign w:val="center"/>
          </w:tcPr>
          <w:p w14:paraId="47B3B331">
            <w:pPr>
              <w:keepLines/>
              <w:widowControl/>
              <w:jc w:val="center"/>
              <w:rPr>
                <w:rFonts w:ascii="宋体" w:hAnsi="宋体" w:eastAsia="宋体" w:cs="宋体"/>
                <w:b/>
                <w:bCs/>
                <w:kern w:val="0"/>
                <w:sz w:val="36"/>
                <w:szCs w:val="36"/>
              </w:rPr>
            </w:pPr>
            <w:r>
              <w:rPr>
                <w:rFonts w:hint="eastAsia" w:ascii="宋体" w:hAnsi="宋体" w:eastAsia="宋体" w:cs="宋体"/>
                <w:b/>
                <w:bCs/>
                <w:kern w:val="0"/>
                <w:sz w:val="36"/>
                <w:szCs w:val="36"/>
              </w:rPr>
              <w:t>部门整体绩效目标情况表</w:t>
            </w:r>
          </w:p>
        </w:tc>
      </w:tr>
      <w:tr w14:paraId="08301597">
        <w:tblPrEx>
          <w:tblCellMar>
            <w:top w:w="0" w:type="dxa"/>
            <w:left w:w="108" w:type="dxa"/>
            <w:bottom w:w="0" w:type="dxa"/>
            <w:right w:w="108" w:type="dxa"/>
          </w:tblCellMar>
        </w:tblPrEx>
        <w:trPr>
          <w:trHeight w:val="300" w:hRule="atLeast"/>
        </w:trPr>
        <w:tc>
          <w:tcPr>
            <w:tcW w:w="582" w:type="dxa"/>
            <w:vMerge w:val="restart"/>
            <w:tcBorders>
              <w:top w:val="single" w:color="auto" w:sz="4" w:space="0"/>
              <w:left w:val="single" w:color="auto" w:sz="4" w:space="0"/>
              <w:bottom w:val="single" w:color="auto" w:sz="4" w:space="0"/>
              <w:right w:val="nil"/>
            </w:tcBorders>
            <w:shd w:val="clear" w:color="auto" w:fill="auto"/>
            <w:tcMar>
              <w:left w:w="0" w:type="dxa"/>
              <w:right w:w="0" w:type="dxa"/>
            </w:tcMar>
            <w:vAlign w:val="center"/>
          </w:tcPr>
          <w:p w14:paraId="6A45925D">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绩效目标</w:t>
            </w:r>
          </w:p>
        </w:tc>
        <w:tc>
          <w:tcPr>
            <w:tcW w:w="5103" w:type="dxa"/>
            <w:gridSpan w:val="3"/>
            <w:tcBorders>
              <w:top w:val="single" w:color="auto" w:sz="4" w:space="0"/>
              <w:left w:val="single" w:color="auto" w:sz="4" w:space="0"/>
              <w:bottom w:val="single" w:color="auto" w:sz="4" w:space="0"/>
              <w:right w:val="single" w:color="auto" w:sz="4" w:space="0"/>
            </w:tcBorders>
            <w:shd w:val="clear" w:color="auto" w:fill="auto"/>
            <w:tcMar>
              <w:left w:w="0" w:type="dxa"/>
              <w:right w:w="0" w:type="dxa"/>
            </w:tcMar>
            <w:vAlign w:val="center"/>
          </w:tcPr>
          <w:p w14:paraId="7CD53585">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年度绩效指标</w:t>
            </w:r>
          </w:p>
        </w:tc>
        <w:tc>
          <w:tcPr>
            <w:tcW w:w="567" w:type="dxa"/>
            <w:vMerge w:val="restart"/>
            <w:tcBorders>
              <w:top w:val="single" w:color="auto" w:sz="4" w:space="0"/>
              <w:left w:val="single" w:color="auto" w:sz="4" w:space="0"/>
              <w:bottom w:val="single" w:color="auto" w:sz="4" w:space="0"/>
              <w:right w:val="nil"/>
            </w:tcBorders>
            <w:shd w:val="clear" w:color="auto" w:fill="auto"/>
            <w:tcMar>
              <w:left w:w="0" w:type="dxa"/>
              <w:right w:w="0" w:type="dxa"/>
            </w:tcMar>
            <w:vAlign w:val="center"/>
          </w:tcPr>
          <w:p w14:paraId="6CF40D77">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指标属性</w:t>
            </w:r>
          </w:p>
        </w:tc>
        <w:tc>
          <w:tcPr>
            <w:tcW w:w="567" w:type="dxa"/>
            <w:vMerge w:val="restart"/>
            <w:tcBorders>
              <w:top w:val="single" w:color="auto" w:sz="4" w:space="0"/>
              <w:left w:val="single" w:color="auto" w:sz="4" w:space="0"/>
              <w:bottom w:val="single" w:color="auto" w:sz="4" w:space="0"/>
              <w:right w:val="nil"/>
            </w:tcBorders>
            <w:shd w:val="clear" w:color="auto" w:fill="auto"/>
            <w:tcMar>
              <w:left w:w="0" w:type="dxa"/>
              <w:right w:w="0" w:type="dxa"/>
            </w:tcMar>
            <w:vAlign w:val="center"/>
          </w:tcPr>
          <w:p w14:paraId="26DC4513">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运算符号</w:t>
            </w:r>
          </w:p>
        </w:tc>
        <w:tc>
          <w:tcPr>
            <w:tcW w:w="567" w:type="dxa"/>
            <w:vMerge w:val="restart"/>
            <w:tcBorders>
              <w:top w:val="single" w:color="auto" w:sz="4" w:space="0"/>
              <w:left w:val="single" w:color="auto" w:sz="4" w:space="0"/>
              <w:bottom w:val="single" w:color="auto" w:sz="4" w:space="0"/>
              <w:right w:val="nil"/>
            </w:tcBorders>
            <w:shd w:val="clear" w:color="auto" w:fill="auto"/>
            <w:tcMar>
              <w:left w:w="0" w:type="dxa"/>
              <w:right w:w="0" w:type="dxa"/>
            </w:tcMar>
            <w:vAlign w:val="center"/>
          </w:tcPr>
          <w:p w14:paraId="3C210103">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指标值</w:t>
            </w:r>
          </w:p>
        </w:tc>
        <w:tc>
          <w:tcPr>
            <w:tcW w:w="567" w:type="dxa"/>
            <w:vMerge w:val="restart"/>
            <w:tcBorders>
              <w:top w:val="single" w:color="auto" w:sz="4" w:space="0"/>
              <w:left w:val="single" w:color="auto" w:sz="4" w:space="0"/>
              <w:bottom w:val="single" w:color="auto" w:sz="4" w:space="0"/>
              <w:right w:val="nil"/>
            </w:tcBorders>
            <w:shd w:val="clear" w:color="auto" w:fill="auto"/>
            <w:tcMar>
              <w:left w:w="0" w:type="dxa"/>
              <w:right w:w="0" w:type="dxa"/>
            </w:tcMar>
            <w:vAlign w:val="center"/>
          </w:tcPr>
          <w:p w14:paraId="33217096">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度量单位</w:t>
            </w:r>
          </w:p>
        </w:tc>
        <w:tc>
          <w:tcPr>
            <w:tcW w:w="566" w:type="dxa"/>
            <w:vMerge w:val="restart"/>
            <w:tcBorders>
              <w:top w:val="single" w:color="auto" w:sz="4" w:space="0"/>
              <w:left w:val="single" w:color="auto" w:sz="4" w:space="0"/>
              <w:bottom w:val="single" w:color="auto" w:sz="4" w:space="0"/>
              <w:right w:val="single" w:color="auto" w:sz="4" w:space="0"/>
            </w:tcBorders>
            <w:shd w:val="clear" w:color="auto" w:fill="auto"/>
            <w:tcMar>
              <w:left w:w="0" w:type="dxa"/>
              <w:right w:w="0" w:type="dxa"/>
            </w:tcMar>
            <w:vAlign w:val="center"/>
          </w:tcPr>
          <w:p w14:paraId="055253BA">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完成时限</w:t>
            </w:r>
          </w:p>
        </w:tc>
      </w:tr>
      <w:tr w14:paraId="70D98B1E">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nil"/>
            </w:tcBorders>
            <w:tcMar>
              <w:left w:w="0" w:type="dxa"/>
              <w:right w:w="0" w:type="dxa"/>
            </w:tcMar>
            <w:vAlign w:val="center"/>
          </w:tcPr>
          <w:p w14:paraId="054865B8">
            <w:pPr>
              <w:keepLines/>
              <w:widowControl/>
              <w:spacing w:line="230" w:lineRule="exact"/>
              <w:jc w:val="left"/>
              <w:rPr>
                <w:rFonts w:ascii="宋体" w:hAnsi="宋体" w:eastAsia="宋体" w:cs="宋体"/>
                <w:kern w:val="0"/>
                <w:szCs w:val="21"/>
              </w:rPr>
            </w:pPr>
          </w:p>
        </w:tc>
        <w:tc>
          <w:tcPr>
            <w:tcW w:w="709" w:type="dxa"/>
            <w:tcBorders>
              <w:top w:val="nil"/>
              <w:left w:val="single" w:color="auto" w:sz="4" w:space="0"/>
              <w:bottom w:val="nil"/>
              <w:right w:val="nil"/>
            </w:tcBorders>
            <w:shd w:val="clear" w:color="auto" w:fill="auto"/>
            <w:tcMar>
              <w:left w:w="0" w:type="dxa"/>
              <w:right w:w="0" w:type="dxa"/>
            </w:tcMar>
            <w:vAlign w:val="center"/>
          </w:tcPr>
          <w:p w14:paraId="2C0E6177">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一级指标</w:t>
            </w:r>
          </w:p>
        </w:tc>
        <w:tc>
          <w:tcPr>
            <w:tcW w:w="1417" w:type="dxa"/>
            <w:tcBorders>
              <w:top w:val="nil"/>
              <w:left w:val="single" w:color="auto" w:sz="4" w:space="0"/>
              <w:bottom w:val="nil"/>
              <w:right w:val="nil"/>
            </w:tcBorders>
            <w:shd w:val="clear" w:color="auto" w:fill="auto"/>
            <w:tcMar>
              <w:left w:w="0" w:type="dxa"/>
              <w:right w:w="0" w:type="dxa"/>
            </w:tcMar>
            <w:vAlign w:val="center"/>
          </w:tcPr>
          <w:p w14:paraId="29FD65E6">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二级指标</w:t>
            </w:r>
          </w:p>
        </w:tc>
        <w:tc>
          <w:tcPr>
            <w:tcW w:w="2977" w:type="dxa"/>
            <w:tcBorders>
              <w:top w:val="nil"/>
              <w:left w:val="single" w:color="auto" w:sz="4" w:space="0"/>
              <w:bottom w:val="nil"/>
              <w:right w:val="nil"/>
            </w:tcBorders>
            <w:shd w:val="clear" w:color="auto" w:fill="auto"/>
            <w:tcMar>
              <w:left w:w="0" w:type="dxa"/>
              <w:right w:w="0" w:type="dxa"/>
            </w:tcMar>
            <w:vAlign w:val="center"/>
          </w:tcPr>
          <w:p w14:paraId="49F0A054">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三级指标</w:t>
            </w:r>
          </w:p>
        </w:tc>
        <w:tc>
          <w:tcPr>
            <w:tcW w:w="567" w:type="dxa"/>
            <w:vMerge w:val="continue"/>
            <w:tcBorders>
              <w:top w:val="single" w:color="auto" w:sz="4" w:space="0"/>
              <w:left w:val="single" w:color="auto" w:sz="4" w:space="0"/>
              <w:bottom w:val="single" w:color="auto" w:sz="4" w:space="0"/>
              <w:right w:val="nil"/>
            </w:tcBorders>
            <w:tcMar>
              <w:left w:w="0" w:type="dxa"/>
              <w:right w:w="0" w:type="dxa"/>
            </w:tcMar>
            <w:vAlign w:val="center"/>
          </w:tcPr>
          <w:p w14:paraId="6DA6A6B3">
            <w:pPr>
              <w:keepLines/>
              <w:widowControl/>
              <w:spacing w:line="230" w:lineRule="exact"/>
              <w:jc w:val="left"/>
              <w:rPr>
                <w:rFonts w:ascii="宋体" w:hAnsi="宋体" w:eastAsia="宋体" w:cs="宋体"/>
                <w:kern w:val="0"/>
                <w:szCs w:val="21"/>
              </w:rPr>
            </w:pPr>
          </w:p>
        </w:tc>
        <w:tc>
          <w:tcPr>
            <w:tcW w:w="567" w:type="dxa"/>
            <w:vMerge w:val="continue"/>
            <w:tcBorders>
              <w:top w:val="single" w:color="auto" w:sz="4" w:space="0"/>
              <w:left w:val="single" w:color="auto" w:sz="4" w:space="0"/>
              <w:bottom w:val="single" w:color="auto" w:sz="4" w:space="0"/>
              <w:right w:val="nil"/>
            </w:tcBorders>
            <w:tcMar>
              <w:left w:w="0" w:type="dxa"/>
              <w:right w:w="0" w:type="dxa"/>
            </w:tcMar>
            <w:vAlign w:val="center"/>
          </w:tcPr>
          <w:p w14:paraId="616AA9A0">
            <w:pPr>
              <w:keepLines/>
              <w:widowControl/>
              <w:spacing w:line="230" w:lineRule="exact"/>
              <w:jc w:val="left"/>
              <w:rPr>
                <w:rFonts w:ascii="宋体" w:hAnsi="宋体" w:eastAsia="宋体" w:cs="宋体"/>
                <w:kern w:val="0"/>
                <w:szCs w:val="21"/>
              </w:rPr>
            </w:pPr>
          </w:p>
        </w:tc>
        <w:tc>
          <w:tcPr>
            <w:tcW w:w="567" w:type="dxa"/>
            <w:vMerge w:val="continue"/>
            <w:tcBorders>
              <w:top w:val="single" w:color="auto" w:sz="4" w:space="0"/>
              <w:left w:val="single" w:color="auto" w:sz="4" w:space="0"/>
              <w:bottom w:val="single" w:color="auto" w:sz="4" w:space="0"/>
              <w:right w:val="nil"/>
            </w:tcBorders>
            <w:tcMar>
              <w:left w:w="0" w:type="dxa"/>
              <w:right w:w="0" w:type="dxa"/>
            </w:tcMar>
            <w:vAlign w:val="center"/>
          </w:tcPr>
          <w:p w14:paraId="0D88A315">
            <w:pPr>
              <w:keepLines/>
              <w:widowControl/>
              <w:spacing w:line="230" w:lineRule="exact"/>
              <w:jc w:val="left"/>
              <w:rPr>
                <w:rFonts w:ascii="宋体" w:hAnsi="宋体" w:eastAsia="宋体" w:cs="宋体"/>
                <w:kern w:val="0"/>
                <w:szCs w:val="21"/>
              </w:rPr>
            </w:pPr>
          </w:p>
        </w:tc>
        <w:tc>
          <w:tcPr>
            <w:tcW w:w="567" w:type="dxa"/>
            <w:vMerge w:val="continue"/>
            <w:tcBorders>
              <w:top w:val="single" w:color="auto" w:sz="4" w:space="0"/>
              <w:left w:val="single" w:color="auto" w:sz="4" w:space="0"/>
              <w:bottom w:val="single" w:color="auto" w:sz="4" w:space="0"/>
              <w:right w:val="nil"/>
            </w:tcBorders>
            <w:tcMar>
              <w:left w:w="0" w:type="dxa"/>
              <w:right w:w="0" w:type="dxa"/>
            </w:tcMar>
            <w:vAlign w:val="center"/>
          </w:tcPr>
          <w:p w14:paraId="39F855A2">
            <w:pPr>
              <w:keepLines/>
              <w:widowControl/>
              <w:spacing w:line="230" w:lineRule="exact"/>
              <w:jc w:val="left"/>
              <w:rPr>
                <w:rFonts w:ascii="宋体" w:hAnsi="宋体" w:eastAsia="宋体" w:cs="宋体"/>
                <w:kern w:val="0"/>
                <w:szCs w:val="21"/>
              </w:rPr>
            </w:pPr>
          </w:p>
        </w:tc>
        <w:tc>
          <w:tcPr>
            <w:tcW w:w="566"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1D4048D8">
            <w:pPr>
              <w:keepLines/>
              <w:widowControl/>
              <w:spacing w:line="230" w:lineRule="exact"/>
              <w:jc w:val="left"/>
              <w:rPr>
                <w:rFonts w:ascii="宋体" w:hAnsi="宋体" w:eastAsia="宋体" w:cs="宋体"/>
                <w:kern w:val="0"/>
                <w:szCs w:val="21"/>
              </w:rPr>
            </w:pPr>
          </w:p>
        </w:tc>
      </w:tr>
      <w:tr w14:paraId="259234C2">
        <w:tblPrEx>
          <w:tblCellMar>
            <w:top w:w="0" w:type="dxa"/>
            <w:left w:w="108" w:type="dxa"/>
            <w:bottom w:w="0" w:type="dxa"/>
            <w:right w:w="108" w:type="dxa"/>
          </w:tblCellMar>
        </w:tblPrEx>
        <w:trPr>
          <w:trHeight w:val="300" w:hRule="atLeast"/>
        </w:trPr>
        <w:tc>
          <w:tcPr>
            <w:tcW w:w="582" w:type="dxa"/>
            <w:vMerge w:val="restart"/>
            <w:tcBorders>
              <w:top w:val="single" w:color="auto" w:sz="4" w:space="0"/>
              <w:left w:val="single" w:color="auto" w:sz="4" w:space="0"/>
              <w:bottom w:val="single" w:color="auto" w:sz="4" w:space="0"/>
              <w:right w:val="single" w:color="auto" w:sz="4" w:space="0"/>
            </w:tcBorders>
            <w:shd w:val="clear" w:color="auto" w:fill="auto"/>
            <w:tcMar>
              <w:left w:w="0" w:type="dxa"/>
              <w:right w:w="0" w:type="dxa"/>
            </w:tcMar>
            <w:vAlign w:val="center"/>
          </w:tcPr>
          <w:p w14:paraId="286B2F8C">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1.做好各项日常事务性工作。</w:t>
            </w:r>
            <w:r>
              <w:rPr>
                <w:rFonts w:hint="eastAsia" w:ascii="宋体" w:hAnsi="宋体" w:eastAsia="宋体" w:cs="宋体"/>
                <w:kern w:val="0"/>
                <w:szCs w:val="21"/>
              </w:rPr>
              <w:br w:type="textWrapping"/>
            </w:r>
            <w:r>
              <w:rPr>
                <w:rFonts w:hint="eastAsia" w:ascii="宋体" w:hAnsi="宋体" w:eastAsia="宋体" w:cs="宋体"/>
                <w:kern w:val="0"/>
                <w:szCs w:val="21"/>
              </w:rPr>
              <w:t>2.提升服务水平 提高服务对象满意度。</w:t>
            </w:r>
          </w:p>
        </w:tc>
        <w:tc>
          <w:tcPr>
            <w:tcW w:w="709" w:type="dxa"/>
            <w:vMerge w:val="restart"/>
            <w:tcBorders>
              <w:top w:val="single" w:color="auto" w:sz="4" w:space="0"/>
              <w:left w:val="nil"/>
              <w:bottom w:val="single" w:color="000000" w:sz="4" w:space="0"/>
              <w:right w:val="single" w:color="auto" w:sz="4" w:space="0"/>
            </w:tcBorders>
            <w:shd w:val="clear" w:color="auto" w:fill="auto"/>
            <w:tcMar>
              <w:left w:w="0" w:type="dxa"/>
              <w:right w:w="0" w:type="dxa"/>
            </w:tcMar>
            <w:vAlign w:val="center"/>
          </w:tcPr>
          <w:p w14:paraId="54B70C5C">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履职效能</w:t>
            </w:r>
          </w:p>
        </w:tc>
        <w:tc>
          <w:tcPr>
            <w:tcW w:w="1417" w:type="dxa"/>
            <w:vMerge w:val="restart"/>
            <w:tcBorders>
              <w:top w:val="single" w:color="auto" w:sz="4" w:space="0"/>
              <w:left w:val="single" w:color="auto" w:sz="4" w:space="0"/>
              <w:bottom w:val="single" w:color="000000" w:sz="4" w:space="0"/>
              <w:right w:val="single" w:color="auto" w:sz="4" w:space="0"/>
            </w:tcBorders>
            <w:shd w:val="clear" w:color="auto" w:fill="auto"/>
            <w:tcMar>
              <w:left w:w="0" w:type="dxa"/>
              <w:right w:w="0" w:type="dxa"/>
            </w:tcMar>
            <w:vAlign w:val="center"/>
          </w:tcPr>
          <w:p w14:paraId="2AA4E042">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重点工作履行情况</w:t>
            </w:r>
          </w:p>
        </w:tc>
        <w:tc>
          <w:tcPr>
            <w:tcW w:w="297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14:paraId="1D64D641">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重点工作办结率</w:t>
            </w:r>
          </w:p>
        </w:tc>
        <w:tc>
          <w:tcPr>
            <w:tcW w:w="56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14:paraId="28579918">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14:paraId="05DF9587">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14:paraId="21820F02">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100</w:t>
            </w:r>
          </w:p>
        </w:tc>
        <w:tc>
          <w:tcPr>
            <w:tcW w:w="567"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14:paraId="6238F779">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single" w:color="auto" w:sz="4" w:space="0"/>
              <w:left w:val="nil"/>
              <w:bottom w:val="single" w:color="auto" w:sz="4" w:space="0"/>
              <w:right w:val="single" w:color="auto" w:sz="4" w:space="0"/>
            </w:tcBorders>
            <w:shd w:val="clear" w:color="auto" w:fill="auto"/>
            <w:tcMar>
              <w:left w:w="0" w:type="dxa"/>
              <w:right w:w="0" w:type="dxa"/>
            </w:tcMar>
            <w:vAlign w:val="center"/>
          </w:tcPr>
          <w:p w14:paraId="770DE6E9">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155C5173">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0BEE6788">
            <w:pPr>
              <w:keepLines/>
              <w:widowControl/>
              <w:spacing w:line="230" w:lineRule="exact"/>
              <w:jc w:val="left"/>
              <w:rPr>
                <w:rFonts w:ascii="宋体" w:hAnsi="宋体" w:eastAsia="宋体" w:cs="宋体"/>
                <w:kern w:val="0"/>
                <w:szCs w:val="21"/>
              </w:rPr>
            </w:pPr>
          </w:p>
        </w:tc>
        <w:tc>
          <w:tcPr>
            <w:tcW w:w="709" w:type="dxa"/>
            <w:vMerge w:val="continue"/>
            <w:tcBorders>
              <w:top w:val="single" w:color="auto" w:sz="4" w:space="0"/>
              <w:left w:val="nil"/>
              <w:bottom w:val="single" w:color="000000" w:sz="4" w:space="0"/>
              <w:right w:val="single" w:color="auto" w:sz="4" w:space="0"/>
            </w:tcBorders>
            <w:tcMar>
              <w:left w:w="0" w:type="dxa"/>
              <w:right w:w="0" w:type="dxa"/>
            </w:tcMar>
            <w:vAlign w:val="center"/>
          </w:tcPr>
          <w:p w14:paraId="6E1C83CE">
            <w:pPr>
              <w:keepLines/>
              <w:widowControl/>
              <w:spacing w:line="230" w:lineRule="exact"/>
              <w:jc w:val="left"/>
              <w:rPr>
                <w:rFonts w:ascii="宋体" w:hAnsi="宋体" w:eastAsia="宋体" w:cs="宋体"/>
                <w:kern w:val="0"/>
                <w:szCs w:val="21"/>
              </w:rPr>
            </w:pPr>
          </w:p>
        </w:tc>
        <w:tc>
          <w:tcPr>
            <w:tcW w:w="1417" w:type="dxa"/>
            <w:vMerge w:val="continue"/>
            <w:tcBorders>
              <w:top w:val="single" w:color="auto" w:sz="4" w:space="0"/>
              <w:left w:val="single" w:color="auto" w:sz="4" w:space="0"/>
              <w:bottom w:val="single" w:color="000000" w:sz="4" w:space="0"/>
              <w:right w:val="single" w:color="auto" w:sz="4" w:space="0"/>
            </w:tcBorders>
            <w:tcMar>
              <w:left w:w="0" w:type="dxa"/>
              <w:right w:w="0" w:type="dxa"/>
            </w:tcMar>
            <w:vAlign w:val="center"/>
          </w:tcPr>
          <w:p w14:paraId="74258546">
            <w:pPr>
              <w:keepLines/>
              <w:widowControl/>
              <w:spacing w:line="230" w:lineRule="exact"/>
              <w:jc w:val="left"/>
              <w:rPr>
                <w:rFonts w:ascii="宋体" w:hAnsi="宋体" w:eastAsia="宋体" w:cs="宋体"/>
                <w:kern w:val="0"/>
                <w:szCs w:val="21"/>
              </w:rPr>
            </w:pPr>
          </w:p>
        </w:tc>
        <w:tc>
          <w:tcPr>
            <w:tcW w:w="2977" w:type="dxa"/>
            <w:tcBorders>
              <w:top w:val="nil"/>
              <w:left w:val="nil"/>
              <w:bottom w:val="single" w:color="auto" w:sz="4" w:space="0"/>
              <w:right w:val="single" w:color="auto" w:sz="4" w:space="0"/>
            </w:tcBorders>
            <w:shd w:val="clear" w:color="auto" w:fill="auto"/>
            <w:tcMar>
              <w:left w:w="0" w:type="dxa"/>
              <w:right w:w="0" w:type="dxa"/>
            </w:tcMar>
            <w:vAlign w:val="center"/>
          </w:tcPr>
          <w:p w14:paraId="40A00C91">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省、市政府绩效办考核个性指标任务完成情况</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406C458C">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192497E1">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2A659857">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100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3971F721">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7BFE7579">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400F59AF">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3C5C2C3D">
            <w:pPr>
              <w:keepLines/>
              <w:widowControl/>
              <w:spacing w:line="230" w:lineRule="exact"/>
              <w:jc w:val="left"/>
              <w:rPr>
                <w:rFonts w:ascii="宋体" w:hAnsi="宋体" w:eastAsia="宋体" w:cs="宋体"/>
                <w:kern w:val="0"/>
                <w:szCs w:val="21"/>
              </w:rPr>
            </w:pPr>
          </w:p>
        </w:tc>
        <w:tc>
          <w:tcPr>
            <w:tcW w:w="709" w:type="dxa"/>
            <w:vMerge w:val="continue"/>
            <w:tcBorders>
              <w:top w:val="single" w:color="auto" w:sz="4" w:space="0"/>
              <w:left w:val="nil"/>
              <w:bottom w:val="single" w:color="000000" w:sz="4" w:space="0"/>
              <w:right w:val="single" w:color="auto" w:sz="4" w:space="0"/>
            </w:tcBorders>
            <w:tcMar>
              <w:left w:w="0" w:type="dxa"/>
              <w:right w:w="0" w:type="dxa"/>
            </w:tcMar>
            <w:vAlign w:val="center"/>
          </w:tcPr>
          <w:p w14:paraId="7DB8C949">
            <w:pPr>
              <w:keepLines/>
              <w:widowControl/>
              <w:spacing w:line="230" w:lineRule="exact"/>
              <w:jc w:val="left"/>
              <w:rPr>
                <w:rFonts w:ascii="宋体" w:hAnsi="宋体" w:eastAsia="宋体" w:cs="宋体"/>
                <w:kern w:val="0"/>
                <w:szCs w:val="21"/>
              </w:rPr>
            </w:pPr>
          </w:p>
        </w:tc>
        <w:tc>
          <w:tcPr>
            <w:tcW w:w="1417" w:type="dxa"/>
            <w:vMerge w:val="restart"/>
            <w:tcBorders>
              <w:top w:val="nil"/>
              <w:left w:val="single" w:color="auto" w:sz="4" w:space="0"/>
              <w:bottom w:val="single" w:color="000000" w:sz="4" w:space="0"/>
              <w:right w:val="single" w:color="auto" w:sz="4" w:space="0"/>
            </w:tcBorders>
            <w:shd w:val="clear" w:color="auto" w:fill="auto"/>
            <w:tcMar>
              <w:left w:w="0" w:type="dxa"/>
              <w:right w:w="0" w:type="dxa"/>
            </w:tcMar>
            <w:vAlign w:val="center"/>
          </w:tcPr>
          <w:p w14:paraId="3938A39F">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整体工作完成情况</w:t>
            </w:r>
          </w:p>
        </w:tc>
        <w:tc>
          <w:tcPr>
            <w:tcW w:w="2977" w:type="dxa"/>
            <w:tcBorders>
              <w:top w:val="nil"/>
              <w:left w:val="nil"/>
              <w:bottom w:val="single" w:color="auto" w:sz="4" w:space="0"/>
              <w:right w:val="single" w:color="auto" w:sz="4" w:space="0"/>
            </w:tcBorders>
            <w:shd w:val="clear" w:color="auto" w:fill="auto"/>
            <w:tcMar>
              <w:left w:w="0" w:type="dxa"/>
              <w:right w:w="0" w:type="dxa"/>
            </w:tcMar>
            <w:vAlign w:val="center"/>
          </w:tcPr>
          <w:p w14:paraId="1191F1CF">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总体工作完成率</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2D972BC2">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45EFA840">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5034C30D">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100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4E5316F3">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697E3117">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1EC293B2">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0504F316">
            <w:pPr>
              <w:keepLines/>
              <w:widowControl/>
              <w:spacing w:line="230" w:lineRule="exact"/>
              <w:jc w:val="left"/>
              <w:rPr>
                <w:rFonts w:ascii="宋体" w:hAnsi="宋体" w:eastAsia="宋体" w:cs="宋体"/>
                <w:kern w:val="0"/>
                <w:szCs w:val="21"/>
              </w:rPr>
            </w:pPr>
          </w:p>
        </w:tc>
        <w:tc>
          <w:tcPr>
            <w:tcW w:w="709" w:type="dxa"/>
            <w:vMerge w:val="continue"/>
            <w:tcBorders>
              <w:top w:val="single" w:color="auto" w:sz="4" w:space="0"/>
              <w:left w:val="nil"/>
              <w:bottom w:val="single" w:color="000000" w:sz="4" w:space="0"/>
              <w:right w:val="single" w:color="auto" w:sz="4" w:space="0"/>
            </w:tcBorders>
            <w:tcMar>
              <w:left w:w="0" w:type="dxa"/>
              <w:right w:w="0" w:type="dxa"/>
            </w:tcMar>
            <w:vAlign w:val="center"/>
          </w:tcPr>
          <w:p w14:paraId="08528E5A">
            <w:pPr>
              <w:keepLines/>
              <w:widowControl/>
              <w:spacing w:line="230" w:lineRule="exact"/>
              <w:jc w:val="left"/>
              <w:rPr>
                <w:rFonts w:ascii="宋体" w:hAnsi="宋体" w:eastAsia="宋体" w:cs="宋体"/>
                <w:kern w:val="0"/>
                <w:szCs w:val="21"/>
              </w:rPr>
            </w:pPr>
          </w:p>
        </w:tc>
        <w:tc>
          <w:tcPr>
            <w:tcW w:w="1417" w:type="dxa"/>
            <w:vMerge w:val="continue"/>
            <w:tcBorders>
              <w:top w:val="nil"/>
              <w:left w:val="single" w:color="auto" w:sz="4" w:space="0"/>
              <w:bottom w:val="single" w:color="000000" w:sz="4" w:space="0"/>
              <w:right w:val="single" w:color="auto" w:sz="4" w:space="0"/>
            </w:tcBorders>
            <w:tcMar>
              <w:left w:w="0" w:type="dxa"/>
              <w:right w:w="0" w:type="dxa"/>
            </w:tcMar>
            <w:vAlign w:val="center"/>
          </w:tcPr>
          <w:p w14:paraId="74DDB436">
            <w:pPr>
              <w:keepLines/>
              <w:widowControl/>
              <w:spacing w:line="230" w:lineRule="exact"/>
              <w:jc w:val="left"/>
              <w:rPr>
                <w:rFonts w:ascii="宋体" w:hAnsi="宋体" w:eastAsia="宋体" w:cs="宋体"/>
                <w:kern w:val="0"/>
                <w:szCs w:val="21"/>
              </w:rPr>
            </w:pP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2CC93867">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工作完成及时率</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281832DA">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1851A2E2">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2715BB7A">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100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24C6FA9B">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1A1A0B0C">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07976655">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7A5BBF7C">
            <w:pPr>
              <w:keepLines/>
              <w:widowControl/>
              <w:spacing w:line="230" w:lineRule="exact"/>
              <w:jc w:val="left"/>
              <w:rPr>
                <w:rFonts w:ascii="宋体" w:hAnsi="宋体" w:eastAsia="宋体" w:cs="宋体"/>
                <w:kern w:val="0"/>
                <w:szCs w:val="21"/>
              </w:rPr>
            </w:pPr>
          </w:p>
        </w:tc>
        <w:tc>
          <w:tcPr>
            <w:tcW w:w="709" w:type="dxa"/>
            <w:vMerge w:val="continue"/>
            <w:tcBorders>
              <w:top w:val="single" w:color="auto" w:sz="4" w:space="0"/>
              <w:left w:val="nil"/>
              <w:bottom w:val="single" w:color="000000" w:sz="4" w:space="0"/>
              <w:right w:val="single" w:color="auto" w:sz="4" w:space="0"/>
            </w:tcBorders>
            <w:tcMar>
              <w:left w:w="0" w:type="dxa"/>
              <w:right w:w="0" w:type="dxa"/>
            </w:tcMar>
            <w:vAlign w:val="center"/>
          </w:tcPr>
          <w:p w14:paraId="72274D12">
            <w:pPr>
              <w:keepLines/>
              <w:widowControl/>
              <w:spacing w:line="230" w:lineRule="exact"/>
              <w:jc w:val="left"/>
              <w:rPr>
                <w:rFonts w:ascii="宋体" w:hAnsi="宋体" w:eastAsia="宋体" w:cs="宋体"/>
                <w:kern w:val="0"/>
                <w:szCs w:val="21"/>
              </w:rPr>
            </w:pPr>
          </w:p>
        </w:tc>
        <w:tc>
          <w:tcPr>
            <w:tcW w:w="1417" w:type="dxa"/>
            <w:vMerge w:val="continue"/>
            <w:tcBorders>
              <w:top w:val="nil"/>
              <w:left w:val="single" w:color="auto" w:sz="4" w:space="0"/>
              <w:bottom w:val="single" w:color="000000" w:sz="4" w:space="0"/>
              <w:right w:val="single" w:color="auto" w:sz="4" w:space="0"/>
            </w:tcBorders>
            <w:tcMar>
              <w:left w:w="0" w:type="dxa"/>
              <w:right w:w="0" w:type="dxa"/>
            </w:tcMar>
            <w:vAlign w:val="center"/>
          </w:tcPr>
          <w:p w14:paraId="0AB664B0">
            <w:pPr>
              <w:keepLines/>
              <w:widowControl/>
              <w:spacing w:line="230" w:lineRule="exact"/>
              <w:jc w:val="left"/>
              <w:rPr>
                <w:rFonts w:ascii="宋体" w:hAnsi="宋体" w:eastAsia="宋体" w:cs="宋体"/>
                <w:kern w:val="0"/>
                <w:szCs w:val="21"/>
              </w:rPr>
            </w:pP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6A0374D0">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工作质量达标率</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3C6A2770">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4BE834CE">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27F2BCD6">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100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2DBDAA32">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6AC92AF8">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56224572">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39CAEB09">
            <w:pPr>
              <w:keepLines/>
              <w:widowControl/>
              <w:spacing w:line="230" w:lineRule="exact"/>
              <w:jc w:val="left"/>
              <w:rPr>
                <w:rFonts w:ascii="宋体" w:hAnsi="宋体" w:eastAsia="宋体" w:cs="宋体"/>
                <w:kern w:val="0"/>
                <w:szCs w:val="21"/>
              </w:rPr>
            </w:pPr>
          </w:p>
        </w:tc>
        <w:tc>
          <w:tcPr>
            <w:tcW w:w="709" w:type="dxa"/>
            <w:vMerge w:val="continue"/>
            <w:tcBorders>
              <w:top w:val="single" w:color="auto" w:sz="4" w:space="0"/>
              <w:left w:val="nil"/>
              <w:bottom w:val="single" w:color="000000" w:sz="4" w:space="0"/>
              <w:right w:val="single" w:color="auto" w:sz="4" w:space="0"/>
            </w:tcBorders>
            <w:tcMar>
              <w:left w:w="0" w:type="dxa"/>
              <w:right w:w="0" w:type="dxa"/>
            </w:tcMar>
            <w:vAlign w:val="center"/>
          </w:tcPr>
          <w:p w14:paraId="6DC2B153">
            <w:pPr>
              <w:keepLines/>
              <w:widowControl/>
              <w:spacing w:line="230" w:lineRule="exact"/>
              <w:jc w:val="left"/>
              <w:rPr>
                <w:rFonts w:ascii="宋体" w:hAnsi="宋体" w:eastAsia="宋体" w:cs="宋体"/>
                <w:kern w:val="0"/>
                <w:szCs w:val="21"/>
              </w:rPr>
            </w:pPr>
          </w:p>
        </w:tc>
        <w:tc>
          <w:tcPr>
            <w:tcW w:w="1417" w:type="dxa"/>
            <w:vMerge w:val="restart"/>
            <w:tcBorders>
              <w:top w:val="nil"/>
              <w:left w:val="single" w:color="auto" w:sz="4" w:space="0"/>
              <w:bottom w:val="single" w:color="000000" w:sz="4" w:space="0"/>
              <w:right w:val="single" w:color="auto" w:sz="4" w:space="0"/>
            </w:tcBorders>
            <w:shd w:val="clear" w:color="auto" w:fill="auto"/>
            <w:noWrap/>
            <w:tcMar>
              <w:left w:w="0" w:type="dxa"/>
              <w:right w:w="0" w:type="dxa"/>
            </w:tcMar>
            <w:vAlign w:val="center"/>
          </w:tcPr>
          <w:p w14:paraId="16D8EE83">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基础管理</w:t>
            </w: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540290AD">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依法行政能力</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3381BCCA">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定性</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2FDC4CB3">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19C73BAB">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大幅提升</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62E7E012">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3958F00B">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6F052975">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7B9384E1">
            <w:pPr>
              <w:keepLines/>
              <w:widowControl/>
              <w:spacing w:line="230" w:lineRule="exact"/>
              <w:jc w:val="left"/>
              <w:rPr>
                <w:rFonts w:ascii="宋体" w:hAnsi="宋体" w:eastAsia="宋体" w:cs="宋体"/>
                <w:kern w:val="0"/>
                <w:szCs w:val="21"/>
              </w:rPr>
            </w:pPr>
          </w:p>
        </w:tc>
        <w:tc>
          <w:tcPr>
            <w:tcW w:w="709" w:type="dxa"/>
            <w:vMerge w:val="continue"/>
            <w:tcBorders>
              <w:top w:val="single" w:color="auto" w:sz="4" w:space="0"/>
              <w:left w:val="nil"/>
              <w:bottom w:val="single" w:color="000000" w:sz="4" w:space="0"/>
              <w:right w:val="single" w:color="auto" w:sz="4" w:space="0"/>
            </w:tcBorders>
            <w:tcMar>
              <w:left w:w="0" w:type="dxa"/>
              <w:right w:w="0" w:type="dxa"/>
            </w:tcMar>
            <w:vAlign w:val="center"/>
          </w:tcPr>
          <w:p w14:paraId="2AB2EE88">
            <w:pPr>
              <w:keepLines/>
              <w:widowControl/>
              <w:spacing w:line="230" w:lineRule="exact"/>
              <w:jc w:val="left"/>
              <w:rPr>
                <w:rFonts w:ascii="宋体" w:hAnsi="宋体" w:eastAsia="宋体" w:cs="宋体"/>
                <w:kern w:val="0"/>
                <w:szCs w:val="21"/>
              </w:rPr>
            </w:pPr>
          </w:p>
        </w:tc>
        <w:tc>
          <w:tcPr>
            <w:tcW w:w="1417" w:type="dxa"/>
            <w:vMerge w:val="continue"/>
            <w:tcBorders>
              <w:top w:val="nil"/>
              <w:left w:val="single" w:color="auto" w:sz="4" w:space="0"/>
              <w:bottom w:val="single" w:color="000000" w:sz="4" w:space="0"/>
              <w:right w:val="single" w:color="auto" w:sz="4" w:space="0"/>
            </w:tcBorders>
            <w:tcMar>
              <w:left w:w="0" w:type="dxa"/>
              <w:right w:w="0" w:type="dxa"/>
            </w:tcMar>
            <w:vAlign w:val="center"/>
          </w:tcPr>
          <w:p w14:paraId="1C809846">
            <w:pPr>
              <w:keepLines/>
              <w:widowControl/>
              <w:spacing w:line="230" w:lineRule="exact"/>
              <w:jc w:val="left"/>
              <w:rPr>
                <w:rFonts w:ascii="宋体" w:hAnsi="宋体" w:eastAsia="宋体" w:cs="宋体"/>
                <w:kern w:val="0"/>
                <w:szCs w:val="21"/>
              </w:rPr>
            </w:pP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0AD5BF2E">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综合管理水平</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57FB3488">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定性</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734FF9DA">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76BA8FA6">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大幅提高</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3AAA6930">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12838C36">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30382B51">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10FF3EA2">
            <w:pPr>
              <w:keepLines/>
              <w:widowControl/>
              <w:spacing w:line="230" w:lineRule="exact"/>
              <w:jc w:val="left"/>
              <w:rPr>
                <w:rFonts w:ascii="宋体" w:hAnsi="宋体" w:eastAsia="宋体" w:cs="宋体"/>
                <w:kern w:val="0"/>
                <w:szCs w:val="21"/>
              </w:rPr>
            </w:pPr>
          </w:p>
        </w:tc>
        <w:tc>
          <w:tcPr>
            <w:tcW w:w="709" w:type="dxa"/>
            <w:vMerge w:val="restart"/>
            <w:tcBorders>
              <w:top w:val="nil"/>
              <w:left w:val="nil"/>
              <w:bottom w:val="single" w:color="000000" w:sz="4" w:space="0"/>
              <w:right w:val="single" w:color="auto" w:sz="4" w:space="0"/>
            </w:tcBorders>
            <w:shd w:val="clear" w:color="auto" w:fill="auto"/>
            <w:noWrap/>
            <w:tcMar>
              <w:left w:w="0" w:type="dxa"/>
              <w:right w:w="0" w:type="dxa"/>
            </w:tcMar>
            <w:vAlign w:val="center"/>
          </w:tcPr>
          <w:p w14:paraId="7F194E6C">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预算执行</w:t>
            </w:r>
          </w:p>
        </w:tc>
        <w:tc>
          <w:tcPr>
            <w:tcW w:w="1417" w:type="dxa"/>
            <w:vMerge w:val="restart"/>
            <w:tcBorders>
              <w:top w:val="nil"/>
              <w:left w:val="single" w:color="auto" w:sz="4" w:space="0"/>
              <w:bottom w:val="single" w:color="000000" w:sz="4" w:space="0"/>
              <w:right w:val="single" w:color="auto" w:sz="4" w:space="0"/>
            </w:tcBorders>
            <w:shd w:val="clear" w:color="auto" w:fill="auto"/>
            <w:noWrap/>
            <w:tcMar>
              <w:left w:w="0" w:type="dxa"/>
              <w:right w:w="0" w:type="dxa"/>
            </w:tcMar>
            <w:vAlign w:val="center"/>
          </w:tcPr>
          <w:p w14:paraId="2E1AAA50">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预算执行效率</w:t>
            </w: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76625166">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预算执行率</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77291F7D">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097E2D09">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724364C4">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100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4A135AEB">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60FF1EFB">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1801BEFE">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54F28D1C">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14:paraId="40489F6F">
            <w:pPr>
              <w:keepLines/>
              <w:widowControl/>
              <w:spacing w:line="230" w:lineRule="exact"/>
              <w:jc w:val="left"/>
              <w:rPr>
                <w:rFonts w:ascii="宋体" w:hAnsi="宋体" w:eastAsia="宋体" w:cs="宋体"/>
                <w:kern w:val="0"/>
                <w:szCs w:val="21"/>
              </w:rPr>
            </w:pPr>
          </w:p>
        </w:tc>
        <w:tc>
          <w:tcPr>
            <w:tcW w:w="1417" w:type="dxa"/>
            <w:vMerge w:val="continue"/>
            <w:tcBorders>
              <w:top w:val="nil"/>
              <w:left w:val="single" w:color="auto" w:sz="4" w:space="0"/>
              <w:bottom w:val="single" w:color="000000" w:sz="4" w:space="0"/>
              <w:right w:val="single" w:color="auto" w:sz="4" w:space="0"/>
            </w:tcBorders>
            <w:tcMar>
              <w:left w:w="0" w:type="dxa"/>
              <w:right w:w="0" w:type="dxa"/>
            </w:tcMar>
            <w:vAlign w:val="center"/>
          </w:tcPr>
          <w:p w14:paraId="6EE60D07">
            <w:pPr>
              <w:keepLines/>
              <w:widowControl/>
              <w:spacing w:line="230" w:lineRule="exact"/>
              <w:jc w:val="left"/>
              <w:rPr>
                <w:rFonts w:ascii="宋体" w:hAnsi="宋体" w:eastAsia="宋体" w:cs="宋体"/>
                <w:kern w:val="0"/>
                <w:szCs w:val="21"/>
              </w:rPr>
            </w:pP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74D95EE6">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预算调整率</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6542B4F4">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29D0BEC8">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03D11974">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5</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19BBCA20">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43C6C188">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38519EE2">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7B63A4EE">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14:paraId="3EF53336">
            <w:pPr>
              <w:keepLines/>
              <w:widowControl/>
              <w:spacing w:line="230" w:lineRule="exact"/>
              <w:jc w:val="left"/>
              <w:rPr>
                <w:rFonts w:ascii="宋体" w:hAnsi="宋体" w:eastAsia="宋体" w:cs="宋体"/>
                <w:kern w:val="0"/>
                <w:szCs w:val="21"/>
              </w:rPr>
            </w:pPr>
          </w:p>
        </w:tc>
        <w:tc>
          <w:tcPr>
            <w:tcW w:w="1417" w:type="dxa"/>
            <w:vMerge w:val="continue"/>
            <w:tcBorders>
              <w:top w:val="nil"/>
              <w:left w:val="single" w:color="auto" w:sz="4" w:space="0"/>
              <w:bottom w:val="single" w:color="000000" w:sz="4" w:space="0"/>
              <w:right w:val="single" w:color="auto" w:sz="4" w:space="0"/>
            </w:tcBorders>
            <w:tcMar>
              <w:left w:w="0" w:type="dxa"/>
              <w:right w:w="0" w:type="dxa"/>
            </w:tcMar>
            <w:vAlign w:val="center"/>
          </w:tcPr>
          <w:p w14:paraId="0BB00CDE">
            <w:pPr>
              <w:keepLines/>
              <w:widowControl/>
              <w:spacing w:line="230" w:lineRule="exact"/>
              <w:jc w:val="left"/>
              <w:rPr>
                <w:rFonts w:ascii="宋体" w:hAnsi="宋体" w:eastAsia="宋体" w:cs="宋体"/>
                <w:kern w:val="0"/>
                <w:szCs w:val="21"/>
              </w:rPr>
            </w:pP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065076CD">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结余结转变动率</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5A56AA54">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1D9A8187">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48F5F3DE">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10261CD8">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031E0019">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543ECD2E">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4789280D">
            <w:pPr>
              <w:keepLines/>
              <w:widowControl/>
              <w:spacing w:line="230" w:lineRule="exact"/>
              <w:jc w:val="left"/>
              <w:rPr>
                <w:rFonts w:ascii="宋体" w:hAnsi="宋体" w:eastAsia="宋体" w:cs="宋体"/>
                <w:kern w:val="0"/>
                <w:szCs w:val="21"/>
              </w:rPr>
            </w:pPr>
          </w:p>
        </w:tc>
        <w:tc>
          <w:tcPr>
            <w:tcW w:w="709" w:type="dxa"/>
            <w:vMerge w:val="restart"/>
            <w:tcBorders>
              <w:top w:val="nil"/>
              <w:left w:val="nil"/>
              <w:bottom w:val="single" w:color="000000" w:sz="4" w:space="0"/>
              <w:right w:val="single" w:color="auto" w:sz="4" w:space="0"/>
            </w:tcBorders>
            <w:shd w:val="clear" w:color="auto" w:fill="auto"/>
            <w:noWrap/>
            <w:tcMar>
              <w:left w:w="0" w:type="dxa"/>
              <w:right w:w="0" w:type="dxa"/>
            </w:tcMar>
            <w:vAlign w:val="center"/>
          </w:tcPr>
          <w:p w14:paraId="2BB37699">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管理效率</w:t>
            </w:r>
          </w:p>
        </w:tc>
        <w:tc>
          <w:tcPr>
            <w:tcW w:w="1417" w:type="dxa"/>
            <w:tcBorders>
              <w:top w:val="nil"/>
              <w:left w:val="nil"/>
              <w:bottom w:val="single" w:color="auto" w:sz="4" w:space="0"/>
              <w:right w:val="single" w:color="auto" w:sz="4" w:space="0"/>
            </w:tcBorders>
            <w:shd w:val="clear" w:color="auto" w:fill="auto"/>
            <w:noWrap/>
            <w:tcMar>
              <w:left w:w="0" w:type="dxa"/>
              <w:right w:w="0" w:type="dxa"/>
            </w:tcMar>
            <w:vAlign w:val="center"/>
          </w:tcPr>
          <w:p w14:paraId="0AABB5A4">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预算编制管理</w:t>
            </w: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75A50BE4">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预算绩效目标覆盖率</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3A93AA8A">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5B04E72B">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48FAA16A">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100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5EEDA4CF">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07047CB0">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0BEA0248">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63E4500B">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14:paraId="1B049A61">
            <w:pPr>
              <w:keepLines/>
              <w:widowControl/>
              <w:spacing w:line="230" w:lineRule="exact"/>
              <w:jc w:val="left"/>
              <w:rPr>
                <w:rFonts w:ascii="宋体" w:hAnsi="宋体" w:eastAsia="宋体" w:cs="宋体"/>
                <w:kern w:val="0"/>
                <w:szCs w:val="21"/>
              </w:rPr>
            </w:pPr>
          </w:p>
        </w:tc>
        <w:tc>
          <w:tcPr>
            <w:tcW w:w="1417" w:type="dxa"/>
            <w:tcBorders>
              <w:top w:val="nil"/>
              <w:left w:val="nil"/>
              <w:bottom w:val="single" w:color="auto" w:sz="4" w:space="0"/>
              <w:right w:val="single" w:color="auto" w:sz="4" w:space="0"/>
            </w:tcBorders>
            <w:shd w:val="clear" w:color="auto" w:fill="auto"/>
            <w:noWrap/>
            <w:tcMar>
              <w:left w:w="0" w:type="dxa"/>
              <w:right w:w="0" w:type="dxa"/>
            </w:tcMar>
            <w:vAlign w:val="center"/>
          </w:tcPr>
          <w:p w14:paraId="607B86B5">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预算监督管理</w:t>
            </w: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5EC753F4">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预决算公开情况</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11C64DF9">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定性</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1B88934E">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0FF7BA82">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及时公开</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3DA936ED">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33EAD9AA">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023745F5">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57722BCD">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14:paraId="6DC12726">
            <w:pPr>
              <w:keepLines/>
              <w:widowControl/>
              <w:spacing w:line="230" w:lineRule="exact"/>
              <w:jc w:val="left"/>
              <w:rPr>
                <w:rFonts w:ascii="宋体" w:hAnsi="宋体" w:eastAsia="宋体" w:cs="宋体"/>
                <w:kern w:val="0"/>
                <w:szCs w:val="21"/>
              </w:rPr>
            </w:pPr>
          </w:p>
        </w:tc>
        <w:tc>
          <w:tcPr>
            <w:tcW w:w="1417" w:type="dxa"/>
            <w:vMerge w:val="restart"/>
            <w:tcBorders>
              <w:top w:val="nil"/>
              <w:left w:val="single" w:color="auto" w:sz="4" w:space="0"/>
              <w:bottom w:val="single" w:color="000000" w:sz="4" w:space="0"/>
              <w:right w:val="single" w:color="auto" w:sz="4" w:space="0"/>
            </w:tcBorders>
            <w:shd w:val="clear" w:color="auto" w:fill="auto"/>
            <w:noWrap/>
            <w:tcMar>
              <w:left w:w="0" w:type="dxa"/>
              <w:right w:w="0" w:type="dxa"/>
            </w:tcMar>
            <w:vAlign w:val="center"/>
          </w:tcPr>
          <w:p w14:paraId="3BDC1C94">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预算收支管理</w:t>
            </w: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1D439D5D">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预算收入管理规范性</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4B14AEFF">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定性</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4090BD2D">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52509FC6">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严格执行</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07C2E61E">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78E0FD80">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43EA4ABF">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39F3755E">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14:paraId="0F6E8331">
            <w:pPr>
              <w:keepLines/>
              <w:widowControl/>
              <w:spacing w:line="230" w:lineRule="exact"/>
              <w:jc w:val="left"/>
              <w:rPr>
                <w:rFonts w:ascii="宋体" w:hAnsi="宋体" w:eastAsia="宋体" w:cs="宋体"/>
                <w:kern w:val="0"/>
                <w:szCs w:val="21"/>
              </w:rPr>
            </w:pPr>
          </w:p>
        </w:tc>
        <w:tc>
          <w:tcPr>
            <w:tcW w:w="1417" w:type="dxa"/>
            <w:vMerge w:val="continue"/>
            <w:tcBorders>
              <w:top w:val="nil"/>
              <w:left w:val="single" w:color="auto" w:sz="4" w:space="0"/>
              <w:bottom w:val="single" w:color="000000" w:sz="4" w:space="0"/>
              <w:right w:val="single" w:color="auto" w:sz="4" w:space="0"/>
            </w:tcBorders>
            <w:tcMar>
              <w:left w:w="0" w:type="dxa"/>
              <w:right w:w="0" w:type="dxa"/>
            </w:tcMar>
            <w:vAlign w:val="center"/>
          </w:tcPr>
          <w:p w14:paraId="5CD8D972">
            <w:pPr>
              <w:keepLines/>
              <w:widowControl/>
              <w:spacing w:line="230" w:lineRule="exact"/>
              <w:jc w:val="left"/>
              <w:rPr>
                <w:rFonts w:ascii="宋体" w:hAnsi="宋体" w:eastAsia="宋体" w:cs="宋体"/>
                <w:kern w:val="0"/>
                <w:szCs w:val="21"/>
              </w:rPr>
            </w:pP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2419C3AE">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预算支出管理规范性</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000BE4C2">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定性</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764D32EF">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1EDB8BA9">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管理规范</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36D877CF">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3EF4EF34">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5FDBEA23">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6AE76BE3">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14:paraId="385668A1">
            <w:pPr>
              <w:keepLines/>
              <w:widowControl/>
              <w:spacing w:line="230" w:lineRule="exact"/>
              <w:jc w:val="left"/>
              <w:rPr>
                <w:rFonts w:ascii="宋体" w:hAnsi="宋体" w:eastAsia="宋体" w:cs="宋体"/>
                <w:kern w:val="0"/>
                <w:szCs w:val="21"/>
              </w:rPr>
            </w:pPr>
          </w:p>
        </w:tc>
        <w:tc>
          <w:tcPr>
            <w:tcW w:w="1417" w:type="dxa"/>
            <w:tcBorders>
              <w:top w:val="nil"/>
              <w:left w:val="nil"/>
              <w:bottom w:val="single" w:color="auto" w:sz="4" w:space="0"/>
              <w:right w:val="single" w:color="auto" w:sz="4" w:space="0"/>
            </w:tcBorders>
            <w:shd w:val="clear" w:color="auto" w:fill="auto"/>
            <w:noWrap/>
            <w:tcMar>
              <w:left w:w="0" w:type="dxa"/>
              <w:right w:w="0" w:type="dxa"/>
            </w:tcMar>
            <w:vAlign w:val="center"/>
          </w:tcPr>
          <w:p w14:paraId="2896DA89">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财务管理</w:t>
            </w: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3BEA06FB">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内控制度有效性</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781976C6">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定性</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37A82B0D">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4F08876D">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制度有效</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2E10F692">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60D64B84">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641A766D">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78D21E48">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14:paraId="2D1E9479">
            <w:pPr>
              <w:keepLines/>
              <w:widowControl/>
              <w:spacing w:line="230" w:lineRule="exact"/>
              <w:jc w:val="left"/>
              <w:rPr>
                <w:rFonts w:ascii="宋体" w:hAnsi="宋体" w:eastAsia="宋体" w:cs="宋体"/>
                <w:kern w:val="0"/>
                <w:szCs w:val="21"/>
              </w:rPr>
            </w:pPr>
          </w:p>
        </w:tc>
        <w:tc>
          <w:tcPr>
            <w:tcW w:w="1417" w:type="dxa"/>
            <w:tcBorders>
              <w:top w:val="nil"/>
              <w:left w:val="nil"/>
              <w:bottom w:val="single" w:color="auto" w:sz="4" w:space="0"/>
              <w:right w:val="single" w:color="auto" w:sz="4" w:space="0"/>
            </w:tcBorders>
            <w:shd w:val="clear" w:color="auto" w:fill="auto"/>
            <w:noWrap/>
            <w:tcMar>
              <w:left w:w="0" w:type="dxa"/>
              <w:right w:w="0" w:type="dxa"/>
            </w:tcMar>
            <w:vAlign w:val="center"/>
          </w:tcPr>
          <w:p w14:paraId="05632944">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资产管理</w:t>
            </w: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3944C408">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固定资产利用率</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03A01131">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091F562F">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2BF731ED">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100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2B324E7C">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4787AFEF">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43804E15">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11165FFA">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14:paraId="2535FA4D">
            <w:pPr>
              <w:keepLines/>
              <w:widowControl/>
              <w:spacing w:line="230" w:lineRule="exact"/>
              <w:jc w:val="left"/>
              <w:rPr>
                <w:rFonts w:ascii="宋体" w:hAnsi="宋体" w:eastAsia="宋体" w:cs="宋体"/>
                <w:kern w:val="0"/>
                <w:szCs w:val="21"/>
              </w:rPr>
            </w:pPr>
          </w:p>
        </w:tc>
        <w:tc>
          <w:tcPr>
            <w:tcW w:w="1417" w:type="dxa"/>
            <w:tcBorders>
              <w:top w:val="nil"/>
              <w:left w:val="nil"/>
              <w:bottom w:val="single" w:color="auto" w:sz="4" w:space="0"/>
              <w:right w:val="single" w:color="auto" w:sz="4" w:space="0"/>
            </w:tcBorders>
            <w:shd w:val="clear" w:color="auto" w:fill="auto"/>
            <w:noWrap/>
            <w:tcMar>
              <w:left w:w="0" w:type="dxa"/>
              <w:right w:w="0" w:type="dxa"/>
            </w:tcMar>
            <w:vAlign w:val="center"/>
          </w:tcPr>
          <w:p w14:paraId="52C6AFB2">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业务管理</w:t>
            </w: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6C4D128A">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政府采购管理违法违规行为发生次数</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61B8A984">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7F0B3E63">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263AEB57">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0</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59DC3E64">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次</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2E81F56B">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53A6F664">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4A5389F4">
            <w:pPr>
              <w:keepLines/>
              <w:widowControl/>
              <w:spacing w:line="230" w:lineRule="exact"/>
              <w:jc w:val="left"/>
              <w:rPr>
                <w:rFonts w:ascii="宋体" w:hAnsi="宋体" w:eastAsia="宋体" w:cs="宋体"/>
                <w:kern w:val="0"/>
                <w:szCs w:val="21"/>
              </w:rPr>
            </w:pPr>
          </w:p>
        </w:tc>
        <w:tc>
          <w:tcPr>
            <w:tcW w:w="709" w:type="dxa"/>
            <w:vMerge w:val="restart"/>
            <w:tcBorders>
              <w:top w:val="nil"/>
              <w:left w:val="nil"/>
              <w:bottom w:val="single" w:color="000000" w:sz="4" w:space="0"/>
              <w:right w:val="single" w:color="auto" w:sz="4" w:space="0"/>
            </w:tcBorders>
            <w:shd w:val="clear" w:color="auto" w:fill="auto"/>
            <w:noWrap/>
            <w:tcMar>
              <w:left w:w="0" w:type="dxa"/>
              <w:right w:w="0" w:type="dxa"/>
            </w:tcMar>
            <w:vAlign w:val="center"/>
          </w:tcPr>
          <w:p w14:paraId="56931AFB">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运行成本</w:t>
            </w:r>
          </w:p>
        </w:tc>
        <w:tc>
          <w:tcPr>
            <w:tcW w:w="1417" w:type="dxa"/>
            <w:vMerge w:val="restart"/>
            <w:tcBorders>
              <w:top w:val="nil"/>
              <w:left w:val="single" w:color="auto" w:sz="4" w:space="0"/>
              <w:bottom w:val="single" w:color="000000" w:sz="4" w:space="0"/>
              <w:right w:val="single" w:color="auto" w:sz="4" w:space="0"/>
            </w:tcBorders>
            <w:shd w:val="clear" w:color="auto" w:fill="auto"/>
            <w:noWrap/>
            <w:tcMar>
              <w:left w:w="0" w:type="dxa"/>
              <w:right w:w="0" w:type="dxa"/>
            </w:tcMar>
            <w:vAlign w:val="center"/>
          </w:tcPr>
          <w:p w14:paraId="74494697">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成本控制成效</w:t>
            </w: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11C0C949">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“三公”经费变动率</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7646C5A4">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09CB8B1C">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4331F48B">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32A44986">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4399CD3D">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0101F97B">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2D0DD5ED">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14:paraId="142B0508">
            <w:pPr>
              <w:keepLines/>
              <w:widowControl/>
              <w:spacing w:line="230" w:lineRule="exact"/>
              <w:jc w:val="left"/>
              <w:rPr>
                <w:rFonts w:ascii="宋体" w:hAnsi="宋体" w:eastAsia="宋体" w:cs="宋体"/>
                <w:kern w:val="0"/>
                <w:szCs w:val="21"/>
              </w:rPr>
            </w:pPr>
          </w:p>
        </w:tc>
        <w:tc>
          <w:tcPr>
            <w:tcW w:w="1417" w:type="dxa"/>
            <w:vMerge w:val="continue"/>
            <w:tcBorders>
              <w:top w:val="nil"/>
              <w:left w:val="single" w:color="auto" w:sz="4" w:space="0"/>
              <w:bottom w:val="single" w:color="000000" w:sz="4" w:space="0"/>
              <w:right w:val="single" w:color="auto" w:sz="4" w:space="0"/>
            </w:tcBorders>
            <w:tcMar>
              <w:left w:w="0" w:type="dxa"/>
              <w:right w:w="0" w:type="dxa"/>
            </w:tcMar>
            <w:vAlign w:val="center"/>
          </w:tcPr>
          <w:p w14:paraId="150D0F8F">
            <w:pPr>
              <w:keepLines/>
              <w:widowControl/>
              <w:spacing w:line="230" w:lineRule="exact"/>
              <w:jc w:val="left"/>
              <w:rPr>
                <w:rFonts w:ascii="宋体" w:hAnsi="宋体" w:eastAsia="宋体" w:cs="宋体"/>
                <w:kern w:val="0"/>
                <w:szCs w:val="21"/>
              </w:rPr>
            </w:pP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386C58E5">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在职人员控制率</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0ECE0E6D">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77AAAD4B">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3C8F72A6">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100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3C4AEA01">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04C4A58C">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3040F71A">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142CBF63">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14:paraId="2F9E5368">
            <w:pPr>
              <w:keepLines/>
              <w:widowControl/>
              <w:spacing w:line="230" w:lineRule="exact"/>
              <w:jc w:val="left"/>
              <w:rPr>
                <w:rFonts w:ascii="宋体" w:hAnsi="宋体" w:eastAsia="宋体" w:cs="宋体"/>
                <w:kern w:val="0"/>
                <w:szCs w:val="21"/>
              </w:rPr>
            </w:pPr>
          </w:p>
        </w:tc>
        <w:tc>
          <w:tcPr>
            <w:tcW w:w="1417" w:type="dxa"/>
            <w:vMerge w:val="continue"/>
            <w:tcBorders>
              <w:top w:val="nil"/>
              <w:left w:val="single" w:color="auto" w:sz="4" w:space="0"/>
              <w:bottom w:val="single" w:color="000000" w:sz="4" w:space="0"/>
              <w:right w:val="single" w:color="auto" w:sz="4" w:space="0"/>
            </w:tcBorders>
            <w:tcMar>
              <w:left w:w="0" w:type="dxa"/>
              <w:right w:w="0" w:type="dxa"/>
            </w:tcMar>
            <w:vAlign w:val="center"/>
          </w:tcPr>
          <w:p w14:paraId="555CF2B3">
            <w:pPr>
              <w:keepLines/>
              <w:widowControl/>
              <w:spacing w:line="230" w:lineRule="exact"/>
              <w:jc w:val="left"/>
              <w:rPr>
                <w:rFonts w:ascii="宋体" w:hAnsi="宋体" w:eastAsia="宋体" w:cs="宋体"/>
                <w:kern w:val="0"/>
                <w:szCs w:val="21"/>
              </w:rPr>
            </w:pP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4478FFE7">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人均公用经费变动率</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384B1669">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001240D8">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2472206D">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431D3B56">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0BA81600">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2CAC9BD7">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54899DBC">
            <w:pPr>
              <w:keepLines/>
              <w:widowControl/>
              <w:spacing w:line="230" w:lineRule="exact"/>
              <w:jc w:val="left"/>
              <w:rPr>
                <w:rFonts w:ascii="宋体" w:hAnsi="宋体" w:eastAsia="宋体" w:cs="宋体"/>
                <w:kern w:val="0"/>
                <w:szCs w:val="21"/>
              </w:rPr>
            </w:pPr>
          </w:p>
        </w:tc>
        <w:tc>
          <w:tcPr>
            <w:tcW w:w="709" w:type="dxa"/>
            <w:vMerge w:val="restart"/>
            <w:tcBorders>
              <w:top w:val="nil"/>
              <w:left w:val="nil"/>
              <w:bottom w:val="single" w:color="000000" w:sz="4" w:space="0"/>
              <w:right w:val="single" w:color="auto" w:sz="4" w:space="0"/>
            </w:tcBorders>
            <w:shd w:val="clear" w:color="auto" w:fill="auto"/>
            <w:noWrap/>
            <w:tcMar>
              <w:left w:w="0" w:type="dxa"/>
              <w:right w:w="0" w:type="dxa"/>
            </w:tcMar>
            <w:vAlign w:val="center"/>
          </w:tcPr>
          <w:p w14:paraId="6EA651BD">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社会效应</w:t>
            </w:r>
          </w:p>
        </w:tc>
        <w:tc>
          <w:tcPr>
            <w:tcW w:w="1417" w:type="dxa"/>
            <w:tcBorders>
              <w:top w:val="nil"/>
              <w:left w:val="nil"/>
              <w:bottom w:val="single" w:color="auto" w:sz="4" w:space="0"/>
              <w:right w:val="single" w:color="auto" w:sz="4" w:space="0"/>
            </w:tcBorders>
            <w:shd w:val="clear" w:color="auto" w:fill="auto"/>
            <w:noWrap/>
            <w:tcMar>
              <w:left w:w="0" w:type="dxa"/>
              <w:right w:w="0" w:type="dxa"/>
            </w:tcMar>
            <w:vAlign w:val="center"/>
          </w:tcPr>
          <w:p w14:paraId="30A0FFCF">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政治效益</w:t>
            </w: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379E6E4D">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714B4AF8">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121B9255">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02D74E65">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64497589">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1FD8F0E9">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r>
      <w:tr w14:paraId="079B3F8E">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25081EDA">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14:paraId="397C987B">
            <w:pPr>
              <w:keepLines/>
              <w:widowControl/>
              <w:spacing w:line="230" w:lineRule="exact"/>
              <w:jc w:val="left"/>
              <w:rPr>
                <w:rFonts w:ascii="宋体" w:hAnsi="宋体" w:eastAsia="宋体" w:cs="宋体"/>
                <w:kern w:val="0"/>
                <w:szCs w:val="21"/>
              </w:rPr>
            </w:pPr>
          </w:p>
        </w:tc>
        <w:tc>
          <w:tcPr>
            <w:tcW w:w="1417" w:type="dxa"/>
            <w:tcBorders>
              <w:top w:val="nil"/>
              <w:left w:val="nil"/>
              <w:bottom w:val="single" w:color="auto" w:sz="4" w:space="0"/>
              <w:right w:val="single" w:color="auto" w:sz="4" w:space="0"/>
            </w:tcBorders>
            <w:shd w:val="clear" w:color="auto" w:fill="auto"/>
            <w:noWrap/>
            <w:tcMar>
              <w:left w:w="0" w:type="dxa"/>
              <w:right w:w="0" w:type="dxa"/>
            </w:tcMar>
            <w:vAlign w:val="center"/>
          </w:tcPr>
          <w:p w14:paraId="4FBA691F">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社会效益</w:t>
            </w: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31E7AC1B">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会计从业人员资格覆盖率</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59115E23">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48CB011F">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60B396B2">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90</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53F07271">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50647F6B">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781A21E1">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6E354559">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14:paraId="17037871">
            <w:pPr>
              <w:keepLines/>
              <w:widowControl/>
              <w:spacing w:line="230" w:lineRule="exact"/>
              <w:jc w:val="left"/>
              <w:rPr>
                <w:rFonts w:ascii="宋体" w:hAnsi="宋体" w:eastAsia="宋体" w:cs="宋体"/>
                <w:kern w:val="0"/>
                <w:szCs w:val="21"/>
              </w:rPr>
            </w:pPr>
          </w:p>
        </w:tc>
        <w:tc>
          <w:tcPr>
            <w:tcW w:w="1417" w:type="dxa"/>
            <w:tcBorders>
              <w:top w:val="nil"/>
              <w:left w:val="nil"/>
              <w:bottom w:val="single" w:color="auto" w:sz="4" w:space="0"/>
              <w:right w:val="single" w:color="auto" w:sz="4" w:space="0"/>
            </w:tcBorders>
            <w:shd w:val="clear" w:color="auto" w:fill="auto"/>
            <w:noWrap/>
            <w:tcMar>
              <w:left w:w="0" w:type="dxa"/>
              <w:right w:w="0" w:type="dxa"/>
            </w:tcMar>
            <w:vAlign w:val="center"/>
          </w:tcPr>
          <w:p w14:paraId="7EA8AA14">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经济效益</w:t>
            </w: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45DA329C">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3645E185">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68C1A11F">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2C458D59">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1D196D3D">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6" w:type="dxa"/>
            <w:tcBorders>
              <w:top w:val="nil"/>
              <w:left w:val="nil"/>
              <w:bottom w:val="single" w:color="auto" w:sz="4" w:space="0"/>
              <w:right w:val="single" w:color="auto" w:sz="4" w:space="0"/>
            </w:tcBorders>
            <w:shd w:val="clear" w:color="auto" w:fill="auto"/>
            <w:noWrap/>
            <w:tcMar>
              <w:left w:w="0" w:type="dxa"/>
              <w:right w:w="0" w:type="dxa"/>
            </w:tcMar>
            <w:vAlign w:val="center"/>
          </w:tcPr>
          <w:p w14:paraId="2F4500D6">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r>
      <w:tr w14:paraId="0EEA8C12">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70859E84">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14:paraId="264EAFF6">
            <w:pPr>
              <w:keepLines/>
              <w:widowControl/>
              <w:spacing w:line="230" w:lineRule="exact"/>
              <w:jc w:val="left"/>
              <w:rPr>
                <w:rFonts w:ascii="宋体" w:hAnsi="宋体" w:eastAsia="宋体" w:cs="宋体"/>
                <w:kern w:val="0"/>
                <w:szCs w:val="21"/>
              </w:rPr>
            </w:pPr>
          </w:p>
        </w:tc>
        <w:tc>
          <w:tcPr>
            <w:tcW w:w="1417" w:type="dxa"/>
            <w:tcBorders>
              <w:top w:val="nil"/>
              <w:left w:val="nil"/>
              <w:bottom w:val="single" w:color="auto" w:sz="4" w:space="0"/>
              <w:right w:val="single" w:color="auto" w:sz="4" w:space="0"/>
            </w:tcBorders>
            <w:shd w:val="clear" w:color="auto" w:fill="auto"/>
            <w:noWrap/>
            <w:tcMar>
              <w:left w:w="0" w:type="dxa"/>
              <w:right w:w="0" w:type="dxa"/>
            </w:tcMar>
            <w:vAlign w:val="center"/>
          </w:tcPr>
          <w:p w14:paraId="6B549DCE">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生态效益</w:t>
            </w: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7B9C47EF">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34F45B4E">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111C78F3">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4C6FE960">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1C42D60B">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6" w:type="dxa"/>
            <w:tcBorders>
              <w:top w:val="nil"/>
              <w:left w:val="nil"/>
              <w:bottom w:val="single" w:color="auto" w:sz="4" w:space="0"/>
              <w:right w:val="single" w:color="auto" w:sz="4" w:space="0"/>
            </w:tcBorders>
            <w:shd w:val="clear" w:color="auto" w:fill="auto"/>
            <w:noWrap/>
            <w:tcMar>
              <w:left w:w="0" w:type="dxa"/>
              <w:right w:w="0" w:type="dxa"/>
            </w:tcMar>
            <w:vAlign w:val="center"/>
          </w:tcPr>
          <w:p w14:paraId="2AEAEE5B">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r>
      <w:tr w14:paraId="4330CD82">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42332100">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14:paraId="6CA1E15F">
            <w:pPr>
              <w:keepLines/>
              <w:widowControl/>
              <w:spacing w:line="230" w:lineRule="exact"/>
              <w:jc w:val="left"/>
              <w:rPr>
                <w:rFonts w:ascii="宋体" w:hAnsi="宋体" w:eastAsia="宋体" w:cs="宋体"/>
                <w:kern w:val="0"/>
                <w:szCs w:val="21"/>
              </w:rPr>
            </w:pPr>
          </w:p>
        </w:tc>
        <w:tc>
          <w:tcPr>
            <w:tcW w:w="1417" w:type="dxa"/>
            <w:tcBorders>
              <w:top w:val="nil"/>
              <w:left w:val="nil"/>
              <w:bottom w:val="single" w:color="auto" w:sz="4" w:space="0"/>
              <w:right w:val="single" w:color="auto" w:sz="4" w:space="0"/>
            </w:tcBorders>
            <w:shd w:val="clear" w:color="auto" w:fill="auto"/>
            <w:noWrap/>
            <w:tcMar>
              <w:left w:w="0" w:type="dxa"/>
              <w:right w:w="0" w:type="dxa"/>
            </w:tcMar>
            <w:vAlign w:val="center"/>
          </w:tcPr>
          <w:p w14:paraId="51C302A9">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服务对象满意度</w:t>
            </w: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2F423B2F">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政府直属部门职工总体满意度</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44399750">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5373E0F8">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7BE8288D">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90</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618033E9">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1C0ED98C">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3B5F9977">
        <w:tblPrEx>
          <w:tblCellMar>
            <w:top w:w="0" w:type="dxa"/>
            <w:left w:w="108" w:type="dxa"/>
            <w:bottom w:w="0" w:type="dxa"/>
            <w:right w:w="108" w:type="dxa"/>
          </w:tblCellMar>
        </w:tblPrEx>
        <w:trPr>
          <w:trHeight w:val="300"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124F620A">
            <w:pPr>
              <w:keepLines/>
              <w:widowControl/>
              <w:spacing w:line="230" w:lineRule="exact"/>
              <w:jc w:val="left"/>
              <w:rPr>
                <w:rFonts w:ascii="宋体" w:hAnsi="宋体" w:eastAsia="宋体" w:cs="宋体"/>
                <w:kern w:val="0"/>
                <w:szCs w:val="21"/>
              </w:rPr>
            </w:pPr>
          </w:p>
        </w:tc>
        <w:tc>
          <w:tcPr>
            <w:tcW w:w="709" w:type="dxa"/>
            <w:vMerge w:val="continue"/>
            <w:tcBorders>
              <w:top w:val="nil"/>
              <w:left w:val="nil"/>
              <w:bottom w:val="single" w:color="000000" w:sz="4" w:space="0"/>
              <w:right w:val="single" w:color="auto" w:sz="4" w:space="0"/>
            </w:tcBorders>
            <w:tcMar>
              <w:left w:w="0" w:type="dxa"/>
              <w:right w:w="0" w:type="dxa"/>
            </w:tcMar>
            <w:vAlign w:val="center"/>
          </w:tcPr>
          <w:p w14:paraId="3A7A304F">
            <w:pPr>
              <w:keepLines/>
              <w:widowControl/>
              <w:spacing w:line="230" w:lineRule="exact"/>
              <w:jc w:val="left"/>
              <w:rPr>
                <w:rFonts w:ascii="宋体" w:hAnsi="宋体" w:eastAsia="宋体" w:cs="宋体"/>
                <w:kern w:val="0"/>
                <w:szCs w:val="21"/>
              </w:rPr>
            </w:pPr>
          </w:p>
        </w:tc>
        <w:tc>
          <w:tcPr>
            <w:tcW w:w="1417" w:type="dxa"/>
            <w:tcBorders>
              <w:top w:val="nil"/>
              <w:left w:val="nil"/>
              <w:bottom w:val="single" w:color="auto" w:sz="4" w:space="0"/>
              <w:right w:val="single" w:color="auto" w:sz="4" w:space="0"/>
            </w:tcBorders>
            <w:shd w:val="clear" w:color="auto" w:fill="auto"/>
            <w:noWrap/>
            <w:tcMar>
              <w:left w:w="0" w:type="dxa"/>
              <w:right w:w="0" w:type="dxa"/>
            </w:tcMar>
            <w:vAlign w:val="center"/>
          </w:tcPr>
          <w:p w14:paraId="0579ABDC">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社会公众满意度</w:t>
            </w:r>
          </w:p>
        </w:tc>
        <w:tc>
          <w:tcPr>
            <w:tcW w:w="2977" w:type="dxa"/>
            <w:tcBorders>
              <w:top w:val="nil"/>
              <w:left w:val="nil"/>
              <w:bottom w:val="single" w:color="auto" w:sz="4" w:space="0"/>
              <w:right w:val="single" w:color="auto" w:sz="4" w:space="0"/>
            </w:tcBorders>
            <w:shd w:val="clear" w:color="auto" w:fill="auto"/>
            <w:noWrap/>
            <w:tcMar>
              <w:left w:w="0" w:type="dxa"/>
              <w:right w:w="0" w:type="dxa"/>
            </w:tcMar>
            <w:vAlign w:val="center"/>
          </w:tcPr>
          <w:p w14:paraId="5BDEE1DF">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参考考生满意度</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6A7E5BE0">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定量</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315DE963">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29484410">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90</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593D300C">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0DB69F30">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r w14:paraId="5183116A">
        <w:tblPrEx>
          <w:tblCellMar>
            <w:top w:w="0" w:type="dxa"/>
            <w:left w:w="108" w:type="dxa"/>
            <w:bottom w:w="0" w:type="dxa"/>
            <w:right w:w="108" w:type="dxa"/>
          </w:tblCellMar>
        </w:tblPrEx>
        <w:trPr>
          <w:trHeight w:val="285" w:hRule="atLeast"/>
        </w:trPr>
        <w:tc>
          <w:tcPr>
            <w:tcW w:w="582" w:type="dxa"/>
            <w:vMerge w:val="continue"/>
            <w:tcBorders>
              <w:top w:val="single" w:color="auto" w:sz="4" w:space="0"/>
              <w:left w:val="single" w:color="auto" w:sz="4" w:space="0"/>
              <w:bottom w:val="single" w:color="auto" w:sz="4" w:space="0"/>
              <w:right w:val="single" w:color="auto" w:sz="4" w:space="0"/>
            </w:tcBorders>
            <w:tcMar>
              <w:left w:w="0" w:type="dxa"/>
              <w:right w:w="0" w:type="dxa"/>
            </w:tcMar>
            <w:vAlign w:val="center"/>
          </w:tcPr>
          <w:p w14:paraId="73B0520F">
            <w:pPr>
              <w:keepLines/>
              <w:widowControl/>
              <w:spacing w:line="230" w:lineRule="exact"/>
              <w:jc w:val="left"/>
              <w:rPr>
                <w:rFonts w:ascii="宋体" w:hAnsi="宋体" w:eastAsia="宋体" w:cs="宋体"/>
                <w:kern w:val="0"/>
                <w:szCs w:val="21"/>
              </w:rPr>
            </w:pPr>
          </w:p>
        </w:tc>
        <w:tc>
          <w:tcPr>
            <w:tcW w:w="709" w:type="dxa"/>
            <w:tcBorders>
              <w:top w:val="nil"/>
              <w:left w:val="nil"/>
              <w:bottom w:val="single" w:color="auto" w:sz="4" w:space="0"/>
              <w:right w:val="single" w:color="auto" w:sz="4" w:space="0"/>
            </w:tcBorders>
            <w:shd w:val="clear" w:color="auto" w:fill="auto"/>
            <w:noWrap/>
            <w:tcMar>
              <w:left w:w="0" w:type="dxa"/>
              <w:right w:w="0" w:type="dxa"/>
            </w:tcMar>
            <w:vAlign w:val="center"/>
          </w:tcPr>
          <w:p w14:paraId="07EC2A4F">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可持续性</w:t>
            </w:r>
          </w:p>
        </w:tc>
        <w:tc>
          <w:tcPr>
            <w:tcW w:w="1417" w:type="dxa"/>
            <w:tcBorders>
              <w:top w:val="nil"/>
              <w:left w:val="nil"/>
              <w:bottom w:val="single" w:color="auto" w:sz="4" w:space="0"/>
              <w:right w:val="single" w:color="auto" w:sz="4" w:space="0"/>
            </w:tcBorders>
            <w:shd w:val="clear" w:color="auto" w:fill="auto"/>
            <w:noWrap/>
            <w:tcMar>
              <w:left w:w="0" w:type="dxa"/>
              <w:right w:w="0" w:type="dxa"/>
            </w:tcMar>
            <w:vAlign w:val="center"/>
          </w:tcPr>
          <w:p w14:paraId="17C09001">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体制机制改革</w:t>
            </w:r>
          </w:p>
        </w:tc>
        <w:tc>
          <w:tcPr>
            <w:tcW w:w="2977" w:type="dxa"/>
            <w:tcBorders>
              <w:top w:val="nil"/>
              <w:left w:val="nil"/>
              <w:bottom w:val="single" w:color="auto" w:sz="4" w:space="0"/>
              <w:right w:val="single" w:color="auto" w:sz="4" w:space="0"/>
            </w:tcBorders>
            <w:shd w:val="clear" w:color="auto" w:fill="auto"/>
            <w:tcMar>
              <w:left w:w="0" w:type="dxa"/>
              <w:right w:w="0" w:type="dxa"/>
            </w:tcMar>
            <w:vAlign w:val="center"/>
          </w:tcPr>
          <w:p w14:paraId="4DE42102">
            <w:pPr>
              <w:keepLines/>
              <w:widowControl/>
              <w:spacing w:line="230" w:lineRule="exact"/>
              <w:jc w:val="left"/>
              <w:rPr>
                <w:rFonts w:ascii="宋体" w:hAnsi="宋体" w:eastAsia="宋体" w:cs="宋体"/>
                <w:kern w:val="0"/>
                <w:szCs w:val="21"/>
              </w:rPr>
            </w:pPr>
            <w:r>
              <w:rPr>
                <w:rFonts w:hint="eastAsia" w:ascii="宋体" w:hAnsi="宋体" w:eastAsia="宋体" w:cs="宋体"/>
                <w:kern w:val="0"/>
                <w:szCs w:val="21"/>
              </w:rPr>
              <w:t>按人事部门规定完成</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183A7D59">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定性</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521A7136">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w:t>
            </w:r>
          </w:p>
        </w:tc>
        <w:tc>
          <w:tcPr>
            <w:tcW w:w="567" w:type="dxa"/>
            <w:tcBorders>
              <w:top w:val="nil"/>
              <w:left w:val="nil"/>
              <w:bottom w:val="single" w:color="auto" w:sz="4" w:space="0"/>
              <w:right w:val="single" w:color="auto" w:sz="4" w:space="0"/>
            </w:tcBorders>
            <w:shd w:val="clear" w:color="auto" w:fill="auto"/>
            <w:tcMar>
              <w:left w:w="0" w:type="dxa"/>
              <w:right w:w="0" w:type="dxa"/>
            </w:tcMar>
            <w:vAlign w:val="center"/>
          </w:tcPr>
          <w:p w14:paraId="7C5E87C7">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严格完成</w:t>
            </w:r>
          </w:p>
        </w:tc>
        <w:tc>
          <w:tcPr>
            <w:tcW w:w="567" w:type="dxa"/>
            <w:tcBorders>
              <w:top w:val="nil"/>
              <w:left w:val="nil"/>
              <w:bottom w:val="single" w:color="auto" w:sz="4" w:space="0"/>
              <w:right w:val="single" w:color="auto" w:sz="4" w:space="0"/>
            </w:tcBorders>
            <w:shd w:val="clear" w:color="auto" w:fill="auto"/>
            <w:noWrap/>
            <w:tcMar>
              <w:left w:w="0" w:type="dxa"/>
              <w:right w:w="0" w:type="dxa"/>
            </w:tcMar>
            <w:vAlign w:val="center"/>
          </w:tcPr>
          <w:p w14:paraId="3912EE67">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　</w:t>
            </w:r>
          </w:p>
        </w:tc>
        <w:tc>
          <w:tcPr>
            <w:tcW w:w="566" w:type="dxa"/>
            <w:tcBorders>
              <w:top w:val="nil"/>
              <w:left w:val="nil"/>
              <w:bottom w:val="single" w:color="auto" w:sz="4" w:space="0"/>
              <w:right w:val="single" w:color="auto" w:sz="4" w:space="0"/>
            </w:tcBorders>
            <w:shd w:val="clear" w:color="auto" w:fill="auto"/>
            <w:tcMar>
              <w:left w:w="0" w:type="dxa"/>
              <w:right w:w="0" w:type="dxa"/>
            </w:tcMar>
            <w:vAlign w:val="center"/>
          </w:tcPr>
          <w:p w14:paraId="07D1C766">
            <w:pPr>
              <w:keepLines/>
              <w:widowControl/>
              <w:spacing w:line="230" w:lineRule="exact"/>
              <w:jc w:val="center"/>
              <w:rPr>
                <w:rFonts w:ascii="宋体" w:hAnsi="宋体" w:eastAsia="宋体" w:cs="宋体"/>
                <w:kern w:val="0"/>
                <w:szCs w:val="21"/>
              </w:rPr>
            </w:pPr>
            <w:r>
              <w:rPr>
                <w:rFonts w:hint="eastAsia" w:ascii="宋体" w:hAnsi="宋体" w:eastAsia="宋体" w:cs="宋体"/>
                <w:kern w:val="0"/>
                <w:szCs w:val="21"/>
              </w:rPr>
              <w:t>2021年末</w:t>
            </w:r>
          </w:p>
        </w:tc>
      </w:tr>
    </w:tbl>
    <w:p w14:paraId="48077E12">
      <w:pPr>
        <w:rPr>
          <w:rFonts w:hint="eastAsia"/>
        </w:rPr>
      </w:pPr>
    </w:p>
    <w:p w14:paraId="46EFCEB0">
      <w:pPr>
        <w:jc w:val="center"/>
        <w:rPr>
          <w:rFonts w:hint="eastAsia" w:ascii="宋体" w:hAnsi="宋体"/>
          <w:b/>
          <w:sz w:val="36"/>
          <w:szCs w:val="36"/>
        </w:rPr>
      </w:pPr>
    </w:p>
    <w:p w14:paraId="7196A477">
      <w:pPr>
        <w:jc w:val="center"/>
        <w:rPr>
          <w:rFonts w:hint="eastAsia" w:ascii="宋体" w:hAnsi="宋体"/>
          <w:b/>
          <w:sz w:val="36"/>
          <w:szCs w:val="36"/>
        </w:rPr>
      </w:pPr>
    </w:p>
    <w:p w14:paraId="478D346D">
      <w:pPr>
        <w:jc w:val="center"/>
        <w:rPr>
          <w:rFonts w:hint="eastAsia" w:ascii="宋体" w:hAnsi="宋体"/>
          <w:b/>
          <w:sz w:val="36"/>
          <w:szCs w:val="36"/>
        </w:rPr>
      </w:pPr>
      <w:r>
        <w:rPr>
          <w:rFonts w:hint="eastAsia" w:ascii="宋体" w:hAnsi="宋体"/>
          <w:b/>
          <w:sz w:val="36"/>
          <w:szCs w:val="36"/>
        </w:rPr>
        <w:t>第四部分 名词解释</w:t>
      </w:r>
    </w:p>
    <w:p w14:paraId="184A563E">
      <w:pPr>
        <w:jc w:val="center"/>
        <w:rPr>
          <w:rFonts w:hint="eastAsia" w:ascii="黑体" w:eastAsia="黑体"/>
          <w:sz w:val="36"/>
          <w:szCs w:val="36"/>
        </w:rPr>
      </w:pPr>
    </w:p>
    <w:p w14:paraId="48AB2062">
      <w:pPr>
        <w:ind w:firstLine="643" w:firstLineChars="200"/>
        <w:jc w:val="left"/>
        <w:rPr>
          <w:rFonts w:hint="eastAsia" w:ascii="仿宋_GB2312" w:eastAsia="仿宋_GB2312"/>
          <w:sz w:val="32"/>
          <w:szCs w:val="32"/>
        </w:rPr>
      </w:pPr>
      <w:r>
        <w:rPr>
          <w:rFonts w:hint="eastAsia" w:ascii="仿宋_GB2312" w:eastAsia="仿宋_GB2312"/>
          <w:b/>
          <w:sz w:val="32"/>
          <w:szCs w:val="32"/>
        </w:rPr>
        <w:t>1.财政拨款收入：</w:t>
      </w:r>
      <w:r>
        <w:rPr>
          <w:rFonts w:hint="eastAsia" w:ascii="仿宋_GB2312" w:eastAsia="仿宋_GB2312"/>
          <w:sz w:val="32"/>
          <w:szCs w:val="32"/>
        </w:rPr>
        <w:t>指市级财政当年拨付的资金。</w:t>
      </w:r>
    </w:p>
    <w:p w14:paraId="18C86AFE">
      <w:pPr>
        <w:ind w:firstLine="643" w:firstLineChars="200"/>
        <w:jc w:val="left"/>
        <w:rPr>
          <w:rFonts w:hint="eastAsia" w:ascii="仿宋_GB2312" w:eastAsia="仿宋_GB2312"/>
          <w:sz w:val="32"/>
          <w:szCs w:val="32"/>
        </w:rPr>
      </w:pPr>
      <w:r>
        <w:rPr>
          <w:rFonts w:hint="eastAsia" w:ascii="仿宋_GB2312" w:eastAsia="仿宋_GB2312"/>
          <w:b/>
          <w:sz w:val="32"/>
          <w:szCs w:val="32"/>
        </w:rPr>
        <w:t>2.基本支出：</w:t>
      </w:r>
      <w:r>
        <w:rPr>
          <w:rFonts w:hint="eastAsia" w:ascii="仿宋_GB2312" w:eastAsia="仿宋_GB2312"/>
          <w:sz w:val="32"/>
          <w:szCs w:val="32"/>
        </w:rPr>
        <w:t>指保障机构正常运转、完成日常工作任务而发生的人员支出和公用支出。</w:t>
      </w:r>
    </w:p>
    <w:p w14:paraId="66D7AC0B">
      <w:pPr>
        <w:ind w:firstLine="643" w:firstLineChars="200"/>
        <w:jc w:val="left"/>
        <w:rPr>
          <w:rFonts w:hint="eastAsia" w:ascii="仿宋_GB2312" w:eastAsia="仿宋_GB2312"/>
          <w:b/>
          <w:sz w:val="32"/>
          <w:szCs w:val="32"/>
        </w:rPr>
      </w:pPr>
      <w:r>
        <w:rPr>
          <w:rFonts w:hint="eastAsia" w:ascii="仿宋_GB2312" w:eastAsia="仿宋_GB2312"/>
          <w:b/>
          <w:sz w:val="32"/>
          <w:szCs w:val="32"/>
        </w:rPr>
        <w:t>3.项目支出：</w:t>
      </w:r>
      <w:r>
        <w:rPr>
          <w:rFonts w:hint="eastAsia" w:ascii="仿宋_GB2312" w:eastAsia="仿宋_GB2312"/>
          <w:sz w:val="32"/>
          <w:szCs w:val="32"/>
        </w:rPr>
        <w:t>指在基本支出之外为完成特定行政任务和事业发展目标所发生的支出。</w:t>
      </w:r>
    </w:p>
    <w:p w14:paraId="5E4C2DAA">
      <w:pPr>
        <w:ind w:firstLine="643" w:firstLineChars="200"/>
        <w:rPr>
          <w:rFonts w:hint="eastAsia" w:ascii="仿宋_GB2312" w:eastAsia="仿宋_GB2312"/>
          <w:sz w:val="32"/>
          <w:szCs w:val="32"/>
        </w:rPr>
      </w:pPr>
      <w:r>
        <w:rPr>
          <w:rFonts w:hint="eastAsia" w:ascii="仿宋_GB2312" w:eastAsia="仿宋_GB2312"/>
          <w:b/>
          <w:sz w:val="32"/>
        </w:rPr>
        <w:t>4.机关运行经费：</w:t>
      </w:r>
      <w:r>
        <w:rPr>
          <w:rFonts w:hint="eastAsia" w:ascii="仿宋_GB2312" w:eastAsia="仿宋_GB2312"/>
          <w:sz w:val="32"/>
          <w:szCs w:val="32"/>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245B7B07">
      <w:pPr>
        <w:ind w:firstLine="643" w:firstLineChars="200"/>
        <w:jc w:val="left"/>
        <w:rPr>
          <w:rFonts w:hint="eastAsia" w:ascii="仿宋_GB2312" w:eastAsia="仿宋_GB2312"/>
          <w:b/>
          <w:sz w:val="32"/>
          <w:szCs w:val="32"/>
        </w:rPr>
      </w:pPr>
      <w:r>
        <w:rPr>
          <w:rFonts w:hint="eastAsia" w:ascii="仿宋_GB2312" w:eastAsia="仿宋_GB2312"/>
          <w:b/>
          <w:sz w:val="32"/>
          <w:szCs w:val="32"/>
        </w:rPr>
        <w:t>5.行政事业性收费收入：</w:t>
      </w:r>
      <w:r>
        <w:rPr>
          <w:rFonts w:hint="eastAsia" w:ascii="仿宋_GB2312" w:eastAsia="仿宋_GB2312"/>
          <w:sz w:val="32"/>
          <w:szCs w:val="32"/>
        </w:rPr>
        <w:t>指依据法律、行政法规、国务院有关规定、国务院财政部门会同价格主管部门共同发布的规章或者规定，省、自治区、直辖市人民政府财政部门会同价格主管部门共同发布的规定所收取的各项收费收入。</w:t>
      </w:r>
    </w:p>
    <w:p w14:paraId="04896988">
      <w:pPr>
        <w:ind w:firstLine="643" w:firstLineChars="200"/>
        <w:jc w:val="left"/>
        <w:rPr>
          <w:rFonts w:hint="eastAsia" w:ascii="仿宋_GB2312" w:eastAsia="仿宋_GB2312"/>
          <w:b/>
          <w:sz w:val="32"/>
          <w:szCs w:val="32"/>
        </w:rPr>
      </w:pPr>
      <w:bookmarkStart w:id="0" w:name="OLE_LINK1"/>
      <w:r>
        <w:rPr>
          <w:rFonts w:hint="eastAsia" w:ascii="仿宋_GB2312" w:eastAsia="仿宋_GB2312"/>
          <w:b/>
          <w:sz w:val="32"/>
          <w:szCs w:val="32"/>
        </w:rPr>
        <w:t>6.政府性基金收入</w:t>
      </w:r>
      <w:bookmarkEnd w:id="0"/>
      <w:r>
        <w:rPr>
          <w:rFonts w:hint="eastAsia" w:ascii="仿宋_GB2312" w:eastAsia="仿宋_GB2312"/>
          <w:b/>
          <w:sz w:val="32"/>
          <w:szCs w:val="32"/>
        </w:rPr>
        <w:t>：</w:t>
      </w:r>
      <w:r>
        <w:rPr>
          <w:rFonts w:hint="eastAsia" w:ascii="仿宋_GB2312" w:eastAsia="仿宋_GB2312"/>
          <w:sz w:val="32"/>
          <w:szCs w:val="32"/>
        </w:rPr>
        <w:t>反应各级政府及其所属部门根据法律、行政法规规定并经国务院或财政部批准，向公民、法人和其他组织征收的政府性基金，以及参照政府性基金管理或纳入基金预算、具有特定用途的财政资金。</w:t>
      </w:r>
    </w:p>
    <w:p w14:paraId="52B310FB">
      <w:pPr>
        <w:ind w:firstLine="643" w:firstLineChars="200"/>
        <w:jc w:val="left"/>
        <w:rPr>
          <w:rFonts w:hint="eastAsia" w:ascii="仿宋_GB2312" w:eastAsia="仿宋_GB2312"/>
          <w:sz w:val="32"/>
          <w:szCs w:val="32"/>
        </w:rPr>
      </w:pPr>
      <w:r>
        <w:rPr>
          <w:rFonts w:hint="eastAsia" w:ascii="仿宋_GB2312" w:eastAsia="仿宋_GB2312"/>
          <w:b/>
          <w:sz w:val="32"/>
          <w:szCs w:val="32"/>
        </w:rPr>
        <w:t>7.其他收入：</w:t>
      </w:r>
      <w:r>
        <w:rPr>
          <w:rFonts w:hint="eastAsia" w:ascii="仿宋_GB2312" w:eastAsia="仿宋_GB2312"/>
          <w:sz w:val="32"/>
          <w:szCs w:val="32"/>
        </w:rPr>
        <w:t>指除上述“财政拨款收入”、“行政事业性收费收入”、“政府性基金收入”以外的收入。</w:t>
      </w:r>
    </w:p>
    <w:p w14:paraId="025F03BD">
      <w:pPr>
        <w:ind w:firstLine="643" w:firstLineChars="200"/>
        <w:jc w:val="left"/>
        <w:rPr>
          <w:rFonts w:hint="eastAsia" w:ascii="仿宋_GB2312" w:eastAsia="仿宋_GB2312"/>
          <w:sz w:val="32"/>
          <w:szCs w:val="32"/>
        </w:rPr>
      </w:pPr>
      <w:r>
        <w:rPr>
          <w:rFonts w:hint="eastAsia" w:ascii="仿宋_GB2312" w:eastAsia="仿宋_GB2312"/>
          <w:b/>
          <w:sz w:val="32"/>
          <w:szCs w:val="32"/>
        </w:rPr>
        <w:t>8.“三公”经费</w:t>
      </w:r>
      <w:r>
        <w:rPr>
          <w:rFonts w:hint="eastAsia" w:ascii="仿宋_GB2312" w:eastAsia="仿宋_GB2312"/>
          <w:sz w:val="32"/>
          <w:szCs w:val="32"/>
        </w:rPr>
        <w:t>：指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费及燃料费、维修费、过桥过路费、保险费、安全奖励费用等支出；公务接待费反映单位按规定开支的各类公务接待（含外宾接待）费用。</w:t>
      </w:r>
    </w:p>
    <w:p w14:paraId="1E6563AF">
      <w:pPr>
        <w:ind w:firstLine="643" w:firstLineChars="200"/>
        <w:jc w:val="left"/>
        <w:rPr>
          <w:rFonts w:hint="eastAsia" w:ascii="仿宋_GB2312" w:eastAsia="仿宋_GB2312"/>
          <w:sz w:val="32"/>
          <w:szCs w:val="32"/>
        </w:rPr>
      </w:pPr>
      <w:r>
        <w:rPr>
          <w:rFonts w:hint="eastAsia" w:ascii="仿宋_GB2312" w:eastAsia="仿宋_GB2312"/>
          <w:b/>
          <w:sz w:val="32"/>
          <w:szCs w:val="32"/>
        </w:rPr>
        <w:t>9.一般公共服务（类）财政事务（款）行政运行（项）：</w:t>
      </w:r>
      <w:r>
        <w:rPr>
          <w:rFonts w:hint="eastAsia" w:ascii="仿宋_GB2312" w:eastAsia="仿宋_GB2312"/>
          <w:sz w:val="32"/>
          <w:szCs w:val="32"/>
        </w:rPr>
        <w:t>反映行政单位（包括实行公务员管理的事业单位）的基本支出。</w:t>
      </w:r>
    </w:p>
    <w:p w14:paraId="2B509CB9">
      <w:pPr>
        <w:ind w:firstLine="643" w:firstLineChars="200"/>
        <w:jc w:val="left"/>
        <w:rPr>
          <w:rFonts w:hint="eastAsia" w:ascii="仿宋_GB2312" w:eastAsia="仿宋_GB2312"/>
          <w:sz w:val="32"/>
          <w:szCs w:val="32"/>
        </w:rPr>
      </w:pPr>
      <w:r>
        <w:rPr>
          <w:rFonts w:hint="eastAsia" w:ascii="仿宋_GB2312" w:eastAsia="仿宋_GB2312"/>
          <w:b/>
          <w:sz w:val="32"/>
          <w:szCs w:val="32"/>
        </w:rPr>
        <w:t>10.一般公共服务（类）财政事务（款）事业运行（项）：</w:t>
      </w:r>
      <w:r>
        <w:rPr>
          <w:rFonts w:hint="eastAsia" w:ascii="仿宋_GB2312" w:eastAsia="仿宋_GB2312"/>
          <w:sz w:val="32"/>
          <w:szCs w:val="32"/>
        </w:rPr>
        <w:t>反映事业单位的基本支出，不包括行政单位（包括实行公务员管理的事业单位）后勤服务中心、医务室等附属事业单位。</w:t>
      </w:r>
    </w:p>
    <w:p w14:paraId="58FE74B8">
      <w:pPr>
        <w:ind w:firstLine="643" w:firstLineChars="200"/>
        <w:jc w:val="left"/>
        <w:rPr>
          <w:rFonts w:hint="eastAsia" w:ascii="仿宋_GB2312" w:eastAsia="仿宋_GB2312"/>
          <w:sz w:val="32"/>
          <w:szCs w:val="32"/>
        </w:rPr>
      </w:pPr>
      <w:r>
        <w:rPr>
          <w:rFonts w:hint="eastAsia" w:ascii="仿宋_GB2312" w:eastAsia="仿宋_GB2312"/>
          <w:b/>
          <w:sz w:val="32"/>
          <w:szCs w:val="32"/>
        </w:rPr>
        <w:t>11.一般公共服务（类）财政事务（款）其他财政事务支出（项）：</w:t>
      </w:r>
      <w:r>
        <w:rPr>
          <w:rFonts w:hint="eastAsia" w:ascii="仿宋_GB2312" w:eastAsia="仿宋_GB2312"/>
          <w:sz w:val="32"/>
          <w:szCs w:val="32"/>
        </w:rPr>
        <w:t>反映除上述项目以外其他财政事务方面的支出。</w:t>
      </w:r>
    </w:p>
    <w:p w14:paraId="6024C9B2">
      <w:pPr>
        <w:ind w:firstLine="643" w:firstLineChars="200"/>
        <w:jc w:val="left"/>
        <w:rPr>
          <w:rFonts w:hint="eastAsia" w:ascii="仿宋_GB2312" w:eastAsia="仿宋_GB2312"/>
          <w:sz w:val="32"/>
          <w:szCs w:val="32"/>
        </w:rPr>
      </w:pPr>
      <w:r>
        <w:rPr>
          <w:rFonts w:hint="eastAsia" w:ascii="仿宋_GB2312" w:eastAsia="仿宋_GB2312"/>
          <w:b/>
          <w:sz w:val="32"/>
          <w:szCs w:val="32"/>
        </w:rPr>
        <w:t>12.社会保障和就业（类）行政事业单位离退休（款）归口管理的行政单位离退休（项）：</w:t>
      </w:r>
      <w:r>
        <w:rPr>
          <w:rFonts w:hint="eastAsia" w:ascii="仿宋_GB2312" w:eastAsia="仿宋_GB2312"/>
          <w:sz w:val="32"/>
          <w:szCs w:val="32"/>
        </w:rPr>
        <w:t>反映实行归口管理的行政单位（包括实行公务员管理的事业单位）开支的离退休经费。</w:t>
      </w:r>
    </w:p>
    <w:p w14:paraId="0B28AED1">
      <w:pPr>
        <w:ind w:firstLine="643" w:firstLineChars="200"/>
        <w:jc w:val="left"/>
        <w:rPr>
          <w:rFonts w:hint="eastAsia" w:ascii="仿宋_GB2312" w:eastAsia="仿宋_GB2312"/>
          <w:sz w:val="32"/>
          <w:szCs w:val="32"/>
        </w:rPr>
      </w:pPr>
      <w:r>
        <w:rPr>
          <w:rFonts w:hint="eastAsia" w:ascii="仿宋_GB2312" w:eastAsia="仿宋_GB2312"/>
          <w:b/>
          <w:sz w:val="32"/>
          <w:szCs w:val="32"/>
        </w:rPr>
        <w:t>13.社会保障和就业（类）行政事业单位离退休（款）事业单位离退休（项）：</w:t>
      </w:r>
      <w:r>
        <w:rPr>
          <w:rFonts w:hint="eastAsia" w:ascii="仿宋_GB2312" w:eastAsia="仿宋_GB2312"/>
          <w:sz w:val="32"/>
          <w:szCs w:val="32"/>
        </w:rPr>
        <w:t>反映实行归口管理的事业单位开支的离退休经费。</w:t>
      </w:r>
    </w:p>
    <w:p w14:paraId="6DDF9B53">
      <w:pPr>
        <w:ind w:firstLine="643" w:firstLineChars="200"/>
        <w:jc w:val="left"/>
      </w:pPr>
      <w:r>
        <w:rPr>
          <w:rFonts w:hint="eastAsia" w:ascii="仿宋_GB2312" w:eastAsia="仿宋_GB2312"/>
          <w:b/>
          <w:sz w:val="32"/>
          <w:szCs w:val="32"/>
        </w:rPr>
        <w:t>14.住房保障（类）住房改革（款）住房公积金（项）：</w:t>
      </w:r>
      <w:r>
        <w:rPr>
          <w:rFonts w:hint="eastAsia" w:ascii="仿宋_GB2312" w:eastAsia="仿宋_GB2312"/>
          <w:sz w:val="32"/>
          <w:szCs w:val="32"/>
        </w:rPr>
        <w:t>反映行政事业单位按人力资源和社会保障部、财政部规定的基本工资和津贴补贴以及规定比例为职工缴纳的住房公积金。</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85C076"/>
    <w:multiLevelType w:val="singleLevel"/>
    <w:tmpl w:val="E985C076"/>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A6F"/>
    <w:rsid w:val="001770E9"/>
    <w:rsid w:val="00177A6F"/>
    <w:rsid w:val="00467FB6"/>
    <w:rsid w:val="00686DA1"/>
    <w:rsid w:val="007F4D5A"/>
    <w:rsid w:val="008D7A97"/>
    <w:rsid w:val="00B218D5"/>
    <w:rsid w:val="00F27900"/>
    <w:rsid w:val="0DE56B6E"/>
    <w:rsid w:val="0EBC41B1"/>
    <w:rsid w:val="1D6B7A62"/>
    <w:rsid w:val="1FA76078"/>
    <w:rsid w:val="27932B90"/>
    <w:rsid w:val="2DD267F5"/>
    <w:rsid w:val="2E1A514C"/>
    <w:rsid w:val="332F11C0"/>
    <w:rsid w:val="33C9135C"/>
    <w:rsid w:val="37252703"/>
    <w:rsid w:val="3F644735"/>
    <w:rsid w:val="4480407E"/>
    <w:rsid w:val="46B165D5"/>
    <w:rsid w:val="4B012CE2"/>
    <w:rsid w:val="4E547302"/>
    <w:rsid w:val="4E6902EE"/>
    <w:rsid w:val="5946017B"/>
    <w:rsid w:val="61AD28FD"/>
    <w:rsid w:val="62916733"/>
    <w:rsid w:val="683D2C81"/>
    <w:rsid w:val="6FD81849"/>
    <w:rsid w:val="6FEF1BDF"/>
    <w:rsid w:val="79B73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22"/>
    <w:rPr>
      <w:b/>
      <w:bCs/>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14</Pages>
  <Words>4542</Words>
  <Characters>4810</Characters>
  <Lines>30</Lines>
  <Paragraphs>8</Paragraphs>
  <TotalTime>23</TotalTime>
  <ScaleCrop>false</ScaleCrop>
  <LinksUpToDate>false</LinksUpToDate>
  <CharactersWithSpaces>4849</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2021-06-10T06:12:00Z</dcterms:created>
  <dc:creator>Administrator</dc:creator>
  <cp:lastModifiedBy>樹</cp:lastModifiedBy>
  <dcterms:modified xsi:type="dcterms:W3CDTF">2026-02-27T05:40:07Z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eyJoZGlkIjoiYzc1ZGVhNGRiMzU5N2I2YjZlOTMxYWQxNDAyMTlhNGIiLCJ1c2VySWQiOiIzNDk5MTg3NDIifQ==</vt:lpwstr>
  </property>
  <property fmtid="{D5CDD505-2E9C-101B-9397-08002B2CF9AE}" pid="4" name="ICV">
    <vt:lpwstr>F414E9EAD4B54920B1C822BD51439EE4_12</vt:lpwstr>
  </property>
</Properties>
</file>