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52FE1">
      <w:pPr>
        <w:jc w:val="center"/>
        <w:rPr>
          <w:rFonts w:hint="eastAsia"/>
          <w:b/>
          <w:color w:val="auto"/>
          <w:sz w:val="44"/>
          <w:szCs w:val="44"/>
          <w:u w:val="single"/>
        </w:rPr>
      </w:pPr>
    </w:p>
    <w:p w14:paraId="2EC113FA">
      <w:pPr>
        <w:jc w:val="center"/>
        <w:rPr>
          <w:rFonts w:hint="eastAsia"/>
          <w:b/>
          <w:color w:val="auto"/>
          <w:sz w:val="44"/>
          <w:szCs w:val="44"/>
          <w:u w:val="single"/>
        </w:rPr>
      </w:pPr>
    </w:p>
    <w:p w14:paraId="6FEC9D3D">
      <w:pPr>
        <w:jc w:val="center"/>
        <w:rPr>
          <w:rFonts w:hint="eastAsia" w:ascii="楷体" w:hAnsi="楷体" w:eastAsia="楷体"/>
          <w:b/>
          <w:color w:val="auto"/>
          <w:sz w:val="52"/>
          <w:szCs w:val="52"/>
        </w:rPr>
      </w:pPr>
      <w:r>
        <w:rPr>
          <w:rFonts w:hint="eastAsia" w:ascii="宋体" w:hAnsi="宋体" w:cs="宋体"/>
          <w:b/>
          <w:color w:val="auto"/>
          <w:sz w:val="52"/>
          <w:szCs w:val="52"/>
          <w:lang w:val="en-US" w:eastAsia="zh-CN"/>
        </w:rPr>
        <w:t>本溪市溪湖区商务</w:t>
      </w:r>
      <w:r>
        <w:rPr>
          <w:rFonts w:hint="eastAsia" w:ascii="宋体" w:hAnsi="宋体" w:cs="宋体"/>
          <w:b/>
          <w:color w:val="auto"/>
          <w:sz w:val="52"/>
          <w:szCs w:val="52"/>
        </w:rPr>
        <w:t>局</w:t>
      </w:r>
      <w:r>
        <w:rPr>
          <w:rFonts w:hint="eastAsia" w:ascii="宋体" w:hAnsi="宋体" w:cs="宋体"/>
          <w:b/>
          <w:color w:val="auto"/>
          <w:sz w:val="52"/>
          <w:szCs w:val="52"/>
          <w:lang w:val="en-US" w:eastAsia="zh-CN"/>
        </w:rPr>
        <w:t>本级</w:t>
      </w:r>
      <w:r>
        <w:rPr>
          <w:rFonts w:hint="eastAsia" w:ascii="宋体" w:hAnsi="宋体" w:cs="宋体"/>
          <w:b/>
          <w:color w:val="auto"/>
          <w:sz w:val="52"/>
          <w:szCs w:val="52"/>
        </w:rPr>
        <w:t>202</w:t>
      </w:r>
      <w:r>
        <w:rPr>
          <w:rFonts w:hint="eastAsia" w:ascii="宋体" w:hAnsi="宋体" w:cs="宋体"/>
          <w:b/>
          <w:color w:val="auto"/>
          <w:sz w:val="52"/>
          <w:szCs w:val="52"/>
          <w:lang w:val="en-US" w:eastAsia="zh-CN"/>
        </w:rPr>
        <w:t>6</w:t>
      </w:r>
      <w:r>
        <w:rPr>
          <w:rFonts w:hint="eastAsia" w:ascii="宋体" w:hAnsi="宋体" w:cs="宋体"/>
          <w:b/>
          <w:color w:val="auto"/>
          <w:sz w:val="52"/>
          <w:szCs w:val="52"/>
        </w:rPr>
        <w:t>年度部门预算</w:t>
      </w:r>
    </w:p>
    <w:p w14:paraId="61A16226">
      <w:pPr>
        <w:rPr>
          <w:rFonts w:hint="eastAsia"/>
          <w:bCs/>
          <w:color w:val="auto"/>
          <w:sz w:val="44"/>
          <w:szCs w:val="44"/>
        </w:rPr>
      </w:pPr>
    </w:p>
    <w:p w14:paraId="52FA2DDD">
      <w:pPr>
        <w:rPr>
          <w:rFonts w:hint="eastAsia"/>
          <w:b/>
          <w:color w:val="auto"/>
          <w:sz w:val="44"/>
          <w:szCs w:val="44"/>
        </w:rPr>
      </w:pPr>
    </w:p>
    <w:p w14:paraId="175832E1">
      <w:pPr>
        <w:jc w:val="center"/>
        <w:rPr>
          <w:rFonts w:hint="eastAsia"/>
          <w:b/>
          <w:color w:val="auto"/>
          <w:sz w:val="44"/>
          <w:szCs w:val="44"/>
        </w:rPr>
      </w:pPr>
      <w:r>
        <w:rPr>
          <w:rFonts w:hint="eastAsia"/>
          <w:b/>
          <w:color w:val="auto"/>
          <w:sz w:val="44"/>
          <w:szCs w:val="44"/>
        </w:rPr>
        <w:t>目    录</w:t>
      </w:r>
    </w:p>
    <w:p w14:paraId="7B53D756">
      <w:pPr>
        <w:rPr>
          <w:rFonts w:hint="eastAsia"/>
          <w:b/>
          <w:color w:val="auto"/>
          <w:sz w:val="44"/>
          <w:szCs w:val="44"/>
          <w:u w:val="single"/>
        </w:rPr>
      </w:pPr>
    </w:p>
    <w:p w14:paraId="50EBECB9">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第一部分   部门预算公开管理文件</w:t>
      </w:r>
    </w:p>
    <w:p w14:paraId="17F5CDF1">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olor w:val="auto"/>
          <w:sz w:val="32"/>
          <w:szCs w:val="32"/>
          <w:lang w:val="en-US" w:eastAsia="zh-CN"/>
        </w:rPr>
        <w:t>本溪市溪湖区商务</w:t>
      </w:r>
      <w:r>
        <w:rPr>
          <w:rFonts w:hint="eastAsia" w:ascii="黑体" w:hAnsi="黑体" w:eastAsia="黑体"/>
          <w:color w:val="auto"/>
          <w:sz w:val="32"/>
          <w:szCs w:val="32"/>
        </w:rPr>
        <w:t>局</w:t>
      </w:r>
      <w:r>
        <w:rPr>
          <w:rFonts w:hint="eastAsia" w:ascii="黑体" w:hAnsi="黑体" w:eastAsia="黑体"/>
          <w:color w:val="auto"/>
          <w:sz w:val="32"/>
          <w:szCs w:val="32"/>
          <w:lang w:val="en-US" w:eastAsia="zh-CN"/>
        </w:rPr>
        <w:t>本级</w:t>
      </w:r>
      <w:r>
        <w:rPr>
          <w:rFonts w:hint="eastAsia" w:ascii="黑体" w:hAnsi="黑体" w:eastAsia="黑体"/>
          <w:color w:val="auto"/>
          <w:sz w:val="32"/>
          <w:szCs w:val="32"/>
        </w:rPr>
        <w:t>概况</w:t>
      </w:r>
    </w:p>
    <w:p w14:paraId="02C9FB41">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14:paraId="554EA7D7">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14:paraId="64421833">
      <w:pPr>
        <w:rPr>
          <w:rFonts w:hint="eastAsia" w:ascii="黑体" w:hAnsi="黑体" w:eastAsia="黑体"/>
          <w:color w:val="auto"/>
          <w:sz w:val="32"/>
          <w:szCs w:val="32"/>
        </w:rPr>
      </w:pPr>
      <w:r>
        <w:rPr>
          <w:rFonts w:hint="eastAsia" w:ascii="仿宋_GB2312" w:hAnsi="黑体" w:eastAsia="仿宋_GB2312"/>
          <w:color w:val="auto"/>
          <w:sz w:val="32"/>
          <w:szCs w:val="32"/>
        </w:rPr>
        <w:t xml:space="preserve">      </w:t>
      </w:r>
      <w:r>
        <w:rPr>
          <w:rFonts w:hint="eastAsia" w:ascii="黑体" w:hAnsi="黑体" w:eastAsia="黑体"/>
          <w:color w:val="auto"/>
          <w:sz w:val="32"/>
          <w:szCs w:val="32"/>
        </w:rPr>
        <w:t xml:space="preserve">第三部分   </w:t>
      </w:r>
      <w:r>
        <w:rPr>
          <w:rFonts w:hint="eastAsia" w:ascii="黑体" w:hAnsi="黑体" w:eastAsia="黑体"/>
          <w:color w:val="auto"/>
          <w:sz w:val="32"/>
          <w:szCs w:val="32"/>
          <w:lang w:val="en-US" w:eastAsia="zh-CN"/>
        </w:rPr>
        <w:t>本溪市溪湖区商务</w:t>
      </w:r>
      <w:r>
        <w:rPr>
          <w:rFonts w:hint="eastAsia" w:ascii="黑体" w:hAnsi="黑体" w:eastAsia="黑体"/>
          <w:color w:val="auto"/>
          <w:sz w:val="32"/>
          <w:szCs w:val="32"/>
        </w:rPr>
        <w:t>局</w:t>
      </w:r>
      <w:r>
        <w:rPr>
          <w:rFonts w:hint="eastAsia" w:ascii="黑体" w:hAnsi="黑体" w:eastAsia="黑体"/>
          <w:color w:val="auto"/>
          <w:sz w:val="32"/>
          <w:szCs w:val="32"/>
          <w:lang w:val="en-US" w:eastAsia="zh-CN"/>
        </w:rPr>
        <w:t>本级</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6</w:t>
      </w:r>
      <w:r>
        <w:rPr>
          <w:rFonts w:hint="eastAsia" w:ascii="黑体" w:hAnsi="黑体" w:eastAsia="黑体"/>
          <w:color w:val="auto"/>
          <w:sz w:val="32"/>
          <w:szCs w:val="32"/>
        </w:rPr>
        <w:t>年度部门预算情况说明</w:t>
      </w:r>
    </w:p>
    <w:p w14:paraId="11BBB6BD">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第四部分   名词解释</w:t>
      </w:r>
    </w:p>
    <w:p w14:paraId="1E8F8FD2">
      <w:pPr>
        <w:ind w:firstLine="960" w:firstLineChars="300"/>
        <w:rPr>
          <w:rFonts w:hint="eastAsia" w:ascii="黑体" w:hAnsi="黑体" w:eastAsia="黑体"/>
          <w:color w:val="auto"/>
          <w:sz w:val="32"/>
          <w:szCs w:val="32"/>
        </w:rPr>
      </w:pPr>
      <w:r>
        <w:rPr>
          <w:rFonts w:hint="eastAsia" w:ascii="黑体" w:hAnsi="黑体" w:eastAsia="黑体"/>
          <w:color w:val="auto"/>
          <w:sz w:val="32"/>
          <w:szCs w:val="32"/>
        </w:rPr>
        <w:t>第五部分   202</w:t>
      </w:r>
      <w:r>
        <w:rPr>
          <w:rFonts w:hint="eastAsia" w:ascii="黑体" w:hAnsi="黑体" w:eastAsia="黑体"/>
          <w:color w:val="auto"/>
          <w:sz w:val="32"/>
          <w:szCs w:val="32"/>
          <w:lang w:val="en-US" w:eastAsia="zh-CN"/>
        </w:rPr>
        <w:t>6</w:t>
      </w:r>
      <w:r>
        <w:rPr>
          <w:rFonts w:hint="eastAsia" w:ascii="黑体" w:hAnsi="黑体" w:eastAsia="黑体"/>
          <w:color w:val="auto"/>
          <w:sz w:val="32"/>
          <w:szCs w:val="32"/>
        </w:rPr>
        <w:t>年</w:t>
      </w:r>
      <w:r>
        <w:rPr>
          <w:rFonts w:hint="eastAsia" w:ascii="黑体" w:hAnsi="黑体" w:eastAsia="黑体"/>
          <w:color w:val="auto"/>
          <w:sz w:val="32"/>
          <w:szCs w:val="32"/>
          <w:lang w:val="en-US" w:eastAsia="zh-CN"/>
        </w:rPr>
        <w:t>本溪市溪湖区商务</w:t>
      </w:r>
      <w:r>
        <w:rPr>
          <w:rFonts w:hint="eastAsia" w:ascii="黑体" w:hAnsi="黑体" w:eastAsia="黑体"/>
          <w:color w:val="auto"/>
          <w:sz w:val="32"/>
          <w:szCs w:val="32"/>
        </w:rPr>
        <w:t>局</w:t>
      </w:r>
      <w:r>
        <w:rPr>
          <w:rFonts w:hint="eastAsia" w:ascii="黑体" w:hAnsi="黑体" w:eastAsia="黑体"/>
          <w:color w:val="auto"/>
          <w:sz w:val="32"/>
          <w:szCs w:val="32"/>
          <w:lang w:val="en-US" w:eastAsia="zh-CN"/>
        </w:rPr>
        <w:t>本级</w:t>
      </w:r>
      <w:r>
        <w:rPr>
          <w:rFonts w:hint="eastAsia" w:ascii="黑体" w:hAnsi="黑体" w:eastAsia="黑体"/>
          <w:color w:val="auto"/>
          <w:sz w:val="32"/>
          <w:szCs w:val="32"/>
        </w:rPr>
        <w:t>部门预算批复表</w:t>
      </w:r>
    </w:p>
    <w:p w14:paraId="5C3ED109">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一、收支预算总表</w:t>
      </w:r>
    </w:p>
    <w:p w14:paraId="199418BE">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二、收入预算总表</w:t>
      </w:r>
    </w:p>
    <w:p w14:paraId="511B9F58">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三、支出预算总表</w:t>
      </w:r>
    </w:p>
    <w:p w14:paraId="1E8EE60C">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四、财政拨款收支预算总表</w:t>
      </w:r>
    </w:p>
    <w:p w14:paraId="63B619A0">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五、一般公共预算支出表</w:t>
      </w:r>
    </w:p>
    <w:p w14:paraId="35158970">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六、一般公共预算基本支出表</w:t>
      </w:r>
    </w:p>
    <w:p w14:paraId="724DFCAA">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七、财政拨款预算“三公”经费支出表</w:t>
      </w:r>
    </w:p>
    <w:p w14:paraId="49A19593">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八、政府性基金预算支出表</w:t>
      </w:r>
    </w:p>
    <w:p w14:paraId="530F9207">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九、项目支出预算表</w:t>
      </w:r>
    </w:p>
    <w:p w14:paraId="03C6D8BD">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十、支出功能分类预算表</w:t>
      </w:r>
    </w:p>
    <w:p w14:paraId="15895CF1">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十一、支出经济分类预算表（政府预算）</w:t>
      </w:r>
    </w:p>
    <w:p w14:paraId="2B1F269B">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十二、支出经济分类预算表（部门预算）</w:t>
      </w:r>
    </w:p>
    <w:p w14:paraId="00E83A12">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十三、债务支出预算表</w:t>
      </w:r>
    </w:p>
    <w:p w14:paraId="72D31B25">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十四、政府采购支出预算表</w:t>
      </w:r>
    </w:p>
    <w:p w14:paraId="4AF2ECCD">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十五、政府购买服务支出预算表</w:t>
      </w:r>
    </w:p>
    <w:p w14:paraId="052BA77F">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十六、部门（单位）整体绩效目标表</w:t>
      </w:r>
    </w:p>
    <w:p w14:paraId="77D21E7B">
      <w:pPr>
        <w:ind w:firstLine="1600" w:firstLineChars="500"/>
        <w:rPr>
          <w:rFonts w:hint="eastAsia" w:ascii="仿宋" w:hAnsi="仿宋" w:eastAsia="仿宋" w:cs="仿宋"/>
          <w:color w:val="auto"/>
          <w:sz w:val="32"/>
          <w:szCs w:val="32"/>
        </w:rPr>
      </w:pPr>
      <w:r>
        <w:rPr>
          <w:rFonts w:hint="eastAsia" w:ascii="仿宋" w:hAnsi="仿宋" w:eastAsia="仿宋" w:cs="仿宋"/>
          <w:color w:val="auto"/>
          <w:sz w:val="32"/>
          <w:szCs w:val="32"/>
        </w:rPr>
        <w:t>十七、部门预算项目（政策）绩效目标表</w:t>
      </w:r>
    </w:p>
    <w:p w14:paraId="51689650">
      <w:pPr>
        <w:ind w:firstLine="1600" w:firstLineChars="500"/>
        <w:rPr>
          <w:rFonts w:ascii="仿宋" w:hAnsi="仿宋" w:eastAsia="仿宋" w:cs="仿宋"/>
          <w:color w:val="auto"/>
          <w:sz w:val="32"/>
          <w:szCs w:val="32"/>
        </w:rPr>
      </w:pPr>
      <w:r>
        <w:rPr>
          <w:rFonts w:hint="eastAsia" w:ascii="仿宋" w:hAnsi="仿宋" w:eastAsia="仿宋" w:cs="仿宋"/>
          <w:color w:val="auto"/>
          <w:sz w:val="32"/>
          <w:szCs w:val="32"/>
        </w:rPr>
        <w:t xml:space="preserve">十八、部门管理专项资金预算表   </w:t>
      </w:r>
    </w:p>
    <w:p w14:paraId="5F05EEAC">
      <w:pPr>
        <w:jc w:val="center"/>
        <w:rPr>
          <w:rFonts w:hint="eastAsia" w:ascii="宋体" w:hAnsi="宋体"/>
          <w:b/>
          <w:color w:val="auto"/>
          <w:sz w:val="36"/>
          <w:szCs w:val="36"/>
        </w:rPr>
      </w:pPr>
      <w:r>
        <w:rPr>
          <w:rFonts w:hint="eastAsia" w:ascii="黑体" w:hAnsi="黑体" w:eastAsia="黑体"/>
          <w:color w:val="auto"/>
          <w:sz w:val="32"/>
          <w:szCs w:val="32"/>
        </w:rPr>
        <w:br w:type="page"/>
      </w:r>
      <w:r>
        <w:rPr>
          <w:rFonts w:hint="eastAsia" w:ascii="宋体" w:hAnsi="宋体"/>
          <w:b/>
          <w:color w:val="auto"/>
          <w:sz w:val="36"/>
          <w:szCs w:val="36"/>
        </w:rPr>
        <w:t>第一部分 部门预算公开管理文件</w:t>
      </w:r>
    </w:p>
    <w:p w14:paraId="4E55CE5F">
      <w:pPr>
        <w:widowControl/>
        <w:spacing w:line="480" w:lineRule="auto"/>
        <w:ind w:firstLine="640" w:firstLineChars="200"/>
        <w:jc w:val="left"/>
        <w:rPr>
          <w:rFonts w:hint="eastAsia" w:ascii="仿宋_GB2312" w:hAnsi="宋体" w:eastAsia="仿宋_GB2312" w:cs="宋体"/>
          <w:color w:val="auto"/>
          <w:kern w:val="0"/>
          <w:sz w:val="32"/>
          <w:szCs w:val="32"/>
        </w:rPr>
      </w:pPr>
    </w:p>
    <w:p w14:paraId="157F7BC4">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关于印发&lt;</w:t>
      </w:r>
      <w:r>
        <w:rPr>
          <w:rFonts w:eastAsia="仿宋_GB2312"/>
          <w:color w:val="auto"/>
          <w:kern w:val="0"/>
          <w:sz w:val="32"/>
          <w:szCs w:val="32"/>
        </w:rPr>
        <w:t>本溪市财政局</w:t>
      </w:r>
      <w:r>
        <w:rPr>
          <w:rFonts w:hint="eastAsia" w:ascii="仿宋_GB2312" w:hAnsi="宋体" w:eastAsia="仿宋_GB2312" w:cs="宋体"/>
          <w:color w:val="auto"/>
          <w:kern w:val="0"/>
          <w:sz w:val="32"/>
          <w:szCs w:val="32"/>
        </w:rPr>
        <w:t>部门预决算信息公开管理办法（试行）&gt;的通知(</w:t>
      </w:r>
      <w:r>
        <w:rPr>
          <w:rFonts w:eastAsia="仿宋_GB2312"/>
          <w:color w:val="auto"/>
          <w:kern w:val="0"/>
          <w:sz w:val="32"/>
          <w:szCs w:val="32"/>
        </w:rPr>
        <w:t>本财发〔2020〕36号</w:t>
      </w:r>
      <w:r>
        <w:rPr>
          <w:rFonts w:hint="eastAsia" w:ascii="仿宋_GB2312" w:hAnsi="宋体" w:eastAsia="仿宋_GB2312" w:cs="宋体"/>
          <w:color w:val="auto"/>
          <w:kern w:val="0"/>
          <w:sz w:val="32"/>
          <w:szCs w:val="32"/>
        </w:rPr>
        <w:t>)</w:t>
      </w:r>
    </w:p>
    <w:p w14:paraId="340C8455">
      <w:pPr>
        <w:widowControl/>
        <w:spacing w:line="480" w:lineRule="auto"/>
        <w:ind w:firstLine="640" w:firstLineChars="200"/>
        <w:jc w:val="left"/>
        <w:rPr>
          <w:rFonts w:hint="eastAsia" w:ascii="仿宋_GB2312" w:hAnsi="宋体" w:eastAsia="仿宋_GB2312" w:cs="宋体"/>
          <w:color w:val="auto"/>
          <w:kern w:val="0"/>
          <w:sz w:val="32"/>
          <w:szCs w:val="32"/>
        </w:rPr>
      </w:pPr>
      <w:r>
        <w:rPr>
          <w:rFonts w:eastAsia="仿宋_GB2312"/>
          <w:color w:val="auto"/>
          <w:kern w:val="0"/>
          <w:sz w:val="32"/>
          <w:szCs w:val="32"/>
        </w:rPr>
        <w:t>本溪市财政局部门预决算信息公开管理办法</w:t>
      </w:r>
      <w:r>
        <w:rPr>
          <w:rFonts w:hint="eastAsia" w:ascii="仿宋_GB2312" w:hAnsi="宋体" w:eastAsia="仿宋_GB2312" w:cs="宋体"/>
          <w:color w:val="auto"/>
          <w:kern w:val="0"/>
          <w:sz w:val="32"/>
          <w:szCs w:val="32"/>
        </w:rPr>
        <w:t>（试行）</w:t>
      </w:r>
    </w:p>
    <w:p w14:paraId="0C5AD6E7">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第一条 为推进和规范预决算信息公开工作，强化社会监督，</w:t>
      </w:r>
    </w:p>
    <w:p w14:paraId="747D2C23">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促进依法理财，建立透明预算制度，根据《中华人民共和国预算</w:t>
      </w:r>
    </w:p>
    <w:p w14:paraId="6BB60B64">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法》和《中华人民共和国政府信息公开条例》等有关规定，结合</w:t>
      </w:r>
    </w:p>
    <w:p w14:paraId="7138D49A">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我局实际，制定本办法。</w:t>
      </w:r>
    </w:p>
    <w:p w14:paraId="70A38603">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第二条 本办法适用于</w:t>
      </w:r>
      <w:r>
        <w:rPr>
          <w:rFonts w:hint="eastAsia" w:ascii="仿宋_GB2312" w:hAnsi="宋体" w:eastAsia="仿宋_GB2312" w:cs="宋体"/>
          <w:color w:val="auto"/>
          <w:kern w:val="0"/>
          <w:sz w:val="32"/>
          <w:szCs w:val="32"/>
          <w:lang w:val="en-US" w:eastAsia="zh-CN"/>
        </w:rPr>
        <w:t>本溪市溪湖区商务</w:t>
      </w:r>
      <w:r>
        <w:rPr>
          <w:rFonts w:hint="eastAsia" w:ascii="仿宋_GB2312" w:hAnsi="宋体" w:eastAsia="仿宋_GB2312" w:cs="宋体"/>
          <w:color w:val="auto"/>
          <w:kern w:val="0"/>
          <w:sz w:val="32"/>
          <w:szCs w:val="32"/>
        </w:rPr>
        <w:t>局部门预决算信息公开管理。</w:t>
      </w:r>
    </w:p>
    <w:p w14:paraId="48AB369B">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第三条 本办法所称部门预决算信息包括预算收支安排、预算</w:t>
      </w:r>
    </w:p>
    <w:p w14:paraId="29B081F4">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执行、决算数据等。</w:t>
      </w:r>
    </w:p>
    <w:p w14:paraId="2F2CAFB6">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第四条 预决算信息公开的原则：以公开为常态，不公开为例</w:t>
      </w:r>
    </w:p>
    <w:p w14:paraId="44DB73EF">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外，依法依规公开预决算。除涉及国家秘密外，不得少公开、不公开应当公开的事项，确保预决算信息公开及时、准确和完整。</w:t>
      </w:r>
    </w:p>
    <w:p w14:paraId="79664777">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第五条</w:t>
      </w:r>
      <w:r>
        <w:rPr>
          <w:rFonts w:hint="eastAsia" w:ascii="仿宋_GB2312" w:hAnsi="宋体" w:eastAsia="仿宋_GB2312" w:cs="宋体"/>
          <w:color w:val="auto"/>
          <w:kern w:val="0"/>
          <w:sz w:val="32"/>
          <w:szCs w:val="32"/>
          <w:lang w:val="en-US" w:eastAsia="zh-CN"/>
        </w:rPr>
        <w:t xml:space="preserve"> 办公室</w:t>
      </w:r>
      <w:r>
        <w:rPr>
          <w:rFonts w:hint="eastAsia" w:ascii="仿宋_GB2312" w:hAnsi="宋体" w:eastAsia="仿宋_GB2312" w:cs="宋体"/>
          <w:color w:val="auto"/>
          <w:kern w:val="0"/>
          <w:sz w:val="32"/>
          <w:szCs w:val="32"/>
        </w:rPr>
        <w:t>负责部门预决算信息公开工作，履行下列职责：</w:t>
      </w:r>
    </w:p>
    <w:p w14:paraId="45469655">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（一）制定部门预决算信息公开的工作方案；</w:t>
      </w:r>
    </w:p>
    <w:p w14:paraId="73543415">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（二）按规定公开部门预决算信息；</w:t>
      </w:r>
    </w:p>
    <w:p w14:paraId="65DC0592">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（三）按规定做好公民、法人或者其他组织依申请公开部门预决算信息的答复工作。</w:t>
      </w:r>
    </w:p>
    <w:p w14:paraId="53E0281E">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第六条 部门预决算信息公开内容包括：</w:t>
      </w:r>
    </w:p>
    <w:p w14:paraId="7CF5F07A">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（一）部门文件。部门预决算信息公开管理办法。</w:t>
      </w:r>
    </w:p>
    <w:p w14:paraId="5AA16E7F">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（二）部门概况。包括部门职责、机构设置、实有人员等情</w:t>
      </w:r>
    </w:p>
    <w:p w14:paraId="21749B02">
      <w:pPr>
        <w:widowControl/>
        <w:spacing w:line="480" w:lineRule="auto"/>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况。</w:t>
      </w:r>
    </w:p>
    <w:p w14:paraId="341C0585">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（三）预决算收支情况表。包括部门收支总体情况、财政拨款安排使用情况、“三公”经费财政拨款安排使用情况等。</w:t>
      </w:r>
    </w:p>
    <w:p w14:paraId="425D70A6">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（四）情况说明。包括预决算年度收支、机关运行经费、政府采购、“三公”经费、国有资产占有使用和项目支出绩效目标等情况说明。</w:t>
      </w:r>
    </w:p>
    <w:p w14:paraId="725CD1BD">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（五）名词解释。对预决算相关专业名词进行解释说明。</w:t>
      </w:r>
    </w:p>
    <w:p w14:paraId="0EE9DD03">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第七条 部门预决算信息在本溪市溪湖区政府网站“预决算”专栏公开，并保持长期公开状态，便于社会公众查询监督。</w:t>
      </w:r>
    </w:p>
    <w:p w14:paraId="031F837E">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第八条 经</w:t>
      </w:r>
      <w:r>
        <w:rPr>
          <w:rFonts w:hint="eastAsia" w:ascii="仿宋_GB2312" w:hAnsi="宋体" w:eastAsia="仿宋_GB2312" w:cs="宋体"/>
          <w:color w:val="auto"/>
          <w:kern w:val="0"/>
          <w:sz w:val="32"/>
          <w:szCs w:val="32"/>
          <w:lang w:val="en-US" w:eastAsia="zh-CN"/>
        </w:rPr>
        <w:t>区</w:t>
      </w:r>
      <w:r>
        <w:rPr>
          <w:rFonts w:hint="eastAsia" w:ascii="仿宋_GB2312" w:hAnsi="宋体" w:eastAsia="仿宋_GB2312" w:cs="宋体"/>
          <w:color w:val="auto"/>
          <w:kern w:val="0"/>
          <w:sz w:val="32"/>
          <w:szCs w:val="32"/>
        </w:rPr>
        <w:t>财政局批复的部门预决算及报表，应当在批复后20 日内公开。</w:t>
      </w:r>
    </w:p>
    <w:p w14:paraId="48170D5F">
      <w:pPr>
        <w:widowControl/>
        <w:spacing w:line="480" w:lineRule="auto"/>
        <w:ind w:firstLine="640" w:firstLineChars="200"/>
        <w:jc w:val="left"/>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第九条 本办法自印发之日起实行。</w:t>
      </w:r>
    </w:p>
    <w:p w14:paraId="3E398F21">
      <w:pPr>
        <w:jc w:val="center"/>
        <w:rPr>
          <w:rFonts w:hint="eastAsia" w:ascii="宋体" w:hAnsi="宋体"/>
          <w:b/>
          <w:color w:val="auto"/>
          <w:sz w:val="36"/>
          <w:szCs w:val="36"/>
        </w:rPr>
      </w:pPr>
    </w:p>
    <w:p w14:paraId="157EDF9C">
      <w:pPr>
        <w:jc w:val="center"/>
        <w:rPr>
          <w:rFonts w:hint="eastAsia" w:ascii="宋体" w:hAnsi="宋体"/>
          <w:b/>
          <w:color w:val="auto"/>
          <w:sz w:val="36"/>
          <w:szCs w:val="36"/>
        </w:rPr>
      </w:pPr>
    </w:p>
    <w:p w14:paraId="78843295">
      <w:pPr>
        <w:jc w:val="center"/>
        <w:rPr>
          <w:rFonts w:hint="eastAsia" w:ascii="宋体" w:hAnsi="宋体"/>
          <w:b/>
          <w:color w:val="auto"/>
          <w:sz w:val="36"/>
          <w:szCs w:val="36"/>
        </w:rPr>
      </w:pPr>
    </w:p>
    <w:p w14:paraId="6E910683">
      <w:pPr>
        <w:jc w:val="center"/>
        <w:rPr>
          <w:rFonts w:hint="eastAsia" w:ascii="宋体" w:hAnsi="宋体"/>
          <w:b/>
          <w:color w:val="auto"/>
          <w:sz w:val="36"/>
          <w:szCs w:val="36"/>
        </w:rPr>
      </w:pPr>
    </w:p>
    <w:p w14:paraId="276C8D59">
      <w:pPr>
        <w:jc w:val="center"/>
        <w:rPr>
          <w:rFonts w:hint="eastAsia" w:ascii="宋体" w:hAnsi="宋体"/>
          <w:b/>
          <w:color w:val="auto"/>
          <w:sz w:val="36"/>
          <w:szCs w:val="36"/>
        </w:rPr>
      </w:pPr>
    </w:p>
    <w:p w14:paraId="23FF748D">
      <w:pPr>
        <w:jc w:val="center"/>
        <w:rPr>
          <w:rFonts w:hint="eastAsia" w:ascii="宋体" w:hAnsi="宋体"/>
          <w:b/>
          <w:color w:val="auto"/>
          <w:sz w:val="36"/>
          <w:szCs w:val="36"/>
        </w:rPr>
      </w:pPr>
    </w:p>
    <w:p w14:paraId="5F3298C4">
      <w:pPr>
        <w:jc w:val="center"/>
        <w:rPr>
          <w:rFonts w:hint="eastAsia" w:ascii="宋体" w:hAnsi="宋体"/>
          <w:b/>
          <w:color w:val="auto"/>
          <w:sz w:val="36"/>
          <w:szCs w:val="36"/>
        </w:rPr>
      </w:pPr>
    </w:p>
    <w:p w14:paraId="2D5DA094">
      <w:pPr>
        <w:jc w:val="center"/>
        <w:rPr>
          <w:rFonts w:hint="eastAsia" w:ascii="宋体" w:hAnsi="宋体"/>
          <w:b/>
          <w:color w:val="auto"/>
          <w:sz w:val="36"/>
          <w:szCs w:val="36"/>
        </w:rPr>
      </w:pPr>
    </w:p>
    <w:p w14:paraId="27BCBC0D">
      <w:pPr>
        <w:jc w:val="center"/>
        <w:rPr>
          <w:rFonts w:hint="eastAsia" w:ascii="宋体" w:hAnsi="宋体"/>
          <w:b/>
          <w:color w:val="auto"/>
          <w:sz w:val="36"/>
          <w:szCs w:val="36"/>
        </w:rPr>
      </w:pPr>
      <w:r>
        <w:rPr>
          <w:rFonts w:hint="eastAsia" w:ascii="宋体" w:hAnsi="宋体"/>
          <w:b/>
          <w:color w:val="auto"/>
          <w:sz w:val="36"/>
          <w:szCs w:val="36"/>
        </w:rPr>
        <w:t xml:space="preserve">第二部分 </w:t>
      </w:r>
      <w:r>
        <w:rPr>
          <w:rFonts w:hint="eastAsia" w:ascii="宋体" w:hAnsi="宋体"/>
          <w:b/>
          <w:color w:val="auto"/>
          <w:sz w:val="36"/>
          <w:szCs w:val="36"/>
          <w:lang w:val="en-US" w:eastAsia="zh-CN"/>
        </w:rPr>
        <w:t>本溪市溪湖区商务</w:t>
      </w:r>
      <w:r>
        <w:rPr>
          <w:rFonts w:hint="eastAsia" w:ascii="宋体" w:hAnsi="宋体"/>
          <w:b/>
          <w:color w:val="auto"/>
          <w:sz w:val="36"/>
          <w:szCs w:val="36"/>
        </w:rPr>
        <w:t>局</w:t>
      </w:r>
      <w:r>
        <w:rPr>
          <w:rFonts w:hint="eastAsia" w:ascii="宋体" w:hAnsi="宋体"/>
          <w:b/>
          <w:color w:val="auto"/>
          <w:sz w:val="36"/>
          <w:szCs w:val="36"/>
          <w:lang w:val="en-US" w:eastAsia="zh-CN"/>
        </w:rPr>
        <w:t>本级</w:t>
      </w:r>
      <w:r>
        <w:rPr>
          <w:rFonts w:hint="eastAsia" w:ascii="宋体" w:hAnsi="宋体"/>
          <w:b/>
          <w:color w:val="auto"/>
          <w:sz w:val="36"/>
          <w:szCs w:val="36"/>
        </w:rPr>
        <w:t>概况</w:t>
      </w:r>
    </w:p>
    <w:p w14:paraId="026B5B54">
      <w:pPr>
        <w:ind w:firstLine="640" w:firstLineChars="200"/>
        <w:jc w:val="left"/>
        <w:rPr>
          <w:rFonts w:hint="eastAsia" w:ascii="黑体" w:eastAsia="黑体"/>
          <w:color w:val="auto"/>
          <w:sz w:val="32"/>
          <w:szCs w:val="32"/>
        </w:rPr>
      </w:pPr>
    </w:p>
    <w:p w14:paraId="6D0A1234">
      <w:pPr>
        <w:ind w:firstLine="640" w:firstLineChars="200"/>
        <w:jc w:val="left"/>
        <w:rPr>
          <w:rFonts w:hint="eastAsia" w:ascii="黑体" w:eastAsia="黑体"/>
          <w:color w:val="auto"/>
          <w:sz w:val="32"/>
          <w:szCs w:val="32"/>
        </w:rPr>
      </w:pPr>
      <w:r>
        <w:rPr>
          <w:rFonts w:hint="eastAsia" w:ascii="黑体" w:eastAsia="黑体"/>
          <w:color w:val="auto"/>
          <w:sz w:val="32"/>
          <w:szCs w:val="32"/>
        </w:rPr>
        <w:t>一、部门职责</w:t>
      </w:r>
    </w:p>
    <w:p w14:paraId="00233FAB">
      <w:pPr>
        <w:widowControl/>
        <w:spacing w:line="480" w:lineRule="auto"/>
        <w:ind w:firstLine="640" w:firstLineChars="200"/>
        <w:jc w:val="left"/>
        <w:rPr>
          <w:rFonts w:hint="eastAsia" w:ascii="仿宋_GB2312" w:eastAsia="仿宋_GB2312"/>
          <w:color w:val="auto"/>
          <w:sz w:val="32"/>
          <w:szCs w:val="32"/>
        </w:rPr>
      </w:pPr>
      <w:r>
        <w:rPr>
          <w:rFonts w:hint="eastAsia" w:ascii="仿宋_GB2312" w:hAnsi="宋体" w:eastAsia="仿宋_GB2312" w:cs="仿宋_GB2312"/>
          <w:color w:val="auto"/>
          <w:kern w:val="0"/>
          <w:sz w:val="32"/>
          <w:szCs w:val="32"/>
          <w:u w:val="none"/>
        </w:rPr>
        <w:t>（一）贯彻执行国家和省市有关国内外贸易、利用外资和国际经济技术合作的发展战略、方针、政策。</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（二）贯彻执行国家的对外方针政策、涉外法规以及区委和区政府关于外事、港澳工作的决定。 </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（三）负责研究全区内、外贸发展及招商引资等重大问题，负责汇总全区内、外贸发展及招商引资的总体情况。 </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（四）负责推进商贸流通产业机构调整，指导商贸流通业改革、商贸服务业和社区商业发展。    </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（五）拟订全区商贸流通业发展规划，促进城乡市场发展。 </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（六）承担牵头协调整顿和规范市场经济秩序工作的责任。</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（七）承担组织实施重要消费品市场调控和重要生产资料流通管理职责。</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（八）指导全区招商引资工作，拟定和修改全区有关招商引资工作的规划计划、政策措施，组织、管理和协调全区招商引资工作。负责收集、整理、统计招商引资项目，组织实施全区招商引资活动。</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（九）贯彻落实国家对外贸易政策，拟订全区对外贸易中长期发展规划、政策和措施，推进全区对外贸易发展体系建设。</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（十）执行国家对外技术贸易、出口管制以及鼓励技术和成套设备进出口的贸易政策。</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（十一）牵头拟订全区服务贸易中长期发展规划并开展相关工作，组织实施服务出口和服务外包发展计划，推动服务外包平台建设。</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（十二）承担组织协调反倾销、反补贴、保障措施及其他与进出口公平贸易相关工作的责任。</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（十三）负责对外经济贸易协调工作，参与区域间自由贸易试验区合作建设，参与开展政府间多双边经贸交流合作。</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（十四）指导协调全区外商投资工作，按规定审核区级权限内外商投资企业的设立及变更事项。</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（十五）负责国有商业企业改革和国有、集体商业企业的处置工作及资产监管工作。</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（十六）负责全区对外投资与经济合作工作，执行促进对外经济技术合作的政策。</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（十七）管理我区与外国友好城市、友好区（县）以及其他结好单位的交往活动，办理对外结好的报批手续，指导我区民间对外交往工作。</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（十八）贯彻执行国家对香港、澳门工作的方针、政策，负责我区涉及香港、澳门有关事务。</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（十九）组织接待来我区进行公务活动的国宾、党宾、外国驻华外交人员和其他重要外宾，统筹安排区委、区人大、区政府和区政协领导的外事活动。</w:t>
      </w:r>
      <w:r>
        <w:rPr>
          <w:rFonts w:hint="eastAsia" w:ascii="仿宋_GB2312" w:hAnsi="宋体" w:eastAsia="仿宋_GB2312" w:cs="仿宋_GB2312"/>
          <w:color w:val="auto"/>
          <w:kern w:val="0"/>
          <w:sz w:val="32"/>
          <w:szCs w:val="32"/>
          <w:u w:val="none"/>
        </w:rPr>
        <w:br w:type="textWrapping"/>
      </w:r>
      <w:r>
        <w:rPr>
          <w:rFonts w:hint="eastAsia" w:ascii="仿宋_GB2312" w:hAnsi="宋体" w:eastAsia="仿宋_GB2312" w:cs="仿宋_GB2312"/>
          <w:color w:val="auto"/>
          <w:kern w:val="0"/>
          <w:sz w:val="32"/>
          <w:szCs w:val="32"/>
          <w:u w:val="none"/>
        </w:rPr>
        <w:t xml:space="preserve">    （二十）承办区委、区政府和区委外事工作委员</w:t>
      </w:r>
      <w:r>
        <w:rPr>
          <w:rFonts w:hint="eastAsia" w:ascii="仿宋_GB2312" w:hAnsi="宋体" w:eastAsia="仿宋_GB2312" w:cs="仿宋_GB2312"/>
          <w:color w:val="auto"/>
          <w:kern w:val="0"/>
          <w:sz w:val="32"/>
          <w:szCs w:val="32"/>
          <w:u w:val="none"/>
          <w:lang w:val="en-US" w:eastAsia="zh-CN"/>
        </w:rPr>
        <w:t>会</w:t>
      </w:r>
      <w:bookmarkStart w:id="1" w:name="_GoBack"/>
      <w:bookmarkEnd w:id="1"/>
      <w:r>
        <w:rPr>
          <w:rFonts w:hint="eastAsia" w:ascii="仿宋_GB2312" w:hAnsi="宋体" w:eastAsia="仿宋_GB2312" w:cs="仿宋_GB2312"/>
          <w:color w:val="auto"/>
          <w:kern w:val="0"/>
          <w:sz w:val="32"/>
          <w:szCs w:val="32"/>
          <w:u w:val="none"/>
        </w:rPr>
        <w:t>交办的其他事项。</w:t>
      </w:r>
    </w:p>
    <w:p w14:paraId="02007CB7">
      <w:pPr>
        <w:ind w:firstLine="640" w:firstLineChars="200"/>
        <w:jc w:val="left"/>
        <w:rPr>
          <w:rFonts w:hint="eastAsia" w:ascii="黑体" w:eastAsia="黑体"/>
          <w:color w:val="auto"/>
          <w:sz w:val="32"/>
          <w:szCs w:val="32"/>
        </w:rPr>
      </w:pPr>
      <w:r>
        <w:rPr>
          <w:rFonts w:hint="eastAsia" w:ascii="黑体" w:eastAsia="黑体"/>
          <w:color w:val="auto"/>
          <w:sz w:val="32"/>
          <w:szCs w:val="32"/>
        </w:rPr>
        <w:t>二、机构设置</w:t>
      </w:r>
    </w:p>
    <w:p w14:paraId="6FF044AD">
      <w:pPr>
        <w:ind w:firstLine="640" w:firstLineChars="200"/>
        <w:jc w:val="left"/>
        <w:rPr>
          <w:rFonts w:hint="eastAsia" w:ascii="仿宋_GB2312" w:eastAsia="仿宋_GB2312"/>
          <w:color w:val="auto"/>
          <w:sz w:val="32"/>
          <w:szCs w:val="32"/>
        </w:rPr>
      </w:pPr>
      <w:r>
        <w:rPr>
          <w:rFonts w:hint="eastAsia" w:ascii="仿宋_GB2312" w:eastAsia="仿宋_GB2312"/>
          <w:color w:val="auto"/>
          <w:sz w:val="32"/>
          <w:szCs w:val="32"/>
        </w:rPr>
        <w:t>纳入</w:t>
      </w:r>
      <w:r>
        <w:rPr>
          <w:rFonts w:hint="eastAsia" w:ascii="仿宋_GB2312" w:eastAsia="仿宋_GB2312"/>
          <w:color w:val="auto"/>
          <w:sz w:val="32"/>
          <w:szCs w:val="32"/>
          <w:lang w:val="en-US" w:eastAsia="zh-CN"/>
        </w:rPr>
        <w:t>本溪市溪湖区商务</w:t>
      </w:r>
      <w:r>
        <w:rPr>
          <w:rFonts w:hint="eastAsia" w:ascii="仿宋_GB2312" w:eastAsia="仿宋_GB2312"/>
          <w:color w:val="auto"/>
          <w:sz w:val="32"/>
          <w:szCs w:val="32"/>
        </w:rPr>
        <w:t>局</w:t>
      </w:r>
      <w:r>
        <w:rPr>
          <w:rFonts w:hint="eastAsia" w:ascii="仿宋_GB2312" w:eastAsia="仿宋_GB2312"/>
          <w:color w:val="auto"/>
          <w:sz w:val="32"/>
          <w:szCs w:val="32"/>
          <w:lang w:val="en-US" w:eastAsia="zh-CN"/>
        </w:rPr>
        <w:t>本级</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年部门预算编制范围的二级预算单位包括：</w:t>
      </w:r>
    </w:p>
    <w:p w14:paraId="48BD58A2">
      <w:pPr>
        <w:jc w:val="left"/>
        <w:rPr>
          <w:rFonts w:hint="eastAsia" w:ascii="宋体" w:hAnsi="宋体"/>
          <w:b/>
          <w:color w:val="auto"/>
          <w:sz w:val="36"/>
          <w:szCs w:val="36"/>
        </w:rPr>
      </w:pPr>
      <w:r>
        <w:rPr>
          <w:rFonts w:hint="eastAsia" w:ascii="仿宋_GB2312" w:eastAsia="仿宋_GB2312"/>
          <w:color w:val="auto"/>
          <w:sz w:val="32"/>
          <w:szCs w:val="32"/>
        </w:rPr>
        <w:t xml:space="preserve">    （一）</w:t>
      </w:r>
      <w:r>
        <w:rPr>
          <w:rFonts w:hint="eastAsia" w:ascii="仿宋_GB2312" w:eastAsia="仿宋_GB2312"/>
          <w:color w:val="auto"/>
          <w:sz w:val="32"/>
          <w:szCs w:val="32"/>
          <w:lang w:val="en-US" w:eastAsia="zh-CN"/>
        </w:rPr>
        <w:t>本溪市溪湖区商务局本级</w:t>
      </w:r>
    </w:p>
    <w:p w14:paraId="00E2ED24">
      <w:pPr>
        <w:jc w:val="center"/>
        <w:rPr>
          <w:rFonts w:hint="eastAsia" w:ascii="宋体" w:hAnsi="宋体"/>
          <w:b/>
          <w:color w:val="auto"/>
          <w:sz w:val="36"/>
          <w:szCs w:val="36"/>
        </w:rPr>
      </w:pPr>
    </w:p>
    <w:p w14:paraId="618292BA">
      <w:pPr>
        <w:jc w:val="center"/>
        <w:rPr>
          <w:rFonts w:hint="eastAsia" w:ascii="宋体" w:hAnsi="宋体"/>
          <w:b/>
          <w:color w:val="auto"/>
          <w:sz w:val="36"/>
          <w:szCs w:val="36"/>
        </w:rPr>
      </w:pPr>
      <w:r>
        <w:rPr>
          <w:rFonts w:hint="eastAsia" w:ascii="宋体" w:hAnsi="宋体"/>
          <w:b/>
          <w:color w:val="auto"/>
          <w:sz w:val="36"/>
          <w:szCs w:val="36"/>
        </w:rPr>
        <w:t xml:space="preserve">第三部分 </w:t>
      </w:r>
      <w:r>
        <w:rPr>
          <w:rFonts w:hint="eastAsia" w:ascii="宋体" w:hAnsi="宋体"/>
          <w:b/>
          <w:color w:val="auto"/>
          <w:sz w:val="36"/>
          <w:szCs w:val="36"/>
          <w:lang w:val="en-US" w:eastAsia="zh-CN"/>
        </w:rPr>
        <w:t>本溪市溪湖区商务</w:t>
      </w:r>
      <w:r>
        <w:rPr>
          <w:rFonts w:hint="eastAsia" w:ascii="宋体" w:hAnsi="宋体"/>
          <w:b/>
          <w:color w:val="auto"/>
          <w:sz w:val="36"/>
          <w:szCs w:val="36"/>
        </w:rPr>
        <w:t>局</w:t>
      </w:r>
      <w:r>
        <w:rPr>
          <w:rFonts w:hint="eastAsia" w:ascii="宋体" w:hAnsi="宋体"/>
          <w:b/>
          <w:color w:val="auto"/>
          <w:sz w:val="36"/>
          <w:szCs w:val="36"/>
          <w:lang w:val="en-US" w:eastAsia="zh-CN"/>
        </w:rPr>
        <w:t>本级</w:t>
      </w:r>
      <w:r>
        <w:rPr>
          <w:rFonts w:hint="eastAsia" w:ascii="宋体" w:hAnsi="宋体"/>
          <w:b/>
          <w:color w:val="auto"/>
          <w:sz w:val="36"/>
          <w:szCs w:val="36"/>
        </w:rPr>
        <w:t>202</w:t>
      </w:r>
      <w:r>
        <w:rPr>
          <w:rFonts w:hint="eastAsia" w:ascii="宋体" w:hAnsi="宋体"/>
          <w:b/>
          <w:color w:val="auto"/>
          <w:sz w:val="36"/>
          <w:szCs w:val="36"/>
          <w:lang w:val="en-US" w:eastAsia="zh-CN"/>
        </w:rPr>
        <w:t>6</w:t>
      </w:r>
      <w:r>
        <w:rPr>
          <w:rFonts w:hint="eastAsia" w:ascii="宋体" w:hAnsi="宋体"/>
          <w:b/>
          <w:color w:val="auto"/>
          <w:sz w:val="36"/>
          <w:szCs w:val="36"/>
        </w:rPr>
        <w:t>年部门预算情况说明</w:t>
      </w:r>
    </w:p>
    <w:p w14:paraId="042EEDFC">
      <w:pPr>
        <w:rPr>
          <w:rFonts w:hint="eastAsia" w:ascii="宋体" w:hAnsi="宋体"/>
          <w:b/>
          <w:color w:val="auto"/>
          <w:sz w:val="36"/>
          <w:szCs w:val="36"/>
        </w:rPr>
      </w:pPr>
    </w:p>
    <w:p w14:paraId="375339CA">
      <w:pPr>
        <w:ind w:firstLine="627" w:firstLineChars="196"/>
        <w:rPr>
          <w:rFonts w:hint="eastAsia" w:ascii="仿宋_GB2312" w:hAnsi="宋体" w:eastAsia="仿宋_GB2312"/>
          <w:color w:val="auto"/>
          <w:sz w:val="32"/>
          <w:szCs w:val="32"/>
        </w:rPr>
      </w:pPr>
      <w:r>
        <w:rPr>
          <w:rFonts w:hint="eastAsia" w:ascii="黑体" w:hAnsi="黑体" w:eastAsia="黑体"/>
          <w:color w:val="auto"/>
          <w:sz w:val="32"/>
          <w:szCs w:val="32"/>
        </w:rPr>
        <w:t>一、综合预算收支指标情况</w:t>
      </w:r>
    </w:p>
    <w:p w14:paraId="6EAE7E40">
      <w:pPr>
        <w:ind w:firstLine="660"/>
        <w:rPr>
          <w:rFonts w:hint="eastAsia" w:ascii="仿宋_GB2312" w:hAnsi="宋体" w:eastAsia="仿宋_GB2312"/>
          <w:color w:val="auto"/>
          <w:sz w:val="32"/>
          <w:szCs w:val="32"/>
        </w:rPr>
      </w:pPr>
      <w:r>
        <w:rPr>
          <w:rFonts w:hint="eastAsia" w:ascii="仿宋_GB2312" w:hAnsi="宋体" w:eastAsia="仿宋_GB2312"/>
          <w:b/>
          <w:bCs/>
          <w:color w:val="auto"/>
          <w:sz w:val="32"/>
          <w:szCs w:val="32"/>
        </w:rPr>
        <w:t>（一）收入预算</w:t>
      </w:r>
      <w:r>
        <w:rPr>
          <w:rFonts w:hint="eastAsia" w:ascii="仿宋_GB2312" w:hAnsi="宋体" w:eastAsia="仿宋_GB2312"/>
          <w:b/>
          <w:bCs/>
          <w:color w:val="auto"/>
          <w:sz w:val="32"/>
          <w:szCs w:val="32"/>
          <w:lang w:val="en-US" w:eastAsia="zh-CN"/>
        </w:rPr>
        <w:t>84.53</w:t>
      </w:r>
      <w:r>
        <w:rPr>
          <w:rFonts w:hint="eastAsia" w:ascii="仿宋_GB2312" w:hAnsi="宋体" w:eastAsia="仿宋_GB2312"/>
          <w:b/>
          <w:bCs/>
          <w:color w:val="auto"/>
          <w:sz w:val="32"/>
          <w:szCs w:val="32"/>
        </w:rPr>
        <w:t>万元，</w:t>
      </w:r>
      <w:r>
        <w:rPr>
          <w:rFonts w:hint="eastAsia" w:ascii="仿宋_GB2312" w:hAnsi="宋体" w:eastAsia="仿宋_GB2312"/>
          <w:color w:val="auto"/>
          <w:sz w:val="32"/>
          <w:szCs w:val="32"/>
        </w:rPr>
        <w:t xml:space="preserve">其中： </w:t>
      </w:r>
    </w:p>
    <w:p w14:paraId="098FEEFE">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1.一般公共预算拨款收入</w:t>
      </w:r>
      <w:r>
        <w:rPr>
          <w:rFonts w:hint="eastAsia" w:ascii="仿宋_GB2312" w:hAnsi="宋体" w:eastAsia="仿宋_GB2312"/>
          <w:color w:val="auto"/>
          <w:sz w:val="32"/>
          <w:szCs w:val="32"/>
          <w:lang w:val="en-US" w:eastAsia="zh-CN"/>
        </w:rPr>
        <w:t>84.53</w:t>
      </w:r>
      <w:r>
        <w:rPr>
          <w:rFonts w:hint="eastAsia" w:ascii="仿宋_GB2312" w:hAnsi="宋体" w:eastAsia="仿宋_GB2312"/>
          <w:color w:val="auto"/>
          <w:sz w:val="32"/>
          <w:szCs w:val="32"/>
        </w:rPr>
        <w:t>万元；</w:t>
      </w:r>
    </w:p>
    <w:p w14:paraId="2D129244">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w:t>
      </w:r>
      <w:r>
        <w:rPr>
          <w:rFonts w:hint="eastAsia" w:ascii="仿宋_GB2312" w:eastAsia="仿宋_GB2312"/>
          <w:color w:val="auto"/>
          <w:sz w:val="32"/>
          <w:szCs w:val="32"/>
        </w:rPr>
        <w:t>政府性基金预算拨款收入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63380309">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w:t>
      </w:r>
      <w:r>
        <w:rPr>
          <w:rFonts w:hint="eastAsia" w:ascii="仿宋_GB2312" w:eastAsia="仿宋_GB2312"/>
          <w:color w:val="auto"/>
          <w:sz w:val="32"/>
          <w:szCs w:val="32"/>
        </w:rPr>
        <w:t>国有资本经营预算拨款收入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365FCCBC">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4.</w:t>
      </w:r>
      <w:r>
        <w:rPr>
          <w:rFonts w:hint="eastAsia" w:ascii="仿宋_GB2312" w:eastAsia="仿宋_GB2312"/>
          <w:color w:val="auto"/>
          <w:sz w:val="32"/>
          <w:szCs w:val="32"/>
        </w:rPr>
        <w:t>财政专户管理资金收入</w:t>
      </w:r>
      <w:r>
        <w:rPr>
          <w:rFonts w:hint="eastAsia" w:ascii="仿宋_GB2312" w:hAnsi="宋体" w:eastAsia="仿宋_GB2312"/>
          <w:color w:val="auto"/>
          <w:sz w:val="32"/>
          <w:szCs w:val="32"/>
          <w:lang w:val="en-US" w:eastAsia="zh-CN"/>
        </w:rPr>
        <w:t>0</w:t>
      </w:r>
      <w:r>
        <w:rPr>
          <w:rFonts w:hint="eastAsia" w:ascii="仿宋_GB2312" w:hAnsi="宋体" w:eastAsia="仿宋_GB2312"/>
          <w:color w:val="auto"/>
          <w:sz w:val="32"/>
          <w:szCs w:val="32"/>
        </w:rPr>
        <w:t>万元；</w:t>
      </w:r>
    </w:p>
    <w:p w14:paraId="6F6DA3EB">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5.</w:t>
      </w:r>
      <w:r>
        <w:rPr>
          <w:rFonts w:hint="eastAsia" w:ascii="仿宋_GB2312" w:eastAsia="仿宋_GB2312"/>
          <w:color w:val="auto"/>
          <w:sz w:val="32"/>
          <w:szCs w:val="32"/>
        </w:rPr>
        <w:t>单位资金收入</w:t>
      </w:r>
      <w:r>
        <w:rPr>
          <w:rFonts w:hint="eastAsia" w:ascii="仿宋_GB2312" w:hAnsi="宋体" w:eastAsia="仿宋_GB2312"/>
          <w:color w:val="auto"/>
          <w:sz w:val="32"/>
          <w:szCs w:val="32"/>
        </w:rPr>
        <w:t>0万元，其中：事业收入0万元，事业单位经营收入0万元，上级补助收入0万元，附属单位上缴收入0万元，其他收入0万元；</w:t>
      </w:r>
    </w:p>
    <w:p w14:paraId="27100457">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6.上年结转结余0万元，其中：上年财政专户管理资金超收收入0万元，政府性基金预算超收收入0万元，单位资金超收收入0万元。</w:t>
      </w:r>
    </w:p>
    <w:p w14:paraId="5EEAF0B4">
      <w:pPr>
        <w:ind w:firstLine="660"/>
        <w:rPr>
          <w:rFonts w:hint="eastAsia" w:ascii="仿宋_GB2312" w:hAnsi="宋体" w:eastAsia="仿宋_GB2312"/>
          <w:color w:val="auto"/>
          <w:sz w:val="32"/>
          <w:szCs w:val="32"/>
        </w:rPr>
      </w:pPr>
      <w:r>
        <w:rPr>
          <w:rFonts w:hint="eastAsia" w:ascii="仿宋_GB2312" w:hAnsi="宋体" w:eastAsia="仿宋_GB2312"/>
          <w:b/>
          <w:bCs/>
          <w:color w:val="auto"/>
          <w:sz w:val="32"/>
          <w:szCs w:val="32"/>
        </w:rPr>
        <w:t>（二）支出预算</w:t>
      </w:r>
      <w:r>
        <w:rPr>
          <w:rFonts w:hint="eastAsia" w:ascii="仿宋_GB2312" w:hAnsi="宋体" w:eastAsia="仿宋_GB2312"/>
          <w:b/>
          <w:bCs/>
          <w:color w:val="auto"/>
          <w:sz w:val="32"/>
          <w:szCs w:val="32"/>
          <w:lang w:val="en-US" w:eastAsia="zh-CN"/>
        </w:rPr>
        <w:t>84.53</w:t>
      </w:r>
      <w:r>
        <w:rPr>
          <w:rFonts w:hint="eastAsia" w:ascii="仿宋_GB2312" w:hAnsi="宋体" w:eastAsia="仿宋_GB2312"/>
          <w:b/>
          <w:bCs/>
          <w:color w:val="auto"/>
          <w:sz w:val="32"/>
          <w:szCs w:val="32"/>
        </w:rPr>
        <w:t>万元，</w:t>
      </w:r>
      <w:r>
        <w:rPr>
          <w:rFonts w:hint="eastAsia" w:ascii="仿宋_GB2312" w:hAnsi="宋体" w:eastAsia="仿宋_GB2312"/>
          <w:color w:val="auto"/>
          <w:sz w:val="32"/>
          <w:szCs w:val="32"/>
        </w:rPr>
        <w:t>其中：</w:t>
      </w:r>
    </w:p>
    <w:p w14:paraId="01C23760">
      <w:pPr>
        <w:ind w:firstLine="660"/>
        <w:rPr>
          <w:rFonts w:hint="eastAsia" w:ascii="仿宋_GB2312" w:hAnsi="宋体" w:eastAsia="仿宋_GB2312"/>
          <w:color w:val="auto"/>
          <w:sz w:val="32"/>
          <w:szCs w:val="32"/>
        </w:rPr>
      </w:pPr>
      <w:r>
        <w:rPr>
          <w:rFonts w:hint="eastAsia" w:ascii="仿宋_GB2312" w:hAnsi="宋体" w:eastAsia="仿宋_GB2312"/>
          <w:color w:val="auto"/>
          <w:sz w:val="32"/>
          <w:szCs w:val="32"/>
        </w:rPr>
        <w:t>1.基本支出</w:t>
      </w:r>
      <w:r>
        <w:rPr>
          <w:rFonts w:hint="eastAsia" w:ascii="仿宋_GB2312" w:hAnsi="宋体" w:eastAsia="仿宋_GB2312"/>
          <w:color w:val="auto"/>
          <w:sz w:val="32"/>
          <w:szCs w:val="32"/>
          <w:lang w:val="en-US" w:eastAsia="zh-CN"/>
        </w:rPr>
        <w:t>73.63</w:t>
      </w:r>
      <w:r>
        <w:rPr>
          <w:rFonts w:hint="eastAsia" w:ascii="仿宋_GB2312" w:hAnsi="宋体" w:eastAsia="仿宋_GB2312"/>
          <w:color w:val="auto"/>
          <w:sz w:val="32"/>
          <w:szCs w:val="32"/>
        </w:rPr>
        <w:t>万元；</w:t>
      </w:r>
    </w:p>
    <w:p w14:paraId="4ACB8361">
      <w:pPr>
        <w:ind w:firstLine="660"/>
        <w:rPr>
          <w:rFonts w:ascii="仿宋_GB2312" w:hAnsi="宋体" w:eastAsia="仿宋_GB2312"/>
          <w:color w:val="auto"/>
          <w:sz w:val="32"/>
          <w:szCs w:val="32"/>
        </w:rPr>
      </w:pPr>
      <w:r>
        <w:rPr>
          <w:rFonts w:hint="eastAsia" w:ascii="仿宋_GB2312" w:hAnsi="宋体" w:eastAsia="仿宋_GB2312"/>
          <w:color w:val="auto"/>
          <w:sz w:val="32"/>
          <w:szCs w:val="32"/>
        </w:rPr>
        <w:t>2.项目支出</w:t>
      </w:r>
      <w:r>
        <w:rPr>
          <w:rFonts w:hint="eastAsia" w:ascii="仿宋_GB2312" w:hAnsi="宋体" w:eastAsia="仿宋_GB2312"/>
          <w:color w:val="auto"/>
          <w:sz w:val="32"/>
          <w:szCs w:val="32"/>
          <w:lang w:val="en-US" w:eastAsia="zh-CN"/>
        </w:rPr>
        <w:t>10.9</w:t>
      </w:r>
      <w:r>
        <w:rPr>
          <w:rFonts w:hint="eastAsia" w:ascii="仿宋_GB2312" w:hAnsi="宋体" w:eastAsia="仿宋_GB2312"/>
          <w:color w:val="auto"/>
          <w:sz w:val="32"/>
          <w:szCs w:val="32"/>
        </w:rPr>
        <w:t>万元。</w:t>
      </w:r>
    </w:p>
    <w:p w14:paraId="2BC06140">
      <w:pPr>
        <w:ind w:firstLine="660"/>
        <w:rPr>
          <w:rFonts w:hint="eastAsia" w:ascii="仿宋_GB2312" w:hAnsi="宋体" w:eastAsia="仿宋_GB2312"/>
          <w:color w:val="auto"/>
          <w:sz w:val="32"/>
          <w:szCs w:val="32"/>
        </w:rPr>
      </w:pPr>
      <w:r>
        <w:rPr>
          <w:rFonts w:hint="eastAsia" w:ascii="仿宋_GB2312" w:hAnsi="宋体" w:eastAsia="仿宋_GB2312"/>
          <w:color w:val="auto"/>
          <w:sz w:val="32"/>
          <w:szCs w:val="32"/>
        </w:rPr>
        <w:t>在支出预算中：债务支出0万</w:t>
      </w:r>
      <w:r>
        <w:rPr>
          <w:rFonts w:hint="eastAsia" w:ascii="仿宋_GB2312" w:hAnsi="宋体" w:eastAsia="仿宋_GB2312"/>
          <w:color w:val="auto"/>
          <w:sz w:val="32"/>
          <w:szCs w:val="32"/>
          <w:lang w:eastAsia="zh-CN"/>
        </w:rPr>
        <w:t>元，政</w:t>
      </w:r>
      <w:r>
        <w:rPr>
          <w:rFonts w:hint="eastAsia" w:ascii="仿宋_GB2312" w:hAnsi="宋体" w:eastAsia="仿宋_GB2312"/>
          <w:color w:val="auto"/>
          <w:sz w:val="32"/>
          <w:szCs w:val="32"/>
        </w:rPr>
        <w:t>府采购支出0万元；政府购买服务支出0万元；纳入预算绩效管理的特定目标类和其他运转类项目共</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个，涉及资金</w:t>
      </w:r>
      <w:r>
        <w:rPr>
          <w:rFonts w:hint="eastAsia" w:ascii="仿宋_GB2312" w:hAnsi="宋体" w:eastAsia="仿宋_GB2312"/>
          <w:color w:val="auto"/>
          <w:sz w:val="32"/>
          <w:szCs w:val="32"/>
          <w:lang w:val="en-US" w:eastAsia="zh-CN"/>
        </w:rPr>
        <w:t>10.9</w:t>
      </w:r>
      <w:r>
        <w:rPr>
          <w:rFonts w:hint="eastAsia" w:ascii="仿宋_GB2312" w:hAnsi="宋体" w:eastAsia="仿宋_GB2312"/>
          <w:color w:val="auto"/>
          <w:sz w:val="32"/>
          <w:szCs w:val="32"/>
        </w:rPr>
        <w:t>万元。</w:t>
      </w:r>
    </w:p>
    <w:p w14:paraId="57A477B2">
      <w:pPr>
        <w:ind w:firstLine="640" w:firstLineChars="200"/>
        <w:jc w:val="left"/>
        <w:rPr>
          <w:rFonts w:hint="eastAsia" w:ascii="仿宋_GB2312" w:hAnsi="宋体" w:eastAsia="仿宋_GB2312"/>
          <w:b w:val="0"/>
          <w:bCs w:val="0"/>
          <w:color w:val="auto"/>
          <w:sz w:val="32"/>
          <w:szCs w:val="32"/>
        </w:rPr>
      </w:pPr>
      <w:r>
        <w:rPr>
          <w:rFonts w:hint="eastAsia" w:ascii="仿宋_GB2312" w:hAnsi="宋体" w:eastAsia="仿宋_GB2312"/>
          <w:b w:val="0"/>
          <w:bCs w:val="0"/>
          <w:color w:val="auto"/>
          <w:sz w:val="32"/>
          <w:szCs w:val="32"/>
        </w:rPr>
        <w:t>202</w:t>
      </w:r>
      <w:r>
        <w:rPr>
          <w:rFonts w:hint="eastAsia" w:ascii="仿宋_GB2312" w:hAnsi="宋体" w:eastAsia="仿宋_GB2312"/>
          <w:b w:val="0"/>
          <w:bCs w:val="0"/>
          <w:color w:val="auto"/>
          <w:sz w:val="32"/>
          <w:szCs w:val="32"/>
          <w:lang w:val="en-US" w:eastAsia="zh-CN"/>
        </w:rPr>
        <w:t>6</w:t>
      </w:r>
      <w:r>
        <w:rPr>
          <w:rFonts w:hint="eastAsia" w:ascii="仿宋_GB2312" w:hAnsi="宋体" w:eastAsia="仿宋_GB2312"/>
          <w:b w:val="0"/>
          <w:bCs w:val="0"/>
          <w:color w:val="auto"/>
          <w:sz w:val="32"/>
          <w:szCs w:val="32"/>
        </w:rPr>
        <w:t>年预算收支比上年减少</w:t>
      </w:r>
      <w:r>
        <w:rPr>
          <w:rFonts w:hint="eastAsia" w:ascii="仿宋_GB2312" w:hAnsi="宋体" w:eastAsia="仿宋_GB2312"/>
          <w:b w:val="0"/>
          <w:bCs w:val="0"/>
          <w:color w:val="auto"/>
          <w:sz w:val="32"/>
          <w:szCs w:val="32"/>
          <w:lang w:val="en-US" w:eastAsia="zh-CN"/>
        </w:rPr>
        <w:t>53.3</w:t>
      </w:r>
      <w:r>
        <w:rPr>
          <w:rFonts w:hint="eastAsia" w:ascii="仿宋_GB2312" w:hAnsi="宋体" w:eastAsia="仿宋_GB2312"/>
          <w:b w:val="0"/>
          <w:bCs w:val="0"/>
          <w:color w:val="auto"/>
          <w:sz w:val="32"/>
          <w:szCs w:val="32"/>
        </w:rPr>
        <w:t>万元，增减变化的主要原因为</w:t>
      </w:r>
      <w:r>
        <w:rPr>
          <w:rFonts w:hint="eastAsia" w:ascii="仿宋_GB2312" w:hAnsi="宋体" w:eastAsia="仿宋_GB2312"/>
          <w:b w:val="0"/>
          <w:bCs w:val="0"/>
          <w:color w:val="auto"/>
          <w:sz w:val="32"/>
          <w:szCs w:val="32"/>
          <w:lang w:val="en-US" w:eastAsia="zh-CN"/>
        </w:rPr>
        <w:t>项目绩效目标涉及资金减少</w:t>
      </w:r>
      <w:r>
        <w:rPr>
          <w:rFonts w:hint="eastAsia" w:ascii="仿宋_GB2312" w:hAnsi="宋体" w:eastAsia="仿宋_GB2312"/>
          <w:b w:val="0"/>
          <w:bCs w:val="0"/>
          <w:color w:val="auto"/>
          <w:sz w:val="32"/>
          <w:szCs w:val="32"/>
        </w:rPr>
        <w:t>。</w:t>
      </w:r>
    </w:p>
    <w:p w14:paraId="2463B7BC">
      <w:pPr>
        <w:numPr>
          <w:ilvl w:val="0"/>
          <w:numId w:val="1"/>
        </w:numPr>
        <w:ind w:firstLine="660"/>
        <w:rPr>
          <w:rFonts w:hint="eastAsia" w:ascii="黑体" w:hAnsi="黑体" w:eastAsia="黑体"/>
          <w:color w:val="auto"/>
          <w:sz w:val="32"/>
          <w:szCs w:val="32"/>
        </w:rPr>
      </w:pPr>
      <w:r>
        <w:rPr>
          <w:rFonts w:hint="eastAsia" w:ascii="黑体" w:hAnsi="黑体" w:eastAsia="黑体"/>
          <w:color w:val="auto"/>
          <w:sz w:val="32"/>
          <w:szCs w:val="32"/>
        </w:rPr>
        <w:t>部门管理专项资金情况</w:t>
      </w:r>
    </w:p>
    <w:p w14:paraId="725D52C5">
      <w:pPr>
        <w:ind w:firstLine="640" w:firstLineChars="200"/>
        <w:jc w:val="left"/>
        <w:rPr>
          <w:rFonts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管理专项资金共0个，涉及资金0万元。</w:t>
      </w:r>
    </w:p>
    <w:p w14:paraId="74599137">
      <w:pPr>
        <w:ind w:firstLine="640" w:firstLineChars="200"/>
        <w:rPr>
          <w:rFonts w:hint="eastAsia" w:ascii="黑体" w:hAnsi="黑体" w:eastAsia="黑体"/>
          <w:color w:val="auto"/>
          <w:sz w:val="32"/>
          <w:szCs w:val="32"/>
        </w:rPr>
      </w:pPr>
      <w:r>
        <w:rPr>
          <w:rFonts w:hint="eastAsia" w:ascii="黑体" w:hAnsi="黑体" w:eastAsia="黑体"/>
          <w:color w:val="auto"/>
          <w:sz w:val="32"/>
          <w:szCs w:val="32"/>
        </w:rPr>
        <w:t>三、机关（事业）运行经费安排情况</w:t>
      </w:r>
    </w:p>
    <w:p w14:paraId="4EA0B448">
      <w:pPr>
        <w:ind w:firstLine="645"/>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运行经费预算为</w:t>
      </w:r>
      <w:r>
        <w:rPr>
          <w:rFonts w:hint="eastAsia" w:ascii="仿宋_GB2312" w:hAnsi="宋体" w:eastAsia="仿宋_GB2312"/>
          <w:color w:val="auto"/>
          <w:sz w:val="32"/>
          <w:szCs w:val="32"/>
          <w:lang w:val="en-US" w:eastAsia="zh-CN"/>
        </w:rPr>
        <w:t>1.02</w:t>
      </w:r>
      <w:r>
        <w:rPr>
          <w:rFonts w:hint="eastAsia" w:ascii="仿宋_GB2312" w:hAnsi="宋体" w:eastAsia="仿宋_GB2312"/>
          <w:color w:val="auto"/>
          <w:sz w:val="32"/>
          <w:szCs w:val="32"/>
        </w:rPr>
        <w:t>万元，主要包括</w:t>
      </w:r>
      <w:r>
        <w:rPr>
          <w:rFonts w:hint="eastAsia" w:ascii="仿宋_GB2312" w:hAnsi="宋体" w:eastAsia="仿宋_GB2312"/>
          <w:color w:val="auto"/>
          <w:sz w:val="32"/>
          <w:szCs w:val="32"/>
          <w:lang w:val="en-US" w:eastAsia="zh-CN"/>
        </w:rPr>
        <w:t>办公费和体检费</w:t>
      </w:r>
      <w:r>
        <w:rPr>
          <w:rFonts w:hint="eastAsia" w:ascii="仿宋_GB2312" w:hAnsi="宋体" w:eastAsia="仿宋_GB2312"/>
          <w:color w:val="auto"/>
          <w:sz w:val="32"/>
          <w:szCs w:val="32"/>
        </w:rPr>
        <w:t>。</w:t>
      </w:r>
    </w:p>
    <w:p w14:paraId="0C7C997F">
      <w:pPr>
        <w:ind w:firstLine="660"/>
        <w:rPr>
          <w:rFonts w:hint="eastAsia" w:ascii="黑体" w:hAnsi="黑体" w:eastAsia="黑体"/>
          <w:color w:val="auto"/>
          <w:sz w:val="32"/>
          <w:szCs w:val="32"/>
        </w:rPr>
      </w:pPr>
      <w:r>
        <w:rPr>
          <w:rFonts w:hint="eastAsia" w:ascii="黑体" w:hAnsi="黑体" w:eastAsia="黑体"/>
          <w:color w:val="auto"/>
          <w:sz w:val="32"/>
          <w:szCs w:val="32"/>
        </w:rPr>
        <w:t>四、政府采购情况</w:t>
      </w:r>
    </w:p>
    <w:p w14:paraId="3BFC722D">
      <w:pPr>
        <w:ind w:firstLine="645"/>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安排政府采购预算0万元，具体为：货物0万元，服务0万元，工程0万元；预留面向中小企业采购份额0万元，其中预留给小微企业0万元。</w:t>
      </w:r>
    </w:p>
    <w:p w14:paraId="0CF04AB8">
      <w:pPr>
        <w:ind w:firstLine="660"/>
        <w:rPr>
          <w:rFonts w:hint="eastAsia" w:ascii="黑体" w:hAnsi="黑体" w:eastAsia="黑体"/>
          <w:color w:val="auto"/>
          <w:sz w:val="32"/>
          <w:szCs w:val="32"/>
        </w:rPr>
      </w:pPr>
      <w:r>
        <w:rPr>
          <w:rFonts w:hint="eastAsia" w:ascii="黑体" w:hAnsi="黑体" w:eastAsia="黑体"/>
          <w:color w:val="auto"/>
          <w:sz w:val="32"/>
          <w:szCs w:val="32"/>
        </w:rPr>
        <w:t>五、“三公”经费预算情况</w:t>
      </w:r>
    </w:p>
    <w:p w14:paraId="392B1448">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w:t>
      </w: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财政拨款预算安排的“三公”经费预算为0万元，比上年减少</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万元，下降</w:t>
      </w:r>
      <w:r>
        <w:rPr>
          <w:rFonts w:hint="eastAsia" w:ascii="仿宋_GB2312" w:hAnsi="宋体" w:eastAsia="仿宋_GB2312"/>
          <w:color w:val="auto"/>
          <w:sz w:val="32"/>
          <w:szCs w:val="32"/>
          <w:lang w:val="en-US" w:eastAsia="zh-CN"/>
        </w:rPr>
        <w:t>10</w:t>
      </w:r>
      <w:r>
        <w:rPr>
          <w:rFonts w:hint="eastAsia" w:ascii="仿宋_GB2312" w:hAnsi="宋体" w:eastAsia="仿宋_GB2312"/>
          <w:color w:val="auto"/>
          <w:sz w:val="32"/>
          <w:szCs w:val="32"/>
        </w:rPr>
        <w:t>0%。其中：</w:t>
      </w:r>
    </w:p>
    <w:p w14:paraId="50B3B6BB">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1.因公出国（境）费0万元，</w:t>
      </w:r>
      <w:r>
        <w:rPr>
          <w:rFonts w:hint="eastAsia" w:ascii="仿宋_GB2312" w:hAnsi="宋体" w:eastAsia="仿宋_GB2312"/>
          <w:color w:val="auto"/>
          <w:sz w:val="32"/>
          <w:szCs w:val="32"/>
          <w:lang w:val="en-US" w:eastAsia="zh-CN"/>
        </w:rPr>
        <w:t>与2025年持平</w:t>
      </w:r>
      <w:r>
        <w:rPr>
          <w:rFonts w:hint="eastAsia" w:ascii="仿宋_GB2312" w:hAnsi="宋体" w:eastAsia="仿宋_GB2312"/>
          <w:color w:val="auto"/>
          <w:sz w:val="32"/>
          <w:szCs w:val="32"/>
        </w:rPr>
        <w:t>。</w:t>
      </w:r>
    </w:p>
    <w:p w14:paraId="3323C4FE">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2.公务接待费0万元，比上年减少</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万元，下降</w:t>
      </w:r>
      <w:r>
        <w:rPr>
          <w:rFonts w:hint="eastAsia" w:ascii="仿宋_GB2312" w:hAnsi="宋体" w:eastAsia="仿宋_GB2312"/>
          <w:color w:val="auto"/>
          <w:sz w:val="32"/>
          <w:szCs w:val="32"/>
          <w:lang w:val="en-US" w:eastAsia="zh-CN"/>
        </w:rPr>
        <w:t>10</w:t>
      </w:r>
      <w:r>
        <w:rPr>
          <w:rFonts w:hint="eastAsia" w:ascii="仿宋_GB2312" w:hAnsi="宋体" w:eastAsia="仿宋_GB2312"/>
          <w:color w:val="auto"/>
          <w:sz w:val="32"/>
          <w:szCs w:val="32"/>
        </w:rPr>
        <w:t>0%。主要原因为</w:t>
      </w:r>
      <w:r>
        <w:rPr>
          <w:rFonts w:hint="eastAsia" w:ascii="仿宋_GB2312" w:hAnsi="宋体" w:eastAsia="仿宋_GB2312"/>
          <w:color w:val="auto"/>
          <w:sz w:val="32"/>
          <w:szCs w:val="32"/>
          <w:lang w:val="en-US" w:eastAsia="zh-CN"/>
        </w:rPr>
        <w:t>无公务接待需求</w:t>
      </w:r>
      <w:r>
        <w:rPr>
          <w:rFonts w:hint="eastAsia" w:ascii="仿宋_GB2312" w:hAnsi="宋体" w:eastAsia="仿宋_GB2312"/>
          <w:color w:val="auto"/>
          <w:sz w:val="32"/>
          <w:szCs w:val="32"/>
        </w:rPr>
        <w:t>。</w:t>
      </w:r>
    </w:p>
    <w:p w14:paraId="6D81579D">
      <w:pPr>
        <w:ind w:firstLine="640" w:firstLineChars="200"/>
        <w:jc w:val="left"/>
        <w:rPr>
          <w:rFonts w:hint="eastAsia" w:ascii="仿宋_GB2312" w:hAnsi="宋体" w:eastAsia="仿宋_GB2312"/>
          <w:color w:val="auto"/>
          <w:sz w:val="32"/>
          <w:szCs w:val="32"/>
        </w:rPr>
      </w:pPr>
      <w:r>
        <w:rPr>
          <w:rFonts w:hint="eastAsia" w:ascii="仿宋_GB2312" w:hAnsi="宋体" w:eastAsia="仿宋_GB2312"/>
          <w:color w:val="auto"/>
          <w:sz w:val="32"/>
          <w:szCs w:val="32"/>
        </w:rPr>
        <w:t>3.公务用车购置及运行费0万元（其中：公务用车购置费0万元，</w:t>
      </w:r>
      <w:r>
        <w:rPr>
          <w:rFonts w:hint="eastAsia" w:ascii="仿宋_GB2312" w:hAnsi="宋体" w:eastAsia="仿宋_GB2312"/>
          <w:color w:val="auto"/>
          <w:sz w:val="32"/>
          <w:szCs w:val="32"/>
          <w:lang w:val="en-US" w:eastAsia="zh-CN"/>
        </w:rPr>
        <w:t>与2025年持平</w:t>
      </w:r>
      <w:r>
        <w:rPr>
          <w:rFonts w:hint="eastAsia" w:ascii="仿宋_GB2312" w:hAnsi="宋体" w:eastAsia="仿宋_GB2312"/>
          <w:color w:val="auto"/>
          <w:sz w:val="32"/>
          <w:szCs w:val="32"/>
        </w:rPr>
        <w:t>。公务用车运行费0万元，</w:t>
      </w:r>
      <w:r>
        <w:rPr>
          <w:rFonts w:hint="eastAsia" w:ascii="仿宋_GB2312" w:hAnsi="宋体" w:eastAsia="仿宋_GB2312"/>
          <w:color w:val="auto"/>
          <w:sz w:val="32"/>
          <w:szCs w:val="32"/>
          <w:lang w:val="en-US" w:eastAsia="zh-CN"/>
        </w:rPr>
        <w:t>与2025年持平</w:t>
      </w:r>
      <w:r>
        <w:rPr>
          <w:rFonts w:hint="eastAsia" w:ascii="仿宋_GB2312" w:hAnsi="宋体" w:eastAsia="仿宋_GB2312"/>
          <w:color w:val="auto"/>
          <w:sz w:val="32"/>
          <w:szCs w:val="32"/>
        </w:rPr>
        <w:t>），</w:t>
      </w:r>
      <w:r>
        <w:rPr>
          <w:rFonts w:hint="eastAsia" w:ascii="仿宋_GB2312" w:hAnsi="宋体" w:eastAsia="仿宋_GB2312"/>
          <w:color w:val="auto"/>
          <w:sz w:val="32"/>
          <w:szCs w:val="32"/>
          <w:lang w:val="en-US" w:eastAsia="zh-CN"/>
        </w:rPr>
        <w:t>与2025年持平</w:t>
      </w:r>
      <w:r>
        <w:rPr>
          <w:rFonts w:hint="eastAsia" w:ascii="仿宋_GB2312" w:hAnsi="宋体" w:eastAsia="仿宋_GB2312"/>
          <w:color w:val="auto"/>
          <w:sz w:val="32"/>
          <w:szCs w:val="32"/>
        </w:rPr>
        <w:t>。</w:t>
      </w:r>
    </w:p>
    <w:p w14:paraId="1E209EE6">
      <w:pPr>
        <w:jc w:val="center"/>
        <w:rPr>
          <w:rFonts w:hint="eastAsia" w:ascii="仿宋_GB2312" w:hAnsi="宋体" w:eastAsia="仿宋_GB2312"/>
          <w:b/>
          <w:bCs/>
          <w:color w:val="auto"/>
          <w:sz w:val="32"/>
          <w:szCs w:val="32"/>
        </w:rPr>
      </w:pPr>
      <w:r>
        <w:rPr>
          <w:rFonts w:hint="eastAsia" w:ascii="仿宋_GB2312" w:hAnsi="宋体" w:eastAsia="仿宋_GB2312"/>
          <w:b/>
          <w:bCs/>
          <w:color w:val="auto"/>
          <w:sz w:val="32"/>
          <w:szCs w:val="32"/>
        </w:rPr>
        <w:t>财政拨款预算“三公”经费支出表</w:t>
      </w:r>
    </w:p>
    <w:p w14:paraId="35D7138F">
      <w:pPr>
        <w:jc w:val="center"/>
        <w:rPr>
          <w:rFonts w:hint="eastAsia" w:ascii="仿宋_GB2312" w:hAnsi="宋体" w:eastAsia="仿宋_GB2312"/>
          <w:b/>
          <w:bCs/>
          <w:color w:val="auto"/>
          <w:sz w:val="28"/>
          <w:szCs w:val="28"/>
        </w:rPr>
      </w:pPr>
      <w:r>
        <w:rPr>
          <w:rFonts w:hint="eastAsia" w:ascii="仿宋_GB2312" w:hAnsi="宋体" w:eastAsia="仿宋_GB2312"/>
          <w:b/>
          <w:bCs/>
          <w:color w:val="auto"/>
          <w:sz w:val="32"/>
          <w:szCs w:val="32"/>
        </w:rPr>
        <w:t xml:space="preserve">                                        </w:t>
      </w:r>
      <w:r>
        <w:rPr>
          <w:rFonts w:hint="eastAsia" w:ascii="仿宋_GB2312" w:hAnsi="宋体" w:eastAsia="仿宋_GB2312"/>
          <w:b/>
          <w:bCs/>
          <w:color w:val="auto"/>
          <w:sz w:val="28"/>
          <w:szCs w:val="28"/>
        </w:rPr>
        <w:t>单位：万元</w:t>
      </w:r>
    </w:p>
    <w:tbl>
      <w:tblPr>
        <w:tblStyle w:val="6"/>
        <w:tblW w:w="0" w:type="auto"/>
        <w:tblInd w:w="0" w:type="dxa"/>
        <w:tblLayout w:type="fixed"/>
        <w:tblCellMar>
          <w:top w:w="15" w:type="dxa"/>
          <w:left w:w="15" w:type="dxa"/>
          <w:bottom w:w="15" w:type="dxa"/>
          <w:right w:w="15" w:type="dxa"/>
        </w:tblCellMar>
      </w:tblPr>
      <w:tblGrid>
        <w:gridCol w:w="4122"/>
        <w:gridCol w:w="2148"/>
        <w:gridCol w:w="2352"/>
      </w:tblGrid>
      <w:tr w14:paraId="12C28127">
        <w:tblPrEx>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86F25CE">
            <w:pPr>
              <w:widowControl/>
              <w:jc w:val="center"/>
              <w:textAlignment w:val="center"/>
              <w:rPr>
                <w:rFonts w:hint="eastAsia" w:ascii="宋体" w:hAnsi="宋体" w:cs="宋体"/>
                <w:b/>
                <w:color w:val="auto"/>
                <w:sz w:val="24"/>
              </w:rPr>
            </w:pPr>
            <w:r>
              <w:rPr>
                <w:rFonts w:hint="eastAsia" w:ascii="宋体" w:hAnsi="宋体" w:cs="宋体"/>
                <w:b/>
                <w:color w:val="auto"/>
                <w:kern w:val="0"/>
                <w:sz w:val="24"/>
              </w:rPr>
              <w:t>项目</w:t>
            </w:r>
          </w:p>
        </w:tc>
        <w:tc>
          <w:tcPr>
            <w:tcW w:w="4500" w:type="dxa"/>
            <w:gridSpan w:val="2"/>
            <w:tcBorders>
              <w:top w:val="single" w:color="000000" w:sz="4" w:space="0"/>
              <w:left w:val="single" w:color="000000" w:sz="4" w:space="0"/>
              <w:right w:val="single" w:color="000000" w:sz="4" w:space="0"/>
            </w:tcBorders>
            <w:noWrap w:val="0"/>
            <w:vAlign w:val="center"/>
          </w:tcPr>
          <w:p w14:paraId="239927D2">
            <w:pPr>
              <w:jc w:val="center"/>
              <w:rPr>
                <w:rFonts w:hint="eastAsia" w:ascii="宋体" w:hAnsi="宋体" w:cs="宋体"/>
                <w:b/>
                <w:color w:val="auto"/>
                <w:sz w:val="24"/>
              </w:rPr>
            </w:pPr>
            <w:r>
              <w:rPr>
                <w:rFonts w:hint="eastAsia" w:ascii="宋体" w:hAnsi="宋体" w:cs="宋体"/>
                <w:b/>
                <w:color w:val="auto"/>
                <w:kern w:val="0"/>
                <w:sz w:val="24"/>
              </w:rPr>
              <w:t>金额</w:t>
            </w:r>
          </w:p>
        </w:tc>
      </w:tr>
      <w:tr w14:paraId="2F54939D">
        <w:tblPrEx>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E1E674">
            <w:pPr>
              <w:jc w:val="center"/>
              <w:rPr>
                <w:rFonts w:hint="eastAsia" w:ascii="宋体" w:hAnsi="宋体" w:cs="宋体"/>
                <w:b/>
                <w:color w:val="auto"/>
                <w:sz w:val="24"/>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4F6D124A">
            <w:pPr>
              <w:widowControl/>
              <w:jc w:val="center"/>
              <w:textAlignment w:val="center"/>
              <w:rPr>
                <w:rFonts w:hint="eastAsia" w:ascii="宋体" w:hAnsi="宋体" w:cs="宋体"/>
                <w:b/>
                <w:color w:val="auto"/>
                <w:sz w:val="24"/>
              </w:rPr>
            </w:pPr>
            <w:r>
              <w:rPr>
                <w:rFonts w:hint="eastAsia" w:ascii="宋体" w:hAnsi="宋体" w:cs="宋体"/>
                <w:b/>
                <w:color w:val="auto"/>
                <w:kern w:val="0"/>
                <w:sz w:val="24"/>
              </w:rPr>
              <w:t>202</w:t>
            </w:r>
            <w:r>
              <w:rPr>
                <w:rFonts w:hint="eastAsia" w:ascii="宋体" w:hAnsi="宋体" w:cs="宋体"/>
                <w:b/>
                <w:color w:val="auto"/>
                <w:kern w:val="0"/>
                <w:sz w:val="24"/>
                <w:lang w:val="en-US" w:eastAsia="zh-CN"/>
              </w:rPr>
              <w:t>5</w:t>
            </w:r>
            <w:r>
              <w:rPr>
                <w:rFonts w:hint="eastAsia" w:ascii="宋体" w:hAnsi="宋体" w:cs="宋体"/>
                <w:b/>
                <w:color w:val="auto"/>
                <w:kern w:val="0"/>
                <w:sz w:val="24"/>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68866E60">
            <w:pPr>
              <w:widowControl/>
              <w:jc w:val="center"/>
              <w:textAlignment w:val="center"/>
              <w:rPr>
                <w:rFonts w:hint="eastAsia" w:ascii="宋体" w:hAnsi="宋体" w:cs="宋体"/>
                <w:b/>
                <w:color w:val="auto"/>
                <w:sz w:val="24"/>
              </w:rPr>
            </w:pPr>
            <w:r>
              <w:rPr>
                <w:rFonts w:hint="eastAsia" w:ascii="宋体" w:hAnsi="宋体" w:cs="宋体"/>
                <w:b/>
                <w:color w:val="auto"/>
                <w:kern w:val="0"/>
                <w:sz w:val="24"/>
              </w:rPr>
              <w:t>202</w:t>
            </w:r>
            <w:r>
              <w:rPr>
                <w:rFonts w:hint="eastAsia" w:ascii="宋体" w:hAnsi="宋体" w:cs="宋体"/>
                <w:b/>
                <w:color w:val="auto"/>
                <w:kern w:val="0"/>
                <w:sz w:val="24"/>
                <w:lang w:val="en-US" w:eastAsia="zh-CN"/>
              </w:rPr>
              <w:t>6</w:t>
            </w:r>
            <w:r>
              <w:rPr>
                <w:rFonts w:hint="eastAsia" w:ascii="宋体" w:hAnsi="宋体" w:cs="宋体"/>
                <w:b/>
                <w:color w:val="auto"/>
                <w:kern w:val="0"/>
                <w:sz w:val="24"/>
              </w:rPr>
              <w:t>年</w:t>
            </w:r>
          </w:p>
        </w:tc>
      </w:tr>
      <w:tr w14:paraId="1C8063D3">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14:paraId="71A4103C">
            <w:pPr>
              <w:widowControl/>
              <w:jc w:val="center"/>
              <w:textAlignment w:val="center"/>
              <w:rPr>
                <w:rFonts w:hint="eastAsia" w:ascii="宋体" w:hAnsi="宋体" w:cs="宋体"/>
                <w:b/>
                <w:bCs/>
                <w:color w:val="auto"/>
                <w:sz w:val="24"/>
              </w:rPr>
            </w:pPr>
            <w:r>
              <w:rPr>
                <w:rFonts w:hint="eastAsia" w:ascii="宋体" w:hAnsi="宋体" w:cs="宋体"/>
                <w:b/>
                <w:bCs/>
                <w:color w:val="auto"/>
                <w:kern w:val="0"/>
                <w:sz w:val="24"/>
              </w:rPr>
              <w:t>合计</w:t>
            </w:r>
          </w:p>
        </w:tc>
        <w:tc>
          <w:tcPr>
            <w:tcW w:w="2148" w:type="dxa"/>
            <w:tcBorders>
              <w:top w:val="single" w:color="000000" w:sz="4" w:space="0"/>
              <w:left w:val="single" w:color="000000" w:sz="4" w:space="0"/>
              <w:right w:val="single" w:color="000000" w:sz="4" w:space="0"/>
            </w:tcBorders>
            <w:noWrap w:val="0"/>
            <w:vAlign w:val="center"/>
          </w:tcPr>
          <w:p w14:paraId="74E64027">
            <w:pPr>
              <w:jc w:val="center"/>
              <w:rPr>
                <w:rFonts w:hint="eastAsia" w:ascii="宋体" w:hAnsi="宋体" w:eastAsia="宋体" w:cs="宋体"/>
                <w:b/>
                <w:bCs/>
                <w:color w:val="auto"/>
                <w:sz w:val="24"/>
                <w:lang w:val="en-US" w:eastAsia="zh-CN"/>
              </w:rPr>
            </w:pPr>
            <w:r>
              <w:rPr>
                <w:rFonts w:hint="eastAsia" w:ascii="宋体" w:hAnsi="宋体" w:cs="宋体"/>
                <w:b/>
                <w:bCs/>
                <w:color w:val="auto"/>
                <w:sz w:val="24"/>
                <w:lang w:val="en-US" w:eastAsia="zh-CN"/>
              </w:rPr>
              <w:t>2</w:t>
            </w:r>
          </w:p>
        </w:tc>
        <w:tc>
          <w:tcPr>
            <w:tcW w:w="2352" w:type="dxa"/>
            <w:tcBorders>
              <w:top w:val="single" w:color="000000" w:sz="4" w:space="0"/>
              <w:left w:val="single" w:color="000000" w:sz="4" w:space="0"/>
              <w:right w:val="single" w:color="000000" w:sz="4" w:space="0"/>
            </w:tcBorders>
            <w:noWrap w:val="0"/>
            <w:vAlign w:val="center"/>
          </w:tcPr>
          <w:p w14:paraId="7219803C">
            <w:pPr>
              <w:jc w:val="center"/>
              <w:rPr>
                <w:rFonts w:hint="eastAsia" w:ascii="宋体" w:hAnsi="宋体" w:eastAsia="宋体" w:cs="宋体"/>
                <w:b/>
                <w:bCs/>
                <w:color w:val="auto"/>
                <w:sz w:val="24"/>
                <w:lang w:val="en-US" w:eastAsia="zh-CN"/>
              </w:rPr>
            </w:pPr>
            <w:r>
              <w:rPr>
                <w:rFonts w:hint="eastAsia" w:ascii="宋体" w:hAnsi="宋体" w:cs="宋体"/>
                <w:b/>
                <w:bCs/>
                <w:color w:val="auto"/>
                <w:sz w:val="24"/>
                <w:lang w:val="en-US" w:eastAsia="zh-CN"/>
              </w:rPr>
              <w:t>0</w:t>
            </w:r>
          </w:p>
        </w:tc>
      </w:tr>
      <w:tr w14:paraId="208F55C9">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54100C2E">
            <w:pPr>
              <w:widowControl/>
              <w:jc w:val="left"/>
              <w:textAlignment w:val="center"/>
              <w:rPr>
                <w:rFonts w:hint="eastAsia" w:ascii="宋体" w:hAnsi="宋体" w:cs="宋体"/>
                <w:color w:val="auto"/>
                <w:sz w:val="24"/>
              </w:rPr>
            </w:pPr>
            <w:r>
              <w:rPr>
                <w:rFonts w:hint="eastAsia" w:ascii="宋体" w:hAnsi="宋体" w:cs="宋体"/>
                <w:color w:val="auto"/>
                <w:kern w:val="0"/>
                <w:sz w:val="24"/>
              </w:rPr>
              <w:t>1、因公出国（境）费</w:t>
            </w:r>
          </w:p>
        </w:tc>
        <w:tc>
          <w:tcPr>
            <w:tcW w:w="2148" w:type="dxa"/>
            <w:tcBorders>
              <w:top w:val="single" w:color="000000" w:sz="4" w:space="0"/>
              <w:left w:val="single" w:color="000000" w:sz="4" w:space="0"/>
            </w:tcBorders>
            <w:noWrap w:val="0"/>
            <w:vAlign w:val="center"/>
          </w:tcPr>
          <w:p w14:paraId="459385CB">
            <w:pPr>
              <w:rPr>
                <w:rFonts w:hint="eastAsia" w:ascii="宋体" w:hAnsi="宋体" w:cs="宋体"/>
                <w:color w:val="auto"/>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2BD3CF34">
            <w:pPr>
              <w:jc w:val="right"/>
              <w:rPr>
                <w:rFonts w:hint="eastAsia" w:ascii="宋体" w:hAnsi="宋体" w:cs="宋体"/>
                <w:color w:val="auto"/>
                <w:sz w:val="24"/>
              </w:rPr>
            </w:pPr>
          </w:p>
        </w:tc>
      </w:tr>
      <w:tr w14:paraId="60F90B3C">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189935A1">
            <w:pPr>
              <w:widowControl/>
              <w:jc w:val="left"/>
              <w:textAlignment w:val="center"/>
              <w:rPr>
                <w:rFonts w:hint="eastAsia" w:ascii="宋体" w:hAnsi="宋体" w:cs="宋体"/>
                <w:color w:val="auto"/>
                <w:sz w:val="24"/>
              </w:rPr>
            </w:pPr>
            <w:r>
              <w:rPr>
                <w:rFonts w:hint="eastAsia" w:ascii="宋体" w:hAnsi="宋体" w:cs="宋体"/>
                <w:color w:val="auto"/>
                <w:kern w:val="0"/>
                <w:sz w:val="24"/>
              </w:rPr>
              <w:t>2、公务接待费</w:t>
            </w:r>
          </w:p>
        </w:tc>
        <w:tc>
          <w:tcPr>
            <w:tcW w:w="2148" w:type="dxa"/>
            <w:tcBorders>
              <w:top w:val="single" w:color="000000" w:sz="4" w:space="0"/>
              <w:left w:val="single" w:color="000000" w:sz="4" w:space="0"/>
              <w:bottom w:val="single" w:color="000000" w:sz="4" w:space="0"/>
            </w:tcBorders>
            <w:noWrap w:val="0"/>
            <w:vAlign w:val="center"/>
          </w:tcPr>
          <w:p w14:paraId="585FE81D">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2</w:t>
            </w:r>
          </w:p>
        </w:tc>
        <w:tc>
          <w:tcPr>
            <w:tcW w:w="2352" w:type="dxa"/>
            <w:tcBorders>
              <w:left w:val="single" w:color="000000" w:sz="4" w:space="0"/>
              <w:bottom w:val="single" w:color="000000" w:sz="4" w:space="0"/>
              <w:right w:val="single" w:color="000000" w:sz="4" w:space="0"/>
            </w:tcBorders>
            <w:noWrap w:val="0"/>
            <w:vAlign w:val="center"/>
          </w:tcPr>
          <w:p w14:paraId="677D7D54">
            <w:pPr>
              <w:jc w:val="right"/>
              <w:rPr>
                <w:rFonts w:hint="eastAsia" w:ascii="宋体" w:hAnsi="宋体" w:cs="宋体"/>
                <w:color w:val="auto"/>
                <w:sz w:val="24"/>
              </w:rPr>
            </w:pPr>
          </w:p>
        </w:tc>
      </w:tr>
      <w:tr w14:paraId="65480A3C">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79CB7034">
            <w:pPr>
              <w:widowControl/>
              <w:jc w:val="left"/>
              <w:textAlignment w:val="center"/>
              <w:rPr>
                <w:rFonts w:hint="eastAsia" w:ascii="宋体" w:hAnsi="宋体" w:cs="宋体"/>
                <w:color w:val="auto"/>
                <w:sz w:val="24"/>
              </w:rPr>
            </w:pPr>
            <w:r>
              <w:rPr>
                <w:rFonts w:hint="eastAsia" w:ascii="宋体" w:hAnsi="宋体" w:cs="宋体"/>
                <w:color w:val="auto"/>
                <w:kern w:val="0"/>
                <w:sz w:val="24"/>
              </w:rPr>
              <w:t>3、公务用车购置及运行费</w:t>
            </w:r>
          </w:p>
        </w:tc>
        <w:tc>
          <w:tcPr>
            <w:tcW w:w="2148" w:type="dxa"/>
            <w:tcBorders>
              <w:left w:val="single" w:color="000000" w:sz="4" w:space="0"/>
            </w:tcBorders>
            <w:noWrap w:val="0"/>
            <w:vAlign w:val="center"/>
          </w:tcPr>
          <w:p w14:paraId="53C65C33">
            <w:pPr>
              <w:rPr>
                <w:rFonts w:hint="eastAsia" w:ascii="宋体" w:hAnsi="宋体" w:cs="宋体"/>
                <w:color w:val="auto"/>
                <w:sz w:val="24"/>
              </w:rPr>
            </w:pPr>
          </w:p>
        </w:tc>
        <w:tc>
          <w:tcPr>
            <w:tcW w:w="2352" w:type="dxa"/>
            <w:tcBorders>
              <w:left w:val="single" w:color="000000" w:sz="4" w:space="0"/>
              <w:right w:val="single" w:color="000000" w:sz="4" w:space="0"/>
            </w:tcBorders>
            <w:noWrap w:val="0"/>
            <w:vAlign w:val="center"/>
          </w:tcPr>
          <w:p w14:paraId="13447710">
            <w:pPr>
              <w:jc w:val="right"/>
              <w:rPr>
                <w:rFonts w:hint="eastAsia" w:ascii="宋体" w:hAnsi="宋体" w:cs="宋体"/>
                <w:color w:val="auto"/>
                <w:sz w:val="24"/>
              </w:rPr>
            </w:pPr>
          </w:p>
        </w:tc>
      </w:tr>
      <w:tr w14:paraId="7E951875">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57DB5B90">
            <w:pPr>
              <w:widowControl/>
              <w:jc w:val="left"/>
              <w:textAlignment w:val="center"/>
              <w:rPr>
                <w:rFonts w:hint="eastAsia" w:ascii="宋体" w:hAnsi="宋体" w:cs="宋体"/>
                <w:color w:val="auto"/>
                <w:sz w:val="24"/>
              </w:rPr>
            </w:pPr>
            <w:r>
              <w:rPr>
                <w:rFonts w:hint="eastAsia" w:ascii="宋体" w:hAnsi="宋体" w:cs="宋体"/>
                <w:color w:val="auto"/>
                <w:kern w:val="0"/>
                <w:sz w:val="24"/>
              </w:rPr>
              <w:t xml:space="preserve">    其中：公务用车购置费</w:t>
            </w:r>
          </w:p>
        </w:tc>
        <w:tc>
          <w:tcPr>
            <w:tcW w:w="2148" w:type="dxa"/>
            <w:tcBorders>
              <w:top w:val="single" w:color="000000" w:sz="4" w:space="0"/>
              <w:left w:val="single" w:color="000000" w:sz="4" w:space="0"/>
            </w:tcBorders>
            <w:noWrap w:val="0"/>
            <w:vAlign w:val="center"/>
          </w:tcPr>
          <w:p w14:paraId="4C7B9588">
            <w:pPr>
              <w:rPr>
                <w:rFonts w:hint="eastAsia" w:ascii="宋体" w:hAnsi="宋体" w:cs="宋体"/>
                <w:color w:val="auto"/>
                <w:sz w:val="24"/>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036F63E2">
            <w:pPr>
              <w:jc w:val="right"/>
              <w:rPr>
                <w:rFonts w:hint="eastAsia" w:ascii="宋体" w:hAnsi="宋体" w:cs="宋体"/>
                <w:color w:val="auto"/>
                <w:sz w:val="24"/>
              </w:rPr>
            </w:pPr>
          </w:p>
        </w:tc>
      </w:tr>
      <w:tr w14:paraId="1220ADAE">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41D0B876">
            <w:pPr>
              <w:widowControl/>
              <w:jc w:val="left"/>
              <w:textAlignment w:val="center"/>
              <w:rPr>
                <w:rFonts w:hint="eastAsia" w:ascii="宋体" w:hAnsi="宋体" w:cs="宋体"/>
                <w:color w:val="auto"/>
                <w:sz w:val="24"/>
              </w:rPr>
            </w:pPr>
            <w:r>
              <w:rPr>
                <w:rFonts w:hint="eastAsia" w:ascii="宋体" w:hAnsi="宋体" w:cs="宋体"/>
                <w:color w:val="auto"/>
                <w:kern w:val="0"/>
                <w:sz w:val="24"/>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14:paraId="024DB778">
            <w:pPr>
              <w:rPr>
                <w:rFonts w:hint="eastAsia" w:ascii="宋体" w:hAnsi="宋体" w:cs="宋体"/>
                <w:color w:val="auto"/>
                <w:sz w:val="24"/>
              </w:rPr>
            </w:pPr>
          </w:p>
        </w:tc>
        <w:tc>
          <w:tcPr>
            <w:tcW w:w="2352" w:type="dxa"/>
            <w:tcBorders>
              <w:left w:val="single" w:color="000000" w:sz="4" w:space="0"/>
              <w:bottom w:val="single" w:color="000000" w:sz="4" w:space="0"/>
              <w:right w:val="single" w:color="000000" w:sz="4" w:space="0"/>
            </w:tcBorders>
            <w:noWrap w:val="0"/>
            <w:vAlign w:val="center"/>
          </w:tcPr>
          <w:p w14:paraId="7D78C9CB">
            <w:pPr>
              <w:jc w:val="right"/>
              <w:rPr>
                <w:rFonts w:hint="eastAsia" w:ascii="宋体" w:hAnsi="宋体" w:cs="宋体"/>
                <w:color w:val="auto"/>
                <w:sz w:val="24"/>
              </w:rPr>
            </w:pPr>
          </w:p>
        </w:tc>
      </w:tr>
    </w:tbl>
    <w:p w14:paraId="1C1A36D6">
      <w:pPr>
        <w:jc w:val="left"/>
        <w:rPr>
          <w:rFonts w:hint="eastAsia" w:ascii="仿宋_GB2312" w:hAnsi="宋体" w:eastAsia="仿宋_GB2312"/>
          <w:color w:val="auto"/>
          <w:sz w:val="32"/>
          <w:szCs w:val="32"/>
        </w:rPr>
      </w:pPr>
    </w:p>
    <w:p w14:paraId="2161628E">
      <w:pPr>
        <w:ind w:firstLine="645"/>
        <w:rPr>
          <w:rFonts w:hint="eastAsia" w:ascii="黑体" w:hAnsi="黑体" w:eastAsia="黑体"/>
          <w:color w:val="auto"/>
          <w:sz w:val="32"/>
          <w:szCs w:val="32"/>
        </w:rPr>
      </w:pPr>
      <w:r>
        <w:rPr>
          <w:rFonts w:hint="eastAsia" w:ascii="黑体" w:hAnsi="黑体" w:eastAsia="黑体"/>
          <w:color w:val="auto"/>
          <w:sz w:val="32"/>
          <w:szCs w:val="32"/>
        </w:rPr>
        <w:t>六、国有资产占用情况</w:t>
      </w:r>
    </w:p>
    <w:p w14:paraId="0F0CBF25">
      <w:pPr>
        <w:ind w:firstLine="645"/>
        <w:rPr>
          <w:rFonts w:ascii="仿宋_GB2312" w:hAnsi="宋体" w:eastAsia="仿宋_GB2312"/>
          <w:color w:val="auto"/>
          <w:sz w:val="32"/>
          <w:szCs w:val="32"/>
        </w:rPr>
      </w:pP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年年初预算购置车辆0台，金额0万元，单位价值50万元以上的通用设备0台，单位价值100万元以上的专用设备0台。</w:t>
      </w:r>
    </w:p>
    <w:p w14:paraId="0C2CF72B">
      <w:pPr>
        <w:ind w:firstLine="645"/>
        <w:rPr>
          <w:rFonts w:hint="eastAsia" w:ascii="黑体" w:hAnsi="黑体" w:eastAsia="黑体"/>
          <w:color w:val="auto"/>
          <w:sz w:val="32"/>
          <w:szCs w:val="32"/>
        </w:rPr>
      </w:pPr>
    </w:p>
    <w:p w14:paraId="0CE1D2F0">
      <w:pPr>
        <w:ind w:firstLine="645"/>
        <w:rPr>
          <w:rFonts w:hint="eastAsia" w:ascii="黑体" w:hAnsi="黑体" w:eastAsia="黑体"/>
          <w:color w:val="auto"/>
          <w:sz w:val="32"/>
          <w:szCs w:val="32"/>
        </w:rPr>
      </w:pPr>
      <w:r>
        <w:rPr>
          <w:rFonts w:hint="eastAsia" w:ascii="黑体" w:hAnsi="黑体" w:eastAsia="黑体"/>
          <w:color w:val="auto"/>
          <w:sz w:val="32"/>
          <w:szCs w:val="32"/>
        </w:rPr>
        <w:t>七、预算绩效目标情况</w:t>
      </w:r>
    </w:p>
    <w:p w14:paraId="45E85710">
      <w:pPr>
        <w:ind w:firstLine="645"/>
        <w:rPr>
          <w:rFonts w:hint="eastAsia" w:ascii="仿宋_GB2312" w:eastAsia="仿宋_GB2312"/>
          <w:color w:val="auto"/>
          <w:sz w:val="32"/>
          <w:szCs w:val="32"/>
        </w:rPr>
      </w:pPr>
      <w:r>
        <w:rPr>
          <w:rFonts w:hint="eastAsia" w:ascii="仿宋_GB2312" w:hAnsi="宋体" w:eastAsia="仿宋_GB2312"/>
          <w:color w:val="auto"/>
          <w:sz w:val="32"/>
          <w:szCs w:val="32"/>
        </w:rPr>
        <w:t>根据预算绩效管理要求，</w:t>
      </w:r>
      <w:r>
        <w:rPr>
          <w:rFonts w:hint="eastAsia" w:ascii="仿宋_GB2312" w:hAnsi="宋体" w:eastAsia="仿宋_GB2312"/>
          <w:color w:val="auto"/>
          <w:sz w:val="32"/>
          <w:szCs w:val="32"/>
          <w:lang w:val="en-US" w:eastAsia="zh-CN"/>
        </w:rPr>
        <w:t>本溪市溪湖区商务</w:t>
      </w:r>
      <w:r>
        <w:rPr>
          <w:rFonts w:hint="eastAsia" w:ascii="仿宋_GB2312" w:hAnsi="宋体" w:eastAsia="仿宋_GB2312"/>
          <w:color w:val="auto"/>
          <w:sz w:val="32"/>
          <w:szCs w:val="32"/>
        </w:rPr>
        <w:t>局</w:t>
      </w:r>
      <w:r>
        <w:rPr>
          <w:rFonts w:hint="eastAsia" w:ascii="仿宋_GB2312" w:hAnsi="宋体" w:eastAsia="仿宋_GB2312"/>
          <w:color w:val="auto"/>
          <w:sz w:val="32"/>
          <w:szCs w:val="32"/>
          <w:lang w:val="en-US" w:eastAsia="zh-CN"/>
        </w:rPr>
        <w:t>本级</w:t>
      </w:r>
      <w:r>
        <w:rPr>
          <w:rFonts w:hint="eastAsia" w:ascii="仿宋_GB2312" w:hAnsi="宋体" w:eastAsia="仿宋_GB2312"/>
          <w:color w:val="auto"/>
          <w:sz w:val="32"/>
          <w:szCs w:val="32"/>
        </w:rPr>
        <w:t>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年应编制部门（单位）整体绩效目标共</w:t>
      </w:r>
      <w:r>
        <w:rPr>
          <w:rFonts w:hint="eastAsia" w:ascii="仿宋_GB2312" w:hAnsi="宋体" w:eastAsia="仿宋_GB2312"/>
          <w:color w:val="auto"/>
          <w:sz w:val="32"/>
          <w:szCs w:val="32"/>
          <w:lang w:val="en-US" w:eastAsia="zh-CN"/>
        </w:rPr>
        <w:t>3</w:t>
      </w:r>
      <w:r>
        <w:rPr>
          <w:rFonts w:hint="eastAsia" w:ascii="仿宋_GB2312" w:hAnsi="宋体" w:eastAsia="仿宋_GB2312"/>
          <w:color w:val="auto"/>
          <w:sz w:val="32"/>
          <w:szCs w:val="32"/>
        </w:rPr>
        <w:t>个，实际编制部门（单位）整体绩效目标共</w:t>
      </w:r>
      <w:r>
        <w:rPr>
          <w:rFonts w:hint="eastAsia" w:ascii="仿宋_GB2312" w:hAnsi="宋体" w:eastAsia="仿宋_GB2312"/>
          <w:color w:val="auto"/>
          <w:sz w:val="32"/>
          <w:szCs w:val="32"/>
          <w:lang w:val="en-US" w:eastAsia="zh-CN"/>
        </w:rPr>
        <w:t>3</w:t>
      </w:r>
      <w:r>
        <w:rPr>
          <w:rFonts w:hint="eastAsia" w:ascii="仿宋_GB2312" w:hAnsi="宋体" w:eastAsia="仿宋_GB2312"/>
          <w:color w:val="auto"/>
          <w:sz w:val="32"/>
          <w:szCs w:val="32"/>
        </w:rPr>
        <w:t>个，编制部门（单位）整体绩效目标覆盖率（实际编制绩效目标的数量/应编制绩效目标的数量）为100%。202</w:t>
      </w:r>
      <w:r>
        <w:rPr>
          <w:rFonts w:hint="eastAsia" w:ascii="仿宋_GB2312" w:hAnsi="宋体" w:eastAsia="仿宋_GB2312"/>
          <w:color w:val="auto"/>
          <w:sz w:val="32"/>
          <w:szCs w:val="32"/>
          <w:lang w:val="en-US" w:eastAsia="zh-CN"/>
        </w:rPr>
        <w:t>6</w:t>
      </w:r>
      <w:r>
        <w:rPr>
          <w:rFonts w:hint="eastAsia" w:ascii="仿宋_GB2312" w:hAnsi="宋体" w:eastAsia="仿宋_GB2312"/>
          <w:color w:val="auto"/>
          <w:sz w:val="32"/>
          <w:szCs w:val="32"/>
        </w:rPr>
        <w:t>年应编制绩效目标的特定目标类和其他运转类项目共</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个，涉及资金</w:t>
      </w:r>
      <w:r>
        <w:rPr>
          <w:rFonts w:hint="eastAsia" w:ascii="仿宋_GB2312" w:hAnsi="宋体" w:eastAsia="仿宋_GB2312"/>
          <w:color w:val="auto"/>
          <w:sz w:val="32"/>
          <w:szCs w:val="32"/>
          <w:lang w:val="en-US" w:eastAsia="zh-CN"/>
        </w:rPr>
        <w:t>10.9</w:t>
      </w:r>
      <w:r>
        <w:rPr>
          <w:rFonts w:hint="eastAsia" w:ascii="仿宋_GB2312" w:hAnsi="宋体" w:eastAsia="仿宋_GB2312"/>
          <w:color w:val="auto"/>
          <w:sz w:val="32"/>
          <w:szCs w:val="32"/>
        </w:rPr>
        <w:t>万元，实际编制绩效目标的特定目标类和其他运转类项目共</w:t>
      </w:r>
      <w:r>
        <w:rPr>
          <w:rFonts w:hint="eastAsia" w:ascii="仿宋_GB2312" w:hAnsi="宋体" w:eastAsia="仿宋_GB2312"/>
          <w:color w:val="auto"/>
          <w:sz w:val="32"/>
          <w:szCs w:val="32"/>
          <w:lang w:val="en-US" w:eastAsia="zh-CN"/>
        </w:rPr>
        <w:t>2</w:t>
      </w:r>
      <w:r>
        <w:rPr>
          <w:rFonts w:hint="eastAsia" w:ascii="仿宋_GB2312" w:hAnsi="宋体" w:eastAsia="仿宋_GB2312"/>
          <w:color w:val="auto"/>
          <w:sz w:val="32"/>
          <w:szCs w:val="32"/>
        </w:rPr>
        <w:t>个，涉及资金</w:t>
      </w:r>
      <w:r>
        <w:rPr>
          <w:rFonts w:hint="eastAsia" w:ascii="仿宋_GB2312" w:hAnsi="宋体" w:eastAsia="仿宋_GB2312"/>
          <w:color w:val="auto"/>
          <w:sz w:val="32"/>
          <w:szCs w:val="32"/>
          <w:lang w:val="en-US" w:eastAsia="zh-CN"/>
        </w:rPr>
        <w:t>10.9</w:t>
      </w:r>
      <w:r>
        <w:rPr>
          <w:rFonts w:hint="eastAsia" w:ascii="仿宋_GB2312" w:hAnsi="宋体" w:eastAsia="仿宋_GB2312"/>
          <w:color w:val="auto"/>
          <w:sz w:val="32"/>
          <w:szCs w:val="32"/>
        </w:rPr>
        <w:t>万元，编制特定目标类和其他运转类绩效目标的项目覆盖率（实际编制绩效目标的数量/应编制绩效目标的数量）为100%。</w:t>
      </w:r>
    </w:p>
    <w:p w14:paraId="5EF5D74D">
      <w:pPr>
        <w:rPr>
          <w:rFonts w:hint="eastAsia" w:ascii="宋体" w:hAnsi="宋体"/>
          <w:b/>
          <w:color w:val="auto"/>
          <w:sz w:val="36"/>
          <w:szCs w:val="36"/>
        </w:rPr>
      </w:pPr>
    </w:p>
    <w:p w14:paraId="0727EFFB">
      <w:pPr>
        <w:jc w:val="center"/>
        <w:rPr>
          <w:rFonts w:hint="eastAsia" w:ascii="宋体" w:hAnsi="宋体"/>
          <w:b/>
          <w:color w:val="auto"/>
          <w:sz w:val="36"/>
          <w:szCs w:val="36"/>
        </w:rPr>
      </w:pPr>
      <w:r>
        <w:rPr>
          <w:rFonts w:hint="eastAsia" w:ascii="宋体" w:hAnsi="宋体"/>
          <w:b/>
          <w:color w:val="auto"/>
          <w:sz w:val="36"/>
          <w:szCs w:val="36"/>
        </w:rPr>
        <w:t>第四部分 名词解释</w:t>
      </w:r>
    </w:p>
    <w:p w14:paraId="6031F965">
      <w:pPr>
        <w:jc w:val="center"/>
        <w:rPr>
          <w:rFonts w:hint="eastAsia" w:ascii="黑体" w:eastAsia="黑体"/>
          <w:color w:val="auto"/>
          <w:sz w:val="36"/>
          <w:szCs w:val="36"/>
        </w:rPr>
      </w:pPr>
    </w:p>
    <w:p w14:paraId="31D23994">
      <w:pPr>
        <w:ind w:firstLine="643" w:firstLineChars="200"/>
        <w:jc w:val="left"/>
        <w:rPr>
          <w:rFonts w:hint="eastAsia" w:ascii="仿宋_GB2312" w:eastAsia="仿宋_GB2312"/>
          <w:bCs/>
          <w:color w:val="auto"/>
          <w:sz w:val="32"/>
          <w:szCs w:val="32"/>
        </w:rPr>
      </w:pPr>
      <w:r>
        <w:rPr>
          <w:rFonts w:hint="eastAsia" w:ascii="仿宋_GB2312" w:eastAsia="仿宋_GB2312"/>
          <w:b/>
          <w:color w:val="auto"/>
          <w:sz w:val="32"/>
          <w:szCs w:val="32"/>
        </w:rPr>
        <w:t>1.一般公共预算：</w:t>
      </w:r>
      <w:r>
        <w:rPr>
          <w:rFonts w:hint="eastAsia" w:ascii="仿宋_GB2312" w:eastAsia="仿宋_GB2312"/>
          <w:bCs/>
          <w:color w:val="auto"/>
          <w:sz w:val="32"/>
          <w:szCs w:val="32"/>
        </w:rPr>
        <w:t>指以税收为主体的财政收入，安排用于保障和改善民生、推动经济社会发展、维护国家安全、维持国家机构正常运转等方面的收支预算。</w:t>
      </w:r>
    </w:p>
    <w:p w14:paraId="565E0AAE">
      <w:pPr>
        <w:ind w:firstLine="643" w:firstLineChars="200"/>
        <w:jc w:val="left"/>
        <w:rPr>
          <w:rFonts w:hint="eastAsia" w:ascii="仿宋_GB2312" w:eastAsia="仿宋_GB2312"/>
          <w:bCs/>
          <w:color w:val="auto"/>
          <w:sz w:val="32"/>
          <w:szCs w:val="32"/>
        </w:rPr>
      </w:pPr>
      <w:r>
        <w:rPr>
          <w:rFonts w:hint="eastAsia" w:ascii="仿宋_GB2312" w:eastAsia="仿宋_GB2312"/>
          <w:b/>
          <w:color w:val="auto"/>
          <w:sz w:val="32"/>
          <w:szCs w:val="32"/>
        </w:rPr>
        <w:t>2.一般公共预算收入：</w:t>
      </w:r>
      <w:r>
        <w:rPr>
          <w:rFonts w:hint="eastAsia" w:ascii="仿宋_GB2312" w:eastAsia="仿宋_GB2312"/>
          <w:bCs/>
          <w:color w:val="auto"/>
          <w:sz w:val="32"/>
          <w:szCs w:val="32"/>
        </w:rPr>
        <w:t>主要包括税收收入、行政事业性收费收入、国有资源（资产）有偿使用收入、转移性收入和其他收入。</w:t>
      </w:r>
    </w:p>
    <w:p w14:paraId="2229D8A3">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3.财政拨款收入：</w:t>
      </w:r>
      <w:r>
        <w:rPr>
          <w:rFonts w:hint="eastAsia" w:ascii="仿宋_GB2312" w:eastAsia="仿宋_GB2312"/>
          <w:color w:val="auto"/>
          <w:sz w:val="32"/>
          <w:szCs w:val="32"/>
        </w:rPr>
        <w:t>指市级财政当年拨付的资金。</w:t>
      </w:r>
    </w:p>
    <w:p w14:paraId="5BBB80AA">
      <w:pPr>
        <w:ind w:firstLine="643" w:firstLineChars="200"/>
        <w:jc w:val="left"/>
        <w:rPr>
          <w:rFonts w:hint="eastAsia" w:ascii="仿宋_GB2312" w:eastAsia="仿宋_GB2312"/>
          <w:b/>
          <w:color w:val="auto"/>
          <w:sz w:val="32"/>
          <w:szCs w:val="32"/>
        </w:rPr>
      </w:pPr>
      <w:bookmarkStart w:id="0" w:name="OLE_LINK1"/>
      <w:r>
        <w:rPr>
          <w:rFonts w:hint="eastAsia" w:ascii="仿宋_GB2312" w:eastAsia="仿宋_GB2312"/>
          <w:b/>
          <w:color w:val="auto"/>
          <w:sz w:val="32"/>
          <w:szCs w:val="32"/>
        </w:rPr>
        <w:t>4.行政事业性收费收入：</w:t>
      </w:r>
      <w:r>
        <w:rPr>
          <w:rFonts w:hint="eastAsia" w:ascii="仿宋_GB2312" w:eastAsia="仿宋_GB2312"/>
          <w:color w:val="auto"/>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5E6CB517">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5.政府性基金收入</w:t>
      </w:r>
      <w:bookmarkEnd w:id="0"/>
      <w:r>
        <w:rPr>
          <w:rFonts w:hint="eastAsia" w:ascii="仿宋_GB2312" w:eastAsia="仿宋_GB2312"/>
          <w:b/>
          <w:color w:val="auto"/>
          <w:sz w:val="32"/>
          <w:szCs w:val="32"/>
        </w:rPr>
        <w:t>：</w:t>
      </w:r>
      <w:r>
        <w:rPr>
          <w:rFonts w:hint="eastAsia" w:ascii="仿宋_GB2312" w:eastAsia="仿宋_GB2312"/>
          <w:color w:val="auto"/>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14:paraId="1D2647EC">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6.基本支出：</w:t>
      </w:r>
      <w:r>
        <w:rPr>
          <w:rFonts w:hint="eastAsia" w:ascii="仿宋_GB2312" w:eastAsia="仿宋_GB2312"/>
          <w:color w:val="auto"/>
          <w:sz w:val="32"/>
          <w:szCs w:val="32"/>
        </w:rPr>
        <w:t>指保障机构正常运转、完成日常工作任务而发生的人员支出和公用支出。包括人员类项目支出和公用经费类项目支出。</w:t>
      </w:r>
    </w:p>
    <w:p w14:paraId="68EDDCD2">
      <w:pPr>
        <w:ind w:firstLine="643" w:firstLineChars="200"/>
        <w:jc w:val="left"/>
        <w:rPr>
          <w:rFonts w:hint="eastAsia" w:ascii="仿宋_GB2312" w:eastAsia="仿宋_GB2312"/>
          <w:b/>
          <w:color w:val="auto"/>
          <w:sz w:val="32"/>
          <w:szCs w:val="32"/>
        </w:rPr>
      </w:pPr>
      <w:r>
        <w:rPr>
          <w:rFonts w:hint="eastAsia" w:ascii="仿宋_GB2312" w:eastAsia="仿宋_GB2312"/>
          <w:b/>
          <w:color w:val="auto"/>
          <w:sz w:val="32"/>
          <w:szCs w:val="32"/>
        </w:rPr>
        <w:t>7.项目支出：</w:t>
      </w:r>
      <w:r>
        <w:rPr>
          <w:rFonts w:hint="eastAsia" w:ascii="仿宋_GB2312" w:eastAsia="仿宋_GB2312"/>
          <w:color w:val="auto"/>
          <w:sz w:val="32"/>
          <w:szCs w:val="32"/>
        </w:rPr>
        <w:t>指在基本支出之外为完成特定行政任务和事业发展目标所发生的支出。包括特定目标类项目支出和其他运转类项目支出。</w:t>
      </w:r>
    </w:p>
    <w:p w14:paraId="41C172BC">
      <w:pPr>
        <w:ind w:firstLine="643" w:firstLineChars="200"/>
        <w:rPr>
          <w:rFonts w:hint="eastAsia" w:ascii="仿宋_GB2312" w:eastAsia="仿宋_GB2312"/>
          <w:color w:val="auto"/>
          <w:sz w:val="32"/>
          <w:szCs w:val="32"/>
        </w:rPr>
      </w:pPr>
      <w:r>
        <w:rPr>
          <w:rFonts w:hint="eastAsia" w:ascii="仿宋_GB2312" w:eastAsia="仿宋_GB2312"/>
          <w:b/>
          <w:color w:val="auto"/>
          <w:sz w:val="32"/>
        </w:rPr>
        <w:t>8.机关（事业）运行经费：</w:t>
      </w:r>
      <w:r>
        <w:rPr>
          <w:rFonts w:hint="eastAsia" w:ascii="仿宋_GB2312" w:eastAsia="仿宋_GB2312"/>
          <w:color w:val="auto"/>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A3C35CD">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9.“三公”经费</w:t>
      </w:r>
      <w:r>
        <w:rPr>
          <w:rFonts w:hint="eastAsia" w:ascii="仿宋_GB2312" w:eastAsia="仿宋_GB2312"/>
          <w:color w:val="auto"/>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427CD185">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10.</w:t>
      </w:r>
      <w:r>
        <w:rPr>
          <w:rFonts w:hint="eastAsia" w:ascii="仿宋_GB2312" w:eastAsia="仿宋_GB2312"/>
          <w:b/>
          <w:color w:val="auto"/>
          <w:sz w:val="32"/>
          <w:szCs w:val="32"/>
          <w:highlight w:val="none"/>
          <w:lang w:val="en-US" w:eastAsia="zh-CN"/>
        </w:rPr>
        <w:t>商业服务业等支出</w:t>
      </w:r>
      <w:r>
        <w:rPr>
          <w:rFonts w:hint="eastAsia" w:ascii="仿宋_GB2312" w:eastAsia="仿宋_GB2312"/>
          <w:b/>
          <w:color w:val="auto"/>
          <w:sz w:val="32"/>
          <w:szCs w:val="32"/>
          <w:highlight w:val="none"/>
        </w:rPr>
        <w:t>（类）</w:t>
      </w:r>
      <w:r>
        <w:rPr>
          <w:rFonts w:hint="eastAsia" w:ascii="仿宋_GB2312" w:eastAsia="仿宋_GB2312"/>
          <w:b/>
          <w:color w:val="auto"/>
          <w:sz w:val="32"/>
          <w:szCs w:val="32"/>
          <w:highlight w:val="none"/>
          <w:lang w:val="en-US" w:eastAsia="zh-CN"/>
        </w:rPr>
        <w:t>商务流通</w:t>
      </w:r>
      <w:r>
        <w:rPr>
          <w:rFonts w:hint="eastAsia" w:ascii="仿宋_GB2312" w:eastAsia="仿宋_GB2312"/>
          <w:b/>
          <w:color w:val="auto"/>
          <w:sz w:val="32"/>
          <w:szCs w:val="32"/>
          <w:highlight w:val="none"/>
        </w:rPr>
        <w:t>事务（款）行政运行（项）：</w:t>
      </w:r>
      <w:r>
        <w:rPr>
          <w:rFonts w:hint="eastAsia" w:ascii="仿宋_GB2312" w:eastAsia="仿宋_GB2312"/>
          <w:color w:val="auto"/>
          <w:sz w:val="32"/>
          <w:szCs w:val="32"/>
          <w:highlight w:val="none"/>
        </w:rPr>
        <w:t>反映行政单位（包括实行公务员管理的事业单位）的基本支出。</w:t>
      </w:r>
    </w:p>
    <w:p w14:paraId="17DB7FB0">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11.</w:t>
      </w:r>
      <w:r>
        <w:rPr>
          <w:rFonts w:hint="eastAsia" w:ascii="仿宋_GB2312" w:eastAsia="仿宋_GB2312"/>
          <w:b/>
          <w:color w:val="auto"/>
          <w:sz w:val="32"/>
          <w:szCs w:val="32"/>
          <w:highlight w:val="none"/>
          <w:lang w:val="en-US" w:eastAsia="zh-CN"/>
        </w:rPr>
        <w:t>商业服务业等支出</w:t>
      </w:r>
      <w:r>
        <w:rPr>
          <w:rFonts w:hint="eastAsia" w:ascii="仿宋_GB2312" w:eastAsia="仿宋_GB2312"/>
          <w:b/>
          <w:color w:val="auto"/>
          <w:sz w:val="32"/>
          <w:szCs w:val="32"/>
          <w:highlight w:val="none"/>
        </w:rPr>
        <w:t>（类）</w:t>
      </w:r>
      <w:r>
        <w:rPr>
          <w:rFonts w:hint="eastAsia" w:ascii="仿宋_GB2312" w:eastAsia="仿宋_GB2312"/>
          <w:b/>
          <w:color w:val="auto"/>
          <w:sz w:val="32"/>
          <w:szCs w:val="32"/>
          <w:highlight w:val="none"/>
          <w:lang w:val="en-US" w:eastAsia="zh-CN"/>
        </w:rPr>
        <w:t>商务流通</w:t>
      </w:r>
      <w:r>
        <w:rPr>
          <w:rFonts w:hint="eastAsia" w:ascii="仿宋_GB2312" w:eastAsia="仿宋_GB2312"/>
          <w:b/>
          <w:color w:val="auto"/>
          <w:sz w:val="32"/>
          <w:szCs w:val="32"/>
          <w:highlight w:val="none"/>
        </w:rPr>
        <w:t>事务（款）事业运行（项）：</w:t>
      </w:r>
      <w:r>
        <w:rPr>
          <w:rFonts w:hint="eastAsia" w:ascii="仿宋_GB2312" w:eastAsia="仿宋_GB2312"/>
          <w:color w:val="auto"/>
          <w:sz w:val="32"/>
          <w:szCs w:val="32"/>
          <w:highlight w:val="none"/>
        </w:rPr>
        <w:t>反映事业单位的基本支出，不包括行政单位（包括实行公务员管理的事业单位）后勤服务中心、医务室等附属事业单位。</w:t>
      </w:r>
    </w:p>
    <w:p w14:paraId="2C9CACC1">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2</w:t>
      </w:r>
      <w:r>
        <w:rPr>
          <w:rFonts w:hint="eastAsia" w:ascii="仿宋_GB2312" w:eastAsia="仿宋_GB2312"/>
          <w:b/>
          <w:color w:val="auto"/>
          <w:sz w:val="32"/>
          <w:szCs w:val="32"/>
        </w:rPr>
        <w:t>.社会保障和就业（类）行政事业单位离退休（款）归口管理的行政单位离退休（项）：</w:t>
      </w:r>
      <w:r>
        <w:rPr>
          <w:rFonts w:hint="eastAsia" w:ascii="仿宋_GB2312" w:eastAsia="仿宋_GB2312"/>
          <w:color w:val="auto"/>
          <w:sz w:val="32"/>
          <w:szCs w:val="32"/>
        </w:rPr>
        <w:t>反映实行归口管理的行政单位（包括实行公务员管理的事业单位）开支的离退休经费。</w:t>
      </w:r>
    </w:p>
    <w:p w14:paraId="35AD4EC4">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3</w:t>
      </w:r>
      <w:r>
        <w:rPr>
          <w:rFonts w:hint="eastAsia" w:ascii="仿宋_GB2312" w:eastAsia="仿宋_GB2312"/>
          <w:b/>
          <w:color w:val="auto"/>
          <w:sz w:val="32"/>
          <w:szCs w:val="32"/>
        </w:rPr>
        <w:t>.社会保障和就业（类）行政事业单位离退休（款）事业单位离退休（项）：</w:t>
      </w:r>
      <w:r>
        <w:rPr>
          <w:rFonts w:hint="eastAsia" w:ascii="仿宋_GB2312" w:eastAsia="仿宋_GB2312"/>
          <w:color w:val="auto"/>
          <w:sz w:val="32"/>
          <w:szCs w:val="32"/>
        </w:rPr>
        <w:t>反映实行归口管理的事业单位开支的离退休经费。</w:t>
      </w:r>
    </w:p>
    <w:p w14:paraId="2340A613">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4</w:t>
      </w:r>
      <w:r>
        <w:rPr>
          <w:rFonts w:hint="eastAsia" w:ascii="仿宋_GB2312" w:eastAsia="仿宋_GB2312"/>
          <w:b/>
          <w:color w:val="auto"/>
          <w:sz w:val="32"/>
          <w:szCs w:val="32"/>
        </w:rPr>
        <w:t>.住房保障（类）住房改革（款）住房公积金（项）：</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14:paraId="22DD35B3">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5</w:t>
      </w:r>
      <w:r>
        <w:rPr>
          <w:rFonts w:hint="eastAsia" w:ascii="仿宋_GB2312" w:eastAsia="仿宋_GB2312"/>
          <w:b/>
          <w:color w:val="auto"/>
          <w:sz w:val="32"/>
          <w:szCs w:val="32"/>
        </w:rPr>
        <w:t>.政府采购：</w:t>
      </w:r>
      <w:r>
        <w:rPr>
          <w:rFonts w:hint="eastAsia" w:ascii="仿宋_GB2312" w:eastAsia="仿宋_GB2312"/>
          <w:color w:val="auto"/>
          <w:sz w:val="32"/>
          <w:szCs w:val="32"/>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14:paraId="50CB587B">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6</w:t>
      </w:r>
      <w:r>
        <w:rPr>
          <w:rFonts w:hint="eastAsia" w:ascii="仿宋_GB2312" w:eastAsia="仿宋_GB2312"/>
          <w:b/>
          <w:color w:val="auto"/>
          <w:sz w:val="32"/>
          <w:szCs w:val="32"/>
        </w:rPr>
        <w:t>.政府购买服务：</w:t>
      </w:r>
      <w:r>
        <w:rPr>
          <w:rFonts w:hint="eastAsia" w:ascii="仿宋_GB2312" w:eastAsia="仿宋_GB2312"/>
          <w:color w:val="auto"/>
          <w:sz w:val="32"/>
          <w:szCs w:val="32"/>
        </w:rPr>
        <w:t>指各级国家机关将属于自身职责范围且适合通过市场化方式提供的服务事项，按照政府采购方式和程序，交由符合条件的服务供应商承担，并根据服务数量和质量等因素向其支付费用的行为。</w:t>
      </w:r>
    </w:p>
    <w:p w14:paraId="16869D67">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7</w:t>
      </w:r>
      <w:r>
        <w:rPr>
          <w:rFonts w:hint="eastAsia" w:ascii="仿宋_GB2312" w:eastAsia="仿宋_GB2312"/>
          <w:b/>
          <w:color w:val="auto"/>
          <w:sz w:val="32"/>
          <w:szCs w:val="32"/>
        </w:rPr>
        <w:t>.绩效目标：</w:t>
      </w:r>
      <w:r>
        <w:rPr>
          <w:rFonts w:hint="eastAsia" w:ascii="仿宋_GB2312" w:eastAsia="仿宋_GB2312"/>
          <w:color w:val="auto"/>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14:paraId="01B44E67">
      <w:pPr>
        <w:ind w:firstLine="643" w:firstLineChars="200"/>
        <w:jc w:val="left"/>
        <w:rPr>
          <w:rFonts w:hint="eastAsia" w:ascii="仿宋_GB2312" w:eastAsia="仿宋_GB2312"/>
          <w:color w:val="auto"/>
          <w:sz w:val="32"/>
          <w:szCs w:val="32"/>
        </w:rPr>
      </w:pPr>
      <w:r>
        <w:rPr>
          <w:rFonts w:hint="eastAsia" w:ascii="仿宋_GB2312" w:eastAsia="仿宋_GB2312"/>
          <w:b/>
          <w:color w:val="auto"/>
          <w:sz w:val="32"/>
          <w:szCs w:val="32"/>
        </w:rPr>
        <w:t>1</w:t>
      </w:r>
      <w:r>
        <w:rPr>
          <w:rFonts w:hint="eastAsia" w:ascii="仿宋_GB2312" w:eastAsia="仿宋_GB2312"/>
          <w:b/>
          <w:color w:val="auto"/>
          <w:sz w:val="32"/>
          <w:szCs w:val="32"/>
          <w:lang w:val="en-US" w:eastAsia="zh-CN"/>
        </w:rPr>
        <w:t>8</w:t>
      </w:r>
      <w:r>
        <w:rPr>
          <w:rFonts w:hint="eastAsia" w:ascii="仿宋_GB2312" w:eastAsia="仿宋_GB2312"/>
          <w:b/>
          <w:color w:val="auto"/>
          <w:sz w:val="32"/>
          <w:szCs w:val="32"/>
        </w:rPr>
        <w:t>.绩效目标管理：</w:t>
      </w:r>
      <w:r>
        <w:rPr>
          <w:rFonts w:hint="eastAsia" w:ascii="仿宋_GB2312" w:eastAsia="仿宋_GB2312"/>
          <w:color w:val="auto"/>
          <w:sz w:val="32"/>
          <w:szCs w:val="32"/>
        </w:rPr>
        <w:t>指以绩效目标为对象，以绩效目标的编制、审核、批复、调整和应用等为主要内容所开展的预算管理活动。</w:t>
      </w:r>
    </w:p>
    <w:p w14:paraId="51A6225F">
      <w:pPr>
        <w:jc w:val="center"/>
        <w:rPr>
          <w:rFonts w:hint="eastAsia" w:ascii="仿宋_GB2312" w:eastAsia="仿宋_GB2312"/>
          <w:b/>
          <w:color w:val="auto"/>
          <w:sz w:val="32"/>
          <w:szCs w:val="32"/>
        </w:rPr>
      </w:pPr>
    </w:p>
    <w:p w14:paraId="5B8BE69A">
      <w:pPr>
        <w:jc w:val="center"/>
        <w:rPr>
          <w:rFonts w:hint="eastAsia" w:ascii="黑体" w:eastAsia="黑体"/>
          <w:color w:val="auto"/>
          <w:sz w:val="32"/>
          <w:szCs w:val="32"/>
        </w:rPr>
      </w:pPr>
    </w:p>
    <w:p w14:paraId="3ED25266">
      <w:pPr>
        <w:rPr>
          <w:rFonts w:hint="eastAsia" w:ascii="黑体" w:eastAsia="黑体"/>
          <w:color w:val="auto"/>
          <w:sz w:val="36"/>
          <w:szCs w:val="36"/>
        </w:rPr>
      </w:pPr>
    </w:p>
    <w:sectPr>
      <w:footerReference r:id="rId3" w:type="default"/>
      <w:footerReference r:id="rId4"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4F103">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12</w:t>
    </w:r>
    <w:r>
      <w:fldChar w:fldCharType="end"/>
    </w:r>
  </w:p>
  <w:p w14:paraId="0164D1C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71AE3">
    <w:pPr>
      <w:pStyle w:val="3"/>
      <w:framePr w:wrap="around" w:vAnchor="text" w:hAnchor="margin" w:xAlign="center" w:y="1"/>
      <w:rPr>
        <w:rStyle w:val="8"/>
      </w:rPr>
    </w:pPr>
    <w:r>
      <w:fldChar w:fldCharType="begin"/>
    </w:r>
    <w:r>
      <w:rPr>
        <w:rStyle w:val="8"/>
      </w:rPr>
      <w:instrText xml:space="preserve">PAGE  </w:instrText>
    </w:r>
    <w:r>
      <w:fldChar w:fldCharType="end"/>
    </w:r>
  </w:p>
  <w:p w14:paraId="03EF1EC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542E6"/>
    <w:rsid w:val="000048A5"/>
    <w:rsid w:val="0002546B"/>
    <w:rsid w:val="0004398C"/>
    <w:rsid w:val="0004572D"/>
    <w:rsid w:val="00051065"/>
    <w:rsid w:val="00054F25"/>
    <w:rsid w:val="000725A7"/>
    <w:rsid w:val="00073E3F"/>
    <w:rsid w:val="00075A3D"/>
    <w:rsid w:val="0009388E"/>
    <w:rsid w:val="00095D9E"/>
    <w:rsid w:val="000A1824"/>
    <w:rsid w:val="000A47B7"/>
    <w:rsid w:val="000B3BE6"/>
    <w:rsid w:val="000C25F9"/>
    <w:rsid w:val="000E1DEF"/>
    <w:rsid w:val="000E403D"/>
    <w:rsid w:val="000E7D0A"/>
    <w:rsid w:val="001100B7"/>
    <w:rsid w:val="00115FE7"/>
    <w:rsid w:val="0012262F"/>
    <w:rsid w:val="0013380C"/>
    <w:rsid w:val="00134FAF"/>
    <w:rsid w:val="001364E5"/>
    <w:rsid w:val="0013683A"/>
    <w:rsid w:val="001441A4"/>
    <w:rsid w:val="0016412F"/>
    <w:rsid w:val="001656BE"/>
    <w:rsid w:val="001657B6"/>
    <w:rsid w:val="00175D02"/>
    <w:rsid w:val="001846A6"/>
    <w:rsid w:val="00196F76"/>
    <w:rsid w:val="001B77A9"/>
    <w:rsid w:val="001B7AC7"/>
    <w:rsid w:val="001E12A5"/>
    <w:rsid w:val="001E1C9D"/>
    <w:rsid w:val="001E3BB8"/>
    <w:rsid w:val="001E7F45"/>
    <w:rsid w:val="001F4B21"/>
    <w:rsid w:val="001F5515"/>
    <w:rsid w:val="002003A2"/>
    <w:rsid w:val="00201094"/>
    <w:rsid w:val="0020157B"/>
    <w:rsid w:val="002020FA"/>
    <w:rsid w:val="002038F8"/>
    <w:rsid w:val="00207EF8"/>
    <w:rsid w:val="002106F8"/>
    <w:rsid w:val="00210A14"/>
    <w:rsid w:val="002137BF"/>
    <w:rsid w:val="0022540A"/>
    <w:rsid w:val="00227F7C"/>
    <w:rsid w:val="002335DF"/>
    <w:rsid w:val="00245461"/>
    <w:rsid w:val="00246231"/>
    <w:rsid w:val="0026131E"/>
    <w:rsid w:val="00264E0A"/>
    <w:rsid w:val="00275865"/>
    <w:rsid w:val="00290DE8"/>
    <w:rsid w:val="002A22FD"/>
    <w:rsid w:val="002C1A77"/>
    <w:rsid w:val="002C210E"/>
    <w:rsid w:val="002D2E1C"/>
    <w:rsid w:val="002E3F3E"/>
    <w:rsid w:val="002E6F16"/>
    <w:rsid w:val="002F7837"/>
    <w:rsid w:val="00314ECD"/>
    <w:rsid w:val="00317B76"/>
    <w:rsid w:val="00331390"/>
    <w:rsid w:val="00340F06"/>
    <w:rsid w:val="00344F39"/>
    <w:rsid w:val="003560B3"/>
    <w:rsid w:val="0037688C"/>
    <w:rsid w:val="003858E5"/>
    <w:rsid w:val="003A04EC"/>
    <w:rsid w:val="003E0DAF"/>
    <w:rsid w:val="003E65C4"/>
    <w:rsid w:val="00406755"/>
    <w:rsid w:val="00414072"/>
    <w:rsid w:val="00426B4B"/>
    <w:rsid w:val="00437901"/>
    <w:rsid w:val="0044165D"/>
    <w:rsid w:val="0044636A"/>
    <w:rsid w:val="00476F8F"/>
    <w:rsid w:val="00486679"/>
    <w:rsid w:val="00493F18"/>
    <w:rsid w:val="00495584"/>
    <w:rsid w:val="004A4FDC"/>
    <w:rsid w:val="004D584E"/>
    <w:rsid w:val="004E0C11"/>
    <w:rsid w:val="004F0520"/>
    <w:rsid w:val="004F4D7E"/>
    <w:rsid w:val="004F60B2"/>
    <w:rsid w:val="005127EF"/>
    <w:rsid w:val="00513EC4"/>
    <w:rsid w:val="0054190D"/>
    <w:rsid w:val="005460BF"/>
    <w:rsid w:val="00546BE4"/>
    <w:rsid w:val="0055106B"/>
    <w:rsid w:val="00552654"/>
    <w:rsid w:val="00555F4E"/>
    <w:rsid w:val="0056584F"/>
    <w:rsid w:val="0057459C"/>
    <w:rsid w:val="00584A71"/>
    <w:rsid w:val="00595870"/>
    <w:rsid w:val="00596C9A"/>
    <w:rsid w:val="005A0B24"/>
    <w:rsid w:val="005A0EF3"/>
    <w:rsid w:val="005A7EBD"/>
    <w:rsid w:val="005B0557"/>
    <w:rsid w:val="005B24A5"/>
    <w:rsid w:val="005C4E9E"/>
    <w:rsid w:val="005C54B4"/>
    <w:rsid w:val="005C78B8"/>
    <w:rsid w:val="00605615"/>
    <w:rsid w:val="006057DC"/>
    <w:rsid w:val="00605DFC"/>
    <w:rsid w:val="00605F98"/>
    <w:rsid w:val="006064EB"/>
    <w:rsid w:val="0060700A"/>
    <w:rsid w:val="00612625"/>
    <w:rsid w:val="00616C8C"/>
    <w:rsid w:val="00627D2A"/>
    <w:rsid w:val="00633168"/>
    <w:rsid w:val="0064390F"/>
    <w:rsid w:val="006470E5"/>
    <w:rsid w:val="006667C4"/>
    <w:rsid w:val="00670752"/>
    <w:rsid w:val="0067371A"/>
    <w:rsid w:val="00675265"/>
    <w:rsid w:val="00680BB7"/>
    <w:rsid w:val="006870E5"/>
    <w:rsid w:val="00687611"/>
    <w:rsid w:val="006A7474"/>
    <w:rsid w:val="006A798C"/>
    <w:rsid w:val="006B2685"/>
    <w:rsid w:val="006C2F3F"/>
    <w:rsid w:val="006C3EC1"/>
    <w:rsid w:val="006D1D00"/>
    <w:rsid w:val="006D5585"/>
    <w:rsid w:val="006E1AF1"/>
    <w:rsid w:val="00701571"/>
    <w:rsid w:val="00724191"/>
    <w:rsid w:val="00737CA3"/>
    <w:rsid w:val="007406C0"/>
    <w:rsid w:val="00773350"/>
    <w:rsid w:val="00773BD8"/>
    <w:rsid w:val="00776842"/>
    <w:rsid w:val="00776912"/>
    <w:rsid w:val="007A01A5"/>
    <w:rsid w:val="007C3D56"/>
    <w:rsid w:val="007D2208"/>
    <w:rsid w:val="007D5C00"/>
    <w:rsid w:val="007D5C20"/>
    <w:rsid w:val="007E10AF"/>
    <w:rsid w:val="007E5350"/>
    <w:rsid w:val="007F3E2E"/>
    <w:rsid w:val="00804577"/>
    <w:rsid w:val="00832E30"/>
    <w:rsid w:val="008369B0"/>
    <w:rsid w:val="00862232"/>
    <w:rsid w:val="008624A4"/>
    <w:rsid w:val="00867909"/>
    <w:rsid w:val="0087547D"/>
    <w:rsid w:val="00880AF2"/>
    <w:rsid w:val="00895609"/>
    <w:rsid w:val="008B2083"/>
    <w:rsid w:val="008B567B"/>
    <w:rsid w:val="008C3036"/>
    <w:rsid w:val="008D6BAE"/>
    <w:rsid w:val="008F4C1A"/>
    <w:rsid w:val="008F718E"/>
    <w:rsid w:val="009033AB"/>
    <w:rsid w:val="00917BF2"/>
    <w:rsid w:val="0093641D"/>
    <w:rsid w:val="00941A4D"/>
    <w:rsid w:val="0095395F"/>
    <w:rsid w:val="00954AA1"/>
    <w:rsid w:val="0099409D"/>
    <w:rsid w:val="009C0E1F"/>
    <w:rsid w:val="009C17AD"/>
    <w:rsid w:val="009D330C"/>
    <w:rsid w:val="009D73B1"/>
    <w:rsid w:val="00A431BD"/>
    <w:rsid w:val="00A80FD5"/>
    <w:rsid w:val="00A810B6"/>
    <w:rsid w:val="00A86055"/>
    <w:rsid w:val="00A872EB"/>
    <w:rsid w:val="00A877C7"/>
    <w:rsid w:val="00A93DBE"/>
    <w:rsid w:val="00AA1922"/>
    <w:rsid w:val="00AC480B"/>
    <w:rsid w:val="00B0465C"/>
    <w:rsid w:val="00B048FD"/>
    <w:rsid w:val="00B07BEB"/>
    <w:rsid w:val="00B14770"/>
    <w:rsid w:val="00B17365"/>
    <w:rsid w:val="00B34341"/>
    <w:rsid w:val="00B530B3"/>
    <w:rsid w:val="00B64505"/>
    <w:rsid w:val="00B80D85"/>
    <w:rsid w:val="00B858D6"/>
    <w:rsid w:val="00B85E08"/>
    <w:rsid w:val="00BA4728"/>
    <w:rsid w:val="00BB74D8"/>
    <w:rsid w:val="00BD4E6F"/>
    <w:rsid w:val="00BE3584"/>
    <w:rsid w:val="00BE59C4"/>
    <w:rsid w:val="00C00427"/>
    <w:rsid w:val="00C063ED"/>
    <w:rsid w:val="00C12B18"/>
    <w:rsid w:val="00C31AF3"/>
    <w:rsid w:val="00C573C3"/>
    <w:rsid w:val="00C9239A"/>
    <w:rsid w:val="00CD34D3"/>
    <w:rsid w:val="00CE11E3"/>
    <w:rsid w:val="00CE16F0"/>
    <w:rsid w:val="00CE245C"/>
    <w:rsid w:val="00CE63ED"/>
    <w:rsid w:val="00D12C10"/>
    <w:rsid w:val="00D16041"/>
    <w:rsid w:val="00D22F31"/>
    <w:rsid w:val="00D316A1"/>
    <w:rsid w:val="00D33629"/>
    <w:rsid w:val="00D33984"/>
    <w:rsid w:val="00D37592"/>
    <w:rsid w:val="00D75E88"/>
    <w:rsid w:val="00D80E84"/>
    <w:rsid w:val="00D8148A"/>
    <w:rsid w:val="00D951D8"/>
    <w:rsid w:val="00DA7B73"/>
    <w:rsid w:val="00DC5D43"/>
    <w:rsid w:val="00DE1E0A"/>
    <w:rsid w:val="00DE3FB5"/>
    <w:rsid w:val="00E1628B"/>
    <w:rsid w:val="00E174DA"/>
    <w:rsid w:val="00E31F50"/>
    <w:rsid w:val="00E355E5"/>
    <w:rsid w:val="00E54C91"/>
    <w:rsid w:val="00E578B5"/>
    <w:rsid w:val="00E646B8"/>
    <w:rsid w:val="00E94A3B"/>
    <w:rsid w:val="00ED2999"/>
    <w:rsid w:val="00F01DD7"/>
    <w:rsid w:val="00F22489"/>
    <w:rsid w:val="00F234F5"/>
    <w:rsid w:val="00F55629"/>
    <w:rsid w:val="00F62AD6"/>
    <w:rsid w:val="00F632F4"/>
    <w:rsid w:val="00F70B0E"/>
    <w:rsid w:val="00F941B4"/>
    <w:rsid w:val="00F953F8"/>
    <w:rsid w:val="00FA69D6"/>
    <w:rsid w:val="00FA79EA"/>
    <w:rsid w:val="00FC0286"/>
    <w:rsid w:val="00FD3CCD"/>
    <w:rsid w:val="00FE3108"/>
    <w:rsid w:val="00FE3361"/>
    <w:rsid w:val="00FF08FA"/>
    <w:rsid w:val="00FF712A"/>
    <w:rsid w:val="020726B5"/>
    <w:rsid w:val="02246AB3"/>
    <w:rsid w:val="085072D6"/>
    <w:rsid w:val="088F2EC3"/>
    <w:rsid w:val="08D35DAA"/>
    <w:rsid w:val="0AA417AC"/>
    <w:rsid w:val="0AD9287C"/>
    <w:rsid w:val="0D882D65"/>
    <w:rsid w:val="108A3DD8"/>
    <w:rsid w:val="10EA020B"/>
    <w:rsid w:val="120A776D"/>
    <w:rsid w:val="1876405C"/>
    <w:rsid w:val="19A1401F"/>
    <w:rsid w:val="1BFF0BA2"/>
    <w:rsid w:val="1C764D8E"/>
    <w:rsid w:val="1E5B925C"/>
    <w:rsid w:val="1E885DF3"/>
    <w:rsid w:val="1F73B621"/>
    <w:rsid w:val="1FDB54AC"/>
    <w:rsid w:val="20500CA4"/>
    <w:rsid w:val="25902C01"/>
    <w:rsid w:val="28A27D33"/>
    <w:rsid w:val="28A81197"/>
    <w:rsid w:val="2AFFA947"/>
    <w:rsid w:val="2B356697"/>
    <w:rsid w:val="2D46629B"/>
    <w:rsid w:val="30647164"/>
    <w:rsid w:val="32552BF1"/>
    <w:rsid w:val="3298182F"/>
    <w:rsid w:val="33305A23"/>
    <w:rsid w:val="34A64C3A"/>
    <w:rsid w:val="36127662"/>
    <w:rsid w:val="36C13835"/>
    <w:rsid w:val="37FB23C2"/>
    <w:rsid w:val="38411C51"/>
    <w:rsid w:val="3B1F2605"/>
    <w:rsid w:val="3C953521"/>
    <w:rsid w:val="3DD7AF07"/>
    <w:rsid w:val="3DE566F5"/>
    <w:rsid w:val="3E4E419F"/>
    <w:rsid w:val="3E6F5651"/>
    <w:rsid w:val="3FA98FB7"/>
    <w:rsid w:val="3FE9402F"/>
    <w:rsid w:val="44402AA3"/>
    <w:rsid w:val="460C5E7C"/>
    <w:rsid w:val="46C93D6D"/>
    <w:rsid w:val="47571378"/>
    <w:rsid w:val="47FB0BC2"/>
    <w:rsid w:val="49F75053"/>
    <w:rsid w:val="4AE560FA"/>
    <w:rsid w:val="4CB048D3"/>
    <w:rsid w:val="506863A4"/>
    <w:rsid w:val="54F975CB"/>
    <w:rsid w:val="554C7D7D"/>
    <w:rsid w:val="55D63029"/>
    <w:rsid w:val="55FC38F4"/>
    <w:rsid w:val="57CF392B"/>
    <w:rsid w:val="5AAD1584"/>
    <w:rsid w:val="5CF9CD00"/>
    <w:rsid w:val="5DED613B"/>
    <w:rsid w:val="5E579A2B"/>
    <w:rsid w:val="5EFDC486"/>
    <w:rsid w:val="5FB76A00"/>
    <w:rsid w:val="5FB86C8C"/>
    <w:rsid w:val="60624BBE"/>
    <w:rsid w:val="61C008C1"/>
    <w:rsid w:val="631A352E"/>
    <w:rsid w:val="64272A8E"/>
    <w:rsid w:val="69297011"/>
    <w:rsid w:val="697FEE15"/>
    <w:rsid w:val="6C844630"/>
    <w:rsid w:val="6E1542E6"/>
    <w:rsid w:val="6EE36ECA"/>
    <w:rsid w:val="6F563A8C"/>
    <w:rsid w:val="6FB519E4"/>
    <w:rsid w:val="6FFEC6C4"/>
    <w:rsid w:val="713F6B5E"/>
    <w:rsid w:val="72930CE4"/>
    <w:rsid w:val="72DA6836"/>
    <w:rsid w:val="74DCD89F"/>
    <w:rsid w:val="75D20867"/>
    <w:rsid w:val="77B716AC"/>
    <w:rsid w:val="79DDFFF2"/>
    <w:rsid w:val="7A1933F8"/>
    <w:rsid w:val="7AB935CA"/>
    <w:rsid w:val="7ABE2599"/>
    <w:rsid w:val="7BB77400"/>
    <w:rsid w:val="7CDB77FE"/>
    <w:rsid w:val="7D6A0F9A"/>
    <w:rsid w:val="7DD60500"/>
    <w:rsid w:val="7DE3837C"/>
    <w:rsid w:val="7DFF70A0"/>
    <w:rsid w:val="7EFF8290"/>
    <w:rsid w:val="7EFF9A56"/>
    <w:rsid w:val="7F4D0ACE"/>
    <w:rsid w:val="7F6E06B7"/>
    <w:rsid w:val="7F7AE537"/>
    <w:rsid w:val="7F7E3D9C"/>
    <w:rsid w:val="7FAEE443"/>
    <w:rsid w:val="7FEFA3FA"/>
    <w:rsid w:val="A8DF735B"/>
    <w:rsid w:val="B7FAB215"/>
    <w:rsid w:val="BF672EBF"/>
    <w:rsid w:val="BFAFBE78"/>
    <w:rsid w:val="BFBFDC73"/>
    <w:rsid w:val="BFEF1D02"/>
    <w:rsid w:val="BFF70BA4"/>
    <w:rsid w:val="BFF9F7F3"/>
    <w:rsid w:val="CEEFFC5D"/>
    <w:rsid w:val="CFE0DC24"/>
    <w:rsid w:val="D7FE7E1B"/>
    <w:rsid w:val="DDE7199E"/>
    <w:rsid w:val="DF6F4B7F"/>
    <w:rsid w:val="DFFED09A"/>
    <w:rsid w:val="E5FE8CE8"/>
    <w:rsid w:val="E6FED903"/>
    <w:rsid w:val="EE2FD920"/>
    <w:rsid w:val="EF9FE758"/>
    <w:rsid w:val="EFBFACB3"/>
    <w:rsid w:val="EFEB34F1"/>
    <w:rsid w:val="F5FFF3D4"/>
    <w:rsid w:val="F6BBA71C"/>
    <w:rsid w:val="F76DA03F"/>
    <w:rsid w:val="F9AF0E05"/>
    <w:rsid w:val="F9EE03EF"/>
    <w:rsid w:val="FA5F078E"/>
    <w:rsid w:val="FB71277D"/>
    <w:rsid w:val="FBA9EEAE"/>
    <w:rsid w:val="FCFFB286"/>
    <w:rsid w:val="FDE757CC"/>
    <w:rsid w:val="FDFFFD9B"/>
    <w:rsid w:val="FEBF95C2"/>
    <w:rsid w:val="FEE7A30B"/>
    <w:rsid w:val="FF5F3890"/>
    <w:rsid w:val="FF99731C"/>
    <w:rsid w:val="FFDDEAED"/>
    <w:rsid w:val="FFE7EC5E"/>
    <w:rsid w:val="FFF7EC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uiPriority w:val="0"/>
  </w:style>
  <w:style w:type="character" w:customStyle="1" w:styleId="9">
    <w:name w:val="页眉 Char"/>
    <w:link w:val="4"/>
    <w:uiPriority w:val="0"/>
    <w:rPr>
      <w:kern w:val="2"/>
      <w:sz w:val="18"/>
      <w:szCs w:val="18"/>
    </w:rPr>
  </w:style>
  <w:style w:type="paragraph" w:customStyle="1" w:styleId="10">
    <w:name w:val=" Char"/>
    <w:basedOn w:val="1"/>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G:\&#26412;&#28330;&#24066;&#28330;&#28246;&#21306;&#21830;&#21153;&#23616;&#26412;&#32423;2026&#24180;&#37096;&#38376;&#39044;&#31639;&#21644;&#8220;&#19977;&#20844;&#8221;&#32463;&#36153;&#20844;&#24320;&#35828;&#26126;.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f15ce0f8-e47d-4d80-b5d9-79033a91a532</errorID>
      <errorWord>&lt;</errorWord>
      <group>L1_Format</group>
      <groupName>格式问题</groupName>
      <ability>L2_HalfPunc</ability>
      <abilityName>全半角检查</abilityName>
      <candidateList>
        <item>〈</item>
      </candidateList>
      <explain>文本全半角错误。</explain>
      <paraID>157F7BC4</paraID>
      <start>4</start>
      <end>5</end>
      <status>ignored</status>
      <modifiedWord/>
      <trackRevisions>false</trackRevisions>
    </reviewItem>
    <reviewItem>
      <errorID>b6a0a5ee-4662-4f18-a44f-6d2cad445529</errorID>
      <errorWord>&gt;</errorWord>
      <group>L1_Format</group>
      <groupName>格式问题</groupName>
      <ability>L2_HalfPunc</ability>
      <abilityName>全半角检查</abilityName>
      <candidateList>
        <item>〉</item>
      </candidateList>
      <explain>文本全半角错误。</explain>
      <paraID>157F7BC4</paraID>
      <start>28</start>
      <end>29</end>
      <status>ignored</status>
      <modifiedWord/>
      <trackRevisions>false</trackRevisions>
    </reviewItem>
    <reviewItem>
      <errorID>e2e7d623-bc05-480c-8431-bceb39e5ced8</errorID>
      <errorWord>)</errorWord>
      <group>L1_Format</group>
      <groupName>格式问题</groupName>
      <ability>L2_HalfPunc</ability>
      <abilityName>全半角检查</abilityName>
      <candidateList>
        <item>）</item>
      </candidateList>
      <explain>文本全半角错误。</explain>
      <paraID>157F7BC4</paraID>
      <start>45</start>
      <end>46</end>
      <status>ignored</status>
      <modifiedWord/>
      <trackRevisions>false</trackRevisions>
    </reviewItem>
    <reviewItem>
      <errorID>293e8d00-411a-4962-80c8-4f460aee7ebb</errorID>
      <errorWord>我局</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7138D49A</paraID>
      <start>0</start>
      <end>2</end>
      <status>ignored</status>
      <modifiedWord/>
      <trackRevisions>false</trackRevisions>
    </reviewItem>
    <reviewItem>
      <errorID>11d5ca9a-aa82-4e5a-a3b6-5f465a7da8f9</errorID>
      <errorWord>情</errorWord>
      <group>L1_Word</group>
      <groupName>字词问题</groupName>
      <ability>L2_Typo</ability>
      <abilityName>字词错误</abilityName>
      <candidateList>
        <item>情况</item>
      </candidateList>
      <explain>〈名〉❶情形：思想～｜工作～｜～特殊。❷指军事上的变化，泛指事情的变化、动向：这两天前线没有什么～｜他俩的关系最近又有了新的～。</explain>
      <paraID>5AA16E7F</paraID>
      <start>25</start>
      <end>26</end>
      <status>ignored</status>
      <modifiedWord/>
      <trackRevisions>false</trackRevisions>
    </reviewItem>
    <reviewItem>
      <errorID>ff2550fb-f51a-485d-bb07-8f2e948c4365</errorID>
      <errorWord>实行</errorWord>
      <group>L1_Word</group>
      <groupName>字词问题</groupName>
      <ability>L2_Typo</ability>
      <abilityName>字词错误</abilityName>
      <candidateList>
        <item>施行</item>
      </candidateList>
      <explain>存在发音相同字词的误用。</explain>
      <paraID>48170D5F</paraID>
      <start>13</start>
      <end>15</end>
      <status>ignored</status>
      <modifiedWord/>
      <trackRevisions>false</trackRevisions>
    </reviewItem>
    <reviewItem>
      <errorID>8f89dd52-0e5b-4f77-95f3-b89050f4ee78</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98FEEFE</paraID>
      <start>2</start>
      <end>10</end>
      <status>ignored</status>
      <modifiedWord/>
      <trackRevisions>false</trackRevisions>
    </reviewItem>
    <reviewItem>
      <errorID>1d3dd6bb-da1c-4631-ad55-730ab267ef1e</errorID>
      <errorWord>元</errorWord>
      <group>L1_Word</group>
      <groupName>字词问题</groupName>
      <ability>L2_Typo</ability>
      <abilityName>字词错误</abilityName>
      <candidateList>
        <item>元政</item>
      </candidateList>
      <explain/>
      <paraID>2BC06140</paraID>
      <start>13</start>
      <end>15</end>
      <status>modified</status>
      <modifiedWord>元政</modifiedWord>
      <trackRevisions>false</trackRevisions>
    </reviewItem>
    <reviewItem>
      <errorID>ed750368-b4ca-44b2-bb09-921247d9085b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54100C2E</paraID>
      <start>0</start>
      <end>2</end>
      <status>ignored</status>
      <modifiedWord/>
      <trackRevisions>false</trackRevisions>
    </reviewItem>
    <reviewItem>
      <errorID>7c2cb04a-8ae2-4717-b2cd-6996f852ab44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189935A1</paraID>
      <start>0</start>
      <end>2</end>
      <status>ignored</status>
      <modifiedWord/>
      <trackRevisions>false</trackRevisions>
    </reviewItem>
    <reviewItem>
      <errorID>a9bd3aae-3853-4bdc-917b-95ffa1600b4b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79CB7034</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529d5f20-deb2-43db-bc26-6057733524ff}">
  <ds:schemaRefs/>
</ds:datastoreItem>
</file>

<file path=docProps/app.xml><?xml version="1.0" encoding="utf-8"?>
<Properties xmlns="http://schemas.openxmlformats.org/officeDocument/2006/extended-properties" xmlns:vt="http://schemas.openxmlformats.org/officeDocument/2006/docPropsVTypes">
  <Template>本溪市溪湖区商务局本级2026年部门预算和“三公”经费公开说明.wpt</Template>
  <Pages>13</Pages>
  <Words>4751</Words>
  <Characters>4900</Characters>
  <Lines>34</Lines>
  <Paragraphs>9</Paragraphs>
  <TotalTime>3</TotalTime>
  <ScaleCrop>false</ScaleCrop>
  <LinksUpToDate>false</LinksUpToDate>
  <CharactersWithSpaces>5084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2026-01-12T08:01:00Z</dcterms:created>
  <dc:creator>月饼大王</dc:creator>
  <cp:lastModifiedBy>白樱桃小严</cp:lastModifiedBy>
  <dcterms:modified xsi:type="dcterms:W3CDTF">2026-02-03T02:41:05Z</dcterms:modified>
  <dc:title>2018年市直部门预算和“三公”经费预算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eyJoZGlkIjoiMjMyNGNhNWU2ZTRlZDc2NTg1YTgxODI1MGYxZmY2NTMiLCJ1c2VySWQiOiIxMDg3MTc1NjE3In0=</vt:lpwstr>
  </property>
  <property fmtid="{D5CDD505-2E9C-101B-9397-08002B2CF9AE}" pid="4" name="ICV">
    <vt:lpwstr>CDC42B747DE84A56975191F438C412CE_13</vt:lpwstr>
  </property>
</Properties>
</file>