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EDBB3B4">
      <w:pPr>
        <w:pStyle w:val="36"/>
        <w:tabs>
          <w:tab w:val="right" w:leader="dot" w:pos="8296"/>
        </w:tabs>
        <w:jc w:val="center"/>
        <w:rPr>
          <w:rFonts w:ascii="Times New Roman" w:hAnsi="Times New Roman"/>
          <w:sz w:val="30"/>
          <w:szCs w:val="30"/>
        </w:rPr>
      </w:pPr>
      <w:bookmarkStart w:id="0" w:name="_Toc151625228"/>
      <w:bookmarkStart w:id="1" w:name="_Toc477421982"/>
      <w:bookmarkStart w:id="2" w:name="_Toc117162031"/>
      <w:bookmarkStart w:id="3" w:name="_Toc189384986"/>
      <w:bookmarkStart w:id="4" w:name="_Toc129684988"/>
      <w:r>
        <w:rPr>
          <w:rFonts w:ascii="Times New Roman" w:hAnsi="Times New Roman"/>
          <w:sz w:val="30"/>
          <w:szCs w:val="30"/>
        </w:rPr>
        <w:t>目录</w:t>
      </w:r>
    </w:p>
    <w:p w14:paraId="136C1A50">
      <w:pPr>
        <w:pStyle w:val="36"/>
        <w:tabs>
          <w:tab w:val="right" w:leader="dot" w:pos="8306"/>
        </w:tabs>
      </w:pPr>
      <w:r>
        <w:rPr>
          <w:rFonts w:ascii="Times New Roman" w:hAnsi="Times New Roman"/>
          <w:b w:val="0"/>
          <w:sz w:val="24"/>
          <w:szCs w:val="24"/>
        </w:rPr>
        <w:fldChar w:fldCharType="begin"/>
      </w:r>
      <w:r>
        <w:rPr>
          <w:rFonts w:ascii="Times New Roman" w:hAnsi="Times New Roman"/>
          <w:b w:val="0"/>
          <w:sz w:val="24"/>
          <w:szCs w:val="24"/>
        </w:rPr>
        <w:instrText xml:space="preserve"> TOC \o "1-2" \h \z \u </w:instrText>
      </w:r>
      <w:r>
        <w:rPr>
          <w:rFonts w:ascii="Times New Roman" w:hAnsi="Times New Roman"/>
          <w:b w:val="0"/>
          <w:sz w:val="24"/>
          <w:szCs w:val="24"/>
        </w:rPr>
        <w:fldChar w:fldCharType="separate"/>
      </w:r>
      <w:r>
        <w:rPr>
          <w:rFonts w:ascii="Times New Roman" w:hAnsi="Times New Roman"/>
          <w:szCs w:val="24"/>
        </w:rPr>
        <w:fldChar w:fldCharType="begin"/>
      </w:r>
      <w:r>
        <w:rPr>
          <w:rFonts w:ascii="Times New Roman" w:hAnsi="Times New Roman"/>
          <w:szCs w:val="24"/>
        </w:rPr>
        <w:instrText xml:space="preserve"> HYPERLINK \l _Toc2210 </w:instrText>
      </w:r>
      <w:r>
        <w:rPr>
          <w:rFonts w:ascii="Times New Roman" w:hAnsi="Times New Roman"/>
          <w:szCs w:val="24"/>
        </w:rPr>
        <w:fldChar w:fldCharType="separate"/>
      </w:r>
      <w:r>
        <w:rPr>
          <w:rFonts w:ascii="Times New Roman" w:hAnsi="Times New Roman" w:cs="Times New Roman"/>
        </w:rPr>
        <w:t>1前言</w:t>
      </w:r>
      <w:r>
        <w:tab/>
      </w:r>
      <w:r>
        <w:fldChar w:fldCharType="begin"/>
      </w:r>
      <w:r>
        <w:instrText xml:space="preserve"> PAGEREF _Toc2210 </w:instrText>
      </w:r>
      <w:r>
        <w:fldChar w:fldCharType="separate"/>
      </w:r>
      <w:r>
        <w:t>1</w:t>
      </w:r>
      <w:r>
        <w:fldChar w:fldCharType="end"/>
      </w:r>
      <w:r>
        <w:rPr>
          <w:rFonts w:ascii="Times New Roman" w:hAnsi="Times New Roman"/>
          <w:szCs w:val="24"/>
        </w:rPr>
        <w:fldChar w:fldCharType="end"/>
      </w:r>
    </w:p>
    <w:p w14:paraId="0E9F0BC7">
      <w:pPr>
        <w:pStyle w:val="43"/>
        <w:tabs>
          <w:tab w:val="right" w:leader="dot" w:pos="8306"/>
        </w:tabs>
      </w:pPr>
      <w:r>
        <w:rPr>
          <w:szCs w:val="24"/>
        </w:rPr>
        <w:fldChar w:fldCharType="begin"/>
      </w:r>
      <w:r>
        <w:rPr>
          <w:szCs w:val="24"/>
        </w:rPr>
        <w:instrText xml:space="preserve"> HYPERLINK \l _Toc7982 </w:instrText>
      </w:r>
      <w:r>
        <w:rPr>
          <w:szCs w:val="24"/>
        </w:rPr>
        <w:fldChar w:fldCharType="separate"/>
      </w:r>
      <w:r>
        <w:t>1.1建设项目概况</w:t>
      </w:r>
      <w:r>
        <w:tab/>
      </w:r>
      <w:r>
        <w:fldChar w:fldCharType="begin"/>
      </w:r>
      <w:r>
        <w:instrText xml:space="preserve"> PAGEREF _Toc7982 </w:instrText>
      </w:r>
      <w:r>
        <w:fldChar w:fldCharType="separate"/>
      </w:r>
      <w:r>
        <w:t>1</w:t>
      </w:r>
      <w:r>
        <w:fldChar w:fldCharType="end"/>
      </w:r>
      <w:r>
        <w:rPr>
          <w:szCs w:val="24"/>
        </w:rPr>
        <w:fldChar w:fldCharType="end"/>
      </w:r>
    </w:p>
    <w:p w14:paraId="4F66FFB2">
      <w:pPr>
        <w:pStyle w:val="43"/>
        <w:tabs>
          <w:tab w:val="right" w:leader="dot" w:pos="8306"/>
        </w:tabs>
      </w:pPr>
      <w:r>
        <w:rPr>
          <w:szCs w:val="24"/>
        </w:rPr>
        <w:fldChar w:fldCharType="begin"/>
      </w:r>
      <w:r>
        <w:rPr>
          <w:szCs w:val="24"/>
        </w:rPr>
        <w:instrText xml:space="preserve"> HYPERLINK \l _Toc1318 </w:instrText>
      </w:r>
      <w:r>
        <w:rPr>
          <w:szCs w:val="24"/>
        </w:rPr>
        <w:fldChar w:fldCharType="separate"/>
      </w:r>
      <w:r>
        <w:t>1.2评价工作过程</w:t>
      </w:r>
      <w:r>
        <w:tab/>
      </w:r>
      <w:r>
        <w:fldChar w:fldCharType="begin"/>
      </w:r>
      <w:r>
        <w:instrText xml:space="preserve"> PAGEREF _Toc1318 </w:instrText>
      </w:r>
      <w:r>
        <w:fldChar w:fldCharType="separate"/>
      </w:r>
      <w:r>
        <w:t>1</w:t>
      </w:r>
      <w:r>
        <w:fldChar w:fldCharType="end"/>
      </w:r>
      <w:r>
        <w:rPr>
          <w:szCs w:val="24"/>
        </w:rPr>
        <w:fldChar w:fldCharType="end"/>
      </w:r>
    </w:p>
    <w:p w14:paraId="38472D44">
      <w:pPr>
        <w:pStyle w:val="43"/>
        <w:tabs>
          <w:tab w:val="right" w:leader="dot" w:pos="8306"/>
        </w:tabs>
      </w:pPr>
      <w:r>
        <w:rPr>
          <w:szCs w:val="24"/>
        </w:rPr>
        <w:fldChar w:fldCharType="begin"/>
      </w:r>
      <w:r>
        <w:rPr>
          <w:szCs w:val="24"/>
        </w:rPr>
        <w:instrText xml:space="preserve"> HYPERLINK \l _Toc1306 </w:instrText>
      </w:r>
      <w:r>
        <w:rPr>
          <w:szCs w:val="24"/>
        </w:rPr>
        <w:fldChar w:fldCharType="separate"/>
      </w:r>
      <w:r>
        <w:t>1.3关注的主要环境问题</w:t>
      </w:r>
      <w:r>
        <w:tab/>
      </w:r>
      <w:r>
        <w:fldChar w:fldCharType="begin"/>
      </w:r>
      <w:r>
        <w:instrText xml:space="preserve"> PAGEREF _Toc1306 </w:instrText>
      </w:r>
      <w:r>
        <w:fldChar w:fldCharType="separate"/>
      </w:r>
      <w:r>
        <w:t>1</w:t>
      </w:r>
      <w:r>
        <w:fldChar w:fldCharType="end"/>
      </w:r>
      <w:r>
        <w:rPr>
          <w:szCs w:val="24"/>
        </w:rPr>
        <w:fldChar w:fldCharType="end"/>
      </w:r>
    </w:p>
    <w:p w14:paraId="7B1C980B">
      <w:pPr>
        <w:pStyle w:val="43"/>
        <w:tabs>
          <w:tab w:val="right" w:leader="dot" w:pos="8306"/>
        </w:tabs>
      </w:pPr>
      <w:r>
        <w:rPr>
          <w:szCs w:val="24"/>
        </w:rPr>
        <w:fldChar w:fldCharType="begin"/>
      </w:r>
      <w:r>
        <w:rPr>
          <w:szCs w:val="24"/>
        </w:rPr>
        <w:instrText xml:space="preserve"> HYPERLINK \l _Toc9112 </w:instrText>
      </w:r>
      <w:r>
        <w:rPr>
          <w:szCs w:val="24"/>
        </w:rPr>
        <w:fldChar w:fldCharType="separate"/>
      </w:r>
      <w:r>
        <w:t>1.4环评结论</w:t>
      </w:r>
      <w:r>
        <w:tab/>
      </w:r>
      <w:r>
        <w:fldChar w:fldCharType="begin"/>
      </w:r>
      <w:r>
        <w:instrText xml:space="preserve"> PAGEREF _Toc9112 </w:instrText>
      </w:r>
      <w:r>
        <w:fldChar w:fldCharType="separate"/>
      </w:r>
      <w:r>
        <w:t>1</w:t>
      </w:r>
      <w:r>
        <w:fldChar w:fldCharType="end"/>
      </w:r>
      <w:r>
        <w:rPr>
          <w:szCs w:val="24"/>
        </w:rPr>
        <w:fldChar w:fldCharType="end"/>
      </w:r>
    </w:p>
    <w:p w14:paraId="3B5D120C">
      <w:pPr>
        <w:pStyle w:val="36"/>
        <w:tabs>
          <w:tab w:val="right" w:leader="dot" w:pos="8306"/>
        </w:tabs>
      </w:pPr>
      <w:r>
        <w:rPr>
          <w:szCs w:val="24"/>
        </w:rPr>
        <w:fldChar w:fldCharType="begin"/>
      </w:r>
      <w:r>
        <w:rPr>
          <w:szCs w:val="24"/>
        </w:rPr>
        <w:instrText xml:space="preserve"> HYPERLINK \l _Toc4412 </w:instrText>
      </w:r>
      <w:r>
        <w:rPr>
          <w:szCs w:val="24"/>
        </w:rPr>
        <w:fldChar w:fldCharType="separate"/>
      </w:r>
      <w:r>
        <w:rPr>
          <w:rFonts w:ascii="Times New Roman" w:hAnsi="Times New Roman" w:cs="Times New Roman"/>
        </w:rPr>
        <w:t>2总则</w:t>
      </w:r>
      <w:r>
        <w:tab/>
      </w:r>
      <w:r>
        <w:fldChar w:fldCharType="begin"/>
      </w:r>
      <w:r>
        <w:instrText xml:space="preserve"> PAGEREF _Toc4412 </w:instrText>
      </w:r>
      <w:r>
        <w:fldChar w:fldCharType="separate"/>
      </w:r>
      <w:r>
        <w:t>3</w:t>
      </w:r>
      <w:r>
        <w:fldChar w:fldCharType="end"/>
      </w:r>
      <w:r>
        <w:rPr>
          <w:szCs w:val="24"/>
        </w:rPr>
        <w:fldChar w:fldCharType="end"/>
      </w:r>
    </w:p>
    <w:p w14:paraId="51198D84">
      <w:pPr>
        <w:pStyle w:val="43"/>
        <w:tabs>
          <w:tab w:val="right" w:leader="dot" w:pos="8306"/>
        </w:tabs>
      </w:pPr>
      <w:r>
        <w:rPr>
          <w:szCs w:val="24"/>
        </w:rPr>
        <w:fldChar w:fldCharType="begin"/>
      </w:r>
      <w:r>
        <w:rPr>
          <w:szCs w:val="24"/>
        </w:rPr>
        <w:instrText xml:space="preserve"> HYPERLINK \l _Toc16486 </w:instrText>
      </w:r>
      <w:r>
        <w:rPr>
          <w:szCs w:val="24"/>
        </w:rPr>
        <w:fldChar w:fldCharType="separate"/>
      </w:r>
      <w:r>
        <w:t>2.1评价目的</w:t>
      </w:r>
      <w:r>
        <w:tab/>
      </w:r>
      <w:r>
        <w:fldChar w:fldCharType="begin"/>
      </w:r>
      <w:r>
        <w:instrText xml:space="preserve"> PAGEREF _Toc16486 </w:instrText>
      </w:r>
      <w:r>
        <w:fldChar w:fldCharType="separate"/>
      </w:r>
      <w:r>
        <w:t>3</w:t>
      </w:r>
      <w:r>
        <w:fldChar w:fldCharType="end"/>
      </w:r>
      <w:r>
        <w:rPr>
          <w:szCs w:val="24"/>
        </w:rPr>
        <w:fldChar w:fldCharType="end"/>
      </w:r>
    </w:p>
    <w:p w14:paraId="28E4806B">
      <w:pPr>
        <w:pStyle w:val="43"/>
        <w:tabs>
          <w:tab w:val="right" w:leader="dot" w:pos="8306"/>
        </w:tabs>
      </w:pPr>
      <w:r>
        <w:rPr>
          <w:szCs w:val="24"/>
        </w:rPr>
        <w:fldChar w:fldCharType="begin"/>
      </w:r>
      <w:r>
        <w:rPr>
          <w:szCs w:val="24"/>
        </w:rPr>
        <w:instrText xml:space="preserve"> HYPERLINK \l _Toc4183 </w:instrText>
      </w:r>
      <w:r>
        <w:rPr>
          <w:szCs w:val="24"/>
        </w:rPr>
        <w:fldChar w:fldCharType="separate"/>
      </w:r>
      <w:r>
        <w:t>2.2环境影响评价原则</w:t>
      </w:r>
      <w:r>
        <w:tab/>
      </w:r>
      <w:r>
        <w:fldChar w:fldCharType="begin"/>
      </w:r>
      <w:r>
        <w:instrText xml:space="preserve"> PAGEREF _Toc4183 </w:instrText>
      </w:r>
      <w:r>
        <w:fldChar w:fldCharType="separate"/>
      </w:r>
      <w:r>
        <w:t>3</w:t>
      </w:r>
      <w:r>
        <w:fldChar w:fldCharType="end"/>
      </w:r>
      <w:r>
        <w:rPr>
          <w:szCs w:val="24"/>
        </w:rPr>
        <w:fldChar w:fldCharType="end"/>
      </w:r>
    </w:p>
    <w:p w14:paraId="097CFE29">
      <w:pPr>
        <w:pStyle w:val="43"/>
        <w:tabs>
          <w:tab w:val="right" w:leader="dot" w:pos="8306"/>
        </w:tabs>
      </w:pPr>
      <w:r>
        <w:rPr>
          <w:szCs w:val="24"/>
        </w:rPr>
        <w:fldChar w:fldCharType="begin"/>
      </w:r>
      <w:r>
        <w:rPr>
          <w:szCs w:val="24"/>
        </w:rPr>
        <w:instrText xml:space="preserve"> HYPERLINK \l _Toc30505 </w:instrText>
      </w:r>
      <w:r>
        <w:rPr>
          <w:szCs w:val="24"/>
        </w:rPr>
        <w:fldChar w:fldCharType="separate"/>
      </w:r>
      <w:r>
        <w:t>2.3编制依据</w:t>
      </w:r>
      <w:r>
        <w:tab/>
      </w:r>
      <w:r>
        <w:fldChar w:fldCharType="begin"/>
      </w:r>
      <w:r>
        <w:instrText xml:space="preserve"> PAGEREF _Toc30505 </w:instrText>
      </w:r>
      <w:r>
        <w:fldChar w:fldCharType="separate"/>
      </w:r>
      <w:r>
        <w:t>3</w:t>
      </w:r>
      <w:r>
        <w:fldChar w:fldCharType="end"/>
      </w:r>
      <w:r>
        <w:rPr>
          <w:szCs w:val="24"/>
        </w:rPr>
        <w:fldChar w:fldCharType="end"/>
      </w:r>
    </w:p>
    <w:p w14:paraId="0604A25D">
      <w:pPr>
        <w:pStyle w:val="43"/>
        <w:tabs>
          <w:tab w:val="right" w:leader="dot" w:pos="8306"/>
        </w:tabs>
      </w:pPr>
      <w:r>
        <w:rPr>
          <w:szCs w:val="24"/>
        </w:rPr>
        <w:fldChar w:fldCharType="begin"/>
      </w:r>
      <w:r>
        <w:rPr>
          <w:szCs w:val="24"/>
        </w:rPr>
        <w:instrText xml:space="preserve"> HYPERLINK \l _Toc12793 </w:instrText>
      </w:r>
      <w:r>
        <w:rPr>
          <w:szCs w:val="24"/>
        </w:rPr>
        <w:fldChar w:fldCharType="separate"/>
      </w:r>
      <w:r>
        <w:t>2.4环境影响识别与评价因子</w:t>
      </w:r>
      <w:r>
        <w:tab/>
      </w:r>
      <w:r>
        <w:fldChar w:fldCharType="begin"/>
      </w:r>
      <w:r>
        <w:instrText xml:space="preserve"> PAGEREF _Toc12793 </w:instrText>
      </w:r>
      <w:r>
        <w:fldChar w:fldCharType="separate"/>
      </w:r>
      <w:r>
        <w:t>6</w:t>
      </w:r>
      <w:r>
        <w:fldChar w:fldCharType="end"/>
      </w:r>
      <w:r>
        <w:rPr>
          <w:szCs w:val="24"/>
        </w:rPr>
        <w:fldChar w:fldCharType="end"/>
      </w:r>
    </w:p>
    <w:p w14:paraId="4269D46E">
      <w:pPr>
        <w:pStyle w:val="43"/>
        <w:tabs>
          <w:tab w:val="right" w:leader="dot" w:pos="8306"/>
        </w:tabs>
      </w:pPr>
      <w:r>
        <w:rPr>
          <w:szCs w:val="24"/>
        </w:rPr>
        <w:fldChar w:fldCharType="begin"/>
      </w:r>
      <w:r>
        <w:rPr>
          <w:szCs w:val="24"/>
        </w:rPr>
        <w:instrText xml:space="preserve"> HYPERLINK \l _Toc6691 </w:instrText>
      </w:r>
      <w:r>
        <w:rPr>
          <w:szCs w:val="24"/>
        </w:rPr>
        <w:fldChar w:fldCharType="separate"/>
      </w:r>
      <w:r>
        <w:t>2.5环境功能区划与评价标准</w:t>
      </w:r>
      <w:r>
        <w:tab/>
      </w:r>
      <w:r>
        <w:fldChar w:fldCharType="begin"/>
      </w:r>
      <w:r>
        <w:instrText xml:space="preserve"> PAGEREF _Toc6691 </w:instrText>
      </w:r>
      <w:r>
        <w:fldChar w:fldCharType="separate"/>
      </w:r>
      <w:r>
        <w:t>7</w:t>
      </w:r>
      <w:r>
        <w:fldChar w:fldCharType="end"/>
      </w:r>
      <w:r>
        <w:rPr>
          <w:szCs w:val="24"/>
        </w:rPr>
        <w:fldChar w:fldCharType="end"/>
      </w:r>
    </w:p>
    <w:p w14:paraId="0675E104">
      <w:pPr>
        <w:pStyle w:val="43"/>
        <w:tabs>
          <w:tab w:val="right" w:leader="dot" w:pos="8306"/>
        </w:tabs>
      </w:pPr>
      <w:r>
        <w:rPr>
          <w:szCs w:val="24"/>
        </w:rPr>
        <w:fldChar w:fldCharType="begin"/>
      </w:r>
      <w:r>
        <w:rPr>
          <w:szCs w:val="24"/>
        </w:rPr>
        <w:instrText xml:space="preserve"> HYPERLINK \l _Toc9348 </w:instrText>
      </w:r>
      <w:r>
        <w:rPr>
          <w:szCs w:val="24"/>
        </w:rPr>
        <w:fldChar w:fldCharType="separate"/>
      </w:r>
      <w:r>
        <w:t>2.6评价工作等级和评价范围</w:t>
      </w:r>
      <w:r>
        <w:tab/>
      </w:r>
      <w:r>
        <w:fldChar w:fldCharType="begin"/>
      </w:r>
      <w:r>
        <w:instrText xml:space="preserve"> PAGEREF _Toc9348 </w:instrText>
      </w:r>
      <w:r>
        <w:fldChar w:fldCharType="separate"/>
      </w:r>
      <w:r>
        <w:t>12</w:t>
      </w:r>
      <w:r>
        <w:fldChar w:fldCharType="end"/>
      </w:r>
      <w:r>
        <w:rPr>
          <w:szCs w:val="24"/>
        </w:rPr>
        <w:fldChar w:fldCharType="end"/>
      </w:r>
    </w:p>
    <w:p w14:paraId="23DA151D">
      <w:pPr>
        <w:pStyle w:val="43"/>
        <w:tabs>
          <w:tab w:val="right" w:leader="dot" w:pos="8306"/>
        </w:tabs>
      </w:pPr>
      <w:r>
        <w:rPr>
          <w:szCs w:val="24"/>
        </w:rPr>
        <w:fldChar w:fldCharType="begin"/>
      </w:r>
      <w:r>
        <w:rPr>
          <w:szCs w:val="24"/>
        </w:rPr>
        <w:instrText xml:space="preserve"> HYPERLINK \l _Toc22197 </w:instrText>
      </w:r>
      <w:r>
        <w:rPr>
          <w:szCs w:val="24"/>
        </w:rPr>
        <w:fldChar w:fldCharType="separate"/>
      </w:r>
      <w:r>
        <w:t>2.7评价重点与环境保护目标</w:t>
      </w:r>
      <w:r>
        <w:tab/>
      </w:r>
      <w:r>
        <w:fldChar w:fldCharType="begin"/>
      </w:r>
      <w:r>
        <w:instrText xml:space="preserve"> PAGEREF _Toc22197 </w:instrText>
      </w:r>
      <w:r>
        <w:fldChar w:fldCharType="separate"/>
      </w:r>
      <w:r>
        <w:t>18</w:t>
      </w:r>
      <w:r>
        <w:fldChar w:fldCharType="end"/>
      </w:r>
      <w:r>
        <w:rPr>
          <w:szCs w:val="24"/>
        </w:rPr>
        <w:fldChar w:fldCharType="end"/>
      </w:r>
    </w:p>
    <w:p w14:paraId="07503DC5">
      <w:pPr>
        <w:pStyle w:val="36"/>
        <w:tabs>
          <w:tab w:val="right" w:leader="dot" w:pos="8306"/>
        </w:tabs>
      </w:pPr>
      <w:r>
        <w:rPr>
          <w:szCs w:val="24"/>
        </w:rPr>
        <w:fldChar w:fldCharType="begin"/>
      </w:r>
      <w:r>
        <w:rPr>
          <w:szCs w:val="24"/>
        </w:rPr>
        <w:instrText xml:space="preserve"> HYPERLINK \l _Toc15950 </w:instrText>
      </w:r>
      <w:r>
        <w:rPr>
          <w:szCs w:val="24"/>
        </w:rPr>
        <w:fldChar w:fldCharType="separate"/>
      </w:r>
      <w:r>
        <w:rPr>
          <w:rFonts w:hint="eastAsia"/>
          <w:lang w:val="en-US" w:eastAsia="zh-CN"/>
        </w:rPr>
        <w:t>3现有项目</w:t>
      </w:r>
      <w:r>
        <w:tab/>
      </w:r>
      <w:r>
        <w:fldChar w:fldCharType="begin"/>
      </w:r>
      <w:r>
        <w:instrText xml:space="preserve"> PAGEREF _Toc15950 </w:instrText>
      </w:r>
      <w:r>
        <w:fldChar w:fldCharType="separate"/>
      </w:r>
      <w:r>
        <w:t>21</w:t>
      </w:r>
      <w:r>
        <w:fldChar w:fldCharType="end"/>
      </w:r>
      <w:r>
        <w:rPr>
          <w:szCs w:val="24"/>
        </w:rPr>
        <w:fldChar w:fldCharType="end"/>
      </w:r>
    </w:p>
    <w:p w14:paraId="753A6415">
      <w:pPr>
        <w:pStyle w:val="43"/>
        <w:tabs>
          <w:tab w:val="right" w:leader="dot" w:pos="8306"/>
        </w:tabs>
      </w:pPr>
      <w:r>
        <w:rPr>
          <w:szCs w:val="24"/>
        </w:rPr>
        <w:fldChar w:fldCharType="begin"/>
      </w:r>
      <w:r>
        <w:rPr>
          <w:szCs w:val="24"/>
        </w:rPr>
        <w:instrText xml:space="preserve"> HYPERLINK \l _Toc30321 </w:instrText>
      </w:r>
      <w:r>
        <w:rPr>
          <w:szCs w:val="24"/>
        </w:rPr>
        <w:fldChar w:fldCharType="separate"/>
      </w:r>
      <w:r>
        <w:rPr>
          <w:rFonts w:hint="eastAsia"/>
          <w:highlight w:val="none"/>
          <w:lang w:val="en-US" w:eastAsia="zh-CN"/>
        </w:rPr>
        <w:t>3</w:t>
      </w:r>
      <w:r>
        <w:rPr>
          <w:highlight w:val="none"/>
        </w:rPr>
        <w:t>.1</w:t>
      </w:r>
      <w:r>
        <w:rPr>
          <w:rFonts w:hint="eastAsia" w:cs="宋体"/>
          <w:highlight w:val="none"/>
        </w:rPr>
        <w:t>公司概况</w:t>
      </w:r>
      <w:r>
        <w:tab/>
      </w:r>
      <w:r>
        <w:fldChar w:fldCharType="begin"/>
      </w:r>
      <w:r>
        <w:instrText xml:space="preserve"> PAGEREF _Toc30321 </w:instrText>
      </w:r>
      <w:r>
        <w:fldChar w:fldCharType="separate"/>
      </w:r>
      <w:r>
        <w:t>21</w:t>
      </w:r>
      <w:r>
        <w:fldChar w:fldCharType="end"/>
      </w:r>
      <w:r>
        <w:rPr>
          <w:szCs w:val="24"/>
        </w:rPr>
        <w:fldChar w:fldCharType="end"/>
      </w:r>
    </w:p>
    <w:p w14:paraId="425554FC">
      <w:pPr>
        <w:pStyle w:val="43"/>
        <w:tabs>
          <w:tab w:val="right" w:leader="dot" w:pos="8306"/>
        </w:tabs>
      </w:pPr>
      <w:r>
        <w:rPr>
          <w:szCs w:val="24"/>
        </w:rPr>
        <w:fldChar w:fldCharType="begin"/>
      </w:r>
      <w:r>
        <w:rPr>
          <w:szCs w:val="24"/>
        </w:rPr>
        <w:instrText xml:space="preserve"> HYPERLINK \l _Toc1264 </w:instrText>
      </w:r>
      <w:r>
        <w:rPr>
          <w:szCs w:val="24"/>
        </w:rPr>
        <w:fldChar w:fldCharType="separate"/>
      </w:r>
      <w:r>
        <w:rPr>
          <w:rFonts w:hint="eastAsia"/>
          <w:highlight w:val="none"/>
          <w:lang w:val="en-US" w:eastAsia="zh-CN"/>
        </w:rPr>
        <w:t>3</w:t>
      </w:r>
      <w:r>
        <w:rPr>
          <w:highlight w:val="none"/>
        </w:rPr>
        <w:t>.2</w:t>
      </w:r>
      <w:r>
        <w:rPr>
          <w:rFonts w:hint="eastAsia" w:cs="宋体"/>
          <w:highlight w:val="none"/>
        </w:rPr>
        <w:t>现有工程项目组成</w:t>
      </w:r>
      <w:r>
        <w:tab/>
      </w:r>
      <w:r>
        <w:fldChar w:fldCharType="begin"/>
      </w:r>
      <w:r>
        <w:instrText xml:space="preserve"> PAGEREF _Toc1264 </w:instrText>
      </w:r>
      <w:r>
        <w:fldChar w:fldCharType="separate"/>
      </w:r>
      <w:r>
        <w:t>21</w:t>
      </w:r>
      <w:r>
        <w:fldChar w:fldCharType="end"/>
      </w:r>
      <w:r>
        <w:rPr>
          <w:szCs w:val="24"/>
        </w:rPr>
        <w:fldChar w:fldCharType="end"/>
      </w:r>
    </w:p>
    <w:p w14:paraId="0EC18D24">
      <w:pPr>
        <w:pStyle w:val="43"/>
        <w:tabs>
          <w:tab w:val="right" w:leader="dot" w:pos="8306"/>
        </w:tabs>
      </w:pPr>
      <w:r>
        <w:rPr>
          <w:szCs w:val="24"/>
        </w:rPr>
        <w:fldChar w:fldCharType="begin"/>
      </w:r>
      <w:r>
        <w:rPr>
          <w:szCs w:val="24"/>
        </w:rPr>
        <w:instrText xml:space="preserve"> HYPERLINK \l _Toc27051 </w:instrText>
      </w:r>
      <w:r>
        <w:rPr>
          <w:szCs w:val="24"/>
        </w:rPr>
        <w:fldChar w:fldCharType="separate"/>
      </w:r>
      <w:r>
        <w:rPr>
          <w:rFonts w:hint="eastAsia"/>
          <w:highlight w:val="none"/>
          <w:lang w:val="en-US" w:eastAsia="zh-CN"/>
        </w:rPr>
        <w:t>3</w:t>
      </w:r>
      <w:r>
        <w:rPr>
          <w:highlight w:val="none"/>
        </w:rPr>
        <w:t>.3</w:t>
      </w:r>
      <w:r>
        <w:rPr>
          <w:rFonts w:hint="eastAsia"/>
          <w:highlight w:val="none"/>
          <w:lang w:eastAsia="zh-CN"/>
        </w:rPr>
        <w:t>生产</w:t>
      </w:r>
      <w:r>
        <w:rPr>
          <w:rFonts w:hint="eastAsia"/>
          <w:highlight w:val="none"/>
        </w:rPr>
        <w:t>规模</w:t>
      </w:r>
      <w:r>
        <w:rPr>
          <w:rFonts w:hint="eastAsia"/>
          <w:highlight w:val="none"/>
          <w:lang w:eastAsia="zh-CN"/>
        </w:rPr>
        <w:t>及原辅料</w:t>
      </w:r>
      <w:r>
        <w:tab/>
      </w:r>
      <w:r>
        <w:fldChar w:fldCharType="begin"/>
      </w:r>
      <w:r>
        <w:instrText xml:space="preserve"> PAGEREF _Toc27051 </w:instrText>
      </w:r>
      <w:r>
        <w:fldChar w:fldCharType="separate"/>
      </w:r>
      <w:r>
        <w:t>22</w:t>
      </w:r>
      <w:r>
        <w:fldChar w:fldCharType="end"/>
      </w:r>
      <w:r>
        <w:rPr>
          <w:szCs w:val="24"/>
        </w:rPr>
        <w:fldChar w:fldCharType="end"/>
      </w:r>
    </w:p>
    <w:p w14:paraId="78606F10">
      <w:pPr>
        <w:pStyle w:val="43"/>
        <w:tabs>
          <w:tab w:val="right" w:leader="dot" w:pos="8306"/>
        </w:tabs>
      </w:pPr>
      <w:r>
        <w:rPr>
          <w:szCs w:val="24"/>
        </w:rPr>
        <w:fldChar w:fldCharType="begin"/>
      </w:r>
      <w:r>
        <w:rPr>
          <w:szCs w:val="24"/>
        </w:rPr>
        <w:instrText xml:space="preserve"> HYPERLINK \l _Toc11271 </w:instrText>
      </w:r>
      <w:r>
        <w:rPr>
          <w:szCs w:val="24"/>
        </w:rPr>
        <w:fldChar w:fldCharType="separate"/>
      </w:r>
      <w:r>
        <w:rPr>
          <w:rFonts w:hint="eastAsia"/>
          <w:highlight w:val="none"/>
          <w:lang w:val="en-US" w:eastAsia="zh-CN"/>
        </w:rPr>
        <w:t>3</w:t>
      </w:r>
      <w:r>
        <w:rPr>
          <w:highlight w:val="none"/>
        </w:rPr>
        <w:t>.4</w:t>
      </w:r>
      <w:r>
        <w:rPr>
          <w:rFonts w:hint="eastAsia" w:cs="宋体"/>
          <w:highlight w:val="none"/>
        </w:rPr>
        <w:t>现有工程主要设备情况</w:t>
      </w:r>
      <w:r>
        <w:tab/>
      </w:r>
      <w:r>
        <w:fldChar w:fldCharType="begin"/>
      </w:r>
      <w:r>
        <w:instrText xml:space="preserve"> PAGEREF _Toc11271 </w:instrText>
      </w:r>
      <w:r>
        <w:fldChar w:fldCharType="separate"/>
      </w:r>
      <w:r>
        <w:t>22</w:t>
      </w:r>
      <w:r>
        <w:fldChar w:fldCharType="end"/>
      </w:r>
      <w:r>
        <w:rPr>
          <w:szCs w:val="24"/>
        </w:rPr>
        <w:fldChar w:fldCharType="end"/>
      </w:r>
    </w:p>
    <w:p w14:paraId="5333E706">
      <w:pPr>
        <w:pStyle w:val="43"/>
        <w:tabs>
          <w:tab w:val="right" w:leader="dot" w:pos="8306"/>
        </w:tabs>
      </w:pPr>
      <w:r>
        <w:rPr>
          <w:szCs w:val="24"/>
        </w:rPr>
        <w:fldChar w:fldCharType="begin"/>
      </w:r>
      <w:r>
        <w:rPr>
          <w:szCs w:val="24"/>
        </w:rPr>
        <w:instrText xml:space="preserve"> HYPERLINK \l _Toc28605 </w:instrText>
      </w:r>
      <w:r>
        <w:rPr>
          <w:szCs w:val="24"/>
        </w:rPr>
        <w:fldChar w:fldCharType="separate"/>
      </w:r>
      <w:r>
        <w:rPr>
          <w:rFonts w:hint="eastAsia"/>
          <w:highlight w:val="none"/>
          <w:lang w:val="en-US" w:eastAsia="zh-CN"/>
        </w:rPr>
        <w:t>3</w:t>
      </w:r>
      <w:r>
        <w:rPr>
          <w:highlight w:val="none"/>
        </w:rPr>
        <w:t>.5</w:t>
      </w:r>
      <w:r>
        <w:rPr>
          <w:rFonts w:hint="eastAsia" w:cs="宋体"/>
          <w:highlight w:val="none"/>
        </w:rPr>
        <w:t>生产工艺流程说明</w:t>
      </w:r>
      <w:r>
        <w:tab/>
      </w:r>
      <w:r>
        <w:fldChar w:fldCharType="begin"/>
      </w:r>
      <w:r>
        <w:instrText xml:space="preserve"> PAGEREF _Toc28605 </w:instrText>
      </w:r>
      <w:r>
        <w:fldChar w:fldCharType="separate"/>
      </w:r>
      <w:r>
        <w:t>23</w:t>
      </w:r>
      <w:r>
        <w:fldChar w:fldCharType="end"/>
      </w:r>
      <w:r>
        <w:rPr>
          <w:szCs w:val="24"/>
        </w:rPr>
        <w:fldChar w:fldCharType="end"/>
      </w:r>
    </w:p>
    <w:p w14:paraId="5AB120DB">
      <w:pPr>
        <w:pStyle w:val="43"/>
        <w:tabs>
          <w:tab w:val="right" w:leader="dot" w:pos="8306"/>
        </w:tabs>
      </w:pPr>
      <w:r>
        <w:rPr>
          <w:szCs w:val="24"/>
        </w:rPr>
        <w:fldChar w:fldCharType="begin"/>
      </w:r>
      <w:r>
        <w:rPr>
          <w:szCs w:val="24"/>
        </w:rPr>
        <w:instrText xml:space="preserve"> HYPERLINK \l _Toc12011 </w:instrText>
      </w:r>
      <w:r>
        <w:rPr>
          <w:szCs w:val="24"/>
        </w:rPr>
        <w:fldChar w:fldCharType="separate"/>
      </w:r>
      <w:r>
        <w:rPr>
          <w:rFonts w:hint="eastAsia"/>
          <w:lang w:val="en-US" w:eastAsia="zh-CN"/>
        </w:rPr>
        <w:t>3</w:t>
      </w:r>
      <w:r>
        <w:t>.</w:t>
      </w:r>
      <w:r>
        <w:rPr>
          <w:rFonts w:hint="eastAsia"/>
          <w:lang w:val="en-US" w:eastAsia="zh-CN"/>
        </w:rPr>
        <w:t>6</w:t>
      </w:r>
      <w:r>
        <w:rPr>
          <w:rFonts w:hint="eastAsia"/>
        </w:rPr>
        <w:t>环境影响回顾性评价</w:t>
      </w:r>
      <w:r>
        <w:tab/>
      </w:r>
      <w:r>
        <w:fldChar w:fldCharType="begin"/>
      </w:r>
      <w:r>
        <w:instrText xml:space="preserve"> PAGEREF _Toc12011 </w:instrText>
      </w:r>
      <w:r>
        <w:fldChar w:fldCharType="separate"/>
      </w:r>
      <w:r>
        <w:t>23</w:t>
      </w:r>
      <w:r>
        <w:fldChar w:fldCharType="end"/>
      </w:r>
      <w:r>
        <w:rPr>
          <w:szCs w:val="24"/>
        </w:rPr>
        <w:fldChar w:fldCharType="end"/>
      </w:r>
    </w:p>
    <w:p w14:paraId="2A0FB387">
      <w:pPr>
        <w:pStyle w:val="43"/>
        <w:tabs>
          <w:tab w:val="right" w:leader="dot" w:pos="8306"/>
        </w:tabs>
      </w:pPr>
      <w:r>
        <w:rPr>
          <w:szCs w:val="24"/>
        </w:rPr>
        <w:fldChar w:fldCharType="begin"/>
      </w:r>
      <w:r>
        <w:rPr>
          <w:szCs w:val="24"/>
        </w:rPr>
        <w:instrText xml:space="preserve"> HYPERLINK \l _Toc4705 </w:instrText>
      </w:r>
      <w:r>
        <w:rPr>
          <w:szCs w:val="24"/>
        </w:rPr>
        <w:fldChar w:fldCharType="separate"/>
      </w:r>
      <w:r>
        <w:rPr>
          <w:rFonts w:hint="eastAsia"/>
          <w:highlight w:val="none"/>
          <w:lang w:val="en-US" w:eastAsia="zh-CN"/>
        </w:rPr>
        <w:t>3</w:t>
      </w:r>
      <w:r>
        <w:rPr>
          <w:highlight w:val="none"/>
        </w:rPr>
        <w:t>.</w:t>
      </w:r>
      <w:r>
        <w:rPr>
          <w:rFonts w:hint="eastAsia"/>
          <w:highlight w:val="none"/>
          <w:lang w:val="en-US" w:eastAsia="zh-CN"/>
        </w:rPr>
        <w:t>7</w:t>
      </w:r>
      <w:r>
        <w:rPr>
          <w:rFonts w:hint="eastAsia" w:cs="宋体"/>
          <w:highlight w:val="none"/>
        </w:rPr>
        <w:t>现有工程污染物治理措施</w:t>
      </w:r>
      <w:r>
        <w:tab/>
      </w:r>
      <w:r>
        <w:fldChar w:fldCharType="begin"/>
      </w:r>
      <w:r>
        <w:instrText xml:space="preserve"> PAGEREF _Toc4705 </w:instrText>
      </w:r>
      <w:r>
        <w:fldChar w:fldCharType="separate"/>
      </w:r>
      <w:r>
        <w:t>24</w:t>
      </w:r>
      <w:r>
        <w:fldChar w:fldCharType="end"/>
      </w:r>
      <w:r>
        <w:rPr>
          <w:szCs w:val="24"/>
        </w:rPr>
        <w:fldChar w:fldCharType="end"/>
      </w:r>
    </w:p>
    <w:p w14:paraId="3EE13103">
      <w:pPr>
        <w:pStyle w:val="43"/>
        <w:tabs>
          <w:tab w:val="right" w:leader="dot" w:pos="8306"/>
        </w:tabs>
      </w:pPr>
      <w:r>
        <w:rPr>
          <w:szCs w:val="24"/>
        </w:rPr>
        <w:fldChar w:fldCharType="begin"/>
      </w:r>
      <w:r>
        <w:rPr>
          <w:szCs w:val="24"/>
        </w:rPr>
        <w:instrText xml:space="preserve"> HYPERLINK \l _Toc1321 </w:instrText>
      </w:r>
      <w:r>
        <w:rPr>
          <w:szCs w:val="24"/>
        </w:rPr>
        <w:fldChar w:fldCharType="separate"/>
      </w:r>
      <w:r>
        <w:rPr>
          <w:rFonts w:hint="eastAsia"/>
          <w:highlight w:val="none"/>
          <w:lang w:val="en-US" w:eastAsia="zh-CN"/>
        </w:rPr>
        <w:t>3.8现有项目验收情况</w:t>
      </w:r>
      <w:r>
        <w:tab/>
      </w:r>
      <w:r>
        <w:fldChar w:fldCharType="begin"/>
      </w:r>
      <w:r>
        <w:instrText xml:space="preserve"> PAGEREF _Toc1321 </w:instrText>
      </w:r>
      <w:r>
        <w:fldChar w:fldCharType="separate"/>
      </w:r>
      <w:r>
        <w:t>25</w:t>
      </w:r>
      <w:r>
        <w:fldChar w:fldCharType="end"/>
      </w:r>
      <w:r>
        <w:rPr>
          <w:szCs w:val="24"/>
        </w:rPr>
        <w:fldChar w:fldCharType="end"/>
      </w:r>
    </w:p>
    <w:p w14:paraId="356D1A50">
      <w:pPr>
        <w:pStyle w:val="43"/>
        <w:tabs>
          <w:tab w:val="right" w:leader="dot" w:pos="8306"/>
        </w:tabs>
      </w:pPr>
      <w:r>
        <w:rPr>
          <w:szCs w:val="24"/>
        </w:rPr>
        <w:fldChar w:fldCharType="begin"/>
      </w:r>
      <w:r>
        <w:rPr>
          <w:szCs w:val="24"/>
        </w:rPr>
        <w:instrText xml:space="preserve"> HYPERLINK \l _Toc5317 </w:instrText>
      </w:r>
      <w:r>
        <w:rPr>
          <w:szCs w:val="24"/>
        </w:rPr>
        <w:fldChar w:fldCharType="separate"/>
      </w:r>
      <w:r>
        <w:rPr>
          <w:rFonts w:hint="eastAsia"/>
          <w:highlight w:val="none"/>
          <w:lang w:val="en-US" w:eastAsia="zh-CN"/>
        </w:rPr>
        <w:t>3.9</w:t>
      </w:r>
      <w:r>
        <w:rPr>
          <w:highlight w:val="none"/>
        </w:rPr>
        <w:t>以新带老</w:t>
      </w:r>
      <w:r>
        <w:tab/>
      </w:r>
      <w:r>
        <w:fldChar w:fldCharType="begin"/>
      </w:r>
      <w:r>
        <w:instrText xml:space="preserve"> PAGEREF _Toc5317 </w:instrText>
      </w:r>
      <w:r>
        <w:fldChar w:fldCharType="separate"/>
      </w:r>
      <w:r>
        <w:t>26</w:t>
      </w:r>
      <w:r>
        <w:fldChar w:fldCharType="end"/>
      </w:r>
      <w:r>
        <w:rPr>
          <w:szCs w:val="24"/>
        </w:rPr>
        <w:fldChar w:fldCharType="end"/>
      </w:r>
    </w:p>
    <w:p w14:paraId="1202DBD3">
      <w:pPr>
        <w:pStyle w:val="36"/>
        <w:tabs>
          <w:tab w:val="right" w:leader="dot" w:pos="8306"/>
        </w:tabs>
      </w:pPr>
      <w:r>
        <w:rPr>
          <w:szCs w:val="24"/>
        </w:rPr>
        <w:fldChar w:fldCharType="begin"/>
      </w:r>
      <w:r>
        <w:rPr>
          <w:szCs w:val="24"/>
        </w:rPr>
        <w:instrText xml:space="preserve"> HYPERLINK \l _Toc12227 </w:instrText>
      </w:r>
      <w:r>
        <w:rPr>
          <w:szCs w:val="24"/>
        </w:rPr>
        <w:fldChar w:fldCharType="separate"/>
      </w:r>
      <w:r>
        <w:rPr>
          <w:rFonts w:hint="eastAsia" w:ascii="Times New Roman" w:hAnsi="Times New Roman" w:cs="Times New Roman"/>
          <w:lang w:val="en-US" w:eastAsia="zh-CN"/>
        </w:rPr>
        <w:t>4</w:t>
      </w:r>
      <w:r>
        <w:rPr>
          <w:rFonts w:ascii="Times New Roman" w:hAnsi="Times New Roman" w:cs="Times New Roman"/>
        </w:rPr>
        <w:t>建设项目概况</w:t>
      </w:r>
      <w:r>
        <w:tab/>
      </w:r>
      <w:r>
        <w:fldChar w:fldCharType="begin"/>
      </w:r>
      <w:r>
        <w:instrText xml:space="preserve"> PAGEREF _Toc12227 </w:instrText>
      </w:r>
      <w:r>
        <w:fldChar w:fldCharType="separate"/>
      </w:r>
      <w:r>
        <w:t>28</w:t>
      </w:r>
      <w:r>
        <w:fldChar w:fldCharType="end"/>
      </w:r>
      <w:r>
        <w:rPr>
          <w:szCs w:val="24"/>
        </w:rPr>
        <w:fldChar w:fldCharType="end"/>
      </w:r>
    </w:p>
    <w:p w14:paraId="461A3C47">
      <w:pPr>
        <w:pStyle w:val="43"/>
        <w:tabs>
          <w:tab w:val="right" w:leader="dot" w:pos="8306"/>
        </w:tabs>
      </w:pPr>
      <w:r>
        <w:rPr>
          <w:szCs w:val="24"/>
        </w:rPr>
        <w:fldChar w:fldCharType="begin"/>
      </w:r>
      <w:r>
        <w:rPr>
          <w:szCs w:val="24"/>
        </w:rPr>
        <w:instrText xml:space="preserve"> HYPERLINK \l _Toc15427 </w:instrText>
      </w:r>
      <w:r>
        <w:rPr>
          <w:szCs w:val="24"/>
        </w:rPr>
        <w:fldChar w:fldCharType="separate"/>
      </w:r>
      <w:r>
        <w:rPr>
          <w:rFonts w:hint="eastAsia"/>
          <w:lang w:val="en-US" w:eastAsia="zh-CN"/>
        </w:rPr>
        <w:t>4</w:t>
      </w:r>
      <w:r>
        <w:t>.1项目概况</w:t>
      </w:r>
      <w:r>
        <w:tab/>
      </w:r>
      <w:r>
        <w:fldChar w:fldCharType="begin"/>
      </w:r>
      <w:r>
        <w:instrText xml:space="preserve"> PAGEREF _Toc15427 </w:instrText>
      </w:r>
      <w:r>
        <w:fldChar w:fldCharType="separate"/>
      </w:r>
      <w:r>
        <w:t>28</w:t>
      </w:r>
      <w:r>
        <w:fldChar w:fldCharType="end"/>
      </w:r>
      <w:r>
        <w:rPr>
          <w:szCs w:val="24"/>
        </w:rPr>
        <w:fldChar w:fldCharType="end"/>
      </w:r>
    </w:p>
    <w:p w14:paraId="7B9CBA9F">
      <w:pPr>
        <w:pStyle w:val="43"/>
        <w:tabs>
          <w:tab w:val="right" w:leader="dot" w:pos="8306"/>
        </w:tabs>
      </w:pPr>
      <w:r>
        <w:rPr>
          <w:szCs w:val="24"/>
        </w:rPr>
        <w:fldChar w:fldCharType="begin"/>
      </w:r>
      <w:r>
        <w:rPr>
          <w:szCs w:val="24"/>
        </w:rPr>
        <w:instrText xml:space="preserve"> HYPERLINK \l _Toc3462 </w:instrText>
      </w:r>
      <w:r>
        <w:rPr>
          <w:szCs w:val="24"/>
        </w:rPr>
        <w:fldChar w:fldCharType="separate"/>
      </w:r>
      <w:r>
        <w:rPr>
          <w:rFonts w:hint="eastAsia"/>
          <w:lang w:val="en-US" w:eastAsia="zh-CN"/>
        </w:rPr>
        <w:t>4</w:t>
      </w:r>
      <w:r>
        <w:t>.2建设规模及内容</w:t>
      </w:r>
      <w:r>
        <w:tab/>
      </w:r>
      <w:r>
        <w:fldChar w:fldCharType="begin"/>
      </w:r>
      <w:r>
        <w:instrText xml:space="preserve"> PAGEREF _Toc3462 </w:instrText>
      </w:r>
      <w:r>
        <w:fldChar w:fldCharType="separate"/>
      </w:r>
      <w:r>
        <w:t>28</w:t>
      </w:r>
      <w:r>
        <w:fldChar w:fldCharType="end"/>
      </w:r>
      <w:r>
        <w:rPr>
          <w:szCs w:val="24"/>
        </w:rPr>
        <w:fldChar w:fldCharType="end"/>
      </w:r>
    </w:p>
    <w:p w14:paraId="4487309D">
      <w:pPr>
        <w:pStyle w:val="43"/>
        <w:tabs>
          <w:tab w:val="right" w:leader="dot" w:pos="8306"/>
        </w:tabs>
      </w:pPr>
      <w:r>
        <w:rPr>
          <w:szCs w:val="24"/>
        </w:rPr>
        <w:fldChar w:fldCharType="begin"/>
      </w:r>
      <w:r>
        <w:rPr>
          <w:szCs w:val="24"/>
        </w:rPr>
        <w:instrText xml:space="preserve"> HYPERLINK \l _Toc18408 </w:instrText>
      </w:r>
      <w:r>
        <w:rPr>
          <w:szCs w:val="24"/>
        </w:rPr>
        <w:fldChar w:fldCharType="separate"/>
      </w:r>
      <w:r>
        <w:rPr>
          <w:rFonts w:hint="eastAsia"/>
          <w:lang w:val="en-US" w:eastAsia="zh-CN"/>
        </w:rPr>
        <w:t>4</w:t>
      </w:r>
      <w:r>
        <w:t>.</w:t>
      </w:r>
      <w:r>
        <w:rPr>
          <w:rFonts w:hint="eastAsia"/>
          <w:lang w:val="en-US" w:eastAsia="zh-CN"/>
        </w:rPr>
        <w:t>3</w:t>
      </w:r>
      <w:r>
        <w:t>主要原辅料</w:t>
      </w:r>
      <w:r>
        <w:tab/>
      </w:r>
      <w:r>
        <w:fldChar w:fldCharType="begin"/>
      </w:r>
      <w:r>
        <w:instrText xml:space="preserve"> PAGEREF _Toc18408 </w:instrText>
      </w:r>
      <w:r>
        <w:fldChar w:fldCharType="separate"/>
      </w:r>
      <w:r>
        <w:t>30</w:t>
      </w:r>
      <w:r>
        <w:fldChar w:fldCharType="end"/>
      </w:r>
      <w:r>
        <w:rPr>
          <w:szCs w:val="24"/>
        </w:rPr>
        <w:fldChar w:fldCharType="end"/>
      </w:r>
    </w:p>
    <w:p w14:paraId="7B0711AE">
      <w:pPr>
        <w:pStyle w:val="43"/>
        <w:tabs>
          <w:tab w:val="right" w:leader="dot" w:pos="8306"/>
        </w:tabs>
      </w:pPr>
      <w:r>
        <w:rPr>
          <w:szCs w:val="24"/>
        </w:rPr>
        <w:fldChar w:fldCharType="begin"/>
      </w:r>
      <w:r>
        <w:rPr>
          <w:szCs w:val="24"/>
        </w:rPr>
        <w:instrText xml:space="preserve"> HYPERLINK \l _Toc5875 </w:instrText>
      </w:r>
      <w:r>
        <w:rPr>
          <w:szCs w:val="24"/>
        </w:rPr>
        <w:fldChar w:fldCharType="separate"/>
      </w:r>
      <w:r>
        <w:rPr>
          <w:rFonts w:hint="eastAsia"/>
          <w:lang w:val="en-US" w:eastAsia="zh-CN"/>
        </w:rPr>
        <w:t>4</w:t>
      </w:r>
      <w:r>
        <w:t>.</w:t>
      </w:r>
      <w:r>
        <w:rPr>
          <w:rFonts w:hint="eastAsia"/>
          <w:lang w:val="en-US" w:eastAsia="zh-CN"/>
        </w:rPr>
        <w:t>4</w:t>
      </w:r>
      <w:r>
        <w:rPr>
          <w:rFonts w:hint="eastAsia"/>
          <w:lang w:eastAsia="zh-CN"/>
        </w:rPr>
        <w:t>项目平面布置</w:t>
      </w:r>
      <w:r>
        <w:tab/>
      </w:r>
      <w:r>
        <w:fldChar w:fldCharType="begin"/>
      </w:r>
      <w:r>
        <w:instrText xml:space="preserve"> PAGEREF _Toc5875 </w:instrText>
      </w:r>
      <w:r>
        <w:fldChar w:fldCharType="separate"/>
      </w:r>
      <w:r>
        <w:t>31</w:t>
      </w:r>
      <w:r>
        <w:fldChar w:fldCharType="end"/>
      </w:r>
      <w:r>
        <w:rPr>
          <w:szCs w:val="24"/>
        </w:rPr>
        <w:fldChar w:fldCharType="end"/>
      </w:r>
    </w:p>
    <w:p w14:paraId="2601EC30">
      <w:pPr>
        <w:pStyle w:val="43"/>
        <w:tabs>
          <w:tab w:val="right" w:leader="dot" w:pos="8306"/>
        </w:tabs>
      </w:pPr>
      <w:r>
        <w:rPr>
          <w:szCs w:val="24"/>
        </w:rPr>
        <w:fldChar w:fldCharType="begin"/>
      </w:r>
      <w:r>
        <w:rPr>
          <w:szCs w:val="24"/>
        </w:rPr>
        <w:instrText xml:space="preserve"> HYPERLINK \l _Toc21808 </w:instrText>
      </w:r>
      <w:r>
        <w:rPr>
          <w:szCs w:val="24"/>
        </w:rPr>
        <w:fldChar w:fldCharType="separate"/>
      </w:r>
      <w:r>
        <w:rPr>
          <w:rFonts w:hint="eastAsia"/>
          <w:lang w:val="en-US" w:eastAsia="zh-CN"/>
        </w:rPr>
        <w:t>4</w:t>
      </w:r>
      <w:r>
        <w:t>.</w:t>
      </w:r>
      <w:r>
        <w:rPr>
          <w:rFonts w:hint="eastAsia"/>
          <w:lang w:val="en-US" w:eastAsia="zh-CN"/>
        </w:rPr>
        <w:t>5</w:t>
      </w:r>
      <w:r>
        <w:t>公用工程</w:t>
      </w:r>
      <w:r>
        <w:tab/>
      </w:r>
      <w:r>
        <w:fldChar w:fldCharType="begin"/>
      </w:r>
      <w:r>
        <w:instrText xml:space="preserve"> PAGEREF _Toc21808 </w:instrText>
      </w:r>
      <w:r>
        <w:fldChar w:fldCharType="separate"/>
      </w:r>
      <w:r>
        <w:t>33</w:t>
      </w:r>
      <w:r>
        <w:fldChar w:fldCharType="end"/>
      </w:r>
      <w:r>
        <w:rPr>
          <w:szCs w:val="24"/>
        </w:rPr>
        <w:fldChar w:fldCharType="end"/>
      </w:r>
    </w:p>
    <w:p w14:paraId="55916421">
      <w:pPr>
        <w:pStyle w:val="43"/>
        <w:tabs>
          <w:tab w:val="right" w:leader="dot" w:pos="8306"/>
        </w:tabs>
      </w:pPr>
      <w:r>
        <w:rPr>
          <w:szCs w:val="24"/>
        </w:rPr>
        <w:fldChar w:fldCharType="begin"/>
      </w:r>
      <w:r>
        <w:rPr>
          <w:szCs w:val="24"/>
        </w:rPr>
        <w:instrText xml:space="preserve"> HYPERLINK \l _Toc26254 </w:instrText>
      </w:r>
      <w:r>
        <w:rPr>
          <w:szCs w:val="24"/>
        </w:rPr>
        <w:fldChar w:fldCharType="separate"/>
      </w:r>
      <w:r>
        <w:rPr>
          <w:rFonts w:hint="eastAsia"/>
          <w:lang w:val="en-US" w:eastAsia="zh-CN"/>
        </w:rPr>
        <w:t>4</w:t>
      </w:r>
      <w:r>
        <w:t>.</w:t>
      </w:r>
      <w:r>
        <w:rPr>
          <w:rFonts w:hint="eastAsia"/>
          <w:lang w:val="en-US" w:eastAsia="zh-CN"/>
        </w:rPr>
        <w:t>6</w:t>
      </w:r>
      <w:r>
        <w:t>工作制度</w:t>
      </w:r>
      <w:r>
        <w:tab/>
      </w:r>
      <w:r>
        <w:fldChar w:fldCharType="begin"/>
      </w:r>
      <w:r>
        <w:instrText xml:space="preserve"> PAGEREF _Toc26254 </w:instrText>
      </w:r>
      <w:r>
        <w:fldChar w:fldCharType="separate"/>
      </w:r>
      <w:r>
        <w:t>33</w:t>
      </w:r>
      <w:r>
        <w:fldChar w:fldCharType="end"/>
      </w:r>
      <w:r>
        <w:rPr>
          <w:szCs w:val="24"/>
        </w:rPr>
        <w:fldChar w:fldCharType="end"/>
      </w:r>
    </w:p>
    <w:p w14:paraId="67FF24FA">
      <w:pPr>
        <w:pStyle w:val="36"/>
        <w:tabs>
          <w:tab w:val="right" w:leader="dot" w:pos="8306"/>
        </w:tabs>
      </w:pPr>
      <w:r>
        <w:rPr>
          <w:szCs w:val="24"/>
        </w:rPr>
        <w:fldChar w:fldCharType="begin"/>
      </w:r>
      <w:r>
        <w:rPr>
          <w:szCs w:val="24"/>
        </w:rPr>
        <w:instrText xml:space="preserve"> HYPERLINK \l _Toc9120 </w:instrText>
      </w:r>
      <w:r>
        <w:rPr>
          <w:szCs w:val="24"/>
        </w:rPr>
        <w:fldChar w:fldCharType="separate"/>
      </w:r>
      <w:r>
        <w:rPr>
          <w:rFonts w:hint="eastAsia" w:ascii="Times New Roman" w:hAnsi="Times New Roman" w:cs="Times New Roman"/>
          <w:lang w:val="en-US" w:eastAsia="zh-CN"/>
        </w:rPr>
        <w:t>5</w:t>
      </w:r>
      <w:r>
        <w:rPr>
          <w:rFonts w:ascii="Times New Roman" w:hAnsi="Times New Roman" w:cs="Times New Roman"/>
        </w:rPr>
        <w:t>工程分析</w:t>
      </w:r>
      <w:r>
        <w:tab/>
      </w:r>
      <w:r>
        <w:fldChar w:fldCharType="begin"/>
      </w:r>
      <w:r>
        <w:instrText xml:space="preserve"> PAGEREF _Toc9120 </w:instrText>
      </w:r>
      <w:r>
        <w:fldChar w:fldCharType="separate"/>
      </w:r>
      <w:r>
        <w:t>34</w:t>
      </w:r>
      <w:r>
        <w:fldChar w:fldCharType="end"/>
      </w:r>
      <w:r>
        <w:rPr>
          <w:szCs w:val="24"/>
        </w:rPr>
        <w:fldChar w:fldCharType="end"/>
      </w:r>
    </w:p>
    <w:p w14:paraId="1AB18E81">
      <w:pPr>
        <w:pStyle w:val="43"/>
        <w:tabs>
          <w:tab w:val="right" w:leader="dot" w:pos="8306"/>
        </w:tabs>
      </w:pPr>
      <w:r>
        <w:rPr>
          <w:szCs w:val="24"/>
        </w:rPr>
        <w:fldChar w:fldCharType="begin"/>
      </w:r>
      <w:r>
        <w:rPr>
          <w:szCs w:val="24"/>
        </w:rPr>
        <w:instrText xml:space="preserve"> HYPERLINK \l _Toc22678 </w:instrText>
      </w:r>
      <w:r>
        <w:rPr>
          <w:szCs w:val="24"/>
        </w:rPr>
        <w:fldChar w:fldCharType="separate"/>
      </w:r>
      <w:r>
        <w:rPr>
          <w:rFonts w:hint="eastAsia"/>
          <w:lang w:val="en-US" w:eastAsia="zh-CN"/>
        </w:rPr>
        <w:t>5</w:t>
      </w:r>
      <w:r>
        <w:t>.1施工期工程分析</w:t>
      </w:r>
      <w:r>
        <w:tab/>
      </w:r>
      <w:r>
        <w:fldChar w:fldCharType="begin"/>
      </w:r>
      <w:r>
        <w:instrText xml:space="preserve"> PAGEREF _Toc22678 </w:instrText>
      </w:r>
      <w:r>
        <w:fldChar w:fldCharType="separate"/>
      </w:r>
      <w:r>
        <w:t>34</w:t>
      </w:r>
      <w:r>
        <w:fldChar w:fldCharType="end"/>
      </w:r>
      <w:r>
        <w:rPr>
          <w:szCs w:val="24"/>
        </w:rPr>
        <w:fldChar w:fldCharType="end"/>
      </w:r>
    </w:p>
    <w:p w14:paraId="4D453CFC">
      <w:pPr>
        <w:pStyle w:val="43"/>
        <w:tabs>
          <w:tab w:val="right" w:leader="dot" w:pos="8306"/>
        </w:tabs>
      </w:pPr>
      <w:r>
        <w:rPr>
          <w:szCs w:val="24"/>
        </w:rPr>
        <w:fldChar w:fldCharType="begin"/>
      </w:r>
      <w:r>
        <w:rPr>
          <w:szCs w:val="24"/>
        </w:rPr>
        <w:instrText xml:space="preserve"> HYPERLINK \l _Toc30241 </w:instrText>
      </w:r>
      <w:r>
        <w:rPr>
          <w:szCs w:val="24"/>
        </w:rPr>
        <w:fldChar w:fldCharType="separate"/>
      </w:r>
      <w:r>
        <w:rPr>
          <w:rFonts w:hint="eastAsia"/>
          <w:lang w:val="en-US" w:eastAsia="zh-CN"/>
        </w:rPr>
        <w:t>5</w:t>
      </w:r>
      <w:r>
        <w:t>.2营运期工程分析</w:t>
      </w:r>
      <w:r>
        <w:tab/>
      </w:r>
      <w:r>
        <w:fldChar w:fldCharType="begin"/>
      </w:r>
      <w:r>
        <w:instrText xml:space="preserve"> PAGEREF _Toc30241 </w:instrText>
      </w:r>
      <w:r>
        <w:fldChar w:fldCharType="separate"/>
      </w:r>
      <w:r>
        <w:t>36</w:t>
      </w:r>
      <w:r>
        <w:fldChar w:fldCharType="end"/>
      </w:r>
      <w:r>
        <w:rPr>
          <w:szCs w:val="24"/>
        </w:rPr>
        <w:fldChar w:fldCharType="end"/>
      </w:r>
    </w:p>
    <w:p w14:paraId="2CC294B6">
      <w:pPr>
        <w:pStyle w:val="43"/>
        <w:tabs>
          <w:tab w:val="right" w:leader="dot" w:pos="8306"/>
        </w:tabs>
      </w:pPr>
      <w:r>
        <w:rPr>
          <w:szCs w:val="24"/>
        </w:rPr>
        <w:fldChar w:fldCharType="begin"/>
      </w:r>
      <w:r>
        <w:rPr>
          <w:szCs w:val="24"/>
        </w:rPr>
        <w:instrText xml:space="preserve"> HYPERLINK \l _Toc9576 </w:instrText>
      </w:r>
      <w:r>
        <w:rPr>
          <w:szCs w:val="24"/>
        </w:rPr>
        <w:fldChar w:fldCharType="separate"/>
      </w:r>
      <w:r>
        <w:rPr>
          <w:rFonts w:hint="eastAsia"/>
          <w:lang w:val="en-US" w:eastAsia="zh-CN"/>
        </w:rPr>
        <w:t>5.3产排污情况分析</w:t>
      </w:r>
      <w:r>
        <w:tab/>
      </w:r>
      <w:r>
        <w:fldChar w:fldCharType="begin"/>
      </w:r>
      <w:r>
        <w:instrText xml:space="preserve"> PAGEREF _Toc9576 </w:instrText>
      </w:r>
      <w:r>
        <w:fldChar w:fldCharType="separate"/>
      </w:r>
      <w:r>
        <w:t>40</w:t>
      </w:r>
      <w:r>
        <w:fldChar w:fldCharType="end"/>
      </w:r>
      <w:r>
        <w:rPr>
          <w:szCs w:val="24"/>
        </w:rPr>
        <w:fldChar w:fldCharType="end"/>
      </w:r>
    </w:p>
    <w:p w14:paraId="67AF1E3D">
      <w:pPr>
        <w:pStyle w:val="43"/>
        <w:tabs>
          <w:tab w:val="right" w:leader="dot" w:pos="8306"/>
        </w:tabs>
      </w:pPr>
      <w:r>
        <w:rPr>
          <w:szCs w:val="24"/>
        </w:rPr>
        <w:fldChar w:fldCharType="begin"/>
      </w:r>
      <w:r>
        <w:rPr>
          <w:szCs w:val="24"/>
        </w:rPr>
        <w:instrText xml:space="preserve"> HYPERLINK \l _Toc2125 </w:instrText>
      </w:r>
      <w:r>
        <w:rPr>
          <w:szCs w:val="24"/>
        </w:rPr>
        <w:fldChar w:fldCharType="separate"/>
      </w:r>
      <w:r>
        <w:rPr>
          <w:rFonts w:hint="eastAsia"/>
          <w:lang w:val="en-US" w:eastAsia="zh-CN"/>
        </w:rPr>
        <w:t>5.4项目污染物排放量统计汇总</w:t>
      </w:r>
      <w:r>
        <w:tab/>
      </w:r>
      <w:r>
        <w:fldChar w:fldCharType="begin"/>
      </w:r>
      <w:r>
        <w:instrText xml:space="preserve"> PAGEREF _Toc2125 </w:instrText>
      </w:r>
      <w:r>
        <w:fldChar w:fldCharType="separate"/>
      </w:r>
      <w:r>
        <w:t>46</w:t>
      </w:r>
      <w:r>
        <w:fldChar w:fldCharType="end"/>
      </w:r>
      <w:r>
        <w:rPr>
          <w:szCs w:val="24"/>
        </w:rPr>
        <w:fldChar w:fldCharType="end"/>
      </w:r>
    </w:p>
    <w:p w14:paraId="36812CE6">
      <w:pPr>
        <w:pStyle w:val="43"/>
        <w:tabs>
          <w:tab w:val="right" w:leader="dot" w:pos="8306"/>
        </w:tabs>
      </w:pPr>
      <w:r>
        <w:rPr>
          <w:szCs w:val="24"/>
        </w:rPr>
        <w:fldChar w:fldCharType="begin"/>
      </w:r>
      <w:r>
        <w:rPr>
          <w:szCs w:val="24"/>
        </w:rPr>
        <w:instrText xml:space="preserve"> HYPERLINK \l _Toc13346 </w:instrText>
      </w:r>
      <w:r>
        <w:rPr>
          <w:szCs w:val="24"/>
        </w:rPr>
        <w:fldChar w:fldCharType="separate"/>
      </w:r>
      <w:r>
        <w:rPr>
          <w:rFonts w:hint="eastAsia"/>
          <w:lang w:val="en-US" w:eastAsia="zh-CN"/>
        </w:rPr>
        <w:t>5.5污染物排放“三本账”情况</w:t>
      </w:r>
      <w:r>
        <w:tab/>
      </w:r>
      <w:r>
        <w:fldChar w:fldCharType="begin"/>
      </w:r>
      <w:r>
        <w:instrText xml:space="preserve"> PAGEREF _Toc13346 </w:instrText>
      </w:r>
      <w:r>
        <w:fldChar w:fldCharType="separate"/>
      </w:r>
      <w:r>
        <w:t>47</w:t>
      </w:r>
      <w:r>
        <w:fldChar w:fldCharType="end"/>
      </w:r>
      <w:r>
        <w:rPr>
          <w:szCs w:val="24"/>
        </w:rPr>
        <w:fldChar w:fldCharType="end"/>
      </w:r>
    </w:p>
    <w:p w14:paraId="25CBDD0F">
      <w:pPr>
        <w:pStyle w:val="36"/>
        <w:tabs>
          <w:tab w:val="right" w:leader="dot" w:pos="8306"/>
        </w:tabs>
      </w:pPr>
      <w:r>
        <w:rPr>
          <w:szCs w:val="24"/>
        </w:rPr>
        <w:fldChar w:fldCharType="begin"/>
      </w:r>
      <w:r>
        <w:rPr>
          <w:szCs w:val="24"/>
        </w:rPr>
        <w:instrText xml:space="preserve"> HYPERLINK \l _Toc32524 </w:instrText>
      </w:r>
      <w:r>
        <w:rPr>
          <w:szCs w:val="24"/>
        </w:rPr>
        <w:fldChar w:fldCharType="separate"/>
      </w:r>
      <w:r>
        <w:rPr>
          <w:rFonts w:hint="eastAsia"/>
          <w:lang w:val="en-US" w:eastAsia="zh-CN"/>
        </w:rPr>
        <w:t>6</w:t>
      </w:r>
      <w:r>
        <w:t>环境现状调查与评价</w:t>
      </w:r>
      <w:r>
        <w:tab/>
      </w:r>
      <w:r>
        <w:fldChar w:fldCharType="begin"/>
      </w:r>
      <w:r>
        <w:instrText xml:space="preserve"> PAGEREF _Toc32524 </w:instrText>
      </w:r>
      <w:r>
        <w:fldChar w:fldCharType="separate"/>
      </w:r>
      <w:r>
        <w:t>48</w:t>
      </w:r>
      <w:r>
        <w:fldChar w:fldCharType="end"/>
      </w:r>
      <w:r>
        <w:rPr>
          <w:szCs w:val="24"/>
        </w:rPr>
        <w:fldChar w:fldCharType="end"/>
      </w:r>
    </w:p>
    <w:p w14:paraId="464AADB6">
      <w:pPr>
        <w:pStyle w:val="43"/>
        <w:tabs>
          <w:tab w:val="right" w:leader="dot" w:pos="8306"/>
        </w:tabs>
      </w:pPr>
      <w:r>
        <w:rPr>
          <w:szCs w:val="24"/>
        </w:rPr>
        <w:fldChar w:fldCharType="begin"/>
      </w:r>
      <w:r>
        <w:rPr>
          <w:szCs w:val="24"/>
        </w:rPr>
        <w:instrText xml:space="preserve"> HYPERLINK \l _Toc3906 </w:instrText>
      </w:r>
      <w:r>
        <w:rPr>
          <w:szCs w:val="24"/>
        </w:rPr>
        <w:fldChar w:fldCharType="separate"/>
      </w:r>
      <w:r>
        <w:rPr>
          <w:rFonts w:hint="eastAsia"/>
          <w:lang w:val="en-US" w:eastAsia="zh-CN"/>
        </w:rPr>
        <w:t>6</w:t>
      </w:r>
      <w:r>
        <w:t>.1区域环境概况</w:t>
      </w:r>
      <w:r>
        <w:tab/>
      </w:r>
      <w:r>
        <w:fldChar w:fldCharType="begin"/>
      </w:r>
      <w:r>
        <w:instrText xml:space="preserve"> PAGEREF _Toc3906 </w:instrText>
      </w:r>
      <w:r>
        <w:fldChar w:fldCharType="separate"/>
      </w:r>
      <w:r>
        <w:t>48</w:t>
      </w:r>
      <w:r>
        <w:fldChar w:fldCharType="end"/>
      </w:r>
      <w:r>
        <w:rPr>
          <w:szCs w:val="24"/>
        </w:rPr>
        <w:fldChar w:fldCharType="end"/>
      </w:r>
    </w:p>
    <w:p w14:paraId="2B736C50">
      <w:pPr>
        <w:pStyle w:val="43"/>
        <w:tabs>
          <w:tab w:val="right" w:leader="dot" w:pos="8306"/>
        </w:tabs>
      </w:pPr>
      <w:r>
        <w:rPr>
          <w:szCs w:val="24"/>
        </w:rPr>
        <w:fldChar w:fldCharType="begin"/>
      </w:r>
      <w:r>
        <w:rPr>
          <w:szCs w:val="24"/>
        </w:rPr>
        <w:instrText xml:space="preserve"> HYPERLINK \l _Toc14132 </w:instrText>
      </w:r>
      <w:r>
        <w:rPr>
          <w:szCs w:val="24"/>
        </w:rPr>
        <w:fldChar w:fldCharType="separate"/>
      </w:r>
      <w:r>
        <w:rPr>
          <w:rFonts w:hint="eastAsia"/>
          <w:lang w:val="en-US" w:eastAsia="zh-CN"/>
        </w:rPr>
        <w:t>6</w:t>
      </w:r>
      <w:r>
        <w:t>.2评价区环境质量现状</w:t>
      </w:r>
      <w:r>
        <w:tab/>
      </w:r>
      <w:r>
        <w:fldChar w:fldCharType="begin"/>
      </w:r>
      <w:r>
        <w:instrText xml:space="preserve"> PAGEREF _Toc14132 </w:instrText>
      </w:r>
      <w:r>
        <w:fldChar w:fldCharType="separate"/>
      </w:r>
      <w:r>
        <w:t>49</w:t>
      </w:r>
      <w:r>
        <w:fldChar w:fldCharType="end"/>
      </w:r>
      <w:r>
        <w:rPr>
          <w:szCs w:val="24"/>
        </w:rPr>
        <w:fldChar w:fldCharType="end"/>
      </w:r>
    </w:p>
    <w:p w14:paraId="68B982CE">
      <w:pPr>
        <w:pStyle w:val="36"/>
        <w:tabs>
          <w:tab w:val="right" w:leader="dot" w:pos="8306"/>
        </w:tabs>
      </w:pPr>
      <w:r>
        <w:rPr>
          <w:szCs w:val="24"/>
        </w:rPr>
        <w:fldChar w:fldCharType="begin"/>
      </w:r>
      <w:r>
        <w:rPr>
          <w:szCs w:val="24"/>
        </w:rPr>
        <w:instrText xml:space="preserve"> HYPERLINK \l _Toc29522 </w:instrText>
      </w:r>
      <w:r>
        <w:rPr>
          <w:szCs w:val="24"/>
        </w:rPr>
        <w:fldChar w:fldCharType="separate"/>
      </w:r>
      <w:r>
        <w:rPr>
          <w:rFonts w:hint="eastAsia"/>
          <w:lang w:val="en-US" w:eastAsia="zh-CN"/>
        </w:rPr>
        <w:t>7</w:t>
      </w:r>
      <w:r>
        <w:t>环境影响预测与评价</w:t>
      </w:r>
      <w:r>
        <w:tab/>
      </w:r>
      <w:r>
        <w:fldChar w:fldCharType="begin"/>
      </w:r>
      <w:r>
        <w:instrText xml:space="preserve"> PAGEREF _Toc29522 </w:instrText>
      </w:r>
      <w:r>
        <w:fldChar w:fldCharType="separate"/>
      </w:r>
      <w:r>
        <w:t>61</w:t>
      </w:r>
      <w:r>
        <w:fldChar w:fldCharType="end"/>
      </w:r>
      <w:r>
        <w:rPr>
          <w:szCs w:val="24"/>
        </w:rPr>
        <w:fldChar w:fldCharType="end"/>
      </w:r>
    </w:p>
    <w:p w14:paraId="3B80CD9C">
      <w:pPr>
        <w:pStyle w:val="43"/>
        <w:tabs>
          <w:tab w:val="right" w:leader="dot" w:pos="8306"/>
        </w:tabs>
      </w:pPr>
      <w:r>
        <w:rPr>
          <w:szCs w:val="24"/>
        </w:rPr>
        <w:fldChar w:fldCharType="begin"/>
      </w:r>
      <w:r>
        <w:rPr>
          <w:szCs w:val="24"/>
        </w:rPr>
        <w:instrText xml:space="preserve"> HYPERLINK \l _Toc10760 </w:instrText>
      </w:r>
      <w:r>
        <w:rPr>
          <w:szCs w:val="24"/>
        </w:rPr>
        <w:fldChar w:fldCharType="separate"/>
      </w:r>
      <w:r>
        <w:rPr>
          <w:rFonts w:hint="eastAsia"/>
          <w:lang w:val="en-US" w:eastAsia="zh-CN"/>
        </w:rPr>
        <w:t>7</w:t>
      </w:r>
      <w:r>
        <w:t>.1施工期环境影响分析</w:t>
      </w:r>
      <w:r>
        <w:tab/>
      </w:r>
      <w:r>
        <w:fldChar w:fldCharType="begin"/>
      </w:r>
      <w:r>
        <w:instrText xml:space="preserve"> PAGEREF _Toc10760 </w:instrText>
      </w:r>
      <w:r>
        <w:fldChar w:fldCharType="separate"/>
      </w:r>
      <w:r>
        <w:t>61</w:t>
      </w:r>
      <w:r>
        <w:fldChar w:fldCharType="end"/>
      </w:r>
      <w:r>
        <w:rPr>
          <w:szCs w:val="24"/>
        </w:rPr>
        <w:fldChar w:fldCharType="end"/>
      </w:r>
    </w:p>
    <w:p w14:paraId="0C3ECA16">
      <w:pPr>
        <w:pStyle w:val="43"/>
        <w:tabs>
          <w:tab w:val="right" w:leader="dot" w:pos="8306"/>
        </w:tabs>
      </w:pPr>
      <w:r>
        <w:rPr>
          <w:szCs w:val="24"/>
        </w:rPr>
        <w:fldChar w:fldCharType="begin"/>
      </w:r>
      <w:r>
        <w:rPr>
          <w:szCs w:val="24"/>
        </w:rPr>
        <w:instrText xml:space="preserve"> HYPERLINK \l _Toc28645 </w:instrText>
      </w:r>
      <w:r>
        <w:rPr>
          <w:szCs w:val="24"/>
        </w:rPr>
        <w:fldChar w:fldCharType="separate"/>
      </w:r>
      <w:r>
        <w:rPr>
          <w:rFonts w:hint="eastAsia"/>
          <w:lang w:val="en-US" w:eastAsia="zh-CN"/>
        </w:rPr>
        <w:t>7</w:t>
      </w:r>
      <w:r>
        <w:t>.2营运期环境影响分析与评价</w:t>
      </w:r>
      <w:r>
        <w:tab/>
      </w:r>
      <w:r>
        <w:fldChar w:fldCharType="begin"/>
      </w:r>
      <w:r>
        <w:instrText xml:space="preserve"> PAGEREF _Toc28645 </w:instrText>
      </w:r>
      <w:r>
        <w:fldChar w:fldCharType="separate"/>
      </w:r>
      <w:r>
        <w:t>65</w:t>
      </w:r>
      <w:r>
        <w:fldChar w:fldCharType="end"/>
      </w:r>
      <w:r>
        <w:rPr>
          <w:szCs w:val="24"/>
        </w:rPr>
        <w:fldChar w:fldCharType="end"/>
      </w:r>
    </w:p>
    <w:p w14:paraId="5D24A881">
      <w:pPr>
        <w:pStyle w:val="36"/>
        <w:tabs>
          <w:tab w:val="right" w:leader="dot" w:pos="8306"/>
        </w:tabs>
      </w:pPr>
      <w:r>
        <w:rPr>
          <w:szCs w:val="24"/>
        </w:rPr>
        <w:fldChar w:fldCharType="begin"/>
      </w:r>
      <w:r>
        <w:rPr>
          <w:szCs w:val="24"/>
        </w:rPr>
        <w:instrText xml:space="preserve"> HYPERLINK \l _Toc7879 </w:instrText>
      </w:r>
      <w:r>
        <w:rPr>
          <w:szCs w:val="24"/>
        </w:rPr>
        <w:fldChar w:fldCharType="separate"/>
      </w:r>
      <w:r>
        <w:rPr>
          <w:rFonts w:hint="eastAsia"/>
          <w:lang w:val="en-US" w:eastAsia="zh-CN"/>
        </w:rPr>
        <w:t>8</w:t>
      </w:r>
      <w:r>
        <w:t>环境风险分析</w:t>
      </w:r>
      <w:r>
        <w:tab/>
      </w:r>
      <w:r>
        <w:fldChar w:fldCharType="begin"/>
      </w:r>
      <w:r>
        <w:instrText xml:space="preserve"> PAGEREF _Toc7879 </w:instrText>
      </w:r>
      <w:r>
        <w:fldChar w:fldCharType="separate"/>
      </w:r>
      <w:r>
        <w:t>86</w:t>
      </w:r>
      <w:r>
        <w:fldChar w:fldCharType="end"/>
      </w:r>
      <w:r>
        <w:rPr>
          <w:szCs w:val="24"/>
        </w:rPr>
        <w:fldChar w:fldCharType="end"/>
      </w:r>
    </w:p>
    <w:p w14:paraId="461FAF1F">
      <w:pPr>
        <w:pStyle w:val="43"/>
        <w:tabs>
          <w:tab w:val="right" w:leader="dot" w:pos="8306"/>
        </w:tabs>
      </w:pPr>
      <w:r>
        <w:rPr>
          <w:szCs w:val="24"/>
        </w:rPr>
        <w:fldChar w:fldCharType="begin"/>
      </w:r>
      <w:r>
        <w:rPr>
          <w:szCs w:val="24"/>
        </w:rPr>
        <w:instrText xml:space="preserve"> HYPERLINK \l _Toc5476 </w:instrText>
      </w:r>
      <w:r>
        <w:rPr>
          <w:szCs w:val="24"/>
        </w:rPr>
        <w:fldChar w:fldCharType="separate"/>
      </w:r>
      <w:r>
        <w:rPr>
          <w:rFonts w:hint="eastAsia"/>
          <w:lang w:val="en-US" w:eastAsia="zh-CN"/>
        </w:rPr>
        <w:t>8</w:t>
      </w:r>
      <w:r>
        <w:t>.1评价依据</w:t>
      </w:r>
      <w:r>
        <w:tab/>
      </w:r>
      <w:r>
        <w:fldChar w:fldCharType="begin"/>
      </w:r>
      <w:r>
        <w:instrText xml:space="preserve"> PAGEREF _Toc5476 </w:instrText>
      </w:r>
      <w:r>
        <w:fldChar w:fldCharType="separate"/>
      </w:r>
      <w:r>
        <w:t>86</w:t>
      </w:r>
      <w:r>
        <w:fldChar w:fldCharType="end"/>
      </w:r>
      <w:r>
        <w:rPr>
          <w:szCs w:val="24"/>
        </w:rPr>
        <w:fldChar w:fldCharType="end"/>
      </w:r>
    </w:p>
    <w:p w14:paraId="47225710">
      <w:pPr>
        <w:pStyle w:val="43"/>
        <w:tabs>
          <w:tab w:val="right" w:leader="dot" w:pos="8306"/>
        </w:tabs>
      </w:pPr>
      <w:r>
        <w:rPr>
          <w:szCs w:val="24"/>
        </w:rPr>
        <w:fldChar w:fldCharType="begin"/>
      </w:r>
      <w:r>
        <w:rPr>
          <w:szCs w:val="24"/>
        </w:rPr>
        <w:instrText xml:space="preserve"> HYPERLINK \l _Toc22961 </w:instrText>
      </w:r>
      <w:r>
        <w:rPr>
          <w:szCs w:val="24"/>
        </w:rPr>
        <w:fldChar w:fldCharType="separate"/>
      </w:r>
      <w:r>
        <w:rPr>
          <w:rFonts w:hint="eastAsia"/>
          <w:lang w:val="en-US" w:eastAsia="zh-CN"/>
        </w:rPr>
        <w:t>8</w:t>
      </w:r>
      <w:r>
        <w:t>.2环境敏感目标概况</w:t>
      </w:r>
      <w:r>
        <w:tab/>
      </w:r>
      <w:r>
        <w:fldChar w:fldCharType="begin"/>
      </w:r>
      <w:r>
        <w:instrText xml:space="preserve"> PAGEREF _Toc22961 </w:instrText>
      </w:r>
      <w:r>
        <w:fldChar w:fldCharType="separate"/>
      </w:r>
      <w:r>
        <w:t>86</w:t>
      </w:r>
      <w:r>
        <w:fldChar w:fldCharType="end"/>
      </w:r>
      <w:r>
        <w:rPr>
          <w:szCs w:val="24"/>
        </w:rPr>
        <w:fldChar w:fldCharType="end"/>
      </w:r>
    </w:p>
    <w:p w14:paraId="52843A46">
      <w:pPr>
        <w:pStyle w:val="43"/>
        <w:tabs>
          <w:tab w:val="right" w:leader="dot" w:pos="8306"/>
        </w:tabs>
      </w:pPr>
      <w:r>
        <w:rPr>
          <w:szCs w:val="24"/>
        </w:rPr>
        <w:fldChar w:fldCharType="begin"/>
      </w:r>
      <w:r>
        <w:rPr>
          <w:szCs w:val="24"/>
        </w:rPr>
        <w:instrText xml:space="preserve"> HYPERLINK \l _Toc16012 </w:instrText>
      </w:r>
      <w:r>
        <w:rPr>
          <w:szCs w:val="24"/>
        </w:rPr>
        <w:fldChar w:fldCharType="separate"/>
      </w:r>
      <w:r>
        <w:rPr>
          <w:rFonts w:hint="eastAsia"/>
          <w:lang w:val="en-US" w:eastAsia="zh-CN"/>
        </w:rPr>
        <w:t>8</w:t>
      </w:r>
      <w:r>
        <w:t>.3环境风险识别</w:t>
      </w:r>
      <w:r>
        <w:tab/>
      </w:r>
      <w:r>
        <w:fldChar w:fldCharType="begin"/>
      </w:r>
      <w:r>
        <w:instrText xml:space="preserve"> PAGEREF _Toc16012 </w:instrText>
      </w:r>
      <w:r>
        <w:fldChar w:fldCharType="separate"/>
      </w:r>
      <w:r>
        <w:t>87</w:t>
      </w:r>
      <w:r>
        <w:fldChar w:fldCharType="end"/>
      </w:r>
      <w:r>
        <w:rPr>
          <w:szCs w:val="24"/>
        </w:rPr>
        <w:fldChar w:fldCharType="end"/>
      </w:r>
    </w:p>
    <w:p w14:paraId="737494CA">
      <w:pPr>
        <w:pStyle w:val="43"/>
        <w:tabs>
          <w:tab w:val="right" w:leader="dot" w:pos="8306"/>
        </w:tabs>
      </w:pPr>
      <w:r>
        <w:rPr>
          <w:szCs w:val="24"/>
        </w:rPr>
        <w:fldChar w:fldCharType="begin"/>
      </w:r>
      <w:r>
        <w:rPr>
          <w:szCs w:val="24"/>
        </w:rPr>
        <w:instrText xml:space="preserve"> HYPERLINK \l _Toc15399 </w:instrText>
      </w:r>
      <w:r>
        <w:rPr>
          <w:szCs w:val="24"/>
        </w:rPr>
        <w:fldChar w:fldCharType="separate"/>
      </w:r>
      <w:r>
        <w:rPr>
          <w:rFonts w:hint="eastAsia"/>
        </w:rPr>
        <w:t>8</w:t>
      </w:r>
      <w:r>
        <w:t>.</w:t>
      </w:r>
      <w:r>
        <w:rPr>
          <w:rFonts w:hint="eastAsia"/>
          <w:lang w:val="en-US" w:eastAsia="zh-CN"/>
        </w:rPr>
        <w:t>4</w:t>
      </w:r>
      <w:r>
        <w:t>源项分析</w:t>
      </w:r>
      <w:r>
        <w:tab/>
      </w:r>
      <w:r>
        <w:fldChar w:fldCharType="begin"/>
      </w:r>
      <w:r>
        <w:instrText xml:space="preserve"> PAGEREF _Toc15399 </w:instrText>
      </w:r>
      <w:r>
        <w:fldChar w:fldCharType="separate"/>
      </w:r>
      <w:r>
        <w:t>90</w:t>
      </w:r>
      <w:r>
        <w:fldChar w:fldCharType="end"/>
      </w:r>
      <w:r>
        <w:rPr>
          <w:szCs w:val="24"/>
        </w:rPr>
        <w:fldChar w:fldCharType="end"/>
      </w:r>
    </w:p>
    <w:p w14:paraId="4CF5DAB8">
      <w:pPr>
        <w:pStyle w:val="43"/>
        <w:tabs>
          <w:tab w:val="right" w:leader="dot" w:pos="8306"/>
        </w:tabs>
      </w:pPr>
      <w:r>
        <w:rPr>
          <w:szCs w:val="24"/>
        </w:rPr>
        <w:fldChar w:fldCharType="begin"/>
      </w:r>
      <w:r>
        <w:rPr>
          <w:szCs w:val="24"/>
        </w:rPr>
        <w:instrText xml:space="preserve"> HYPERLINK \l _Toc14981 </w:instrText>
      </w:r>
      <w:r>
        <w:rPr>
          <w:szCs w:val="24"/>
        </w:rPr>
        <w:fldChar w:fldCharType="separate"/>
      </w:r>
      <w:r>
        <w:rPr>
          <w:rFonts w:hint="eastAsia"/>
          <w:lang w:val="en-US" w:eastAsia="zh-CN"/>
        </w:rPr>
        <w:t>8</w:t>
      </w:r>
      <w:r>
        <w:t>.4环境风险分析</w:t>
      </w:r>
      <w:r>
        <w:tab/>
      </w:r>
      <w:r>
        <w:fldChar w:fldCharType="begin"/>
      </w:r>
      <w:r>
        <w:instrText xml:space="preserve"> PAGEREF _Toc14981 </w:instrText>
      </w:r>
      <w:r>
        <w:fldChar w:fldCharType="separate"/>
      </w:r>
      <w:r>
        <w:t>91</w:t>
      </w:r>
      <w:r>
        <w:fldChar w:fldCharType="end"/>
      </w:r>
      <w:r>
        <w:rPr>
          <w:szCs w:val="24"/>
        </w:rPr>
        <w:fldChar w:fldCharType="end"/>
      </w:r>
    </w:p>
    <w:p w14:paraId="4723D9F5">
      <w:pPr>
        <w:pStyle w:val="43"/>
        <w:tabs>
          <w:tab w:val="right" w:leader="dot" w:pos="8306"/>
        </w:tabs>
      </w:pPr>
      <w:r>
        <w:rPr>
          <w:szCs w:val="24"/>
        </w:rPr>
        <w:fldChar w:fldCharType="begin"/>
      </w:r>
      <w:r>
        <w:rPr>
          <w:szCs w:val="24"/>
        </w:rPr>
        <w:instrText xml:space="preserve"> HYPERLINK \l _Toc9934 </w:instrText>
      </w:r>
      <w:r>
        <w:rPr>
          <w:szCs w:val="24"/>
        </w:rPr>
        <w:fldChar w:fldCharType="separate"/>
      </w:r>
      <w:r>
        <w:rPr>
          <w:rFonts w:hint="eastAsia"/>
          <w:lang w:val="en-US" w:eastAsia="zh-CN"/>
        </w:rPr>
        <w:t>8</w:t>
      </w:r>
      <w:r>
        <w:t>.5环境风险</w:t>
      </w:r>
      <w:r>
        <w:rPr>
          <w:rFonts w:hint="eastAsia"/>
          <w:lang w:eastAsia="zh-CN"/>
        </w:rPr>
        <w:t>管理及应急处置措施</w:t>
      </w:r>
      <w:r>
        <w:tab/>
      </w:r>
      <w:r>
        <w:fldChar w:fldCharType="begin"/>
      </w:r>
      <w:r>
        <w:instrText xml:space="preserve"> PAGEREF _Toc9934 </w:instrText>
      </w:r>
      <w:r>
        <w:fldChar w:fldCharType="separate"/>
      </w:r>
      <w:r>
        <w:t>92</w:t>
      </w:r>
      <w:r>
        <w:fldChar w:fldCharType="end"/>
      </w:r>
      <w:r>
        <w:rPr>
          <w:szCs w:val="24"/>
        </w:rPr>
        <w:fldChar w:fldCharType="end"/>
      </w:r>
    </w:p>
    <w:p w14:paraId="10532FCC">
      <w:pPr>
        <w:pStyle w:val="43"/>
        <w:tabs>
          <w:tab w:val="right" w:leader="dot" w:pos="8306"/>
        </w:tabs>
      </w:pPr>
      <w:r>
        <w:rPr>
          <w:szCs w:val="24"/>
        </w:rPr>
        <w:fldChar w:fldCharType="begin"/>
      </w:r>
      <w:r>
        <w:rPr>
          <w:szCs w:val="24"/>
        </w:rPr>
        <w:instrText xml:space="preserve"> HYPERLINK \l _Toc1270 </w:instrText>
      </w:r>
      <w:r>
        <w:rPr>
          <w:szCs w:val="24"/>
        </w:rPr>
        <w:fldChar w:fldCharType="separate"/>
      </w:r>
      <w:r>
        <w:rPr>
          <w:rFonts w:hint="eastAsia"/>
          <w:lang w:val="en-US" w:eastAsia="zh-CN"/>
        </w:rPr>
        <w:t>8.6事故应急预案</w:t>
      </w:r>
      <w:r>
        <w:tab/>
      </w:r>
      <w:r>
        <w:fldChar w:fldCharType="begin"/>
      </w:r>
      <w:r>
        <w:instrText xml:space="preserve"> PAGEREF _Toc1270 </w:instrText>
      </w:r>
      <w:r>
        <w:fldChar w:fldCharType="separate"/>
      </w:r>
      <w:r>
        <w:t>94</w:t>
      </w:r>
      <w:r>
        <w:fldChar w:fldCharType="end"/>
      </w:r>
      <w:r>
        <w:rPr>
          <w:szCs w:val="24"/>
        </w:rPr>
        <w:fldChar w:fldCharType="end"/>
      </w:r>
    </w:p>
    <w:p w14:paraId="02C7D463">
      <w:pPr>
        <w:pStyle w:val="43"/>
        <w:tabs>
          <w:tab w:val="right" w:leader="dot" w:pos="8306"/>
        </w:tabs>
      </w:pPr>
      <w:r>
        <w:rPr>
          <w:szCs w:val="24"/>
        </w:rPr>
        <w:fldChar w:fldCharType="begin"/>
      </w:r>
      <w:r>
        <w:rPr>
          <w:szCs w:val="24"/>
        </w:rPr>
        <w:instrText xml:space="preserve"> HYPERLINK \l _Toc13799 </w:instrText>
      </w:r>
      <w:r>
        <w:rPr>
          <w:szCs w:val="24"/>
        </w:rPr>
        <w:fldChar w:fldCharType="separate"/>
      </w:r>
      <w:r>
        <w:rPr>
          <w:rFonts w:hint="eastAsia"/>
          <w:lang w:val="en-US" w:eastAsia="zh-CN"/>
        </w:rPr>
        <w:t>8</w:t>
      </w:r>
      <w:r>
        <w:t>.</w:t>
      </w:r>
      <w:r>
        <w:rPr>
          <w:rFonts w:hint="eastAsia"/>
          <w:lang w:val="en-US" w:eastAsia="zh-CN"/>
        </w:rPr>
        <w:t>7</w:t>
      </w:r>
      <w:r>
        <w:t>分析结论</w:t>
      </w:r>
      <w:r>
        <w:tab/>
      </w:r>
      <w:r>
        <w:fldChar w:fldCharType="begin"/>
      </w:r>
      <w:r>
        <w:instrText xml:space="preserve"> PAGEREF _Toc13799 </w:instrText>
      </w:r>
      <w:r>
        <w:fldChar w:fldCharType="separate"/>
      </w:r>
      <w:r>
        <w:t>96</w:t>
      </w:r>
      <w:r>
        <w:fldChar w:fldCharType="end"/>
      </w:r>
      <w:r>
        <w:rPr>
          <w:szCs w:val="24"/>
        </w:rPr>
        <w:fldChar w:fldCharType="end"/>
      </w:r>
    </w:p>
    <w:p w14:paraId="16E3F6D8">
      <w:pPr>
        <w:pStyle w:val="36"/>
        <w:tabs>
          <w:tab w:val="right" w:leader="dot" w:pos="8306"/>
        </w:tabs>
      </w:pPr>
      <w:r>
        <w:rPr>
          <w:szCs w:val="24"/>
        </w:rPr>
        <w:fldChar w:fldCharType="begin"/>
      </w:r>
      <w:r>
        <w:rPr>
          <w:szCs w:val="24"/>
        </w:rPr>
        <w:instrText xml:space="preserve"> HYPERLINK \l _Toc25482 </w:instrText>
      </w:r>
      <w:r>
        <w:rPr>
          <w:szCs w:val="24"/>
        </w:rPr>
        <w:fldChar w:fldCharType="separate"/>
      </w:r>
      <w:r>
        <w:rPr>
          <w:rFonts w:hint="eastAsia" w:ascii="Times New Roman" w:hAnsi="Times New Roman" w:cs="Times New Roman"/>
          <w:lang w:val="en-US" w:eastAsia="zh-CN"/>
        </w:rPr>
        <w:t>9</w:t>
      </w:r>
      <w:r>
        <w:rPr>
          <w:rFonts w:ascii="Times New Roman" w:hAnsi="Times New Roman" w:cs="Times New Roman"/>
        </w:rPr>
        <w:t>污染防治对策与措施</w:t>
      </w:r>
      <w:r>
        <w:tab/>
      </w:r>
      <w:r>
        <w:fldChar w:fldCharType="begin"/>
      </w:r>
      <w:r>
        <w:instrText xml:space="preserve"> PAGEREF _Toc25482 </w:instrText>
      </w:r>
      <w:r>
        <w:fldChar w:fldCharType="separate"/>
      </w:r>
      <w:r>
        <w:t>97</w:t>
      </w:r>
      <w:r>
        <w:fldChar w:fldCharType="end"/>
      </w:r>
      <w:r>
        <w:rPr>
          <w:szCs w:val="24"/>
        </w:rPr>
        <w:fldChar w:fldCharType="end"/>
      </w:r>
    </w:p>
    <w:p w14:paraId="511CD0E8">
      <w:pPr>
        <w:pStyle w:val="43"/>
        <w:tabs>
          <w:tab w:val="right" w:leader="dot" w:pos="8306"/>
        </w:tabs>
      </w:pPr>
      <w:r>
        <w:rPr>
          <w:szCs w:val="24"/>
        </w:rPr>
        <w:fldChar w:fldCharType="begin"/>
      </w:r>
      <w:r>
        <w:rPr>
          <w:szCs w:val="24"/>
        </w:rPr>
        <w:instrText xml:space="preserve"> HYPERLINK \l _Toc28977 </w:instrText>
      </w:r>
      <w:r>
        <w:rPr>
          <w:szCs w:val="24"/>
        </w:rPr>
        <w:fldChar w:fldCharType="separate"/>
      </w:r>
      <w:r>
        <w:rPr>
          <w:rFonts w:hint="eastAsia"/>
          <w:lang w:val="en-US" w:eastAsia="zh-CN"/>
        </w:rPr>
        <w:t>9</w:t>
      </w:r>
      <w:r>
        <w:t>.1施工期污染防治措施分析</w:t>
      </w:r>
      <w:r>
        <w:tab/>
      </w:r>
      <w:r>
        <w:fldChar w:fldCharType="begin"/>
      </w:r>
      <w:r>
        <w:instrText xml:space="preserve"> PAGEREF _Toc28977 </w:instrText>
      </w:r>
      <w:r>
        <w:fldChar w:fldCharType="separate"/>
      </w:r>
      <w:r>
        <w:t>97</w:t>
      </w:r>
      <w:r>
        <w:fldChar w:fldCharType="end"/>
      </w:r>
      <w:r>
        <w:rPr>
          <w:szCs w:val="24"/>
        </w:rPr>
        <w:fldChar w:fldCharType="end"/>
      </w:r>
    </w:p>
    <w:p w14:paraId="277CE40F">
      <w:pPr>
        <w:pStyle w:val="43"/>
        <w:tabs>
          <w:tab w:val="right" w:leader="dot" w:pos="8306"/>
        </w:tabs>
      </w:pPr>
      <w:r>
        <w:rPr>
          <w:szCs w:val="24"/>
        </w:rPr>
        <w:fldChar w:fldCharType="begin"/>
      </w:r>
      <w:r>
        <w:rPr>
          <w:szCs w:val="24"/>
        </w:rPr>
        <w:instrText xml:space="preserve"> HYPERLINK \l _Toc15546 </w:instrText>
      </w:r>
      <w:r>
        <w:rPr>
          <w:szCs w:val="24"/>
        </w:rPr>
        <w:fldChar w:fldCharType="separate"/>
      </w:r>
      <w:r>
        <w:rPr>
          <w:rFonts w:hint="eastAsia"/>
          <w:highlight w:val="none"/>
          <w:lang w:val="en-US" w:eastAsia="zh-CN"/>
        </w:rPr>
        <w:t>9</w:t>
      </w:r>
      <w:r>
        <w:rPr>
          <w:highlight w:val="none"/>
        </w:rPr>
        <w:t>.2营运期</w:t>
      </w:r>
      <w:r>
        <w:rPr>
          <w:rFonts w:hint="eastAsia"/>
          <w:highlight w:val="none"/>
          <w:lang w:eastAsia="zh-CN"/>
        </w:rPr>
        <w:t>废气</w:t>
      </w:r>
      <w:r>
        <w:rPr>
          <w:highlight w:val="none"/>
        </w:rPr>
        <w:t>污染防治措施</w:t>
      </w:r>
      <w:r>
        <w:tab/>
      </w:r>
      <w:r>
        <w:fldChar w:fldCharType="begin"/>
      </w:r>
      <w:r>
        <w:instrText xml:space="preserve"> PAGEREF _Toc15546 </w:instrText>
      </w:r>
      <w:r>
        <w:fldChar w:fldCharType="separate"/>
      </w:r>
      <w:r>
        <w:t>98</w:t>
      </w:r>
      <w:r>
        <w:fldChar w:fldCharType="end"/>
      </w:r>
      <w:r>
        <w:rPr>
          <w:szCs w:val="24"/>
        </w:rPr>
        <w:fldChar w:fldCharType="end"/>
      </w:r>
    </w:p>
    <w:p w14:paraId="7DA90AAB">
      <w:pPr>
        <w:pStyle w:val="43"/>
        <w:tabs>
          <w:tab w:val="right" w:leader="dot" w:pos="8306"/>
        </w:tabs>
      </w:pPr>
      <w:r>
        <w:rPr>
          <w:szCs w:val="24"/>
        </w:rPr>
        <w:fldChar w:fldCharType="begin"/>
      </w:r>
      <w:r>
        <w:rPr>
          <w:szCs w:val="24"/>
        </w:rPr>
        <w:instrText xml:space="preserve"> HYPERLINK \l _Toc5139 </w:instrText>
      </w:r>
      <w:r>
        <w:rPr>
          <w:szCs w:val="24"/>
        </w:rPr>
        <w:fldChar w:fldCharType="separate"/>
      </w:r>
      <w:r>
        <w:rPr>
          <w:rFonts w:hint="eastAsia"/>
          <w:lang w:val="en-US" w:eastAsia="zh-CN"/>
        </w:rPr>
        <w:t>9.3废水防治措施</w:t>
      </w:r>
      <w:r>
        <w:tab/>
      </w:r>
      <w:r>
        <w:fldChar w:fldCharType="begin"/>
      </w:r>
      <w:r>
        <w:instrText xml:space="preserve"> PAGEREF _Toc5139 </w:instrText>
      </w:r>
      <w:r>
        <w:fldChar w:fldCharType="separate"/>
      </w:r>
      <w:r>
        <w:t>99</w:t>
      </w:r>
      <w:r>
        <w:fldChar w:fldCharType="end"/>
      </w:r>
      <w:r>
        <w:rPr>
          <w:szCs w:val="24"/>
        </w:rPr>
        <w:fldChar w:fldCharType="end"/>
      </w:r>
    </w:p>
    <w:p w14:paraId="3E1EEB95">
      <w:pPr>
        <w:pStyle w:val="43"/>
        <w:tabs>
          <w:tab w:val="right" w:leader="dot" w:pos="8306"/>
        </w:tabs>
      </w:pPr>
      <w:r>
        <w:rPr>
          <w:szCs w:val="24"/>
        </w:rPr>
        <w:fldChar w:fldCharType="begin"/>
      </w:r>
      <w:r>
        <w:rPr>
          <w:szCs w:val="24"/>
        </w:rPr>
        <w:instrText xml:space="preserve"> HYPERLINK \l _Toc23008 </w:instrText>
      </w:r>
      <w:r>
        <w:rPr>
          <w:szCs w:val="24"/>
        </w:rPr>
        <w:fldChar w:fldCharType="separate"/>
      </w:r>
      <w:r>
        <w:rPr>
          <w:rFonts w:hint="eastAsia"/>
          <w:lang w:val="en-US" w:eastAsia="zh-CN"/>
        </w:rPr>
        <w:t>9</w:t>
      </w:r>
      <w:r>
        <w:t>.4营运期噪声治理措施</w:t>
      </w:r>
      <w:r>
        <w:tab/>
      </w:r>
      <w:r>
        <w:fldChar w:fldCharType="begin"/>
      </w:r>
      <w:r>
        <w:instrText xml:space="preserve"> PAGEREF _Toc23008 </w:instrText>
      </w:r>
      <w:r>
        <w:fldChar w:fldCharType="separate"/>
      </w:r>
      <w:r>
        <w:t>101</w:t>
      </w:r>
      <w:r>
        <w:fldChar w:fldCharType="end"/>
      </w:r>
      <w:r>
        <w:rPr>
          <w:szCs w:val="24"/>
        </w:rPr>
        <w:fldChar w:fldCharType="end"/>
      </w:r>
    </w:p>
    <w:p w14:paraId="0FA9684B">
      <w:pPr>
        <w:pStyle w:val="43"/>
        <w:tabs>
          <w:tab w:val="right" w:leader="dot" w:pos="8306"/>
        </w:tabs>
      </w:pPr>
      <w:r>
        <w:rPr>
          <w:szCs w:val="24"/>
        </w:rPr>
        <w:fldChar w:fldCharType="begin"/>
      </w:r>
      <w:r>
        <w:rPr>
          <w:szCs w:val="24"/>
        </w:rPr>
        <w:instrText xml:space="preserve"> HYPERLINK \l _Toc30687 </w:instrText>
      </w:r>
      <w:r>
        <w:rPr>
          <w:szCs w:val="24"/>
        </w:rPr>
        <w:fldChar w:fldCharType="separate"/>
      </w:r>
      <w:r>
        <w:rPr>
          <w:rFonts w:hint="eastAsia"/>
          <w:lang w:val="en-US" w:eastAsia="zh-CN"/>
        </w:rPr>
        <w:t>9</w:t>
      </w:r>
      <w:r>
        <w:t>.5营运期固体废物处理处置措施</w:t>
      </w:r>
      <w:r>
        <w:tab/>
      </w:r>
      <w:r>
        <w:fldChar w:fldCharType="begin"/>
      </w:r>
      <w:r>
        <w:instrText xml:space="preserve"> PAGEREF _Toc30687 </w:instrText>
      </w:r>
      <w:r>
        <w:fldChar w:fldCharType="separate"/>
      </w:r>
      <w:r>
        <w:t>101</w:t>
      </w:r>
      <w:r>
        <w:fldChar w:fldCharType="end"/>
      </w:r>
      <w:r>
        <w:rPr>
          <w:szCs w:val="24"/>
        </w:rPr>
        <w:fldChar w:fldCharType="end"/>
      </w:r>
    </w:p>
    <w:p w14:paraId="301482DE">
      <w:pPr>
        <w:pStyle w:val="43"/>
        <w:tabs>
          <w:tab w:val="right" w:leader="dot" w:pos="8306"/>
        </w:tabs>
      </w:pPr>
      <w:r>
        <w:rPr>
          <w:szCs w:val="24"/>
        </w:rPr>
        <w:fldChar w:fldCharType="begin"/>
      </w:r>
      <w:r>
        <w:rPr>
          <w:szCs w:val="24"/>
        </w:rPr>
        <w:instrText xml:space="preserve"> HYPERLINK \l _Toc5851 </w:instrText>
      </w:r>
      <w:r>
        <w:rPr>
          <w:szCs w:val="24"/>
        </w:rPr>
        <w:fldChar w:fldCharType="separate"/>
      </w:r>
      <w:r>
        <w:rPr>
          <w:rFonts w:hint="eastAsia"/>
          <w:lang w:val="en-US" w:eastAsia="zh-CN"/>
        </w:rPr>
        <w:t>9</w:t>
      </w:r>
      <w:r>
        <w:t>.6营运期地下水</w:t>
      </w:r>
      <w:r>
        <w:rPr>
          <w:rFonts w:hint="eastAsia"/>
          <w:lang w:eastAsia="zh-CN"/>
        </w:rPr>
        <w:t>及土壤</w:t>
      </w:r>
      <w:r>
        <w:t>防治措施</w:t>
      </w:r>
      <w:r>
        <w:tab/>
      </w:r>
      <w:r>
        <w:fldChar w:fldCharType="begin"/>
      </w:r>
      <w:r>
        <w:instrText xml:space="preserve"> PAGEREF _Toc5851 </w:instrText>
      </w:r>
      <w:r>
        <w:fldChar w:fldCharType="separate"/>
      </w:r>
      <w:r>
        <w:t>102</w:t>
      </w:r>
      <w:r>
        <w:fldChar w:fldCharType="end"/>
      </w:r>
      <w:r>
        <w:rPr>
          <w:szCs w:val="24"/>
        </w:rPr>
        <w:fldChar w:fldCharType="end"/>
      </w:r>
    </w:p>
    <w:p w14:paraId="73414A2F">
      <w:pPr>
        <w:pStyle w:val="36"/>
        <w:tabs>
          <w:tab w:val="right" w:leader="dot" w:pos="8306"/>
        </w:tabs>
      </w:pPr>
      <w:r>
        <w:rPr>
          <w:szCs w:val="24"/>
        </w:rPr>
        <w:fldChar w:fldCharType="begin"/>
      </w:r>
      <w:r>
        <w:rPr>
          <w:szCs w:val="24"/>
        </w:rPr>
        <w:instrText xml:space="preserve"> HYPERLINK \l _Toc14704 </w:instrText>
      </w:r>
      <w:r>
        <w:rPr>
          <w:szCs w:val="24"/>
        </w:rPr>
        <w:fldChar w:fldCharType="separate"/>
      </w:r>
      <w:r>
        <w:rPr>
          <w:rFonts w:hint="eastAsia"/>
          <w:lang w:val="en-US" w:eastAsia="zh-CN"/>
        </w:rPr>
        <w:t>10</w:t>
      </w:r>
      <w:r>
        <w:t>总量控制</w:t>
      </w:r>
      <w:r>
        <w:tab/>
      </w:r>
      <w:r>
        <w:fldChar w:fldCharType="begin"/>
      </w:r>
      <w:r>
        <w:instrText xml:space="preserve"> PAGEREF _Toc14704 </w:instrText>
      </w:r>
      <w:r>
        <w:fldChar w:fldCharType="separate"/>
      </w:r>
      <w:r>
        <w:t>105</w:t>
      </w:r>
      <w:r>
        <w:fldChar w:fldCharType="end"/>
      </w:r>
      <w:r>
        <w:rPr>
          <w:szCs w:val="24"/>
        </w:rPr>
        <w:fldChar w:fldCharType="end"/>
      </w:r>
    </w:p>
    <w:p w14:paraId="27163915">
      <w:pPr>
        <w:pStyle w:val="43"/>
        <w:tabs>
          <w:tab w:val="right" w:leader="dot" w:pos="8306"/>
        </w:tabs>
      </w:pPr>
      <w:r>
        <w:rPr>
          <w:szCs w:val="24"/>
        </w:rPr>
        <w:fldChar w:fldCharType="begin"/>
      </w:r>
      <w:r>
        <w:rPr>
          <w:szCs w:val="24"/>
        </w:rPr>
        <w:instrText xml:space="preserve"> HYPERLINK \l _Toc21446 </w:instrText>
      </w:r>
      <w:r>
        <w:rPr>
          <w:szCs w:val="24"/>
        </w:rPr>
        <w:fldChar w:fldCharType="separate"/>
      </w:r>
      <w:r>
        <w:rPr>
          <w:rFonts w:hint="eastAsia"/>
          <w:lang w:val="en-US" w:eastAsia="zh-CN"/>
        </w:rPr>
        <w:t>10</w:t>
      </w:r>
      <w:r>
        <w:t>.1总量控制</w:t>
      </w:r>
      <w:r>
        <w:rPr>
          <w:rFonts w:hint="eastAsia"/>
          <w:lang w:eastAsia="zh-CN"/>
        </w:rPr>
        <w:t>目的及</w:t>
      </w:r>
      <w:r>
        <w:t>基本原则</w:t>
      </w:r>
      <w:r>
        <w:tab/>
      </w:r>
      <w:r>
        <w:fldChar w:fldCharType="begin"/>
      </w:r>
      <w:r>
        <w:instrText xml:space="preserve"> PAGEREF _Toc21446 </w:instrText>
      </w:r>
      <w:r>
        <w:fldChar w:fldCharType="separate"/>
      </w:r>
      <w:r>
        <w:t>105</w:t>
      </w:r>
      <w:r>
        <w:fldChar w:fldCharType="end"/>
      </w:r>
      <w:r>
        <w:rPr>
          <w:szCs w:val="24"/>
        </w:rPr>
        <w:fldChar w:fldCharType="end"/>
      </w:r>
    </w:p>
    <w:p w14:paraId="5F9F277D">
      <w:pPr>
        <w:pStyle w:val="43"/>
        <w:tabs>
          <w:tab w:val="right" w:leader="dot" w:pos="8306"/>
        </w:tabs>
      </w:pPr>
      <w:r>
        <w:rPr>
          <w:szCs w:val="24"/>
        </w:rPr>
        <w:fldChar w:fldCharType="begin"/>
      </w:r>
      <w:r>
        <w:rPr>
          <w:szCs w:val="24"/>
        </w:rPr>
        <w:instrText xml:space="preserve"> HYPERLINK \l _Toc15473 </w:instrText>
      </w:r>
      <w:r>
        <w:rPr>
          <w:szCs w:val="24"/>
        </w:rPr>
        <w:fldChar w:fldCharType="separate"/>
      </w:r>
      <w:r>
        <w:rPr>
          <w:rFonts w:hint="eastAsia"/>
          <w:lang w:val="en-US" w:eastAsia="zh-CN"/>
        </w:rPr>
        <w:t>10</w:t>
      </w:r>
      <w:r>
        <w:t>.2总量控制因子</w:t>
      </w:r>
      <w:r>
        <w:tab/>
      </w:r>
      <w:r>
        <w:fldChar w:fldCharType="begin"/>
      </w:r>
      <w:r>
        <w:instrText xml:space="preserve"> PAGEREF _Toc15473 </w:instrText>
      </w:r>
      <w:r>
        <w:fldChar w:fldCharType="separate"/>
      </w:r>
      <w:r>
        <w:t>105</w:t>
      </w:r>
      <w:r>
        <w:fldChar w:fldCharType="end"/>
      </w:r>
      <w:r>
        <w:rPr>
          <w:szCs w:val="24"/>
        </w:rPr>
        <w:fldChar w:fldCharType="end"/>
      </w:r>
    </w:p>
    <w:p w14:paraId="4FE63EA2">
      <w:pPr>
        <w:pStyle w:val="43"/>
        <w:tabs>
          <w:tab w:val="right" w:leader="dot" w:pos="8306"/>
        </w:tabs>
      </w:pPr>
      <w:r>
        <w:rPr>
          <w:szCs w:val="24"/>
        </w:rPr>
        <w:fldChar w:fldCharType="begin"/>
      </w:r>
      <w:r>
        <w:rPr>
          <w:szCs w:val="24"/>
        </w:rPr>
        <w:instrText xml:space="preserve"> HYPERLINK \l _Toc24988 </w:instrText>
      </w:r>
      <w:r>
        <w:rPr>
          <w:szCs w:val="24"/>
        </w:rPr>
        <w:fldChar w:fldCharType="separate"/>
      </w:r>
      <w:r>
        <w:rPr>
          <w:rFonts w:hint="eastAsia"/>
          <w:lang w:val="en-US" w:eastAsia="zh-CN"/>
        </w:rPr>
        <w:t>10</w:t>
      </w:r>
      <w:r>
        <w:t>.3总量控制指标</w:t>
      </w:r>
      <w:r>
        <w:tab/>
      </w:r>
      <w:r>
        <w:fldChar w:fldCharType="begin"/>
      </w:r>
      <w:r>
        <w:instrText xml:space="preserve"> PAGEREF _Toc24988 </w:instrText>
      </w:r>
      <w:r>
        <w:fldChar w:fldCharType="separate"/>
      </w:r>
      <w:r>
        <w:t>105</w:t>
      </w:r>
      <w:r>
        <w:fldChar w:fldCharType="end"/>
      </w:r>
      <w:r>
        <w:rPr>
          <w:szCs w:val="24"/>
        </w:rPr>
        <w:fldChar w:fldCharType="end"/>
      </w:r>
    </w:p>
    <w:p w14:paraId="65F3560A">
      <w:pPr>
        <w:pStyle w:val="36"/>
        <w:tabs>
          <w:tab w:val="right" w:leader="dot" w:pos="8306"/>
        </w:tabs>
      </w:pPr>
      <w:r>
        <w:rPr>
          <w:szCs w:val="24"/>
        </w:rPr>
        <w:fldChar w:fldCharType="begin"/>
      </w:r>
      <w:r>
        <w:rPr>
          <w:szCs w:val="24"/>
        </w:rPr>
        <w:instrText xml:space="preserve"> HYPERLINK \l _Toc518 </w:instrText>
      </w:r>
      <w:r>
        <w:rPr>
          <w:szCs w:val="24"/>
        </w:rPr>
        <w:fldChar w:fldCharType="separate"/>
      </w:r>
      <w:r>
        <w:rPr>
          <w:rFonts w:ascii="Times New Roman" w:hAnsi="Times New Roman" w:cs="Times New Roman"/>
        </w:rPr>
        <w:t>1</w:t>
      </w:r>
      <w:r>
        <w:rPr>
          <w:rFonts w:hint="eastAsia" w:ascii="Times New Roman" w:hAnsi="Times New Roman" w:cs="Times New Roman"/>
          <w:lang w:val="en-US" w:eastAsia="zh-CN"/>
        </w:rPr>
        <w:t>1</w:t>
      </w:r>
      <w:r>
        <w:rPr>
          <w:rFonts w:ascii="Times New Roman" w:hAnsi="Times New Roman" w:cs="Times New Roman"/>
        </w:rPr>
        <w:t>环境影响经济损益分析</w:t>
      </w:r>
      <w:r>
        <w:tab/>
      </w:r>
      <w:r>
        <w:fldChar w:fldCharType="begin"/>
      </w:r>
      <w:r>
        <w:instrText xml:space="preserve"> PAGEREF _Toc518 </w:instrText>
      </w:r>
      <w:r>
        <w:fldChar w:fldCharType="separate"/>
      </w:r>
      <w:r>
        <w:t>106</w:t>
      </w:r>
      <w:r>
        <w:fldChar w:fldCharType="end"/>
      </w:r>
      <w:r>
        <w:rPr>
          <w:szCs w:val="24"/>
        </w:rPr>
        <w:fldChar w:fldCharType="end"/>
      </w:r>
    </w:p>
    <w:p w14:paraId="4CC9D263">
      <w:pPr>
        <w:pStyle w:val="43"/>
        <w:tabs>
          <w:tab w:val="right" w:leader="dot" w:pos="8306"/>
        </w:tabs>
      </w:pPr>
      <w:r>
        <w:rPr>
          <w:szCs w:val="24"/>
        </w:rPr>
        <w:fldChar w:fldCharType="begin"/>
      </w:r>
      <w:r>
        <w:rPr>
          <w:szCs w:val="24"/>
        </w:rPr>
        <w:instrText xml:space="preserve"> HYPERLINK \l _Toc10425 </w:instrText>
      </w:r>
      <w:r>
        <w:rPr>
          <w:szCs w:val="24"/>
        </w:rPr>
        <w:fldChar w:fldCharType="separate"/>
      </w:r>
      <w:r>
        <w:t>1</w:t>
      </w:r>
      <w:r>
        <w:rPr>
          <w:rFonts w:hint="eastAsia"/>
          <w:lang w:val="en-US" w:eastAsia="zh-CN"/>
        </w:rPr>
        <w:t>1</w:t>
      </w:r>
      <w:r>
        <w:t>.1概述</w:t>
      </w:r>
      <w:r>
        <w:tab/>
      </w:r>
      <w:r>
        <w:fldChar w:fldCharType="begin"/>
      </w:r>
      <w:r>
        <w:instrText xml:space="preserve"> PAGEREF _Toc10425 </w:instrText>
      </w:r>
      <w:r>
        <w:fldChar w:fldCharType="separate"/>
      </w:r>
      <w:r>
        <w:t>106</w:t>
      </w:r>
      <w:r>
        <w:fldChar w:fldCharType="end"/>
      </w:r>
      <w:r>
        <w:rPr>
          <w:szCs w:val="24"/>
        </w:rPr>
        <w:fldChar w:fldCharType="end"/>
      </w:r>
    </w:p>
    <w:p w14:paraId="11B0F69C">
      <w:pPr>
        <w:pStyle w:val="43"/>
        <w:tabs>
          <w:tab w:val="right" w:leader="dot" w:pos="8306"/>
        </w:tabs>
      </w:pPr>
      <w:r>
        <w:rPr>
          <w:szCs w:val="24"/>
        </w:rPr>
        <w:fldChar w:fldCharType="begin"/>
      </w:r>
      <w:r>
        <w:rPr>
          <w:szCs w:val="24"/>
        </w:rPr>
        <w:instrText xml:space="preserve"> HYPERLINK \l _Toc13754 </w:instrText>
      </w:r>
      <w:r>
        <w:rPr>
          <w:szCs w:val="24"/>
        </w:rPr>
        <w:fldChar w:fldCharType="separate"/>
      </w:r>
      <w:r>
        <w:t>1</w:t>
      </w:r>
      <w:r>
        <w:rPr>
          <w:rFonts w:hint="eastAsia"/>
          <w:lang w:val="en-US" w:eastAsia="zh-CN"/>
        </w:rPr>
        <w:t>1</w:t>
      </w:r>
      <w:r>
        <w:t>.2环保投资</w:t>
      </w:r>
      <w:r>
        <w:tab/>
      </w:r>
      <w:r>
        <w:fldChar w:fldCharType="begin"/>
      </w:r>
      <w:r>
        <w:instrText xml:space="preserve"> PAGEREF _Toc13754 </w:instrText>
      </w:r>
      <w:r>
        <w:fldChar w:fldCharType="separate"/>
      </w:r>
      <w:r>
        <w:t>106</w:t>
      </w:r>
      <w:r>
        <w:fldChar w:fldCharType="end"/>
      </w:r>
      <w:r>
        <w:rPr>
          <w:szCs w:val="24"/>
        </w:rPr>
        <w:fldChar w:fldCharType="end"/>
      </w:r>
    </w:p>
    <w:p w14:paraId="794525E5">
      <w:pPr>
        <w:pStyle w:val="43"/>
        <w:tabs>
          <w:tab w:val="right" w:leader="dot" w:pos="8306"/>
        </w:tabs>
      </w:pPr>
      <w:r>
        <w:rPr>
          <w:szCs w:val="24"/>
        </w:rPr>
        <w:fldChar w:fldCharType="begin"/>
      </w:r>
      <w:r>
        <w:rPr>
          <w:szCs w:val="24"/>
        </w:rPr>
        <w:instrText xml:space="preserve"> HYPERLINK \l _Toc149 </w:instrText>
      </w:r>
      <w:r>
        <w:rPr>
          <w:szCs w:val="24"/>
        </w:rPr>
        <w:fldChar w:fldCharType="separate"/>
      </w:r>
      <w:r>
        <w:t>1</w:t>
      </w:r>
      <w:r>
        <w:rPr>
          <w:rFonts w:hint="eastAsia"/>
          <w:lang w:val="en-US" w:eastAsia="zh-CN"/>
        </w:rPr>
        <w:t>1</w:t>
      </w:r>
      <w:r>
        <w:t>.3经济及社会效益分析</w:t>
      </w:r>
      <w:r>
        <w:tab/>
      </w:r>
      <w:r>
        <w:fldChar w:fldCharType="begin"/>
      </w:r>
      <w:r>
        <w:instrText xml:space="preserve"> PAGEREF _Toc149 </w:instrText>
      </w:r>
      <w:r>
        <w:fldChar w:fldCharType="separate"/>
      </w:r>
      <w:r>
        <w:t>106</w:t>
      </w:r>
      <w:r>
        <w:fldChar w:fldCharType="end"/>
      </w:r>
      <w:r>
        <w:rPr>
          <w:szCs w:val="24"/>
        </w:rPr>
        <w:fldChar w:fldCharType="end"/>
      </w:r>
    </w:p>
    <w:p w14:paraId="0E0A5D9C">
      <w:pPr>
        <w:pStyle w:val="43"/>
        <w:tabs>
          <w:tab w:val="right" w:leader="dot" w:pos="8306"/>
        </w:tabs>
      </w:pPr>
      <w:r>
        <w:rPr>
          <w:szCs w:val="24"/>
        </w:rPr>
        <w:fldChar w:fldCharType="begin"/>
      </w:r>
      <w:r>
        <w:rPr>
          <w:szCs w:val="24"/>
        </w:rPr>
        <w:instrText xml:space="preserve"> HYPERLINK \l _Toc10972 </w:instrText>
      </w:r>
      <w:r>
        <w:rPr>
          <w:szCs w:val="24"/>
        </w:rPr>
        <w:fldChar w:fldCharType="separate"/>
      </w:r>
      <w:r>
        <w:t>1</w:t>
      </w:r>
      <w:r>
        <w:rPr>
          <w:rFonts w:hint="eastAsia"/>
          <w:lang w:val="en-US" w:eastAsia="zh-CN"/>
        </w:rPr>
        <w:t>1</w:t>
      </w:r>
      <w:r>
        <w:t>.4环保效益分析</w:t>
      </w:r>
      <w:r>
        <w:tab/>
      </w:r>
      <w:r>
        <w:fldChar w:fldCharType="begin"/>
      </w:r>
      <w:r>
        <w:instrText xml:space="preserve"> PAGEREF _Toc10972 </w:instrText>
      </w:r>
      <w:r>
        <w:fldChar w:fldCharType="separate"/>
      </w:r>
      <w:r>
        <w:t>106</w:t>
      </w:r>
      <w:r>
        <w:fldChar w:fldCharType="end"/>
      </w:r>
      <w:r>
        <w:rPr>
          <w:szCs w:val="24"/>
        </w:rPr>
        <w:fldChar w:fldCharType="end"/>
      </w:r>
    </w:p>
    <w:p w14:paraId="76CF61AF">
      <w:pPr>
        <w:pStyle w:val="43"/>
        <w:tabs>
          <w:tab w:val="right" w:leader="dot" w:pos="8306"/>
        </w:tabs>
      </w:pPr>
      <w:r>
        <w:rPr>
          <w:szCs w:val="24"/>
        </w:rPr>
        <w:fldChar w:fldCharType="begin"/>
      </w:r>
      <w:r>
        <w:rPr>
          <w:szCs w:val="24"/>
        </w:rPr>
        <w:instrText xml:space="preserve"> HYPERLINK \l _Toc10800 </w:instrText>
      </w:r>
      <w:r>
        <w:rPr>
          <w:szCs w:val="24"/>
        </w:rPr>
        <w:fldChar w:fldCharType="separate"/>
      </w:r>
      <w:r>
        <w:t>1</w:t>
      </w:r>
      <w:r>
        <w:rPr>
          <w:rFonts w:hint="eastAsia"/>
          <w:lang w:val="en-US" w:eastAsia="zh-CN"/>
        </w:rPr>
        <w:t>1</w:t>
      </w:r>
      <w:r>
        <w:t>.5小结</w:t>
      </w:r>
      <w:r>
        <w:tab/>
      </w:r>
      <w:r>
        <w:fldChar w:fldCharType="begin"/>
      </w:r>
      <w:r>
        <w:instrText xml:space="preserve"> PAGEREF _Toc10800 </w:instrText>
      </w:r>
      <w:r>
        <w:fldChar w:fldCharType="separate"/>
      </w:r>
      <w:r>
        <w:t>107</w:t>
      </w:r>
      <w:r>
        <w:fldChar w:fldCharType="end"/>
      </w:r>
      <w:r>
        <w:rPr>
          <w:szCs w:val="24"/>
        </w:rPr>
        <w:fldChar w:fldCharType="end"/>
      </w:r>
    </w:p>
    <w:p w14:paraId="03BA0758">
      <w:pPr>
        <w:pStyle w:val="36"/>
        <w:tabs>
          <w:tab w:val="right" w:leader="dot" w:pos="8306"/>
        </w:tabs>
      </w:pPr>
      <w:r>
        <w:rPr>
          <w:szCs w:val="24"/>
        </w:rPr>
        <w:fldChar w:fldCharType="begin"/>
      </w:r>
      <w:r>
        <w:rPr>
          <w:szCs w:val="24"/>
        </w:rPr>
        <w:instrText xml:space="preserve"> HYPERLINK \l _Toc5546 </w:instrText>
      </w:r>
      <w:r>
        <w:rPr>
          <w:szCs w:val="24"/>
        </w:rPr>
        <w:fldChar w:fldCharType="separate"/>
      </w:r>
      <w:r>
        <w:t>1</w:t>
      </w:r>
      <w:r>
        <w:rPr>
          <w:rFonts w:hint="eastAsia"/>
          <w:lang w:val="en-US" w:eastAsia="zh-CN"/>
        </w:rPr>
        <w:t>2</w:t>
      </w:r>
      <w:r>
        <w:t>环境管理及监测计划</w:t>
      </w:r>
      <w:r>
        <w:tab/>
      </w:r>
      <w:r>
        <w:fldChar w:fldCharType="begin"/>
      </w:r>
      <w:r>
        <w:instrText xml:space="preserve"> PAGEREF _Toc5546 </w:instrText>
      </w:r>
      <w:r>
        <w:fldChar w:fldCharType="separate"/>
      </w:r>
      <w:r>
        <w:t>108</w:t>
      </w:r>
      <w:r>
        <w:fldChar w:fldCharType="end"/>
      </w:r>
      <w:r>
        <w:rPr>
          <w:szCs w:val="24"/>
        </w:rPr>
        <w:fldChar w:fldCharType="end"/>
      </w:r>
    </w:p>
    <w:p w14:paraId="25A2D5C3">
      <w:pPr>
        <w:pStyle w:val="43"/>
        <w:tabs>
          <w:tab w:val="right" w:leader="dot" w:pos="8306"/>
        </w:tabs>
      </w:pPr>
      <w:r>
        <w:rPr>
          <w:szCs w:val="24"/>
        </w:rPr>
        <w:fldChar w:fldCharType="begin"/>
      </w:r>
      <w:r>
        <w:rPr>
          <w:szCs w:val="24"/>
        </w:rPr>
        <w:instrText xml:space="preserve"> HYPERLINK \l _Toc11015 </w:instrText>
      </w:r>
      <w:r>
        <w:rPr>
          <w:szCs w:val="24"/>
        </w:rPr>
        <w:fldChar w:fldCharType="separate"/>
      </w:r>
      <w:r>
        <w:t>1</w:t>
      </w:r>
      <w:r>
        <w:rPr>
          <w:rFonts w:hint="eastAsia"/>
          <w:lang w:val="en-US" w:eastAsia="zh-CN"/>
        </w:rPr>
        <w:t>2</w:t>
      </w:r>
      <w:r>
        <w:t>.1环境管理</w:t>
      </w:r>
      <w:r>
        <w:tab/>
      </w:r>
      <w:r>
        <w:fldChar w:fldCharType="begin"/>
      </w:r>
      <w:r>
        <w:instrText xml:space="preserve"> PAGEREF _Toc11015 </w:instrText>
      </w:r>
      <w:r>
        <w:fldChar w:fldCharType="separate"/>
      </w:r>
      <w:r>
        <w:t>108</w:t>
      </w:r>
      <w:r>
        <w:fldChar w:fldCharType="end"/>
      </w:r>
      <w:r>
        <w:rPr>
          <w:szCs w:val="24"/>
        </w:rPr>
        <w:fldChar w:fldCharType="end"/>
      </w:r>
    </w:p>
    <w:p w14:paraId="00A3DDDA">
      <w:pPr>
        <w:pStyle w:val="43"/>
        <w:tabs>
          <w:tab w:val="right" w:leader="dot" w:pos="8306"/>
        </w:tabs>
      </w:pPr>
      <w:r>
        <w:rPr>
          <w:szCs w:val="24"/>
        </w:rPr>
        <w:fldChar w:fldCharType="begin"/>
      </w:r>
      <w:r>
        <w:rPr>
          <w:szCs w:val="24"/>
        </w:rPr>
        <w:instrText xml:space="preserve"> HYPERLINK \l _Toc26371 </w:instrText>
      </w:r>
      <w:r>
        <w:rPr>
          <w:szCs w:val="24"/>
        </w:rPr>
        <w:fldChar w:fldCharType="separate"/>
      </w:r>
      <w:r>
        <w:t>1</w:t>
      </w:r>
      <w:r>
        <w:rPr>
          <w:rFonts w:hint="eastAsia"/>
          <w:lang w:val="en-US" w:eastAsia="zh-CN"/>
        </w:rPr>
        <w:t>2</w:t>
      </w:r>
      <w:r>
        <w:t>.2环境监测计划</w:t>
      </w:r>
      <w:r>
        <w:tab/>
      </w:r>
      <w:r>
        <w:fldChar w:fldCharType="begin"/>
      </w:r>
      <w:r>
        <w:instrText xml:space="preserve"> PAGEREF _Toc26371 </w:instrText>
      </w:r>
      <w:r>
        <w:fldChar w:fldCharType="separate"/>
      </w:r>
      <w:r>
        <w:t>109</w:t>
      </w:r>
      <w:r>
        <w:fldChar w:fldCharType="end"/>
      </w:r>
      <w:r>
        <w:rPr>
          <w:szCs w:val="24"/>
        </w:rPr>
        <w:fldChar w:fldCharType="end"/>
      </w:r>
    </w:p>
    <w:p w14:paraId="0BCFA7D4">
      <w:pPr>
        <w:pStyle w:val="43"/>
        <w:tabs>
          <w:tab w:val="right" w:leader="dot" w:pos="8306"/>
        </w:tabs>
      </w:pPr>
      <w:r>
        <w:rPr>
          <w:szCs w:val="24"/>
        </w:rPr>
        <w:fldChar w:fldCharType="begin"/>
      </w:r>
      <w:r>
        <w:rPr>
          <w:szCs w:val="24"/>
        </w:rPr>
        <w:instrText xml:space="preserve"> HYPERLINK \l _Toc29834 </w:instrText>
      </w:r>
      <w:r>
        <w:rPr>
          <w:szCs w:val="24"/>
        </w:rPr>
        <w:fldChar w:fldCharType="separate"/>
      </w:r>
      <w:r>
        <w:t>1</w:t>
      </w:r>
      <w:r>
        <w:rPr>
          <w:rFonts w:hint="eastAsia"/>
          <w:lang w:val="en-US" w:eastAsia="zh-CN"/>
        </w:rPr>
        <w:t>2</w:t>
      </w:r>
      <w:r>
        <w:t>.3排污口规范化设置</w:t>
      </w:r>
      <w:r>
        <w:tab/>
      </w:r>
      <w:r>
        <w:fldChar w:fldCharType="begin"/>
      </w:r>
      <w:r>
        <w:instrText xml:space="preserve"> PAGEREF _Toc29834 </w:instrText>
      </w:r>
      <w:r>
        <w:fldChar w:fldCharType="separate"/>
      </w:r>
      <w:r>
        <w:t>110</w:t>
      </w:r>
      <w:r>
        <w:fldChar w:fldCharType="end"/>
      </w:r>
      <w:r>
        <w:rPr>
          <w:szCs w:val="24"/>
        </w:rPr>
        <w:fldChar w:fldCharType="end"/>
      </w:r>
    </w:p>
    <w:p w14:paraId="40DD9912">
      <w:pPr>
        <w:pStyle w:val="43"/>
        <w:tabs>
          <w:tab w:val="right" w:leader="dot" w:pos="8306"/>
        </w:tabs>
      </w:pPr>
      <w:r>
        <w:rPr>
          <w:szCs w:val="24"/>
        </w:rPr>
        <w:fldChar w:fldCharType="begin"/>
      </w:r>
      <w:r>
        <w:rPr>
          <w:szCs w:val="24"/>
        </w:rPr>
        <w:instrText xml:space="preserve"> HYPERLINK \l _Toc9842 </w:instrText>
      </w:r>
      <w:r>
        <w:rPr>
          <w:szCs w:val="24"/>
        </w:rPr>
        <w:fldChar w:fldCharType="separate"/>
      </w:r>
      <w:r>
        <w:t>1</w:t>
      </w:r>
      <w:r>
        <w:rPr>
          <w:rFonts w:hint="eastAsia"/>
          <w:lang w:val="en-US" w:eastAsia="zh-CN"/>
        </w:rPr>
        <w:t>2</w:t>
      </w:r>
      <w:r>
        <w:t>.4“三同时”验收一览表</w:t>
      </w:r>
      <w:r>
        <w:tab/>
      </w:r>
      <w:r>
        <w:fldChar w:fldCharType="begin"/>
      </w:r>
      <w:r>
        <w:instrText xml:space="preserve"> PAGEREF _Toc9842 </w:instrText>
      </w:r>
      <w:r>
        <w:fldChar w:fldCharType="separate"/>
      </w:r>
      <w:r>
        <w:t>111</w:t>
      </w:r>
      <w:r>
        <w:fldChar w:fldCharType="end"/>
      </w:r>
      <w:r>
        <w:rPr>
          <w:szCs w:val="24"/>
        </w:rPr>
        <w:fldChar w:fldCharType="end"/>
      </w:r>
    </w:p>
    <w:p w14:paraId="14F1103B">
      <w:pPr>
        <w:pStyle w:val="43"/>
        <w:tabs>
          <w:tab w:val="right" w:leader="dot" w:pos="8306"/>
        </w:tabs>
      </w:pPr>
      <w:r>
        <w:rPr>
          <w:szCs w:val="24"/>
        </w:rPr>
        <w:fldChar w:fldCharType="begin"/>
      </w:r>
      <w:r>
        <w:rPr>
          <w:szCs w:val="24"/>
        </w:rPr>
        <w:instrText xml:space="preserve"> HYPERLINK \l _Toc25709 </w:instrText>
      </w:r>
      <w:r>
        <w:rPr>
          <w:szCs w:val="24"/>
        </w:rPr>
        <w:fldChar w:fldCharType="separate"/>
      </w:r>
      <w:r>
        <w:rPr>
          <w:rFonts w:hint="eastAsia"/>
          <w:lang w:val="en-US" w:eastAsia="zh-CN"/>
        </w:rPr>
        <w:t>12.5污染物排放清单</w:t>
      </w:r>
      <w:r>
        <w:tab/>
      </w:r>
      <w:r>
        <w:fldChar w:fldCharType="begin"/>
      </w:r>
      <w:r>
        <w:instrText xml:space="preserve"> PAGEREF _Toc25709 </w:instrText>
      </w:r>
      <w:r>
        <w:fldChar w:fldCharType="separate"/>
      </w:r>
      <w:r>
        <w:t>111</w:t>
      </w:r>
      <w:r>
        <w:fldChar w:fldCharType="end"/>
      </w:r>
      <w:r>
        <w:rPr>
          <w:szCs w:val="24"/>
        </w:rPr>
        <w:fldChar w:fldCharType="end"/>
      </w:r>
    </w:p>
    <w:p w14:paraId="0E3FE24A">
      <w:pPr>
        <w:pStyle w:val="36"/>
        <w:tabs>
          <w:tab w:val="right" w:leader="dot" w:pos="8306"/>
        </w:tabs>
      </w:pPr>
      <w:r>
        <w:rPr>
          <w:szCs w:val="24"/>
        </w:rPr>
        <w:fldChar w:fldCharType="begin"/>
      </w:r>
      <w:r>
        <w:rPr>
          <w:szCs w:val="24"/>
        </w:rPr>
        <w:instrText xml:space="preserve"> HYPERLINK \l _Toc17877 </w:instrText>
      </w:r>
      <w:r>
        <w:rPr>
          <w:szCs w:val="24"/>
        </w:rPr>
        <w:fldChar w:fldCharType="separate"/>
      </w:r>
      <w:r>
        <w:rPr>
          <w:rFonts w:ascii="Times New Roman" w:hAnsi="Times New Roman" w:cs="Times New Roman"/>
        </w:rPr>
        <w:t>1</w:t>
      </w:r>
      <w:r>
        <w:rPr>
          <w:rFonts w:hint="eastAsia" w:ascii="Times New Roman" w:hAnsi="Times New Roman" w:cs="Times New Roman"/>
          <w:lang w:val="en-US" w:eastAsia="zh-CN"/>
        </w:rPr>
        <w:t>3</w:t>
      </w:r>
      <w:r>
        <w:rPr>
          <w:rFonts w:ascii="Times New Roman" w:hAnsi="Times New Roman" w:cs="Times New Roman"/>
        </w:rPr>
        <w:t>政策规划相容性分析</w:t>
      </w:r>
      <w:r>
        <w:tab/>
      </w:r>
      <w:r>
        <w:fldChar w:fldCharType="begin"/>
      </w:r>
      <w:r>
        <w:instrText xml:space="preserve"> PAGEREF _Toc17877 </w:instrText>
      </w:r>
      <w:r>
        <w:fldChar w:fldCharType="separate"/>
      </w:r>
      <w:r>
        <w:t>114</w:t>
      </w:r>
      <w:r>
        <w:fldChar w:fldCharType="end"/>
      </w:r>
      <w:r>
        <w:rPr>
          <w:szCs w:val="24"/>
        </w:rPr>
        <w:fldChar w:fldCharType="end"/>
      </w:r>
    </w:p>
    <w:p w14:paraId="293EBB7B">
      <w:pPr>
        <w:pStyle w:val="43"/>
        <w:tabs>
          <w:tab w:val="right" w:leader="dot" w:pos="8306"/>
        </w:tabs>
      </w:pPr>
      <w:r>
        <w:rPr>
          <w:szCs w:val="24"/>
        </w:rPr>
        <w:fldChar w:fldCharType="begin"/>
      </w:r>
      <w:r>
        <w:rPr>
          <w:szCs w:val="24"/>
        </w:rPr>
        <w:instrText xml:space="preserve"> HYPERLINK \l _Toc19525 </w:instrText>
      </w:r>
      <w:r>
        <w:rPr>
          <w:szCs w:val="24"/>
        </w:rPr>
        <w:fldChar w:fldCharType="separate"/>
      </w:r>
      <w:r>
        <w:t>1</w:t>
      </w:r>
      <w:r>
        <w:rPr>
          <w:rFonts w:hint="eastAsia"/>
          <w:lang w:val="en-US" w:eastAsia="zh-CN"/>
        </w:rPr>
        <w:t>3</w:t>
      </w:r>
      <w:r>
        <w:t>.1产业政策符合性分析</w:t>
      </w:r>
      <w:r>
        <w:tab/>
      </w:r>
      <w:r>
        <w:fldChar w:fldCharType="begin"/>
      </w:r>
      <w:r>
        <w:instrText xml:space="preserve"> PAGEREF _Toc19525 </w:instrText>
      </w:r>
      <w:r>
        <w:fldChar w:fldCharType="separate"/>
      </w:r>
      <w:r>
        <w:t>114</w:t>
      </w:r>
      <w:r>
        <w:fldChar w:fldCharType="end"/>
      </w:r>
      <w:r>
        <w:rPr>
          <w:szCs w:val="24"/>
        </w:rPr>
        <w:fldChar w:fldCharType="end"/>
      </w:r>
    </w:p>
    <w:p w14:paraId="13BB1074">
      <w:pPr>
        <w:pStyle w:val="43"/>
        <w:tabs>
          <w:tab w:val="right" w:leader="dot" w:pos="8306"/>
        </w:tabs>
      </w:pPr>
      <w:r>
        <w:rPr>
          <w:szCs w:val="24"/>
        </w:rPr>
        <w:fldChar w:fldCharType="begin"/>
      </w:r>
      <w:r>
        <w:rPr>
          <w:szCs w:val="24"/>
        </w:rPr>
        <w:instrText xml:space="preserve"> HYPERLINK \l _Toc745 </w:instrText>
      </w:r>
      <w:r>
        <w:rPr>
          <w:szCs w:val="24"/>
        </w:rPr>
        <w:fldChar w:fldCharType="separate"/>
      </w:r>
      <w:r>
        <w:t>1</w:t>
      </w:r>
      <w:r>
        <w:rPr>
          <w:rFonts w:hint="eastAsia"/>
          <w:lang w:val="en-US" w:eastAsia="zh-CN"/>
        </w:rPr>
        <w:t>3</w:t>
      </w:r>
      <w:r>
        <w:t>.</w:t>
      </w:r>
      <w:r>
        <w:rPr>
          <w:rFonts w:hint="eastAsia"/>
          <w:lang w:val="en-US" w:eastAsia="zh-CN"/>
        </w:rPr>
        <w:t>2</w:t>
      </w:r>
      <w:r>
        <w:t>“三线一单”符合性分析</w:t>
      </w:r>
      <w:r>
        <w:tab/>
      </w:r>
      <w:r>
        <w:fldChar w:fldCharType="begin"/>
      </w:r>
      <w:r>
        <w:instrText xml:space="preserve"> PAGEREF _Toc745 </w:instrText>
      </w:r>
      <w:r>
        <w:fldChar w:fldCharType="separate"/>
      </w:r>
      <w:r>
        <w:t>114</w:t>
      </w:r>
      <w:r>
        <w:fldChar w:fldCharType="end"/>
      </w:r>
      <w:r>
        <w:rPr>
          <w:szCs w:val="24"/>
        </w:rPr>
        <w:fldChar w:fldCharType="end"/>
      </w:r>
    </w:p>
    <w:p w14:paraId="2DE4D67B">
      <w:pPr>
        <w:pStyle w:val="43"/>
        <w:tabs>
          <w:tab w:val="right" w:leader="dot" w:pos="8306"/>
        </w:tabs>
      </w:pPr>
      <w:r>
        <w:rPr>
          <w:szCs w:val="24"/>
        </w:rPr>
        <w:fldChar w:fldCharType="begin"/>
      </w:r>
      <w:r>
        <w:rPr>
          <w:szCs w:val="24"/>
        </w:rPr>
        <w:instrText xml:space="preserve"> HYPERLINK \l _Toc25427 </w:instrText>
      </w:r>
      <w:r>
        <w:rPr>
          <w:szCs w:val="24"/>
        </w:rPr>
        <w:fldChar w:fldCharType="separate"/>
      </w:r>
      <w:r>
        <w:t>1</w:t>
      </w:r>
      <w:r>
        <w:rPr>
          <w:rFonts w:hint="eastAsia"/>
          <w:lang w:val="en-US" w:eastAsia="zh-CN"/>
        </w:rPr>
        <w:t>3</w:t>
      </w:r>
      <w:r>
        <w:t>.</w:t>
      </w:r>
      <w:r>
        <w:rPr>
          <w:rFonts w:hint="eastAsia"/>
          <w:lang w:val="en-US" w:eastAsia="zh-CN"/>
        </w:rPr>
        <w:t>3项目建设与《电镀行业规范条件》相符性分析</w:t>
      </w:r>
      <w:r>
        <w:tab/>
      </w:r>
      <w:r>
        <w:fldChar w:fldCharType="begin"/>
      </w:r>
      <w:r>
        <w:instrText xml:space="preserve"> PAGEREF _Toc25427 </w:instrText>
      </w:r>
      <w:r>
        <w:fldChar w:fldCharType="separate"/>
      </w:r>
      <w:r>
        <w:t>115</w:t>
      </w:r>
      <w:r>
        <w:fldChar w:fldCharType="end"/>
      </w:r>
      <w:r>
        <w:rPr>
          <w:szCs w:val="24"/>
        </w:rPr>
        <w:fldChar w:fldCharType="end"/>
      </w:r>
    </w:p>
    <w:p w14:paraId="49C2739E">
      <w:pPr>
        <w:pStyle w:val="43"/>
        <w:tabs>
          <w:tab w:val="right" w:leader="dot" w:pos="8306"/>
        </w:tabs>
      </w:pPr>
      <w:r>
        <w:rPr>
          <w:szCs w:val="24"/>
        </w:rPr>
        <w:fldChar w:fldCharType="begin"/>
      </w:r>
      <w:r>
        <w:rPr>
          <w:szCs w:val="24"/>
        </w:rPr>
        <w:instrText xml:space="preserve"> HYPERLINK \l _Toc20095 </w:instrText>
      </w:r>
      <w:r>
        <w:rPr>
          <w:szCs w:val="24"/>
        </w:rPr>
        <w:fldChar w:fldCharType="separate"/>
      </w:r>
      <w:r>
        <w:t>1</w:t>
      </w:r>
      <w:r>
        <w:rPr>
          <w:rFonts w:hint="eastAsia"/>
          <w:lang w:val="en-US" w:eastAsia="zh-CN"/>
        </w:rPr>
        <w:t>3</w:t>
      </w:r>
      <w:r>
        <w:t>.</w:t>
      </w:r>
      <w:r>
        <w:rPr>
          <w:rFonts w:hint="eastAsia"/>
          <w:lang w:val="en-US" w:eastAsia="zh-CN"/>
        </w:rPr>
        <w:t>4</w:t>
      </w:r>
      <w:r>
        <w:rPr>
          <w:rFonts w:hint="eastAsia"/>
          <w:lang w:eastAsia="zh-CN"/>
        </w:rPr>
        <w:t>环境可行</w:t>
      </w:r>
      <w:r>
        <w:t>性分析</w:t>
      </w:r>
      <w:r>
        <w:tab/>
      </w:r>
      <w:r>
        <w:fldChar w:fldCharType="begin"/>
      </w:r>
      <w:r>
        <w:instrText xml:space="preserve"> PAGEREF _Toc20095 </w:instrText>
      </w:r>
      <w:r>
        <w:fldChar w:fldCharType="separate"/>
      </w:r>
      <w:r>
        <w:t>116</w:t>
      </w:r>
      <w:r>
        <w:fldChar w:fldCharType="end"/>
      </w:r>
      <w:r>
        <w:rPr>
          <w:szCs w:val="24"/>
        </w:rPr>
        <w:fldChar w:fldCharType="end"/>
      </w:r>
    </w:p>
    <w:p w14:paraId="10F6FE24">
      <w:pPr>
        <w:pStyle w:val="43"/>
        <w:tabs>
          <w:tab w:val="right" w:leader="dot" w:pos="8306"/>
        </w:tabs>
      </w:pPr>
      <w:r>
        <w:rPr>
          <w:szCs w:val="24"/>
        </w:rPr>
        <w:fldChar w:fldCharType="begin"/>
      </w:r>
      <w:r>
        <w:rPr>
          <w:szCs w:val="24"/>
        </w:rPr>
        <w:instrText xml:space="preserve"> HYPERLINK \l _Toc23408 </w:instrText>
      </w:r>
      <w:r>
        <w:rPr>
          <w:szCs w:val="24"/>
        </w:rPr>
        <w:fldChar w:fldCharType="separate"/>
      </w:r>
      <w:r>
        <w:rPr>
          <w:rFonts w:hint="eastAsia"/>
          <w:lang w:val="en-US" w:eastAsia="zh-CN"/>
        </w:rPr>
        <w:t>13.5园区准入条件相符性分析</w:t>
      </w:r>
      <w:r>
        <w:tab/>
      </w:r>
      <w:r>
        <w:fldChar w:fldCharType="begin"/>
      </w:r>
      <w:r>
        <w:instrText xml:space="preserve"> PAGEREF _Toc23408 </w:instrText>
      </w:r>
      <w:r>
        <w:fldChar w:fldCharType="separate"/>
      </w:r>
      <w:r>
        <w:t>116</w:t>
      </w:r>
      <w:r>
        <w:fldChar w:fldCharType="end"/>
      </w:r>
      <w:r>
        <w:rPr>
          <w:szCs w:val="24"/>
        </w:rPr>
        <w:fldChar w:fldCharType="end"/>
      </w:r>
    </w:p>
    <w:p w14:paraId="0FD2B657">
      <w:pPr>
        <w:pStyle w:val="36"/>
        <w:tabs>
          <w:tab w:val="right" w:leader="dot" w:pos="8306"/>
        </w:tabs>
      </w:pPr>
      <w:r>
        <w:rPr>
          <w:szCs w:val="24"/>
        </w:rPr>
        <w:fldChar w:fldCharType="begin"/>
      </w:r>
      <w:r>
        <w:rPr>
          <w:szCs w:val="24"/>
        </w:rPr>
        <w:instrText xml:space="preserve"> HYPERLINK \l _Toc11823 </w:instrText>
      </w:r>
      <w:r>
        <w:rPr>
          <w:szCs w:val="24"/>
        </w:rPr>
        <w:fldChar w:fldCharType="separate"/>
      </w:r>
      <w:r>
        <w:t>1</w:t>
      </w:r>
      <w:r>
        <w:rPr>
          <w:rFonts w:hint="eastAsia"/>
          <w:lang w:val="en-US" w:eastAsia="zh-CN"/>
        </w:rPr>
        <w:t>4</w:t>
      </w:r>
      <w:r>
        <w:t>结论</w:t>
      </w:r>
      <w:r>
        <w:tab/>
      </w:r>
      <w:r>
        <w:fldChar w:fldCharType="begin"/>
      </w:r>
      <w:r>
        <w:instrText xml:space="preserve"> PAGEREF _Toc11823 </w:instrText>
      </w:r>
      <w:r>
        <w:fldChar w:fldCharType="separate"/>
      </w:r>
      <w:r>
        <w:t>117</w:t>
      </w:r>
      <w:r>
        <w:fldChar w:fldCharType="end"/>
      </w:r>
      <w:r>
        <w:rPr>
          <w:szCs w:val="24"/>
        </w:rPr>
        <w:fldChar w:fldCharType="end"/>
      </w:r>
    </w:p>
    <w:p w14:paraId="2A2024B3">
      <w:pPr>
        <w:pStyle w:val="43"/>
        <w:tabs>
          <w:tab w:val="right" w:leader="dot" w:pos="8306"/>
        </w:tabs>
      </w:pPr>
      <w:r>
        <w:rPr>
          <w:szCs w:val="24"/>
        </w:rPr>
        <w:fldChar w:fldCharType="begin"/>
      </w:r>
      <w:r>
        <w:rPr>
          <w:szCs w:val="24"/>
        </w:rPr>
        <w:instrText xml:space="preserve"> HYPERLINK \l _Toc23147 </w:instrText>
      </w:r>
      <w:r>
        <w:rPr>
          <w:szCs w:val="24"/>
        </w:rPr>
        <w:fldChar w:fldCharType="separate"/>
      </w:r>
      <w:r>
        <w:t>1</w:t>
      </w:r>
      <w:r>
        <w:rPr>
          <w:rFonts w:hint="eastAsia"/>
          <w:lang w:val="en-US" w:eastAsia="zh-CN"/>
        </w:rPr>
        <w:t>4</w:t>
      </w:r>
      <w:r>
        <w:t>.1工程概述</w:t>
      </w:r>
      <w:r>
        <w:tab/>
      </w:r>
      <w:r>
        <w:fldChar w:fldCharType="begin"/>
      </w:r>
      <w:r>
        <w:instrText xml:space="preserve"> PAGEREF _Toc23147 </w:instrText>
      </w:r>
      <w:r>
        <w:fldChar w:fldCharType="separate"/>
      </w:r>
      <w:r>
        <w:t>117</w:t>
      </w:r>
      <w:r>
        <w:fldChar w:fldCharType="end"/>
      </w:r>
      <w:r>
        <w:rPr>
          <w:szCs w:val="24"/>
        </w:rPr>
        <w:fldChar w:fldCharType="end"/>
      </w:r>
    </w:p>
    <w:p w14:paraId="21E36419">
      <w:pPr>
        <w:pStyle w:val="43"/>
        <w:tabs>
          <w:tab w:val="right" w:leader="dot" w:pos="8306"/>
        </w:tabs>
      </w:pPr>
      <w:r>
        <w:rPr>
          <w:szCs w:val="24"/>
        </w:rPr>
        <w:fldChar w:fldCharType="begin"/>
      </w:r>
      <w:r>
        <w:rPr>
          <w:szCs w:val="24"/>
        </w:rPr>
        <w:instrText xml:space="preserve"> HYPERLINK \l _Toc29885 </w:instrText>
      </w:r>
      <w:r>
        <w:rPr>
          <w:szCs w:val="24"/>
        </w:rPr>
        <w:fldChar w:fldCharType="separate"/>
      </w:r>
      <w:r>
        <w:t>1</w:t>
      </w:r>
      <w:r>
        <w:rPr>
          <w:rFonts w:hint="eastAsia"/>
          <w:lang w:val="en-US" w:eastAsia="zh-CN"/>
        </w:rPr>
        <w:t>4</w:t>
      </w:r>
      <w:r>
        <w:t>.2产业政策相符性</w:t>
      </w:r>
      <w:r>
        <w:tab/>
      </w:r>
      <w:r>
        <w:fldChar w:fldCharType="begin"/>
      </w:r>
      <w:r>
        <w:instrText xml:space="preserve"> PAGEREF _Toc29885 </w:instrText>
      </w:r>
      <w:r>
        <w:fldChar w:fldCharType="separate"/>
      </w:r>
      <w:r>
        <w:t>117</w:t>
      </w:r>
      <w:r>
        <w:fldChar w:fldCharType="end"/>
      </w:r>
      <w:r>
        <w:rPr>
          <w:szCs w:val="24"/>
        </w:rPr>
        <w:fldChar w:fldCharType="end"/>
      </w:r>
    </w:p>
    <w:p w14:paraId="20EB1D90">
      <w:pPr>
        <w:pStyle w:val="43"/>
        <w:tabs>
          <w:tab w:val="right" w:leader="dot" w:pos="8306"/>
        </w:tabs>
      </w:pPr>
      <w:r>
        <w:rPr>
          <w:szCs w:val="24"/>
        </w:rPr>
        <w:fldChar w:fldCharType="begin"/>
      </w:r>
      <w:r>
        <w:rPr>
          <w:szCs w:val="24"/>
        </w:rPr>
        <w:instrText xml:space="preserve"> HYPERLINK \l _Toc25443 </w:instrText>
      </w:r>
      <w:r>
        <w:rPr>
          <w:szCs w:val="24"/>
        </w:rPr>
        <w:fldChar w:fldCharType="separate"/>
      </w:r>
      <w:r>
        <w:t>1</w:t>
      </w:r>
      <w:r>
        <w:rPr>
          <w:rFonts w:hint="eastAsia"/>
          <w:lang w:val="en-US" w:eastAsia="zh-CN"/>
        </w:rPr>
        <w:t>4</w:t>
      </w:r>
      <w:r>
        <w:t>.3环境质量现状</w:t>
      </w:r>
      <w:r>
        <w:tab/>
      </w:r>
      <w:r>
        <w:fldChar w:fldCharType="begin"/>
      </w:r>
      <w:r>
        <w:instrText xml:space="preserve"> PAGEREF _Toc25443 </w:instrText>
      </w:r>
      <w:r>
        <w:fldChar w:fldCharType="separate"/>
      </w:r>
      <w:r>
        <w:t>117</w:t>
      </w:r>
      <w:r>
        <w:fldChar w:fldCharType="end"/>
      </w:r>
      <w:r>
        <w:rPr>
          <w:szCs w:val="24"/>
        </w:rPr>
        <w:fldChar w:fldCharType="end"/>
      </w:r>
    </w:p>
    <w:p w14:paraId="228802FF">
      <w:pPr>
        <w:pStyle w:val="43"/>
        <w:tabs>
          <w:tab w:val="right" w:leader="dot" w:pos="8306"/>
        </w:tabs>
      </w:pPr>
      <w:r>
        <w:rPr>
          <w:szCs w:val="24"/>
        </w:rPr>
        <w:fldChar w:fldCharType="begin"/>
      </w:r>
      <w:r>
        <w:rPr>
          <w:szCs w:val="24"/>
        </w:rPr>
        <w:instrText xml:space="preserve"> HYPERLINK \l _Toc20112 </w:instrText>
      </w:r>
      <w:r>
        <w:rPr>
          <w:szCs w:val="24"/>
        </w:rPr>
        <w:fldChar w:fldCharType="separate"/>
      </w:r>
      <w:r>
        <w:t>1</w:t>
      </w:r>
      <w:r>
        <w:rPr>
          <w:rFonts w:hint="eastAsia"/>
          <w:lang w:val="en-US" w:eastAsia="zh-CN"/>
        </w:rPr>
        <w:t>4</w:t>
      </w:r>
      <w:r>
        <w:t>.4营运期环境影响及措施</w:t>
      </w:r>
      <w:r>
        <w:tab/>
      </w:r>
      <w:r>
        <w:fldChar w:fldCharType="begin"/>
      </w:r>
      <w:r>
        <w:instrText xml:space="preserve"> PAGEREF _Toc20112 </w:instrText>
      </w:r>
      <w:r>
        <w:fldChar w:fldCharType="separate"/>
      </w:r>
      <w:r>
        <w:t>118</w:t>
      </w:r>
      <w:r>
        <w:fldChar w:fldCharType="end"/>
      </w:r>
      <w:r>
        <w:rPr>
          <w:szCs w:val="24"/>
        </w:rPr>
        <w:fldChar w:fldCharType="end"/>
      </w:r>
    </w:p>
    <w:p w14:paraId="456E70A3">
      <w:pPr>
        <w:pStyle w:val="43"/>
        <w:tabs>
          <w:tab w:val="right" w:leader="dot" w:pos="8306"/>
        </w:tabs>
      </w:pPr>
      <w:r>
        <w:rPr>
          <w:szCs w:val="24"/>
        </w:rPr>
        <w:fldChar w:fldCharType="begin"/>
      </w:r>
      <w:r>
        <w:rPr>
          <w:szCs w:val="24"/>
        </w:rPr>
        <w:instrText xml:space="preserve"> HYPERLINK \l _Toc22494 </w:instrText>
      </w:r>
      <w:r>
        <w:rPr>
          <w:szCs w:val="24"/>
        </w:rPr>
        <w:fldChar w:fldCharType="separate"/>
      </w:r>
      <w:r>
        <w:t>1</w:t>
      </w:r>
      <w:r>
        <w:rPr>
          <w:rFonts w:hint="eastAsia"/>
          <w:lang w:val="en-US" w:eastAsia="zh-CN"/>
        </w:rPr>
        <w:t>4</w:t>
      </w:r>
      <w:r>
        <w:t>.5环境风险分析</w:t>
      </w:r>
      <w:r>
        <w:tab/>
      </w:r>
      <w:r>
        <w:fldChar w:fldCharType="begin"/>
      </w:r>
      <w:r>
        <w:instrText xml:space="preserve"> PAGEREF _Toc22494 </w:instrText>
      </w:r>
      <w:r>
        <w:fldChar w:fldCharType="separate"/>
      </w:r>
      <w:r>
        <w:t>119</w:t>
      </w:r>
      <w:r>
        <w:fldChar w:fldCharType="end"/>
      </w:r>
      <w:r>
        <w:rPr>
          <w:szCs w:val="24"/>
        </w:rPr>
        <w:fldChar w:fldCharType="end"/>
      </w:r>
    </w:p>
    <w:p w14:paraId="3640DAE4">
      <w:pPr>
        <w:pStyle w:val="43"/>
        <w:tabs>
          <w:tab w:val="right" w:leader="dot" w:pos="8306"/>
        </w:tabs>
      </w:pPr>
      <w:r>
        <w:rPr>
          <w:szCs w:val="24"/>
        </w:rPr>
        <w:fldChar w:fldCharType="begin"/>
      </w:r>
      <w:r>
        <w:rPr>
          <w:szCs w:val="24"/>
        </w:rPr>
        <w:instrText xml:space="preserve"> HYPERLINK \l _Toc19173 </w:instrText>
      </w:r>
      <w:r>
        <w:rPr>
          <w:szCs w:val="24"/>
        </w:rPr>
        <w:fldChar w:fldCharType="separate"/>
      </w:r>
      <w:r>
        <w:t>1</w:t>
      </w:r>
      <w:r>
        <w:rPr>
          <w:rFonts w:hint="eastAsia"/>
          <w:lang w:val="en-US" w:eastAsia="zh-CN"/>
        </w:rPr>
        <w:t>4</w:t>
      </w:r>
      <w:r>
        <w:t>.6总量控制</w:t>
      </w:r>
      <w:r>
        <w:tab/>
      </w:r>
      <w:r>
        <w:fldChar w:fldCharType="begin"/>
      </w:r>
      <w:r>
        <w:instrText xml:space="preserve"> PAGEREF _Toc19173 </w:instrText>
      </w:r>
      <w:r>
        <w:fldChar w:fldCharType="separate"/>
      </w:r>
      <w:r>
        <w:t>120</w:t>
      </w:r>
      <w:r>
        <w:fldChar w:fldCharType="end"/>
      </w:r>
      <w:r>
        <w:rPr>
          <w:szCs w:val="24"/>
        </w:rPr>
        <w:fldChar w:fldCharType="end"/>
      </w:r>
    </w:p>
    <w:p w14:paraId="5BFC9C83">
      <w:pPr>
        <w:pStyle w:val="43"/>
        <w:tabs>
          <w:tab w:val="right" w:leader="dot" w:pos="8306"/>
        </w:tabs>
      </w:pPr>
      <w:r>
        <w:rPr>
          <w:szCs w:val="24"/>
        </w:rPr>
        <w:fldChar w:fldCharType="begin"/>
      </w:r>
      <w:r>
        <w:rPr>
          <w:szCs w:val="24"/>
        </w:rPr>
        <w:instrText xml:space="preserve"> HYPERLINK \l _Toc13997 </w:instrText>
      </w:r>
      <w:r>
        <w:rPr>
          <w:szCs w:val="24"/>
        </w:rPr>
        <w:fldChar w:fldCharType="separate"/>
      </w:r>
      <w:r>
        <w:t>1</w:t>
      </w:r>
      <w:r>
        <w:rPr>
          <w:rFonts w:hint="eastAsia"/>
          <w:lang w:val="en-US" w:eastAsia="zh-CN"/>
        </w:rPr>
        <w:t>4</w:t>
      </w:r>
      <w:r>
        <w:t>.7环保投资</w:t>
      </w:r>
      <w:r>
        <w:tab/>
      </w:r>
      <w:r>
        <w:fldChar w:fldCharType="begin"/>
      </w:r>
      <w:r>
        <w:instrText xml:space="preserve"> PAGEREF _Toc13997 </w:instrText>
      </w:r>
      <w:r>
        <w:fldChar w:fldCharType="separate"/>
      </w:r>
      <w:r>
        <w:t>120</w:t>
      </w:r>
      <w:r>
        <w:fldChar w:fldCharType="end"/>
      </w:r>
      <w:r>
        <w:rPr>
          <w:szCs w:val="24"/>
        </w:rPr>
        <w:fldChar w:fldCharType="end"/>
      </w:r>
    </w:p>
    <w:p w14:paraId="0603CCDB">
      <w:pPr>
        <w:pStyle w:val="43"/>
        <w:tabs>
          <w:tab w:val="right" w:leader="dot" w:pos="8306"/>
        </w:tabs>
      </w:pPr>
      <w:r>
        <w:rPr>
          <w:szCs w:val="24"/>
        </w:rPr>
        <w:fldChar w:fldCharType="begin"/>
      </w:r>
      <w:r>
        <w:rPr>
          <w:szCs w:val="24"/>
        </w:rPr>
        <w:instrText xml:space="preserve"> HYPERLINK \l _Toc4011 </w:instrText>
      </w:r>
      <w:r>
        <w:rPr>
          <w:szCs w:val="24"/>
        </w:rPr>
        <w:fldChar w:fldCharType="separate"/>
      </w:r>
      <w:r>
        <w:t>1</w:t>
      </w:r>
      <w:r>
        <w:rPr>
          <w:rFonts w:hint="eastAsia"/>
          <w:lang w:val="en-US" w:eastAsia="zh-CN"/>
        </w:rPr>
        <w:t>4</w:t>
      </w:r>
      <w:r>
        <w:t>.8公众参与</w:t>
      </w:r>
      <w:r>
        <w:tab/>
      </w:r>
      <w:r>
        <w:fldChar w:fldCharType="begin"/>
      </w:r>
      <w:r>
        <w:instrText xml:space="preserve"> PAGEREF _Toc4011 </w:instrText>
      </w:r>
      <w:r>
        <w:fldChar w:fldCharType="separate"/>
      </w:r>
      <w:r>
        <w:t>120</w:t>
      </w:r>
      <w:r>
        <w:fldChar w:fldCharType="end"/>
      </w:r>
      <w:r>
        <w:rPr>
          <w:szCs w:val="24"/>
        </w:rPr>
        <w:fldChar w:fldCharType="end"/>
      </w:r>
    </w:p>
    <w:p w14:paraId="6BA733FC">
      <w:pPr>
        <w:pStyle w:val="43"/>
        <w:tabs>
          <w:tab w:val="right" w:leader="dot" w:pos="8306"/>
        </w:tabs>
      </w:pPr>
      <w:r>
        <w:rPr>
          <w:szCs w:val="24"/>
        </w:rPr>
        <w:fldChar w:fldCharType="begin"/>
      </w:r>
      <w:r>
        <w:rPr>
          <w:szCs w:val="24"/>
        </w:rPr>
        <w:instrText xml:space="preserve"> HYPERLINK \l _Toc12000 </w:instrText>
      </w:r>
      <w:r>
        <w:rPr>
          <w:szCs w:val="24"/>
        </w:rPr>
        <w:fldChar w:fldCharType="separate"/>
      </w:r>
      <w:r>
        <w:t>1</w:t>
      </w:r>
      <w:r>
        <w:rPr>
          <w:rFonts w:hint="eastAsia"/>
          <w:lang w:val="en-US" w:eastAsia="zh-CN"/>
        </w:rPr>
        <w:t>4</w:t>
      </w:r>
      <w:r>
        <w:t>.9总结论</w:t>
      </w:r>
      <w:r>
        <w:tab/>
      </w:r>
      <w:r>
        <w:fldChar w:fldCharType="begin"/>
      </w:r>
      <w:r>
        <w:instrText xml:space="preserve"> PAGEREF _Toc12000 </w:instrText>
      </w:r>
      <w:r>
        <w:fldChar w:fldCharType="separate"/>
      </w:r>
      <w:r>
        <w:t>120</w:t>
      </w:r>
      <w:r>
        <w:fldChar w:fldCharType="end"/>
      </w:r>
      <w:r>
        <w:rPr>
          <w:szCs w:val="24"/>
        </w:rPr>
        <w:fldChar w:fldCharType="end"/>
      </w:r>
    </w:p>
    <w:p w14:paraId="16830DF1">
      <w:pPr>
        <w:pStyle w:val="31"/>
        <w:spacing w:after="0" w:line="240" w:lineRule="auto"/>
        <w:ind w:left="0" w:leftChars="0" w:firstLine="720" w:firstLineChars="300"/>
      </w:pPr>
      <w:r>
        <w:rPr>
          <w:szCs w:val="24"/>
        </w:rPr>
        <w:fldChar w:fldCharType="end"/>
      </w:r>
    </w:p>
    <w:p w14:paraId="368CBB84">
      <w:pPr>
        <w:pStyle w:val="31"/>
        <w:ind w:left="480"/>
        <w:sectPr>
          <w:headerReference r:id="rId5" w:type="default"/>
          <w:footerReference r:id="rId6"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720" w:num="1"/>
          <w:docGrid w:type="lines" w:linePitch="312" w:charSpace="0"/>
        </w:sectPr>
      </w:pPr>
    </w:p>
    <w:p w14:paraId="58C11531">
      <w:pPr>
        <w:tabs>
          <w:tab w:val="right" w:leader="dot" w:pos="8720"/>
        </w:tabs>
        <w:ind w:left="480" w:firstLine="2400" w:firstLineChars="1000"/>
        <w:jc w:val="left"/>
        <w:sectPr>
          <w:type w:val="continuous"/>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720" w:num="1"/>
          <w:docGrid w:type="lines" w:linePitch="312" w:charSpace="0"/>
        </w:sectPr>
      </w:pPr>
    </w:p>
    <w:bookmarkEnd w:id="0"/>
    <w:bookmarkEnd w:id="1"/>
    <w:bookmarkEnd w:id="2"/>
    <w:bookmarkEnd w:id="3"/>
    <w:bookmarkEnd w:id="4"/>
    <w:p w14:paraId="2E3D64DB">
      <w:pPr>
        <w:pStyle w:val="2"/>
        <w:rPr>
          <w:rFonts w:ascii="Times New Roman" w:hAnsi="Times New Roman" w:cs="Times New Roman"/>
        </w:rPr>
      </w:pPr>
      <w:bookmarkStart w:id="5" w:name="_Toc208640178"/>
      <w:bookmarkStart w:id="6" w:name="_Toc2210"/>
      <w:bookmarkStart w:id="7" w:name="_Toc117162035"/>
      <w:bookmarkStart w:id="8" w:name="_Toc202324094"/>
      <w:bookmarkStart w:id="9" w:name="_Toc477422012"/>
      <w:bookmarkStart w:id="10" w:name="_Toc129684992"/>
      <w:bookmarkStart w:id="11" w:name="_Toc202267575"/>
      <w:bookmarkStart w:id="12" w:name="_Toc477422027"/>
      <w:bookmarkStart w:id="13" w:name="_Toc201648757"/>
      <w:r>
        <w:rPr>
          <w:rFonts w:ascii="Times New Roman" w:hAnsi="Times New Roman" w:cs="Times New Roman"/>
        </w:rPr>
        <w:t>1</w:t>
      </w:r>
      <w:bookmarkEnd w:id="5"/>
      <w:r>
        <w:rPr>
          <w:rFonts w:ascii="Times New Roman" w:hAnsi="Times New Roman" w:cs="Times New Roman"/>
        </w:rPr>
        <w:t>前言</w:t>
      </w:r>
      <w:bookmarkEnd w:id="6"/>
    </w:p>
    <w:p w14:paraId="7985D19A">
      <w:pPr>
        <w:pStyle w:val="3"/>
      </w:pPr>
      <w:bookmarkStart w:id="14" w:name="_Toc21928"/>
      <w:bookmarkStart w:id="15" w:name="_Toc343689897"/>
      <w:bookmarkStart w:id="16" w:name="_Toc7982"/>
      <w:bookmarkStart w:id="17" w:name="_Toc195947330"/>
      <w:bookmarkStart w:id="18" w:name="_Toc140141545"/>
      <w:r>
        <w:t>1.1建设项目</w:t>
      </w:r>
      <w:bookmarkEnd w:id="14"/>
      <w:bookmarkEnd w:id="15"/>
      <w:r>
        <w:t>概况</w:t>
      </w:r>
      <w:bookmarkEnd w:id="16"/>
    </w:p>
    <w:p w14:paraId="3149D0F6">
      <w:pPr>
        <w:bidi w:val="0"/>
      </w:pPr>
      <w:bookmarkStart w:id="19" w:name="_Toc343689898"/>
      <w:r>
        <w:rPr>
          <w:rFonts w:hint="eastAsia"/>
          <w:lang w:eastAsia="zh-CN"/>
        </w:rPr>
        <w:t>本溪佰汇铜业有限公司始建于</w:t>
      </w:r>
      <w:r>
        <w:rPr>
          <w:rFonts w:hint="eastAsia"/>
          <w:lang w:val="en-US" w:eastAsia="zh-CN"/>
        </w:rPr>
        <w:t>2003年，</w:t>
      </w:r>
      <w:r>
        <w:rPr>
          <w:rFonts w:hint="eastAsia"/>
          <w:lang w:eastAsia="zh-CN"/>
        </w:rPr>
        <w:t>位于本溪市溪湖区东风街道办事处新合村辽宁（本溪湖）再生资源产业园区内，公司占地</w:t>
      </w:r>
      <w:r>
        <w:rPr>
          <w:rFonts w:hint="eastAsia"/>
          <w:lang w:val="en-US" w:eastAsia="zh-CN"/>
        </w:rPr>
        <w:t>13761m</w:t>
      </w:r>
      <w:r>
        <w:rPr>
          <w:rFonts w:hint="eastAsia"/>
          <w:vertAlign w:val="superscript"/>
          <w:lang w:val="en-US" w:eastAsia="zh-CN"/>
        </w:rPr>
        <w:t>2</w:t>
      </w:r>
      <w:r>
        <w:rPr>
          <w:rFonts w:hint="eastAsia"/>
          <w:lang w:val="en-US" w:eastAsia="zh-CN"/>
        </w:rPr>
        <w:t>，公司原材料采购于中国船舶工业物资东北有限公司，公司现有设备百余台，采用当前先进的连续挤压机，生产无氧铜材、铜管、铜棒、铜母线四大类50多个品种</w:t>
      </w:r>
      <w:r>
        <w:t>。</w:t>
      </w:r>
    </w:p>
    <w:p w14:paraId="3AC98B5D">
      <w:pPr>
        <w:bidi w:val="0"/>
        <w:rPr>
          <w:rFonts w:hint="eastAsia" w:eastAsia="宋体"/>
          <w:lang w:val="en-US" w:eastAsia="zh-CN"/>
        </w:rPr>
      </w:pPr>
      <w:r>
        <w:rPr>
          <w:rFonts w:hint="eastAsia"/>
          <w:lang w:eastAsia="zh-CN"/>
        </w:rPr>
        <w:t>本溪佰汇铜业有限公司拟投资</w:t>
      </w:r>
      <w:r>
        <w:rPr>
          <w:rFonts w:hint="eastAsia"/>
          <w:lang w:val="en-US" w:eastAsia="zh-CN"/>
        </w:rPr>
        <w:t>330万建设本溪佰汇铜业有限公司环保型铜排表面处理自动生产线项目，项目包含镀锡生产线一条，位于</w:t>
      </w:r>
      <w:r>
        <w:rPr>
          <w:rFonts w:hint="eastAsia"/>
          <w:lang w:eastAsia="zh-CN"/>
        </w:rPr>
        <w:t>本溪市溪湖区东风街道办事处新合村现有厂区内，</w:t>
      </w:r>
      <w:r>
        <w:rPr>
          <w:rFonts w:hint="eastAsia"/>
          <w:lang w:val="en-US" w:eastAsia="zh-CN"/>
        </w:rPr>
        <w:t>企业已完成“本溪佰汇铜业有限公司环保型铜排表面处理自动生产线项目”备案，备案文件见附件。</w:t>
      </w:r>
    </w:p>
    <w:p w14:paraId="23B98B48">
      <w:pPr>
        <w:pStyle w:val="3"/>
      </w:pPr>
      <w:bookmarkStart w:id="20" w:name="_Toc11803"/>
      <w:bookmarkStart w:id="21" w:name="_Toc1318"/>
      <w:r>
        <w:t>1.2评价工作过程</w:t>
      </w:r>
      <w:bookmarkEnd w:id="19"/>
      <w:bookmarkEnd w:id="20"/>
      <w:bookmarkEnd w:id="21"/>
    </w:p>
    <w:p w14:paraId="05326364">
      <w:pPr>
        <w:spacing w:line="360" w:lineRule="auto"/>
        <w:ind w:left="-12" w:leftChars="-5" w:right="-17" w:firstLine="480" w:firstLineChars="200"/>
        <w:rPr>
          <w:color w:val="000000"/>
        </w:rPr>
      </w:pPr>
      <w:bookmarkStart w:id="22" w:name="_Toc19699"/>
      <w:bookmarkStart w:id="23" w:name="_Toc24664"/>
      <w:bookmarkStart w:id="24" w:name="_Toc25616"/>
      <w:r>
        <w:rPr>
          <w:color w:val="000000"/>
        </w:rPr>
        <w:t>根据《中华人民共和国环境影响评价法》和《建设项目环境保护管理条例》的有关规定，该项目应进行环境影响评价。根据《建设项目环境影响评价分类管理名录》对有关建设项目的分类管理要求，确定该项目环境影响评价文件形式为环境影响报告书。受</w:t>
      </w:r>
      <w:r>
        <w:rPr>
          <w:rFonts w:hint="eastAsia"/>
          <w:lang w:eastAsia="zh-CN"/>
        </w:rPr>
        <w:t>本溪佰汇铜业有限公司</w:t>
      </w:r>
      <w:r>
        <w:rPr>
          <w:color w:val="000000"/>
        </w:rPr>
        <w:t>委托，本公司承担了该项目的环境影响评价工作。我公司人员在对现场进行了详细踏勘、资料收集等基础工作后，通过工程分析，污染源调查，环境现状监测，环境影响预测和评价，编制了本项目环境影响报告书，供建设单位报请环境保护行政主管部门审查。</w:t>
      </w:r>
    </w:p>
    <w:bookmarkEnd w:id="22"/>
    <w:bookmarkEnd w:id="23"/>
    <w:bookmarkEnd w:id="24"/>
    <w:p w14:paraId="26E7CF39">
      <w:pPr>
        <w:pStyle w:val="3"/>
      </w:pPr>
      <w:bookmarkStart w:id="25" w:name="_Toc343689899"/>
      <w:bookmarkStart w:id="26" w:name="_Toc15416"/>
      <w:bookmarkStart w:id="27" w:name="_Toc1306"/>
      <w:r>
        <w:t>1.</w:t>
      </w:r>
      <w:bookmarkEnd w:id="25"/>
      <w:r>
        <w:t>3关注的主要环境问题</w:t>
      </w:r>
      <w:bookmarkEnd w:id="26"/>
      <w:bookmarkEnd w:id="27"/>
    </w:p>
    <w:p w14:paraId="79877B44">
      <w:pPr>
        <w:ind w:firstLine="480" w:firstLineChars="200"/>
      </w:pPr>
      <w:r>
        <w:t>本次评价主要关注的环境问题如下：</w:t>
      </w:r>
    </w:p>
    <w:p w14:paraId="03F2043B">
      <w:pPr>
        <w:ind w:firstLine="480" w:firstLineChars="200"/>
      </w:pPr>
      <w:r>
        <w:t>（1）本项目的建设选址、工艺技术是否符合相关规划、标准及规范的要求；</w:t>
      </w:r>
    </w:p>
    <w:p w14:paraId="2FB19CAE">
      <w:pPr>
        <w:ind w:firstLine="480" w:firstLineChars="200"/>
      </w:pPr>
      <w:r>
        <w:t>（2）分析项目施工过程产生的废气、废水、固废、噪声污染对环境的影响及污染控制方案是否可行、可靠；</w:t>
      </w:r>
    </w:p>
    <w:p w14:paraId="3BFF1B3E">
      <w:pPr>
        <w:ind w:firstLine="480" w:firstLineChars="200"/>
      </w:pPr>
      <w:r>
        <w:t>（3）项目</w:t>
      </w:r>
      <w:r>
        <w:rPr>
          <w:rFonts w:hint="eastAsia"/>
          <w:lang w:eastAsia="zh-CN"/>
        </w:rPr>
        <w:t>区域</w:t>
      </w:r>
      <w:r>
        <w:t>环境质量现状是否满足相应环境标准，预测本项目排污对环境的影响，污染物排放能否满足相关污染物排放标准；</w:t>
      </w:r>
    </w:p>
    <w:p w14:paraId="6B87B5D3">
      <w:pPr>
        <w:ind w:firstLine="480" w:firstLineChars="200"/>
      </w:pPr>
      <w:r>
        <w:t>（4）项目环境风险是否可控，风险防范对策及应急措施是否合理。</w:t>
      </w:r>
    </w:p>
    <w:p w14:paraId="5CA86049">
      <w:pPr>
        <w:pStyle w:val="3"/>
      </w:pPr>
      <w:bookmarkStart w:id="28" w:name="_Toc9112"/>
      <w:bookmarkStart w:id="29" w:name="_Toc24023"/>
      <w:r>
        <w:t>1.4环评结论</w:t>
      </w:r>
      <w:bookmarkEnd w:id="28"/>
      <w:bookmarkEnd w:id="29"/>
    </w:p>
    <w:p w14:paraId="173213BF">
      <w:pPr>
        <w:ind w:firstLine="480" w:firstLineChars="200"/>
      </w:pPr>
      <w:r>
        <w:t>本项目符合国家产业发展政策，符合地方发展规划和环境保护规划，选址合理。本项目在严格执行环境保护“三同时”制度，认真落实本报告所提各项环保治理措施的前提下，并加强环境管理的前提下，排放的污染物可做到达标排放，并能满足总量控制要求，对周围环境的影响在可承受范围之内，环境风险可控。</w:t>
      </w:r>
    </w:p>
    <w:p w14:paraId="61CE03BE">
      <w:pPr>
        <w:ind w:firstLine="480" w:firstLineChars="200"/>
      </w:pPr>
      <w:r>
        <w:t>环评认为，在全面加强环境监督管理，严格执行环保“三同时”制度，在充分落实本次环评提出的各项污染防治措施的基础上，从环境保护角度分析，工程的建设是合理可行的。</w:t>
      </w:r>
    </w:p>
    <w:p w14:paraId="6E5A50D7">
      <w:pPr>
        <w:pStyle w:val="2"/>
        <w:rPr>
          <w:rFonts w:ascii="Times New Roman" w:hAnsi="Times New Roman" w:cs="Times New Roman"/>
        </w:rPr>
      </w:pPr>
      <w:bookmarkStart w:id="30" w:name="_Toc29221"/>
      <w:bookmarkStart w:id="31" w:name="_Toc4412"/>
      <w:bookmarkStart w:id="32" w:name="_Toc343689900"/>
      <w:r>
        <w:rPr>
          <w:rFonts w:ascii="Times New Roman" w:hAnsi="Times New Roman" w:cs="Times New Roman"/>
        </w:rPr>
        <w:t>2总则</w:t>
      </w:r>
      <w:bookmarkEnd w:id="30"/>
      <w:bookmarkEnd w:id="31"/>
      <w:bookmarkEnd w:id="32"/>
    </w:p>
    <w:p w14:paraId="44AF7712">
      <w:pPr>
        <w:pStyle w:val="3"/>
      </w:pPr>
      <w:bookmarkStart w:id="33" w:name="_Toc23136"/>
      <w:bookmarkStart w:id="34" w:name="_Toc148435693"/>
      <w:bookmarkStart w:id="35" w:name="_Toc5330"/>
      <w:bookmarkStart w:id="36" w:name="_Toc22255"/>
      <w:bookmarkStart w:id="37" w:name="_Toc111018215"/>
      <w:bookmarkStart w:id="38" w:name="_Toc10640"/>
      <w:bookmarkStart w:id="39" w:name="_Toc30144"/>
      <w:bookmarkStart w:id="40" w:name="_Toc7189"/>
      <w:bookmarkStart w:id="41" w:name="_Toc27646"/>
      <w:bookmarkStart w:id="42" w:name="_Toc26804"/>
      <w:bookmarkStart w:id="43" w:name="_Toc26145"/>
      <w:bookmarkStart w:id="44" w:name="_Toc9068"/>
      <w:bookmarkStart w:id="45" w:name="_Toc7777"/>
      <w:bookmarkStart w:id="46" w:name="_Toc31523"/>
      <w:bookmarkStart w:id="47" w:name="_Toc2687"/>
      <w:bookmarkStart w:id="48" w:name="_Toc1378"/>
      <w:bookmarkStart w:id="49" w:name="_Toc16486"/>
      <w:bookmarkStart w:id="50" w:name="_Toc5752"/>
      <w:bookmarkStart w:id="51" w:name="_Toc2658"/>
      <w:bookmarkStart w:id="52" w:name="_Toc145049910"/>
      <w:bookmarkStart w:id="53" w:name="_Toc343689901"/>
      <w:bookmarkStart w:id="54" w:name="_Toc211651884"/>
      <w:bookmarkStart w:id="55" w:name="_Toc151952726"/>
      <w:bookmarkStart w:id="56" w:name="_Toc145049822"/>
      <w:r>
        <w:t>2.1评价目的</w:t>
      </w:r>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p>
    <w:p w14:paraId="60FAB870">
      <w:pPr>
        <w:ind w:firstLine="480" w:firstLineChars="200"/>
      </w:pPr>
      <w:r>
        <w:t>根据国家生态环境部对建设项目环境影响评价的分类管理名录要求，本项目应当编制环境影响报告书，对建设项目产生的污染和对环境的影响进行全面</w:t>
      </w:r>
      <w:r>
        <w:rPr>
          <w:rFonts w:eastAsia="MS Mincho"/>
        </w:rPr>
        <w:t>､</w:t>
      </w:r>
      <w:r>
        <w:t>详细的评价</w:t>
      </w:r>
      <w:r>
        <w:rPr>
          <w:rFonts w:eastAsia="MS Mincho"/>
        </w:rPr>
        <w:t>｡</w:t>
      </w:r>
    </w:p>
    <w:p w14:paraId="36DEA109">
      <w:pPr>
        <w:ind w:firstLine="480" w:firstLineChars="200"/>
      </w:pPr>
      <w:r>
        <w:t>通过对该工程进行环境影响评价将达到如下目的：</w:t>
      </w:r>
    </w:p>
    <w:p w14:paraId="5D944AEA">
      <w:pPr>
        <w:ind w:firstLine="480" w:firstLineChars="200"/>
      </w:pPr>
      <w:r>
        <w:t>（1）通过工程分析和类比调查，判定项目建设及运营期的环境影响因素和环境影响因子，确定影响环境的主要工程和主要污染源参数；</w:t>
      </w:r>
    </w:p>
    <w:p w14:paraId="0D79443C">
      <w:pPr>
        <w:ind w:firstLine="480" w:firstLineChars="200"/>
      </w:pPr>
      <w:r>
        <w:t>（2）在工程分析和周围环境敏感目标调查的基础上，对建设项目在施工期和营运期对周围环境带来的影响进行预测和评价；</w:t>
      </w:r>
    </w:p>
    <w:p w14:paraId="3E50B4F6">
      <w:pPr>
        <w:ind w:firstLine="480" w:firstLineChars="200"/>
      </w:pPr>
      <w:r>
        <w:t>（3）根据建设项目对周围环境的影响程度提出切实可行的环境保护措施和建议，反馈于工程设计与施工管理，以最大限度地减少或减缓工程建设对环境造成的负面影响，达到工程建设与环境保护相互协调发展的目的；</w:t>
      </w:r>
    </w:p>
    <w:p w14:paraId="6982445C">
      <w:pPr>
        <w:ind w:firstLine="480" w:firstLineChars="200"/>
      </w:pPr>
      <w:r>
        <w:t>（4）为该项目的施工期、营运期环境管理提出实施计划；</w:t>
      </w:r>
    </w:p>
    <w:p w14:paraId="49FE1668">
      <w:pPr>
        <w:ind w:firstLine="480" w:firstLineChars="200"/>
      </w:pPr>
      <w:r>
        <w:t>（5）从环境保护的角度论证项目建设的可行性，并给出可行性结论。</w:t>
      </w:r>
    </w:p>
    <w:p w14:paraId="6E0EBB66">
      <w:pPr>
        <w:pStyle w:val="3"/>
      </w:pPr>
      <w:bookmarkStart w:id="57" w:name="_Toc2982"/>
      <w:bookmarkStart w:id="58" w:name="_Toc10083"/>
      <w:bookmarkStart w:id="59" w:name="_Toc30709"/>
      <w:bookmarkStart w:id="60" w:name="_Toc14627"/>
      <w:bookmarkStart w:id="61" w:name="_Toc1645"/>
      <w:bookmarkStart w:id="62" w:name="_Toc800"/>
      <w:bookmarkStart w:id="63" w:name="_Toc31209"/>
      <w:bookmarkStart w:id="64" w:name="_Toc4183"/>
      <w:bookmarkStart w:id="65" w:name="_Toc13716"/>
      <w:bookmarkStart w:id="66" w:name="_Toc31846"/>
      <w:r>
        <w:t>2.2环境影响评价原则</w:t>
      </w:r>
      <w:bookmarkEnd w:id="57"/>
      <w:bookmarkEnd w:id="58"/>
      <w:bookmarkEnd w:id="59"/>
      <w:bookmarkEnd w:id="60"/>
      <w:bookmarkEnd w:id="61"/>
      <w:bookmarkEnd w:id="62"/>
      <w:bookmarkEnd w:id="63"/>
      <w:bookmarkEnd w:id="64"/>
      <w:bookmarkEnd w:id="65"/>
      <w:bookmarkEnd w:id="66"/>
    </w:p>
    <w:p w14:paraId="362D3539">
      <w:pPr>
        <w:ind w:firstLine="480" w:firstLineChars="200"/>
      </w:pPr>
      <w:r>
        <w:t>突出环境影响评价的源头预防作用，坚持保护和改善环境质量。</w:t>
      </w:r>
    </w:p>
    <w:p w14:paraId="05389686">
      <w:pPr>
        <w:ind w:firstLine="480" w:firstLineChars="200"/>
      </w:pPr>
      <w:bookmarkStart w:id="67" w:name="_Toc21007"/>
      <w:r>
        <w:t>（1）依法评价</w:t>
      </w:r>
      <w:bookmarkEnd w:id="67"/>
    </w:p>
    <w:p w14:paraId="7696E8C7">
      <w:pPr>
        <w:ind w:firstLine="480" w:firstLineChars="200"/>
      </w:pPr>
      <w:r>
        <w:t>贯彻执行我国环境保护相关法律法规、标准、政策和规划等，优化项目建设，服务环境管理。</w:t>
      </w:r>
    </w:p>
    <w:p w14:paraId="51F84033">
      <w:pPr>
        <w:ind w:firstLine="480" w:firstLineChars="200"/>
      </w:pPr>
      <w:bookmarkStart w:id="68" w:name="_Toc4667"/>
      <w:r>
        <w:t>（2）科学评价</w:t>
      </w:r>
      <w:bookmarkEnd w:id="68"/>
    </w:p>
    <w:p w14:paraId="587EE4CD">
      <w:pPr>
        <w:ind w:firstLine="480" w:firstLineChars="200"/>
      </w:pPr>
      <w:r>
        <w:t>规范环境影响评价方法，科学分析项目建设对环境质量的影响。</w:t>
      </w:r>
    </w:p>
    <w:p w14:paraId="1D109A24">
      <w:pPr>
        <w:ind w:firstLine="480" w:firstLineChars="200"/>
      </w:pPr>
      <w:bookmarkStart w:id="69" w:name="_Toc29708"/>
      <w:r>
        <w:t>（3）突出重点</w:t>
      </w:r>
      <w:bookmarkEnd w:id="69"/>
    </w:p>
    <w:p w14:paraId="6CAB4EC8">
      <w:pPr>
        <w:ind w:firstLine="480" w:firstLineChars="200"/>
      </w:pPr>
      <w:r>
        <w:t>根据建设项目的工程内容及其特点，明确与环境要素间的作用效应关系，根据规划环境影响评价结论和审查意见，充分利用符合时效的数据资料及成果，对建设项目主要环境影响予以重点分析和评价。</w:t>
      </w:r>
    </w:p>
    <w:p w14:paraId="7DBBC957">
      <w:pPr>
        <w:pStyle w:val="3"/>
      </w:pPr>
      <w:bookmarkStart w:id="70" w:name="_Toc26730"/>
      <w:bookmarkStart w:id="71" w:name="_Toc30505"/>
      <w:r>
        <w:t>2.3编制依据</w:t>
      </w:r>
      <w:bookmarkEnd w:id="52"/>
      <w:bookmarkEnd w:id="53"/>
      <w:bookmarkEnd w:id="54"/>
      <w:bookmarkEnd w:id="55"/>
      <w:bookmarkEnd w:id="56"/>
      <w:bookmarkEnd w:id="70"/>
      <w:bookmarkEnd w:id="71"/>
    </w:p>
    <w:p w14:paraId="39047BED">
      <w:pPr>
        <w:pStyle w:val="5"/>
      </w:pPr>
      <w:bookmarkStart w:id="72" w:name="_Toc145049911"/>
      <w:bookmarkStart w:id="73" w:name="_Toc145049823"/>
      <w:r>
        <w:t>2.3.1国家法律法规</w:t>
      </w:r>
      <w:bookmarkEnd w:id="72"/>
      <w:bookmarkEnd w:id="73"/>
    </w:p>
    <w:p w14:paraId="518BCB4F">
      <w:pPr>
        <w:widowControl/>
        <w:numPr>
          <w:ilvl w:val="0"/>
          <w:numId w:val="3"/>
        </w:numPr>
        <w:tabs>
          <w:tab w:val="left" w:pos="420"/>
        </w:tabs>
        <w:adjustRightInd w:val="0"/>
        <w:snapToGrid w:val="0"/>
        <w:ind w:left="0" w:leftChars="0" w:firstLine="400" w:firstLineChars="0"/>
        <w:jc w:val="left"/>
        <w:rPr>
          <w:color w:val="000000"/>
        </w:rPr>
      </w:pPr>
      <w:r>
        <w:rPr>
          <w:color w:val="000000"/>
        </w:rPr>
        <w:t>中华人民共和国环境影响评价法，2018.12.29修订并实施；</w:t>
      </w:r>
    </w:p>
    <w:p w14:paraId="028E840A">
      <w:pPr>
        <w:numPr>
          <w:ilvl w:val="0"/>
          <w:numId w:val="3"/>
        </w:numPr>
        <w:tabs>
          <w:tab w:val="left" w:pos="420"/>
        </w:tabs>
        <w:adjustRightInd w:val="0"/>
        <w:snapToGrid w:val="0"/>
        <w:ind w:left="0" w:leftChars="0" w:firstLine="400" w:firstLineChars="0"/>
        <w:jc w:val="left"/>
        <w:rPr>
          <w:color w:val="000000"/>
        </w:rPr>
      </w:pPr>
      <w:r>
        <w:rPr>
          <w:color w:val="000000"/>
        </w:rPr>
        <w:t>建设项目环境保护管理条例，国务院令第682号，2017.10.1实施；</w:t>
      </w:r>
    </w:p>
    <w:p w14:paraId="4ED1D7D7">
      <w:pPr>
        <w:numPr>
          <w:ilvl w:val="0"/>
          <w:numId w:val="3"/>
        </w:numPr>
        <w:tabs>
          <w:tab w:val="left" w:pos="420"/>
        </w:tabs>
        <w:adjustRightInd w:val="0"/>
        <w:snapToGrid w:val="0"/>
        <w:ind w:left="0" w:leftChars="0" w:firstLine="400" w:firstLineChars="0"/>
        <w:jc w:val="left"/>
        <w:rPr>
          <w:color w:val="000000"/>
        </w:rPr>
      </w:pPr>
      <w:r>
        <w:rPr>
          <w:color w:val="000000"/>
        </w:rPr>
        <w:t>建设项目环境影响评价分类管理名录，2018.4.28实施；</w:t>
      </w:r>
    </w:p>
    <w:p w14:paraId="646AAFD8">
      <w:pPr>
        <w:widowControl/>
        <w:numPr>
          <w:ilvl w:val="0"/>
          <w:numId w:val="3"/>
        </w:numPr>
        <w:tabs>
          <w:tab w:val="left" w:pos="420"/>
        </w:tabs>
        <w:adjustRightInd w:val="0"/>
        <w:snapToGrid w:val="0"/>
        <w:ind w:left="0" w:leftChars="0" w:firstLine="400" w:firstLineChars="0"/>
        <w:jc w:val="left"/>
        <w:rPr>
          <w:color w:val="000000"/>
        </w:rPr>
      </w:pPr>
      <w:r>
        <w:rPr>
          <w:color w:val="000000"/>
        </w:rPr>
        <w:t>中华人民共和国环境保护法，2015.1.1实施；</w:t>
      </w:r>
    </w:p>
    <w:p w14:paraId="6FB588B0">
      <w:pPr>
        <w:widowControl/>
        <w:numPr>
          <w:ilvl w:val="0"/>
          <w:numId w:val="3"/>
        </w:numPr>
        <w:tabs>
          <w:tab w:val="left" w:pos="420"/>
        </w:tabs>
        <w:adjustRightInd w:val="0"/>
        <w:snapToGrid w:val="0"/>
        <w:ind w:left="0" w:leftChars="0" w:firstLine="400" w:firstLineChars="0"/>
        <w:jc w:val="left"/>
        <w:rPr>
          <w:color w:val="000000"/>
        </w:rPr>
      </w:pPr>
      <w:r>
        <w:rPr>
          <w:color w:val="000000"/>
        </w:rPr>
        <w:t>中华人民共和国水污染防治法，2018.1.1实施；</w:t>
      </w:r>
    </w:p>
    <w:p w14:paraId="582AB8BA">
      <w:pPr>
        <w:widowControl/>
        <w:numPr>
          <w:ilvl w:val="0"/>
          <w:numId w:val="3"/>
        </w:numPr>
        <w:tabs>
          <w:tab w:val="left" w:pos="420"/>
        </w:tabs>
        <w:adjustRightInd w:val="0"/>
        <w:snapToGrid w:val="0"/>
        <w:ind w:left="0" w:leftChars="0" w:firstLine="400" w:firstLineChars="0"/>
        <w:jc w:val="left"/>
        <w:rPr>
          <w:color w:val="000000"/>
        </w:rPr>
      </w:pPr>
      <w:r>
        <w:rPr>
          <w:color w:val="000000"/>
        </w:rPr>
        <w:t>中华人民共和国大气污染防治法，2018.10.26修订并实施；</w:t>
      </w:r>
    </w:p>
    <w:p w14:paraId="45CF064A">
      <w:pPr>
        <w:widowControl/>
        <w:numPr>
          <w:ilvl w:val="0"/>
          <w:numId w:val="3"/>
        </w:numPr>
        <w:tabs>
          <w:tab w:val="left" w:pos="420"/>
        </w:tabs>
        <w:adjustRightInd w:val="0"/>
        <w:snapToGrid w:val="0"/>
        <w:ind w:left="0" w:leftChars="0" w:firstLine="400" w:firstLineChars="0"/>
        <w:jc w:val="left"/>
        <w:rPr>
          <w:color w:val="000000"/>
        </w:rPr>
      </w:pPr>
      <w:r>
        <w:rPr>
          <w:color w:val="000000"/>
        </w:rPr>
        <w:t>中华人民共和国环境噪声污染防治法，2018.10.29修订并实施；</w:t>
      </w:r>
    </w:p>
    <w:p w14:paraId="29E7CD09">
      <w:pPr>
        <w:widowControl/>
        <w:numPr>
          <w:ilvl w:val="0"/>
          <w:numId w:val="3"/>
        </w:numPr>
        <w:tabs>
          <w:tab w:val="left" w:pos="420"/>
        </w:tabs>
        <w:adjustRightInd w:val="0"/>
        <w:snapToGrid w:val="0"/>
        <w:ind w:left="0" w:leftChars="0" w:firstLine="400" w:firstLineChars="0"/>
        <w:jc w:val="left"/>
        <w:rPr>
          <w:color w:val="000000"/>
        </w:rPr>
      </w:pPr>
      <w:r>
        <w:rPr>
          <w:color w:val="000000"/>
        </w:rPr>
        <w:t>中华人民共和国固体废物污染环境防治法（2016年11月7日修正版）；</w:t>
      </w:r>
    </w:p>
    <w:p w14:paraId="168BFDA2">
      <w:pPr>
        <w:widowControl/>
        <w:numPr>
          <w:ilvl w:val="0"/>
          <w:numId w:val="3"/>
        </w:numPr>
        <w:tabs>
          <w:tab w:val="left" w:pos="420"/>
        </w:tabs>
        <w:adjustRightInd w:val="0"/>
        <w:snapToGrid w:val="0"/>
        <w:ind w:left="0" w:leftChars="0" w:firstLine="400" w:firstLineChars="0"/>
        <w:jc w:val="left"/>
        <w:rPr>
          <w:color w:val="000000"/>
        </w:rPr>
      </w:pPr>
      <w:r>
        <w:rPr>
          <w:color w:val="000000"/>
        </w:rPr>
        <w:t>中华人民共和国清洁生产促进法（修正），2012.2；</w:t>
      </w:r>
    </w:p>
    <w:p w14:paraId="2B8FB260">
      <w:pPr>
        <w:widowControl/>
        <w:numPr>
          <w:ilvl w:val="0"/>
          <w:numId w:val="3"/>
        </w:numPr>
        <w:tabs>
          <w:tab w:val="left" w:pos="420"/>
        </w:tabs>
        <w:adjustRightInd w:val="0"/>
        <w:snapToGrid w:val="0"/>
        <w:ind w:left="0" w:leftChars="0" w:firstLine="400" w:firstLineChars="0"/>
        <w:jc w:val="left"/>
        <w:rPr>
          <w:color w:val="000000"/>
        </w:rPr>
      </w:pPr>
      <w:r>
        <w:rPr>
          <w:color w:val="000000"/>
        </w:rPr>
        <w:t>中华人民共和国土壤污染防治法，2019.1.1施行；</w:t>
      </w:r>
    </w:p>
    <w:p w14:paraId="19E57B68">
      <w:pPr>
        <w:widowControl/>
        <w:numPr>
          <w:ilvl w:val="0"/>
          <w:numId w:val="3"/>
        </w:numPr>
        <w:tabs>
          <w:tab w:val="left" w:pos="420"/>
        </w:tabs>
        <w:adjustRightInd w:val="0"/>
        <w:snapToGrid w:val="0"/>
        <w:ind w:left="0" w:leftChars="0" w:firstLine="400" w:firstLineChars="0"/>
        <w:jc w:val="left"/>
        <w:rPr>
          <w:color w:val="000000"/>
        </w:rPr>
      </w:pPr>
      <w:r>
        <w:rPr>
          <w:color w:val="000000"/>
        </w:rPr>
        <w:t>国家发展改革委第 21 号令公布的《国家发展改革委关于修改&lt;产业结构调整指导目录（2011年本）&gt;有关条款的的决定》，2013.2.16；</w:t>
      </w:r>
    </w:p>
    <w:p w14:paraId="443B45FA">
      <w:pPr>
        <w:widowControl/>
        <w:numPr>
          <w:ilvl w:val="0"/>
          <w:numId w:val="3"/>
        </w:numPr>
        <w:tabs>
          <w:tab w:val="left" w:pos="420"/>
        </w:tabs>
        <w:adjustRightInd w:val="0"/>
        <w:snapToGrid w:val="0"/>
        <w:ind w:left="0" w:leftChars="0" w:firstLine="400" w:firstLineChars="0"/>
        <w:jc w:val="left"/>
        <w:rPr>
          <w:color w:val="000000"/>
        </w:rPr>
      </w:pPr>
      <w:r>
        <w:rPr>
          <w:color w:val="000000"/>
        </w:rPr>
        <w:t>关于进一步加强环境影响评价管理防范环境风险的通知，环境保护部文件，环发[2012]77号文，2012.7.3；</w:t>
      </w:r>
    </w:p>
    <w:p w14:paraId="4D4CEA72">
      <w:pPr>
        <w:widowControl/>
        <w:numPr>
          <w:ilvl w:val="0"/>
          <w:numId w:val="3"/>
        </w:numPr>
        <w:tabs>
          <w:tab w:val="left" w:pos="420"/>
        </w:tabs>
        <w:adjustRightInd w:val="0"/>
        <w:snapToGrid w:val="0"/>
        <w:ind w:left="0" w:leftChars="0" w:firstLine="400" w:firstLineChars="0"/>
        <w:jc w:val="left"/>
        <w:rPr>
          <w:color w:val="000000"/>
        </w:rPr>
      </w:pPr>
      <w:r>
        <w:rPr>
          <w:color w:val="000000"/>
        </w:rPr>
        <w:t>关于切实加强风险防范严格环境影响评价管理的通知，环境保护部文件，环发[2012]98号文，2012.8.7；</w:t>
      </w:r>
    </w:p>
    <w:p w14:paraId="11791137">
      <w:pPr>
        <w:widowControl/>
        <w:numPr>
          <w:ilvl w:val="0"/>
          <w:numId w:val="3"/>
        </w:numPr>
        <w:tabs>
          <w:tab w:val="left" w:pos="420"/>
        </w:tabs>
        <w:adjustRightInd w:val="0"/>
        <w:snapToGrid w:val="0"/>
        <w:ind w:left="0" w:leftChars="0" w:firstLine="400" w:firstLineChars="0"/>
        <w:jc w:val="left"/>
        <w:rPr>
          <w:color w:val="000000"/>
        </w:rPr>
      </w:pPr>
      <w:r>
        <w:t>《关于发布&lt;环境空气细颗粒物污染综合防治技术政策&gt;的公告》,环保部公告[2013年]第59号</w:t>
      </w:r>
      <w:r>
        <w:rPr>
          <w:color w:val="000000"/>
        </w:rPr>
        <w:t>；</w:t>
      </w:r>
    </w:p>
    <w:p w14:paraId="5FC337E7">
      <w:pPr>
        <w:widowControl/>
        <w:numPr>
          <w:ilvl w:val="0"/>
          <w:numId w:val="3"/>
        </w:numPr>
        <w:tabs>
          <w:tab w:val="left" w:pos="420"/>
        </w:tabs>
        <w:adjustRightInd w:val="0"/>
        <w:snapToGrid w:val="0"/>
        <w:ind w:left="0" w:leftChars="0" w:firstLine="400" w:firstLineChars="0"/>
        <w:jc w:val="left"/>
      </w:pPr>
      <w:r>
        <w:t>《国务院关于印发打赢蓝天保卫战三年行动计划的通知》，国发〔2018〕22号，2018.6.27；</w:t>
      </w:r>
    </w:p>
    <w:p w14:paraId="666B1845">
      <w:pPr>
        <w:widowControl/>
        <w:numPr>
          <w:ilvl w:val="0"/>
          <w:numId w:val="3"/>
        </w:numPr>
        <w:tabs>
          <w:tab w:val="left" w:pos="420"/>
        </w:tabs>
        <w:adjustRightInd w:val="0"/>
        <w:snapToGrid w:val="0"/>
        <w:ind w:left="0" w:leftChars="0" w:firstLine="400" w:firstLineChars="0"/>
        <w:jc w:val="left"/>
        <w:rPr>
          <w:color w:val="000000"/>
        </w:rPr>
      </w:pPr>
      <w:r>
        <w:rPr>
          <w:color w:val="000000"/>
        </w:rPr>
        <w:t>《环境影响评价公众参与办法》（生态环境部 部令第4号），2019.1.1施行；</w:t>
      </w:r>
    </w:p>
    <w:p w14:paraId="785CF45B">
      <w:pPr>
        <w:widowControl/>
        <w:numPr>
          <w:ilvl w:val="0"/>
          <w:numId w:val="3"/>
        </w:numPr>
        <w:tabs>
          <w:tab w:val="left" w:pos="420"/>
        </w:tabs>
        <w:adjustRightInd w:val="0"/>
        <w:snapToGrid w:val="0"/>
        <w:ind w:left="0" w:leftChars="0" w:firstLine="400" w:firstLineChars="0"/>
        <w:jc w:val="left"/>
        <w:rPr>
          <w:color w:val="000000"/>
        </w:rPr>
      </w:pPr>
      <w:r>
        <w:rPr>
          <w:color w:val="000000"/>
        </w:rPr>
        <w:t>《国家危险废物名录》（国家环境保护部令，第39号），2016.8.1施行；</w:t>
      </w:r>
    </w:p>
    <w:p w14:paraId="212FC867">
      <w:pPr>
        <w:widowControl/>
        <w:numPr>
          <w:ilvl w:val="0"/>
          <w:numId w:val="3"/>
        </w:numPr>
        <w:tabs>
          <w:tab w:val="left" w:pos="420"/>
        </w:tabs>
        <w:adjustRightInd w:val="0"/>
        <w:snapToGrid w:val="0"/>
        <w:ind w:left="0" w:leftChars="0" w:firstLine="400" w:firstLineChars="0"/>
        <w:jc w:val="left"/>
        <w:rPr>
          <w:color w:val="000000"/>
        </w:rPr>
      </w:pPr>
      <w:r>
        <w:rPr>
          <w:color w:val="000000"/>
        </w:rPr>
        <w:t>《国务院关于加强环境保护重点工作的意见》国发[2011]35号文，2011.10.20；</w:t>
      </w:r>
    </w:p>
    <w:p w14:paraId="35DFADAD">
      <w:pPr>
        <w:numPr>
          <w:ilvl w:val="0"/>
          <w:numId w:val="3"/>
        </w:numPr>
        <w:tabs>
          <w:tab w:val="left" w:pos="420"/>
        </w:tabs>
        <w:adjustRightInd w:val="0"/>
        <w:snapToGrid w:val="0"/>
        <w:ind w:left="0" w:leftChars="0" w:firstLine="400" w:firstLineChars="0"/>
        <w:jc w:val="left"/>
        <w:rPr>
          <w:color w:val="000000"/>
        </w:rPr>
      </w:pPr>
      <w:r>
        <w:rPr>
          <w:color w:val="000000"/>
        </w:rPr>
        <w:t>环境保护部《建设项目危险废物环境影响评价指南》，（公告2017年第43号），2017.8.29；</w:t>
      </w:r>
    </w:p>
    <w:p w14:paraId="16B8D3B6">
      <w:pPr>
        <w:widowControl/>
        <w:numPr>
          <w:ilvl w:val="0"/>
          <w:numId w:val="3"/>
        </w:numPr>
        <w:tabs>
          <w:tab w:val="left" w:pos="420"/>
        </w:tabs>
        <w:adjustRightInd w:val="0"/>
        <w:snapToGrid w:val="0"/>
        <w:ind w:left="0" w:leftChars="0" w:firstLine="400" w:firstLineChars="0"/>
        <w:jc w:val="left"/>
        <w:rPr>
          <w:color w:val="000000"/>
        </w:rPr>
      </w:pPr>
      <w:r>
        <w:rPr>
          <w:color w:val="000000"/>
        </w:rPr>
        <w:t>关于印发《水污染防治行动计划》的通知，国发[2015]17号，2015.4.2；</w:t>
      </w:r>
    </w:p>
    <w:p w14:paraId="51694505">
      <w:pPr>
        <w:widowControl/>
        <w:numPr>
          <w:ilvl w:val="0"/>
          <w:numId w:val="3"/>
        </w:numPr>
        <w:tabs>
          <w:tab w:val="left" w:pos="420"/>
        </w:tabs>
        <w:adjustRightInd w:val="0"/>
        <w:snapToGrid w:val="0"/>
        <w:ind w:left="0" w:leftChars="0" w:firstLine="400" w:firstLineChars="0"/>
        <w:jc w:val="left"/>
        <w:rPr>
          <w:color w:val="000000"/>
        </w:rPr>
      </w:pPr>
      <w:r>
        <w:rPr>
          <w:color w:val="000000"/>
        </w:rPr>
        <w:t>关于印发《土壤污染防治行动计划》的通知，国发[2016]31号，2016.5.28；</w:t>
      </w:r>
    </w:p>
    <w:p w14:paraId="544A423B">
      <w:pPr>
        <w:widowControl/>
        <w:numPr>
          <w:ilvl w:val="0"/>
          <w:numId w:val="3"/>
        </w:numPr>
        <w:tabs>
          <w:tab w:val="left" w:pos="420"/>
        </w:tabs>
        <w:adjustRightInd w:val="0"/>
        <w:snapToGrid w:val="0"/>
        <w:ind w:left="0" w:leftChars="0" w:firstLine="400" w:firstLineChars="0"/>
        <w:jc w:val="left"/>
        <w:rPr>
          <w:color w:val="000000"/>
        </w:rPr>
      </w:pPr>
      <w:r>
        <w:rPr>
          <w:color w:val="000000"/>
        </w:rPr>
        <w:t>《建设项目竣工环境保护验收暂行办法》（国环规环评[2017]4号）；</w:t>
      </w:r>
    </w:p>
    <w:p w14:paraId="54041427">
      <w:pPr>
        <w:widowControl/>
        <w:numPr>
          <w:ilvl w:val="0"/>
          <w:numId w:val="3"/>
        </w:numPr>
        <w:tabs>
          <w:tab w:val="left" w:pos="420"/>
        </w:tabs>
        <w:adjustRightInd w:val="0"/>
        <w:snapToGrid w:val="0"/>
        <w:ind w:left="0" w:leftChars="0" w:firstLine="400" w:firstLineChars="0"/>
        <w:jc w:val="left"/>
        <w:rPr>
          <w:color w:val="000000"/>
        </w:rPr>
      </w:pPr>
      <w:r>
        <w:rPr>
          <w:color w:val="000000"/>
          <w:szCs w:val="28"/>
        </w:rPr>
        <w:t>《排污单位自行监测技术指南 总则》（2017年6月1日实施）</w:t>
      </w:r>
      <w:r>
        <w:rPr>
          <w:rFonts w:hint="eastAsia"/>
          <w:color w:val="000000"/>
          <w:szCs w:val="28"/>
        </w:rPr>
        <w:t>。</w:t>
      </w:r>
    </w:p>
    <w:p w14:paraId="229FA24E">
      <w:pPr>
        <w:pStyle w:val="5"/>
      </w:pPr>
      <w:r>
        <w:t>2.3.2地方法律法规</w:t>
      </w:r>
    </w:p>
    <w:p w14:paraId="08CCF655">
      <w:pPr>
        <w:widowControl/>
        <w:numPr>
          <w:ilvl w:val="0"/>
          <w:numId w:val="4"/>
        </w:numPr>
        <w:tabs>
          <w:tab w:val="left" w:pos="420"/>
        </w:tabs>
        <w:adjustRightInd w:val="0"/>
        <w:snapToGrid w:val="0"/>
        <w:ind w:left="0" w:leftChars="0" w:firstLine="400" w:firstLineChars="0"/>
        <w:jc w:val="left"/>
        <w:rPr>
          <w:color w:val="000000"/>
        </w:rPr>
      </w:pPr>
      <w:r>
        <w:rPr>
          <w:color w:val="000000"/>
        </w:rPr>
        <w:t>《辽宁省环境保护条例》，</w:t>
      </w:r>
      <w:r>
        <w:t>2018.2.1</w:t>
      </w:r>
      <w:r>
        <w:rPr>
          <w:color w:val="000000"/>
        </w:rPr>
        <w:t>；</w:t>
      </w:r>
    </w:p>
    <w:p w14:paraId="46C515DC">
      <w:pPr>
        <w:rPr>
          <w:color w:val="000000"/>
        </w:rPr>
      </w:pPr>
      <w:r>
        <w:rPr>
          <w:color w:val="000000"/>
        </w:rPr>
        <w:t>《辽宁省环境保护</w:t>
      </w:r>
      <w:r>
        <w:rPr>
          <w:rFonts w:ascii="宋体" w:eastAsia="宋体"/>
          <w:lang w:eastAsia="zh-CN"/>
        </w:rPr>
        <w:t>““十三五”规划”</w:t>
      </w:r>
      <w:r>
        <w:rPr>
          <w:color w:val="000000"/>
        </w:rPr>
        <w:t>》（辽政办发[2016]76号）；</w:t>
      </w:r>
    </w:p>
    <w:p w14:paraId="1B71D794">
      <w:pPr>
        <w:widowControl/>
        <w:numPr>
          <w:ilvl w:val="0"/>
          <w:numId w:val="4"/>
        </w:numPr>
        <w:tabs>
          <w:tab w:val="left" w:pos="420"/>
        </w:tabs>
        <w:adjustRightInd w:val="0"/>
        <w:snapToGrid w:val="0"/>
        <w:ind w:left="0" w:leftChars="0" w:firstLine="400" w:firstLineChars="0"/>
        <w:jc w:val="left"/>
        <w:rPr>
          <w:color w:val="000000"/>
        </w:rPr>
      </w:pPr>
      <w:r>
        <w:t>《辽宁省大气污染防治条例》，2017.8.1</w:t>
      </w:r>
    </w:p>
    <w:p w14:paraId="17D59D01">
      <w:pPr>
        <w:numPr>
          <w:ilvl w:val="0"/>
          <w:numId w:val="4"/>
        </w:numPr>
        <w:tabs>
          <w:tab w:val="left" w:pos="420"/>
        </w:tabs>
        <w:adjustRightInd w:val="0"/>
        <w:snapToGrid w:val="0"/>
        <w:ind w:left="0" w:leftChars="0" w:firstLine="400" w:firstLineChars="0"/>
        <w:jc w:val="left"/>
        <w:rPr>
          <w:color w:val="000000"/>
        </w:rPr>
      </w:pPr>
      <w:r>
        <w:rPr>
          <w:color w:val="000000"/>
        </w:rPr>
        <w:t>《辽宁省环境保护厅关于贯彻执行环保部建设项目主要污染物排放总量指标审核及管理暂行办法的通知》（辽环发[2015]17 号）；</w:t>
      </w:r>
    </w:p>
    <w:p w14:paraId="5242BDD9">
      <w:pPr>
        <w:widowControl/>
        <w:numPr>
          <w:ilvl w:val="0"/>
          <w:numId w:val="4"/>
        </w:numPr>
        <w:tabs>
          <w:tab w:val="left" w:pos="420"/>
        </w:tabs>
        <w:adjustRightInd w:val="0"/>
        <w:snapToGrid w:val="0"/>
        <w:ind w:left="0" w:leftChars="0" w:firstLine="400" w:firstLineChars="0"/>
        <w:jc w:val="left"/>
        <w:rPr>
          <w:color w:val="000000"/>
        </w:rPr>
      </w:pPr>
      <w:r>
        <w:rPr>
          <w:color w:val="000000"/>
        </w:rPr>
        <w:t>《关于加强建设项目环境影响评价管理和环境风险防范工作的通知》，辽宁省环境保护厅，辽环函[2012]346号，2012.8.28；</w:t>
      </w:r>
    </w:p>
    <w:p w14:paraId="0DBD068E">
      <w:pPr>
        <w:widowControl/>
        <w:numPr>
          <w:ilvl w:val="0"/>
          <w:numId w:val="4"/>
        </w:numPr>
        <w:tabs>
          <w:tab w:val="left" w:pos="420"/>
        </w:tabs>
        <w:adjustRightInd w:val="0"/>
        <w:snapToGrid w:val="0"/>
        <w:ind w:left="0" w:leftChars="0" w:firstLine="400" w:firstLineChars="0"/>
        <w:jc w:val="left"/>
        <w:rPr>
          <w:color w:val="000000"/>
        </w:rPr>
      </w:pPr>
      <w:r>
        <w:rPr>
          <w:color w:val="000000"/>
        </w:rPr>
        <w:t>《辽宁省主体功能区划》（辽政发[2014]11号）；</w:t>
      </w:r>
    </w:p>
    <w:p w14:paraId="4086B380">
      <w:pPr>
        <w:numPr>
          <w:ilvl w:val="0"/>
          <w:numId w:val="4"/>
        </w:numPr>
        <w:tabs>
          <w:tab w:val="left" w:pos="420"/>
        </w:tabs>
        <w:adjustRightInd w:val="0"/>
        <w:snapToGrid w:val="0"/>
        <w:ind w:left="0" w:leftChars="0" w:firstLine="400" w:firstLineChars="0"/>
        <w:jc w:val="left"/>
        <w:rPr>
          <w:color w:val="000000"/>
        </w:rPr>
      </w:pPr>
      <w:r>
        <w:rPr>
          <w:color w:val="000000"/>
        </w:rPr>
        <w:t>《辽宁省大气污染防治行动计划实施方案》(辽政发[2014]8号)，2014.3.13；</w:t>
      </w:r>
    </w:p>
    <w:p w14:paraId="4EB55E00">
      <w:pPr>
        <w:numPr>
          <w:ilvl w:val="0"/>
          <w:numId w:val="4"/>
        </w:numPr>
        <w:tabs>
          <w:tab w:val="left" w:pos="420"/>
        </w:tabs>
        <w:adjustRightInd w:val="0"/>
        <w:snapToGrid w:val="0"/>
        <w:ind w:left="0" w:leftChars="0" w:firstLine="400" w:firstLineChars="0"/>
        <w:jc w:val="left"/>
        <w:rPr>
          <w:color w:val="000000"/>
        </w:rPr>
      </w:pPr>
      <w:r>
        <w:rPr>
          <w:color w:val="000000"/>
        </w:rPr>
        <w:t>《辽宁省水污染防治行动计划实施方案》(辽政发[2015]79号)，2015.12.31；</w:t>
      </w:r>
    </w:p>
    <w:p w14:paraId="09348A31">
      <w:pPr>
        <w:numPr>
          <w:ilvl w:val="0"/>
          <w:numId w:val="4"/>
        </w:numPr>
        <w:tabs>
          <w:tab w:val="left" w:pos="420"/>
        </w:tabs>
        <w:adjustRightInd w:val="0"/>
        <w:snapToGrid w:val="0"/>
        <w:ind w:left="0" w:leftChars="0" w:firstLine="400" w:firstLineChars="0"/>
        <w:jc w:val="left"/>
        <w:rPr>
          <w:color w:val="000000"/>
        </w:rPr>
      </w:pPr>
      <w:r>
        <w:rPr>
          <w:color w:val="000000"/>
        </w:rPr>
        <w:t>《辽宁省土壤污染防治工作实施方案》(辽政发[2016]58号)，2016.8.24；</w:t>
      </w:r>
    </w:p>
    <w:p w14:paraId="0F7337D4">
      <w:pPr>
        <w:numPr>
          <w:ilvl w:val="0"/>
          <w:numId w:val="4"/>
        </w:numPr>
        <w:tabs>
          <w:tab w:val="left" w:pos="420"/>
        </w:tabs>
        <w:adjustRightInd w:val="0"/>
        <w:snapToGrid w:val="0"/>
        <w:ind w:left="0" w:leftChars="0" w:firstLine="400" w:firstLineChars="0"/>
        <w:jc w:val="left"/>
      </w:pPr>
      <w:r>
        <w:rPr>
          <w:color w:val="000000"/>
        </w:rPr>
        <w:t>中共辽宁省委办公厅辽宁省人民政府办公厅关于印发《辽宁省污染防治攻坚战三年专项行动方案(2018—2020年)》的通知；</w:t>
      </w:r>
      <w:r>
        <w:t>中共辽宁省委办公厅辽宁省人民政府办公厅，2018.6；</w:t>
      </w:r>
    </w:p>
    <w:p w14:paraId="1DA5944F">
      <w:pPr>
        <w:numPr>
          <w:ilvl w:val="0"/>
          <w:numId w:val="4"/>
        </w:numPr>
        <w:tabs>
          <w:tab w:val="left" w:pos="420"/>
        </w:tabs>
        <w:adjustRightInd w:val="0"/>
        <w:snapToGrid w:val="0"/>
        <w:ind w:left="0" w:leftChars="0" w:firstLine="400" w:firstLineChars="0"/>
        <w:jc w:val="left"/>
        <w:rPr>
          <w:rFonts w:ascii="Times New Roman" w:hAnsi="Times New Roman" w:eastAsia="宋体" w:cs="Times New Roman"/>
          <w:color w:val="000000"/>
          <w:kern w:val="2"/>
          <w:sz w:val="24"/>
          <w:szCs w:val="24"/>
          <w:lang w:val="en-US" w:eastAsia="zh-CN" w:bidi="ar-SA"/>
        </w:rPr>
      </w:pPr>
      <w:r>
        <w:rPr>
          <w:color w:val="000000"/>
        </w:rPr>
        <w:t>辽宁省人民政府关于印发辽宁省打赢蓝天保卫战三年行动方案（2018—2020年）的通知（辽政发〔2018〕31号），</w:t>
      </w:r>
      <w:r>
        <w:rPr>
          <w:color w:val="000000"/>
          <w:kern w:val="0"/>
          <w:sz w:val="22"/>
        </w:rPr>
        <w:t>2018.10.13</w:t>
      </w:r>
      <w:r>
        <w:rPr>
          <w:rFonts w:hint="eastAsia"/>
          <w:color w:val="000000"/>
          <w:kern w:val="0"/>
          <w:sz w:val="22"/>
          <w:lang w:eastAsia="zh-CN"/>
        </w:rPr>
        <w:t>；</w:t>
      </w:r>
    </w:p>
    <w:p w14:paraId="21C656D3">
      <w:pPr>
        <w:numPr>
          <w:ilvl w:val="0"/>
          <w:numId w:val="4"/>
        </w:numPr>
        <w:tabs>
          <w:tab w:val="left" w:pos="420"/>
        </w:tabs>
        <w:adjustRightInd w:val="0"/>
        <w:snapToGrid w:val="0"/>
        <w:ind w:left="0" w:leftChars="0" w:firstLine="400" w:firstLineChars="0"/>
        <w:jc w:val="left"/>
        <w:rPr>
          <w:rFonts w:ascii="Times New Roman" w:hAnsi="Times New Roman" w:eastAsia="宋体" w:cs="Times New Roman"/>
          <w:color w:val="000000"/>
          <w:kern w:val="2"/>
          <w:sz w:val="24"/>
          <w:szCs w:val="24"/>
          <w:lang w:val="en-US" w:eastAsia="zh-CN" w:bidi="ar-SA"/>
        </w:rPr>
      </w:pPr>
      <w:r>
        <w:rPr>
          <w:rFonts w:ascii="Times New Roman" w:hAnsi="Times New Roman" w:eastAsia="宋体" w:cs="Times New Roman"/>
          <w:color w:val="000000"/>
          <w:kern w:val="2"/>
          <w:sz w:val="24"/>
          <w:szCs w:val="24"/>
          <w:lang w:val="en-US" w:eastAsia="zh-CN" w:bidi="ar-SA"/>
        </w:rPr>
        <w:t>《排污单位自行监测技术指南 电镀工业》（HJ985-2018）</w:t>
      </w:r>
      <w:r>
        <w:rPr>
          <w:rFonts w:hint="eastAsia" w:ascii="Times New Roman" w:hAnsi="Times New Roman" w:cs="Times New Roman"/>
          <w:color w:val="000000"/>
          <w:kern w:val="2"/>
          <w:sz w:val="24"/>
          <w:szCs w:val="24"/>
          <w:lang w:val="en-US" w:eastAsia="zh-CN" w:bidi="ar-SA"/>
        </w:rPr>
        <w:t>。</w:t>
      </w:r>
    </w:p>
    <w:p w14:paraId="7BAE02F3">
      <w:pPr>
        <w:pStyle w:val="5"/>
      </w:pPr>
      <w:r>
        <w:t>2.3.3技术导则与规范</w:t>
      </w:r>
    </w:p>
    <w:p w14:paraId="00BC78DB">
      <w:pPr>
        <w:numPr>
          <w:ilvl w:val="0"/>
          <w:numId w:val="5"/>
        </w:numPr>
        <w:tabs>
          <w:tab w:val="left" w:pos="420"/>
        </w:tabs>
        <w:adjustRightInd w:val="0"/>
        <w:snapToGrid w:val="0"/>
        <w:ind w:left="0" w:leftChars="0" w:firstLine="400" w:firstLineChars="0"/>
        <w:jc w:val="left"/>
        <w:rPr>
          <w:color w:val="000000"/>
        </w:rPr>
      </w:pPr>
      <w:r>
        <w:rPr>
          <w:color w:val="000000"/>
        </w:rPr>
        <w:t>《环境影响评价技术导则-总纲》（HJ2.1-2016）；</w:t>
      </w:r>
    </w:p>
    <w:p w14:paraId="5AB459C5">
      <w:pPr>
        <w:numPr>
          <w:ilvl w:val="0"/>
          <w:numId w:val="5"/>
        </w:numPr>
        <w:tabs>
          <w:tab w:val="left" w:pos="420"/>
        </w:tabs>
        <w:adjustRightInd w:val="0"/>
        <w:snapToGrid w:val="0"/>
        <w:ind w:left="0" w:leftChars="0" w:firstLine="400" w:firstLineChars="0"/>
        <w:jc w:val="left"/>
        <w:rPr>
          <w:color w:val="000000"/>
        </w:rPr>
      </w:pPr>
      <w:r>
        <w:rPr>
          <w:color w:val="000000"/>
        </w:rPr>
        <w:t>《环境影响评价技术导则-大气环境》（HJ2.2-2018）；</w:t>
      </w:r>
    </w:p>
    <w:p w14:paraId="1D1C177E">
      <w:pPr>
        <w:numPr>
          <w:ilvl w:val="0"/>
          <w:numId w:val="5"/>
        </w:numPr>
        <w:tabs>
          <w:tab w:val="left" w:pos="420"/>
        </w:tabs>
        <w:adjustRightInd w:val="0"/>
        <w:snapToGrid w:val="0"/>
        <w:ind w:left="0" w:leftChars="0" w:firstLine="400" w:firstLineChars="0"/>
        <w:jc w:val="left"/>
        <w:rPr>
          <w:color w:val="000000"/>
        </w:rPr>
      </w:pPr>
      <w:r>
        <w:rPr>
          <w:color w:val="000000"/>
        </w:rPr>
        <w:t>《环境影响评价技术导则-地表水环境》（HJ2.3-2018）；</w:t>
      </w:r>
    </w:p>
    <w:p w14:paraId="251EA087">
      <w:pPr>
        <w:numPr>
          <w:ilvl w:val="0"/>
          <w:numId w:val="5"/>
        </w:numPr>
        <w:tabs>
          <w:tab w:val="left" w:pos="420"/>
        </w:tabs>
        <w:adjustRightInd w:val="0"/>
        <w:snapToGrid w:val="0"/>
        <w:ind w:left="0" w:leftChars="0" w:firstLine="400" w:firstLineChars="0"/>
        <w:jc w:val="left"/>
        <w:rPr>
          <w:color w:val="000000"/>
        </w:rPr>
      </w:pPr>
      <w:r>
        <w:rPr>
          <w:color w:val="000000"/>
        </w:rPr>
        <w:t>《环境影响评价技术导则-声环境》（HJ2.4-2009）；</w:t>
      </w:r>
    </w:p>
    <w:p w14:paraId="3B230D64">
      <w:pPr>
        <w:numPr>
          <w:ilvl w:val="0"/>
          <w:numId w:val="5"/>
        </w:numPr>
        <w:tabs>
          <w:tab w:val="left" w:pos="420"/>
        </w:tabs>
        <w:adjustRightInd w:val="0"/>
        <w:snapToGrid w:val="0"/>
        <w:ind w:left="0" w:leftChars="0" w:firstLine="400" w:firstLineChars="0"/>
        <w:jc w:val="left"/>
        <w:rPr>
          <w:color w:val="000000"/>
        </w:rPr>
      </w:pPr>
      <w:r>
        <w:rPr>
          <w:color w:val="000000"/>
        </w:rPr>
        <w:t>《环境影响评价技术导则-地下水环境》（HJ610-2016）；</w:t>
      </w:r>
    </w:p>
    <w:p w14:paraId="12BF46A4">
      <w:pPr>
        <w:numPr>
          <w:ilvl w:val="0"/>
          <w:numId w:val="5"/>
        </w:numPr>
        <w:tabs>
          <w:tab w:val="left" w:pos="420"/>
        </w:tabs>
        <w:adjustRightInd w:val="0"/>
        <w:snapToGrid w:val="0"/>
        <w:ind w:left="0" w:leftChars="0" w:firstLine="400" w:firstLineChars="0"/>
        <w:jc w:val="left"/>
        <w:rPr>
          <w:color w:val="000000"/>
        </w:rPr>
      </w:pPr>
      <w:r>
        <w:rPr>
          <w:color w:val="000000"/>
        </w:rPr>
        <w:t>《建设项目环境风险评价技术导则》（HJ169-2018）；</w:t>
      </w:r>
    </w:p>
    <w:p w14:paraId="73A18599">
      <w:pPr>
        <w:numPr>
          <w:ilvl w:val="0"/>
          <w:numId w:val="5"/>
        </w:numPr>
        <w:tabs>
          <w:tab w:val="left" w:pos="420"/>
        </w:tabs>
        <w:adjustRightInd w:val="0"/>
        <w:snapToGrid w:val="0"/>
        <w:ind w:left="0" w:leftChars="0" w:firstLine="400" w:firstLineChars="0"/>
        <w:jc w:val="left"/>
        <w:rPr>
          <w:color w:val="000000"/>
        </w:rPr>
      </w:pPr>
      <w:r>
        <w:rPr>
          <w:color w:val="000000"/>
        </w:rPr>
        <w:t>《环境影响评价技术导则-</w:t>
      </w:r>
      <w:r>
        <w:rPr>
          <w:rFonts w:hint="eastAsia"/>
          <w:color w:val="000000"/>
        </w:rPr>
        <w:t>土壤</w:t>
      </w:r>
      <w:r>
        <w:rPr>
          <w:color w:val="000000"/>
        </w:rPr>
        <w:t>环境》（HJ964-2018）</w:t>
      </w:r>
      <w:r>
        <w:rPr>
          <w:rFonts w:hint="eastAsia"/>
          <w:color w:val="000000"/>
        </w:rPr>
        <w:t>。</w:t>
      </w:r>
    </w:p>
    <w:p w14:paraId="2D6BC7AB">
      <w:pPr>
        <w:pStyle w:val="5"/>
      </w:pPr>
      <w:r>
        <w:t>2.3.4其他有关项目技术文件</w:t>
      </w:r>
    </w:p>
    <w:p w14:paraId="0BAD0F31">
      <w:pPr>
        <w:ind w:firstLine="480" w:firstLineChars="200"/>
        <w:rPr>
          <w:color w:val="000000"/>
        </w:rPr>
      </w:pPr>
      <w:r>
        <w:rPr>
          <w:color w:val="000000"/>
        </w:rPr>
        <w:t>（1）</w:t>
      </w:r>
      <w:r>
        <w:rPr>
          <w:rFonts w:ascii="Times New Roman" w:hAnsi="Times New Roman"/>
          <w:color w:val="000000"/>
        </w:rPr>
        <w:t>关于</w:t>
      </w:r>
      <w:r>
        <w:rPr>
          <w:rFonts w:hint="eastAsia" w:ascii="Times New Roman" w:hAnsi="Times New Roman"/>
          <w:color w:val="000000"/>
          <w:lang w:eastAsia="zh-CN"/>
        </w:rPr>
        <w:t>本溪佰汇铜业有限公司环保型铜排表面处理自动生产线项目</w:t>
      </w:r>
      <w:r>
        <w:rPr>
          <w:rFonts w:ascii="Times New Roman" w:hAnsi="Times New Roman"/>
          <w:color w:val="000000"/>
        </w:rPr>
        <w:t>环</w:t>
      </w:r>
      <w:r>
        <w:rPr>
          <w:color w:val="000000"/>
        </w:rPr>
        <w:t>境影响评价工作的委托书（附件1）；</w:t>
      </w:r>
    </w:p>
    <w:p w14:paraId="37662D71">
      <w:pPr>
        <w:ind w:firstLine="480" w:firstLineChars="200"/>
        <w:rPr>
          <w:color w:val="000000"/>
        </w:rPr>
      </w:pPr>
      <w:r>
        <w:rPr>
          <w:color w:val="000000"/>
        </w:rPr>
        <w:t>（2）《</w:t>
      </w:r>
      <w:r>
        <w:rPr>
          <w:rFonts w:hint="eastAsia" w:ascii="Times New Roman" w:hAnsi="Times New Roman"/>
          <w:color w:val="000000"/>
          <w:lang w:eastAsia="zh-CN"/>
        </w:rPr>
        <w:t>本溪佰汇铜业有限公司环保型铜排表面处理自动生产线项目基本情况报告</w:t>
      </w:r>
      <w:r>
        <w:rPr>
          <w:color w:val="000000"/>
        </w:rPr>
        <w:t>》；</w:t>
      </w:r>
    </w:p>
    <w:p w14:paraId="04ACF535">
      <w:pPr>
        <w:ind w:firstLine="480" w:firstLineChars="200"/>
        <w:rPr>
          <w:rFonts w:hint="eastAsia"/>
          <w:color w:val="000000"/>
          <w:lang w:eastAsia="zh-CN"/>
        </w:rPr>
      </w:pPr>
      <w:r>
        <w:rPr>
          <w:color w:val="000000"/>
        </w:rPr>
        <w:t>（3）《</w:t>
      </w:r>
      <w:r>
        <w:rPr>
          <w:rFonts w:hint="eastAsia" w:ascii="Times New Roman" w:hAnsi="Times New Roman"/>
          <w:color w:val="000000"/>
          <w:lang w:eastAsia="zh-CN"/>
        </w:rPr>
        <w:t>本溪佰汇铜业有限公司采用先进连续挤压生产工艺项目环评报告表</w:t>
      </w:r>
      <w:r>
        <w:rPr>
          <w:color w:val="000000"/>
        </w:rPr>
        <w:t>》（</w:t>
      </w:r>
      <w:r>
        <w:rPr>
          <w:rFonts w:hint="eastAsia"/>
          <w:color w:val="000000"/>
          <w:lang w:eastAsia="zh-CN"/>
        </w:rPr>
        <w:t>北京华夏博信环境咨询有限公司</w:t>
      </w:r>
      <w:r>
        <w:rPr>
          <w:rFonts w:hint="eastAsia"/>
          <w:color w:val="000000"/>
          <w:lang w:val="en-US" w:eastAsia="zh-CN"/>
        </w:rPr>
        <w:t xml:space="preserve"> 2016.3</w:t>
      </w:r>
      <w:r>
        <w:rPr>
          <w:color w:val="000000"/>
        </w:rPr>
        <w:t>）</w:t>
      </w:r>
      <w:r>
        <w:rPr>
          <w:rFonts w:hint="eastAsia"/>
          <w:color w:val="000000"/>
          <w:lang w:eastAsia="zh-CN"/>
        </w:rPr>
        <w:t>；</w:t>
      </w:r>
    </w:p>
    <w:p w14:paraId="532890E7">
      <w:pPr>
        <w:ind w:firstLine="480" w:firstLineChars="200"/>
        <w:rPr>
          <w:color w:val="000000"/>
        </w:rPr>
      </w:pPr>
      <w:r>
        <w:rPr>
          <w:rFonts w:hint="eastAsia"/>
          <w:color w:val="000000"/>
          <w:lang w:eastAsia="zh-CN"/>
        </w:rPr>
        <w:t>（</w:t>
      </w:r>
      <w:r>
        <w:rPr>
          <w:rFonts w:hint="eastAsia"/>
          <w:color w:val="000000"/>
          <w:lang w:val="en-US" w:eastAsia="zh-CN"/>
        </w:rPr>
        <w:t>4</w:t>
      </w:r>
      <w:r>
        <w:rPr>
          <w:rFonts w:hint="eastAsia"/>
          <w:color w:val="000000"/>
          <w:lang w:eastAsia="zh-CN"/>
        </w:rPr>
        <w:t>）</w:t>
      </w:r>
      <w:r>
        <w:rPr>
          <w:rFonts w:hint="eastAsia"/>
          <w:lang w:val="en-US" w:eastAsia="zh-CN"/>
        </w:rPr>
        <w:t>本溪市溪湖区环境保护局于2016年4月7日出具“关于</w:t>
      </w:r>
      <w:r>
        <w:rPr>
          <w:rFonts w:hint="eastAsia"/>
          <w:lang w:eastAsia="zh-CN"/>
        </w:rPr>
        <w:t>本溪佰汇铜业有限公司采用先进连续挤压生产工艺项目环境影响报告表的批复（溪环建字</w:t>
      </w:r>
      <w:r>
        <w:rPr>
          <w:rFonts w:hint="eastAsia"/>
          <w:lang w:val="en-US" w:eastAsia="zh-CN"/>
        </w:rPr>
        <w:t>[2016]04号</w:t>
      </w:r>
      <w:r>
        <w:rPr>
          <w:rFonts w:hint="eastAsia"/>
          <w:lang w:eastAsia="zh-CN"/>
        </w:rPr>
        <w:t>）</w:t>
      </w:r>
      <w:r>
        <w:rPr>
          <w:rFonts w:hint="eastAsia"/>
          <w:lang w:val="en-US" w:eastAsia="zh-CN"/>
        </w:rPr>
        <w:t>”</w:t>
      </w:r>
      <w:r>
        <w:rPr>
          <w:rFonts w:hint="eastAsia"/>
          <w:color w:val="000000"/>
        </w:rPr>
        <w:t>。</w:t>
      </w:r>
    </w:p>
    <w:p w14:paraId="03BE988C">
      <w:pPr>
        <w:pStyle w:val="3"/>
      </w:pPr>
      <w:bookmarkStart w:id="74" w:name="_Toc5965"/>
      <w:bookmarkStart w:id="75" w:name="_Toc12793"/>
      <w:bookmarkStart w:id="76" w:name="_Toc343689902"/>
      <w:r>
        <w:t>2.4环境影响识别与评价因子</w:t>
      </w:r>
      <w:bookmarkEnd w:id="74"/>
      <w:bookmarkEnd w:id="75"/>
    </w:p>
    <w:p w14:paraId="0B527BFB">
      <w:pPr>
        <w:pStyle w:val="5"/>
      </w:pPr>
      <w:r>
        <w:t>2.4.1环境影响识别</w:t>
      </w:r>
    </w:p>
    <w:p w14:paraId="014506F5">
      <w:pPr>
        <w:spacing w:line="360" w:lineRule="auto"/>
        <w:ind w:firstLine="480" w:firstLineChars="200"/>
        <w:rPr>
          <w:color w:val="000000"/>
        </w:rPr>
      </w:pPr>
      <w:r>
        <w:rPr>
          <w:color w:val="000000"/>
        </w:rPr>
        <w:t>根据本项目工程概况、主要污染源及污染物的排放情况，结合建设地区的自然环境概况、社会环境概况和环境质量概况，以及建设项目对周围环境的影响程度、影响性质和影响范围，综合分析，本项目环境影响因素识别见下表：</w:t>
      </w:r>
    </w:p>
    <w:p w14:paraId="601C725B">
      <w:pPr>
        <w:spacing w:line="360" w:lineRule="exact"/>
        <w:ind w:firstLine="620" w:firstLineChars="294"/>
        <w:jc w:val="center"/>
        <w:rPr>
          <w:b/>
          <w:color w:val="000000"/>
          <w:sz w:val="21"/>
          <w:szCs w:val="21"/>
        </w:rPr>
      </w:pPr>
      <w:r>
        <w:rPr>
          <w:b/>
          <w:color w:val="000000"/>
          <w:sz w:val="21"/>
          <w:szCs w:val="21"/>
        </w:rPr>
        <w:t>表</w:t>
      </w:r>
      <w:r>
        <w:rPr>
          <w:rFonts w:hint="eastAsia"/>
          <w:b/>
          <w:color w:val="000000"/>
          <w:sz w:val="21"/>
          <w:szCs w:val="21"/>
          <w:lang w:val="en-US" w:eastAsia="zh-CN"/>
        </w:rPr>
        <w:t>2-1</w:t>
      </w:r>
      <w:r>
        <w:rPr>
          <w:b/>
          <w:color w:val="000000"/>
          <w:sz w:val="21"/>
          <w:szCs w:val="21"/>
        </w:rPr>
        <w:t>环境影响要素识别矩阵表</w:t>
      </w:r>
    </w:p>
    <w:tbl>
      <w:tblPr>
        <w:tblStyle w:val="52"/>
        <w:tblW w:w="4997"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581"/>
        <w:gridCol w:w="1441"/>
        <w:gridCol w:w="916"/>
        <w:gridCol w:w="916"/>
        <w:gridCol w:w="916"/>
        <w:gridCol w:w="916"/>
        <w:gridCol w:w="917"/>
        <w:gridCol w:w="917"/>
        <w:gridCol w:w="917"/>
      </w:tblGrid>
      <w:tr w14:paraId="13841A6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1198" w:type="pct"/>
            <w:gridSpan w:val="2"/>
            <w:tcBorders>
              <w:top w:val="single" w:color="auto" w:sz="12" w:space="0"/>
              <w:left w:val="nil"/>
              <w:bottom w:val="single" w:color="auto" w:sz="6" w:space="0"/>
              <w:right w:val="single" w:color="auto" w:sz="6" w:space="0"/>
            </w:tcBorders>
            <w:vAlign w:val="center"/>
          </w:tcPr>
          <w:p w14:paraId="5B6E931D">
            <w:pPr>
              <w:pStyle w:val="317"/>
              <w:keepNext w:val="0"/>
              <w:keepLines w:val="0"/>
              <w:pageBreakBefore w:val="0"/>
              <w:kinsoku/>
              <w:wordWrap/>
              <w:overflowPunct/>
              <w:topLinePunct w:val="0"/>
              <w:bidi w:val="0"/>
              <w:snapToGrid/>
              <w:ind w:firstLine="0" w:firstLineChars="0"/>
              <w:textAlignment w:val="auto"/>
              <w:rPr>
                <w:color w:val="000000"/>
                <w:sz w:val="21"/>
                <w:szCs w:val="21"/>
              </w:rPr>
            </w:pPr>
            <w:r>
              <w:rPr>
                <w:color w:val="000000"/>
                <w:sz w:val="21"/>
                <w:szCs w:val="21"/>
              </w:rPr>
              <w:t>环境要素</w:t>
            </w:r>
          </w:p>
        </w:tc>
        <w:tc>
          <w:tcPr>
            <w:tcW w:w="543" w:type="pct"/>
            <w:tcBorders>
              <w:top w:val="single" w:color="auto" w:sz="12" w:space="0"/>
              <w:left w:val="single" w:color="auto" w:sz="6" w:space="0"/>
              <w:bottom w:val="single" w:color="auto" w:sz="6" w:space="0"/>
              <w:right w:val="single" w:color="auto" w:sz="6" w:space="0"/>
            </w:tcBorders>
            <w:vAlign w:val="center"/>
          </w:tcPr>
          <w:p w14:paraId="67461647">
            <w:pPr>
              <w:pStyle w:val="317"/>
              <w:keepNext w:val="0"/>
              <w:keepLines w:val="0"/>
              <w:pageBreakBefore w:val="0"/>
              <w:kinsoku/>
              <w:wordWrap/>
              <w:overflowPunct/>
              <w:topLinePunct w:val="0"/>
              <w:bidi w:val="0"/>
              <w:snapToGrid/>
              <w:ind w:firstLine="0" w:firstLineChars="0"/>
              <w:textAlignment w:val="auto"/>
              <w:rPr>
                <w:color w:val="000000"/>
                <w:sz w:val="21"/>
                <w:szCs w:val="21"/>
              </w:rPr>
            </w:pPr>
            <w:r>
              <w:rPr>
                <w:color w:val="000000"/>
                <w:sz w:val="21"/>
                <w:szCs w:val="21"/>
              </w:rPr>
              <w:t>地表水</w:t>
            </w:r>
          </w:p>
        </w:tc>
        <w:tc>
          <w:tcPr>
            <w:tcW w:w="543" w:type="pct"/>
            <w:tcBorders>
              <w:top w:val="single" w:color="auto" w:sz="12" w:space="0"/>
              <w:left w:val="single" w:color="auto" w:sz="6" w:space="0"/>
              <w:bottom w:val="single" w:color="auto" w:sz="6" w:space="0"/>
              <w:right w:val="single" w:color="auto" w:sz="6" w:space="0"/>
            </w:tcBorders>
            <w:tcMar>
              <w:top w:w="0" w:type="dxa"/>
              <w:left w:w="28" w:type="dxa"/>
              <w:bottom w:w="0" w:type="dxa"/>
              <w:right w:w="28" w:type="dxa"/>
            </w:tcMar>
            <w:vAlign w:val="center"/>
          </w:tcPr>
          <w:p w14:paraId="7D106BC3">
            <w:pPr>
              <w:pStyle w:val="317"/>
              <w:keepNext w:val="0"/>
              <w:keepLines w:val="0"/>
              <w:pageBreakBefore w:val="0"/>
              <w:kinsoku/>
              <w:wordWrap/>
              <w:overflowPunct/>
              <w:topLinePunct w:val="0"/>
              <w:bidi w:val="0"/>
              <w:snapToGrid/>
              <w:ind w:firstLine="0" w:firstLineChars="0"/>
              <w:textAlignment w:val="auto"/>
              <w:rPr>
                <w:color w:val="000000"/>
                <w:sz w:val="21"/>
                <w:szCs w:val="21"/>
              </w:rPr>
            </w:pPr>
            <w:r>
              <w:rPr>
                <w:color w:val="000000"/>
                <w:sz w:val="21"/>
                <w:szCs w:val="21"/>
              </w:rPr>
              <w:t>空气环境</w:t>
            </w:r>
          </w:p>
        </w:tc>
        <w:tc>
          <w:tcPr>
            <w:tcW w:w="543" w:type="pct"/>
            <w:tcBorders>
              <w:top w:val="single" w:color="auto" w:sz="12" w:space="0"/>
              <w:left w:val="single" w:color="auto" w:sz="6" w:space="0"/>
              <w:bottom w:val="single" w:color="auto" w:sz="6" w:space="0"/>
              <w:right w:val="single" w:color="auto" w:sz="6" w:space="0"/>
            </w:tcBorders>
            <w:tcMar>
              <w:top w:w="0" w:type="dxa"/>
              <w:left w:w="28" w:type="dxa"/>
              <w:bottom w:w="0" w:type="dxa"/>
              <w:right w:w="28" w:type="dxa"/>
            </w:tcMar>
            <w:vAlign w:val="center"/>
          </w:tcPr>
          <w:p w14:paraId="7664D845">
            <w:pPr>
              <w:pStyle w:val="317"/>
              <w:keepNext w:val="0"/>
              <w:keepLines w:val="0"/>
              <w:pageBreakBefore w:val="0"/>
              <w:kinsoku/>
              <w:wordWrap/>
              <w:overflowPunct/>
              <w:topLinePunct w:val="0"/>
              <w:bidi w:val="0"/>
              <w:snapToGrid/>
              <w:ind w:firstLine="0" w:firstLineChars="0"/>
              <w:textAlignment w:val="auto"/>
              <w:rPr>
                <w:color w:val="000000"/>
                <w:sz w:val="21"/>
                <w:szCs w:val="21"/>
              </w:rPr>
            </w:pPr>
            <w:r>
              <w:rPr>
                <w:color w:val="000000"/>
                <w:sz w:val="21"/>
                <w:szCs w:val="21"/>
              </w:rPr>
              <w:t>声环境</w:t>
            </w:r>
          </w:p>
        </w:tc>
        <w:tc>
          <w:tcPr>
            <w:tcW w:w="543" w:type="pct"/>
            <w:tcBorders>
              <w:top w:val="single" w:color="auto" w:sz="12" w:space="0"/>
              <w:left w:val="single" w:color="auto" w:sz="6" w:space="0"/>
              <w:bottom w:val="single" w:color="auto" w:sz="6" w:space="0"/>
              <w:right w:val="single" w:color="auto" w:sz="6" w:space="0"/>
            </w:tcBorders>
            <w:tcMar>
              <w:top w:w="0" w:type="dxa"/>
              <w:left w:w="28" w:type="dxa"/>
              <w:bottom w:w="0" w:type="dxa"/>
              <w:right w:w="28" w:type="dxa"/>
            </w:tcMar>
            <w:vAlign w:val="center"/>
          </w:tcPr>
          <w:p w14:paraId="3F249D76">
            <w:pPr>
              <w:pStyle w:val="317"/>
              <w:keepNext w:val="0"/>
              <w:keepLines w:val="0"/>
              <w:pageBreakBefore w:val="0"/>
              <w:kinsoku/>
              <w:wordWrap/>
              <w:overflowPunct/>
              <w:topLinePunct w:val="0"/>
              <w:bidi w:val="0"/>
              <w:snapToGrid/>
              <w:ind w:firstLine="0" w:firstLineChars="0"/>
              <w:textAlignment w:val="auto"/>
              <w:rPr>
                <w:color w:val="000000"/>
                <w:sz w:val="21"/>
                <w:szCs w:val="21"/>
              </w:rPr>
            </w:pPr>
            <w:r>
              <w:rPr>
                <w:color w:val="000000"/>
                <w:sz w:val="21"/>
                <w:szCs w:val="21"/>
              </w:rPr>
              <w:t>固废</w:t>
            </w:r>
          </w:p>
        </w:tc>
        <w:tc>
          <w:tcPr>
            <w:tcW w:w="543" w:type="pct"/>
            <w:tcBorders>
              <w:top w:val="single" w:color="auto" w:sz="12" w:space="0"/>
              <w:left w:val="single" w:color="auto" w:sz="6" w:space="0"/>
              <w:bottom w:val="single" w:color="auto" w:sz="6" w:space="0"/>
              <w:right w:val="single" w:color="auto" w:sz="6" w:space="0"/>
            </w:tcBorders>
            <w:tcMar>
              <w:top w:w="0" w:type="dxa"/>
              <w:left w:w="28" w:type="dxa"/>
              <w:bottom w:w="0" w:type="dxa"/>
              <w:right w:w="28" w:type="dxa"/>
            </w:tcMar>
            <w:vAlign w:val="center"/>
          </w:tcPr>
          <w:p w14:paraId="070DBF07">
            <w:pPr>
              <w:pStyle w:val="317"/>
              <w:keepNext w:val="0"/>
              <w:keepLines w:val="0"/>
              <w:pageBreakBefore w:val="0"/>
              <w:kinsoku/>
              <w:wordWrap/>
              <w:overflowPunct/>
              <w:topLinePunct w:val="0"/>
              <w:bidi w:val="0"/>
              <w:snapToGrid/>
              <w:ind w:firstLine="0" w:firstLineChars="0"/>
              <w:textAlignment w:val="auto"/>
              <w:rPr>
                <w:color w:val="000000"/>
                <w:sz w:val="21"/>
                <w:szCs w:val="21"/>
              </w:rPr>
            </w:pPr>
            <w:r>
              <w:rPr>
                <w:color w:val="000000"/>
                <w:sz w:val="21"/>
                <w:szCs w:val="21"/>
              </w:rPr>
              <w:t>社会环境</w:t>
            </w:r>
          </w:p>
        </w:tc>
        <w:tc>
          <w:tcPr>
            <w:tcW w:w="543" w:type="pct"/>
            <w:tcBorders>
              <w:top w:val="single" w:color="auto" w:sz="12" w:space="0"/>
              <w:left w:val="single" w:color="auto" w:sz="6" w:space="0"/>
              <w:bottom w:val="single" w:color="auto" w:sz="6" w:space="0"/>
              <w:right w:val="single" w:color="auto" w:sz="6" w:space="0"/>
            </w:tcBorders>
            <w:tcMar>
              <w:top w:w="0" w:type="dxa"/>
              <w:left w:w="28" w:type="dxa"/>
              <w:bottom w:w="0" w:type="dxa"/>
              <w:right w:w="28" w:type="dxa"/>
            </w:tcMar>
            <w:vAlign w:val="center"/>
          </w:tcPr>
          <w:p w14:paraId="062AD83D">
            <w:pPr>
              <w:pStyle w:val="317"/>
              <w:keepNext w:val="0"/>
              <w:keepLines w:val="0"/>
              <w:pageBreakBefore w:val="0"/>
              <w:kinsoku/>
              <w:wordWrap/>
              <w:overflowPunct/>
              <w:topLinePunct w:val="0"/>
              <w:bidi w:val="0"/>
              <w:snapToGrid/>
              <w:ind w:firstLine="0" w:firstLineChars="0"/>
              <w:textAlignment w:val="auto"/>
              <w:rPr>
                <w:color w:val="000000"/>
                <w:sz w:val="21"/>
                <w:szCs w:val="21"/>
              </w:rPr>
            </w:pPr>
            <w:r>
              <w:rPr>
                <w:color w:val="000000"/>
                <w:sz w:val="21"/>
                <w:szCs w:val="21"/>
              </w:rPr>
              <w:t>地下水</w:t>
            </w:r>
          </w:p>
        </w:tc>
        <w:tc>
          <w:tcPr>
            <w:tcW w:w="543" w:type="pct"/>
            <w:tcBorders>
              <w:top w:val="single" w:color="auto" w:sz="12" w:space="0"/>
              <w:left w:val="single" w:color="auto" w:sz="6" w:space="0"/>
              <w:bottom w:val="single" w:color="auto" w:sz="6" w:space="0"/>
              <w:right w:val="nil"/>
            </w:tcBorders>
            <w:tcMar>
              <w:top w:w="0" w:type="dxa"/>
              <w:left w:w="28" w:type="dxa"/>
              <w:bottom w:w="0" w:type="dxa"/>
              <w:right w:w="28" w:type="dxa"/>
            </w:tcMar>
            <w:vAlign w:val="center"/>
          </w:tcPr>
          <w:p w14:paraId="46914B23">
            <w:pPr>
              <w:pStyle w:val="317"/>
              <w:keepNext w:val="0"/>
              <w:keepLines w:val="0"/>
              <w:pageBreakBefore w:val="0"/>
              <w:kinsoku/>
              <w:wordWrap/>
              <w:overflowPunct/>
              <w:topLinePunct w:val="0"/>
              <w:bidi w:val="0"/>
              <w:snapToGrid/>
              <w:ind w:firstLine="0" w:firstLineChars="0"/>
              <w:textAlignment w:val="auto"/>
              <w:rPr>
                <w:color w:val="000000"/>
                <w:sz w:val="21"/>
                <w:szCs w:val="21"/>
              </w:rPr>
            </w:pPr>
            <w:r>
              <w:rPr>
                <w:color w:val="000000"/>
                <w:sz w:val="21"/>
                <w:szCs w:val="21"/>
              </w:rPr>
              <w:t>生态环境</w:t>
            </w:r>
          </w:p>
        </w:tc>
      </w:tr>
      <w:tr w14:paraId="1694A5A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344" w:type="pct"/>
            <w:vMerge w:val="restart"/>
            <w:tcBorders>
              <w:top w:val="single" w:color="auto" w:sz="6" w:space="0"/>
              <w:left w:val="nil"/>
              <w:bottom w:val="single" w:color="auto" w:sz="12" w:space="0"/>
              <w:right w:val="single" w:color="auto" w:sz="6" w:space="0"/>
            </w:tcBorders>
            <w:vAlign w:val="center"/>
          </w:tcPr>
          <w:p w14:paraId="1826952B">
            <w:pPr>
              <w:pStyle w:val="317"/>
              <w:keepNext w:val="0"/>
              <w:keepLines w:val="0"/>
              <w:pageBreakBefore w:val="0"/>
              <w:kinsoku/>
              <w:wordWrap/>
              <w:overflowPunct/>
              <w:topLinePunct w:val="0"/>
              <w:bidi w:val="0"/>
              <w:snapToGrid/>
              <w:ind w:firstLine="0" w:firstLineChars="0"/>
              <w:textAlignment w:val="auto"/>
              <w:rPr>
                <w:color w:val="000000"/>
                <w:sz w:val="21"/>
                <w:szCs w:val="21"/>
              </w:rPr>
            </w:pPr>
            <w:r>
              <w:rPr>
                <w:color w:val="000000"/>
                <w:sz w:val="21"/>
                <w:szCs w:val="21"/>
              </w:rPr>
              <w:t>运行期</w:t>
            </w:r>
          </w:p>
        </w:tc>
        <w:tc>
          <w:tcPr>
            <w:tcW w:w="854" w:type="pct"/>
            <w:tcBorders>
              <w:top w:val="single" w:color="auto" w:sz="6" w:space="0"/>
              <w:left w:val="single" w:color="auto" w:sz="6" w:space="0"/>
              <w:bottom w:val="single" w:color="auto" w:sz="6" w:space="0"/>
              <w:right w:val="single" w:color="auto" w:sz="6" w:space="0"/>
            </w:tcBorders>
            <w:vAlign w:val="center"/>
          </w:tcPr>
          <w:p w14:paraId="051FF6D2">
            <w:pPr>
              <w:pStyle w:val="317"/>
              <w:keepNext w:val="0"/>
              <w:keepLines w:val="0"/>
              <w:pageBreakBefore w:val="0"/>
              <w:kinsoku/>
              <w:wordWrap/>
              <w:overflowPunct/>
              <w:topLinePunct w:val="0"/>
              <w:bidi w:val="0"/>
              <w:snapToGrid/>
              <w:ind w:firstLine="0" w:firstLineChars="0"/>
              <w:textAlignment w:val="auto"/>
              <w:rPr>
                <w:color w:val="000000"/>
                <w:sz w:val="21"/>
                <w:szCs w:val="21"/>
              </w:rPr>
            </w:pPr>
            <w:r>
              <w:rPr>
                <w:color w:val="000000"/>
                <w:sz w:val="21"/>
                <w:szCs w:val="21"/>
              </w:rPr>
              <w:t>废水</w:t>
            </w:r>
          </w:p>
        </w:tc>
        <w:tc>
          <w:tcPr>
            <w:tcW w:w="543" w:type="pct"/>
            <w:tcBorders>
              <w:top w:val="single" w:color="auto" w:sz="6" w:space="0"/>
              <w:left w:val="single" w:color="auto" w:sz="6" w:space="0"/>
              <w:bottom w:val="single" w:color="auto" w:sz="6" w:space="0"/>
              <w:right w:val="single" w:color="auto" w:sz="6" w:space="0"/>
            </w:tcBorders>
            <w:vAlign w:val="center"/>
          </w:tcPr>
          <w:p w14:paraId="6E23DC5E">
            <w:pPr>
              <w:pStyle w:val="317"/>
              <w:keepNext w:val="0"/>
              <w:keepLines w:val="0"/>
              <w:pageBreakBefore w:val="0"/>
              <w:kinsoku/>
              <w:wordWrap/>
              <w:overflowPunct/>
              <w:topLinePunct w:val="0"/>
              <w:bidi w:val="0"/>
              <w:snapToGrid/>
              <w:ind w:firstLine="0" w:firstLineChars="0"/>
              <w:textAlignment w:val="auto"/>
              <w:rPr>
                <w:color w:val="000000"/>
                <w:sz w:val="21"/>
                <w:szCs w:val="21"/>
              </w:rPr>
            </w:pPr>
            <w:r>
              <w:rPr>
                <w:rFonts w:ascii="Cambria Math" w:hAnsi="Cambria Math" w:cs="Cambria Math"/>
                <w:color w:val="000000"/>
                <w:sz w:val="21"/>
                <w:szCs w:val="21"/>
              </w:rPr>
              <w:t>◇</w:t>
            </w:r>
          </w:p>
        </w:tc>
        <w:tc>
          <w:tcPr>
            <w:tcW w:w="543" w:type="pct"/>
            <w:tcBorders>
              <w:top w:val="single" w:color="auto" w:sz="6" w:space="0"/>
              <w:left w:val="single" w:color="auto" w:sz="6" w:space="0"/>
              <w:bottom w:val="single" w:color="auto" w:sz="6" w:space="0"/>
              <w:right w:val="single" w:color="auto" w:sz="6" w:space="0"/>
            </w:tcBorders>
            <w:vAlign w:val="center"/>
          </w:tcPr>
          <w:p w14:paraId="0B23D85E">
            <w:pPr>
              <w:pStyle w:val="317"/>
              <w:keepNext w:val="0"/>
              <w:keepLines w:val="0"/>
              <w:pageBreakBefore w:val="0"/>
              <w:kinsoku/>
              <w:wordWrap/>
              <w:overflowPunct/>
              <w:topLinePunct w:val="0"/>
              <w:bidi w:val="0"/>
              <w:snapToGrid/>
              <w:ind w:firstLine="0" w:firstLineChars="0"/>
              <w:textAlignment w:val="auto"/>
              <w:rPr>
                <w:color w:val="000000"/>
                <w:sz w:val="21"/>
                <w:szCs w:val="21"/>
              </w:rPr>
            </w:pPr>
            <w:r>
              <w:rPr>
                <w:rFonts w:ascii="Cambria Math" w:hAnsi="Cambria Math" w:cs="Cambria Math"/>
                <w:color w:val="000000"/>
                <w:sz w:val="21"/>
                <w:szCs w:val="21"/>
              </w:rPr>
              <w:t>◇</w:t>
            </w:r>
          </w:p>
        </w:tc>
        <w:tc>
          <w:tcPr>
            <w:tcW w:w="543" w:type="pct"/>
            <w:tcBorders>
              <w:top w:val="single" w:color="auto" w:sz="6" w:space="0"/>
              <w:left w:val="single" w:color="auto" w:sz="6" w:space="0"/>
              <w:bottom w:val="single" w:color="auto" w:sz="6" w:space="0"/>
              <w:right w:val="single" w:color="auto" w:sz="6" w:space="0"/>
            </w:tcBorders>
            <w:vAlign w:val="center"/>
          </w:tcPr>
          <w:p w14:paraId="3B34635D">
            <w:pPr>
              <w:pStyle w:val="317"/>
              <w:keepNext w:val="0"/>
              <w:keepLines w:val="0"/>
              <w:pageBreakBefore w:val="0"/>
              <w:kinsoku/>
              <w:wordWrap/>
              <w:overflowPunct/>
              <w:topLinePunct w:val="0"/>
              <w:bidi w:val="0"/>
              <w:snapToGrid/>
              <w:ind w:firstLine="0" w:firstLineChars="0"/>
              <w:textAlignment w:val="auto"/>
              <w:rPr>
                <w:color w:val="000000"/>
                <w:sz w:val="21"/>
                <w:szCs w:val="21"/>
              </w:rPr>
            </w:pPr>
            <w:r>
              <w:rPr>
                <w:rFonts w:ascii="Cambria Math" w:hAnsi="Cambria Math" w:cs="Cambria Math"/>
                <w:color w:val="000000"/>
                <w:sz w:val="21"/>
                <w:szCs w:val="21"/>
              </w:rPr>
              <w:t>◇</w:t>
            </w:r>
          </w:p>
        </w:tc>
        <w:tc>
          <w:tcPr>
            <w:tcW w:w="543" w:type="pct"/>
            <w:tcBorders>
              <w:top w:val="single" w:color="auto" w:sz="6" w:space="0"/>
              <w:left w:val="single" w:color="auto" w:sz="6" w:space="0"/>
              <w:bottom w:val="single" w:color="auto" w:sz="6" w:space="0"/>
              <w:right w:val="single" w:color="auto" w:sz="6" w:space="0"/>
            </w:tcBorders>
            <w:vAlign w:val="center"/>
          </w:tcPr>
          <w:p w14:paraId="58597485">
            <w:pPr>
              <w:pStyle w:val="317"/>
              <w:keepNext w:val="0"/>
              <w:keepLines w:val="0"/>
              <w:pageBreakBefore w:val="0"/>
              <w:kinsoku/>
              <w:wordWrap/>
              <w:overflowPunct/>
              <w:topLinePunct w:val="0"/>
              <w:bidi w:val="0"/>
              <w:snapToGrid/>
              <w:ind w:firstLine="0" w:firstLineChars="0"/>
              <w:textAlignment w:val="auto"/>
              <w:rPr>
                <w:color w:val="000000"/>
                <w:sz w:val="21"/>
                <w:szCs w:val="21"/>
              </w:rPr>
            </w:pPr>
            <w:r>
              <w:rPr>
                <w:rFonts w:ascii="Cambria Math" w:hAnsi="Cambria Math" w:cs="Cambria Math"/>
                <w:color w:val="000000"/>
                <w:sz w:val="21"/>
                <w:szCs w:val="21"/>
              </w:rPr>
              <w:t>◇</w:t>
            </w:r>
          </w:p>
        </w:tc>
        <w:tc>
          <w:tcPr>
            <w:tcW w:w="543" w:type="pct"/>
            <w:tcBorders>
              <w:top w:val="single" w:color="auto" w:sz="6" w:space="0"/>
              <w:left w:val="single" w:color="auto" w:sz="6" w:space="0"/>
              <w:bottom w:val="single" w:color="auto" w:sz="6" w:space="0"/>
              <w:right w:val="single" w:color="auto" w:sz="6" w:space="0"/>
            </w:tcBorders>
            <w:vAlign w:val="center"/>
          </w:tcPr>
          <w:p w14:paraId="7EE61C46">
            <w:pPr>
              <w:pStyle w:val="317"/>
              <w:keepNext w:val="0"/>
              <w:keepLines w:val="0"/>
              <w:pageBreakBefore w:val="0"/>
              <w:kinsoku/>
              <w:wordWrap/>
              <w:overflowPunct/>
              <w:topLinePunct w:val="0"/>
              <w:bidi w:val="0"/>
              <w:snapToGrid/>
              <w:ind w:firstLine="0" w:firstLineChars="0"/>
              <w:textAlignment w:val="auto"/>
              <w:rPr>
                <w:color w:val="000000"/>
                <w:sz w:val="21"/>
                <w:szCs w:val="21"/>
              </w:rPr>
            </w:pPr>
            <w:r>
              <w:rPr>
                <w:rFonts w:ascii="Cambria Math" w:hAnsi="Cambria Math" w:cs="Cambria Math"/>
                <w:color w:val="000000"/>
                <w:sz w:val="21"/>
                <w:szCs w:val="21"/>
              </w:rPr>
              <w:t>◇</w:t>
            </w:r>
          </w:p>
        </w:tc>
        <w:tc>
          <w:tcPr>
            <w:tcW w:w="543" w:type="pct"/>
            <w:tcBorders>
              <w:top w:val="single" w:color="auto" w:sz="6" w:space="0"/>
              <w:left w:val="single" w:color="auto" w:sz="6" w:space="0"/>
              <w:bottom w:val="single" w:color="auto" w:sz="6" w:space="0"/>
              <w:right w:val="single" w:color="auto" w:sz="6" w:space="0"/>
            </w:tcBorders>
            <w:vAlign w:val="center"/>
          </w:tcPr>
          <w:p w14:paraId="13CF466A">
            <w:pPr>
              <w:pStyle w:val="317"/>
              <w:keepNext w:val="0"/>
              <w:keepLines w:val="0"/>
              <w:pageBreakBefore w:val="0"/>
              <w:kinsoku/>
              <w:wordWrap/>
              <w:overflowPunct/>
              <w:topLinePunct w:val="0"/>
              <w:bidi w:val="0"/>
              <w:snapToGrid/>
              <w:ind w:firstLine="0" w:firstLineChars="0"/>
              <w:textAlignment w:val="auto"/>
              <w:rPr>
                <w:color w:val="000000"/>
                <w:sz w:val="21"/>
                <w:szCs w:val="21"/>
              </w:rPr>
            </w:pPr>
            <w:r>
              <w:rPr>
                <w:rFonts w:ascii="Cambria Math" w:hAnsi="Cambria Math" w:cs="Cambria Math"/>
                <w:color w:val="000000"/>
                <w:sz w:val="21"/>
                <w:szCs w:val="21"/>
              </w:rPr>
              <w:t>◇</w:t>
            </w:r>
          </w:p>
        </w:tc>
        <w:tc>
          <w:tcPr>
            <w:tcW w:w="543" w:type="pct"/>
            <w:tcBorders>
              <w:top w:val="single" w:color="auto" w:sz="6" w:space="0"/>
              <w:left w:val="single" w:color="auto" w:sz="6" w:space="0"/>
              <w:bottom w:val="single" w:color="auto" w:sz="6" w:space="0"/>
              <w:right w:val="nil"/>
            </w:tcBorders>
            <w:vAlign w:val="center"/>
          </w:tcPr>
          <w:p w14:paraId="7ABF43D0">
            <w:pPr>
              <w:pStyle w:val="317"/>
              <w:keepNext w:val="0"/>
              <w:keepLines w:val="0"/>
              <w:pageBreakBefore w:val="0"/>
              <w:kinsoku/>
              <w:wordWrap/>
              <w:overflowPunct/>
              <w:topLinePunct w:val="0"/>
              <w:bidi w:val="0"/>
              <w:snapToGrid/>
              <w:ind w:firstLine="0" w:firstLineChars="0"/>
              <w:textAlignment w:val="auto"/>
              <w:rPr>
                <w:color w:val="000000"/>
                <w:sz w:val="21"/>
                <w:szCs w:val="21"/>
              </w:rPr>
            </w:pPr>
            <w:r>
              <w:rPr>
                <w:rFonts w:ascii="Cambria Math" w:hAnsi="Cambria Math" w:cs="Cambria Math"/>
                <w:color w:val="000000"/>
                <w:sz w:val="21"/>
                <w:szCs w:val="21"/>
              </w:rPr>
              <w:t>◇</w:t>
            </w:r>
          </w:p>
        </w:tc>
      </w:tr>
      <w:tr w14:paraId="3871C5F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344" w:type="pct"/>
            <w:vMerge w:val="continue"/>
            <w:tcBorders>
              <w:top w:val="single" w:color="auto" w:sz="6" w:space="0"/>
              <w:left w:val="nil"/>
              <w:bottom w:val="single" w:color="auto" w:sz="12" w:space="0"/>
              <w:right w:val="single" w:color="auto" w:sz="6" w:space="0"/>
            </w:tcBorders>
            <w:vAlign w:val="center"/>
          </w:tcPr>
          <w:p w14:paraId="1B3BF5B2">
            <w:pPr>
              <w:keepNext w:val="0"/>
              <w:keepLines w:val="0"/>
              <w:pageBreakBefore w:val="0"/>
              <w:widowControl/>
              <w:kinsoku/>
              <w:wordWrap/>
              <w:overflowPunct/>
              <w:topLinePunct w:val="0"/>
              <w:bidi w:val="0"/>
              <w:snapToGrid/>
              <w:spacing w:line="240" w:lineRule="auto"/>
              <w:ind w:firstLine="0" w:firstLineChars="0"/>
              <w:jc w:val="left"/>
              <w:textAlignment w:val="auto"/>
              <w:rPr>
                <w:bCs/>
                <w:color w:val="000000"/>
                <w:kern w:val="0"/>
                <w:sz w:val="21"/>
                <w:szCs w:val="21"/>
                <w:lang w:val="zh-CN"/>
              </w:rPr>
            </w:pPr>
          </w:p>
        </w:tc>
        <w:tc>
          <w:tcPr>
            <w:tcW w:w="854" w:type="pct"/>
            <w:tcBorders>
              <w:top w:val="single" w:color="auto" w:sz="6" w:space="0"/>
              <w:left w:val="single" w:color="auto" w:sz="6" w:space="0"/>
              <w:bottom w:val="single" w:color="auto" w:sz="6" w:space="0"/>
              <w:right w:val="single" w:color="auto" w:sz="6" w:space="0"/>
            </w:tcBorders>
            <w:vAlign w:val="center"/>
          </w:tcPr>
          <w:p w14:paraId="6EAE8A9E">
            <w:pPr>
              <w:pStyle w:val="317"/>
              <w:keepNext w:val="0"/>
              <w:keepLines w:val="0"/>
              <w:pageBreakBefore w:val="0"/>
              <w:kinsoku/>
              <w:wordWrap/>
              <w:overflowPunct/>
              <w:topLinePunct w:val="0"/>
              <w:bidi w:val="0"/>
              <w:snapToGrid/>
              <w:ind w:firstLine="0" w:firstLineChars="0"/>
              <w:textAlignment w:val="auto"/>
              <w:rPr>
                <w:color w:val="000000"/>
                <w:sz w:val="21"/>
                <w:szCs w:val="21"/>
              </w:rPr>
            </w:pPr>
            <w:r>
              <w:rPr>
                <w:color w:val="000000"/>
                <w:sz w:val="21"/>
                <w:szCs w:val="21"/>
              </w:rPr>
              <w:t>废气</w:t>
            </w:r>
          </w:p>
        </w:tc>
        <w:tc>
          <w:tcPr>
            <w:tcW w:w="543" w:type="pct"/>
            <w:tcBorders>
              <w:top w:val="single" w:color="auto" w:sz="6" w:space="0"/>
              <w:left w:val="single" w:color="auto" w:sz="6" w:space="0"/>
              <w:bottom w:val="single" w:color="auto" w:sz="6" w:space="0"/>
              <w:right w:val="single" w:color="auto" w:sz="6" w:space="0"/>
            </w:tcBorders>
            <w:vAlign w:val="center"/>
          </w:tcPr>
          <w:p w14:paraId="4066E56C">
            <w:pPr>
              <w:pStyle w:val="317"/>
              <w:keepNext w:val="0"/>
              <w:keepLines w:val="0"/>
              <w:pageBreakBefore w:val="0"/>
              <w:kinsoku/>
              <w:wordWrap/>
              <w:overflowPunct/>
              <w:topLinePunct w:val="0"/>
              <w:bidi w:val="0"/>
              <w:snapToGrid/>
              <w:ind w:firstLine="0" w:firstLineChars="0"/>
              <w:textAlignment w:val="auto"/>
              <w:rPr>
                <w:color w:val="000000"/>
                <w:sz w:val="21"/>
                <w:szCs w:val="21"/>
              </w:rPr>
            </w:pPr>
            <w:r>
              <w:rPr>
                <w:rFonts w:ascii="Cambria Math" w:hAnsi="Cambria Math" w:cs="Cambria Math"/>
                <w:color w:val="000000"/>
                <w:sz w:val="21"/>
                <w:szCs w:val="21"/>
              </w:rPr>
              <w:t>◇</w:t>
            </w:r>
          </w:p>
        </w:tc>
        <w:tc>
          <w:tcPr>
            <w:tcW w:w="543" w:type="pct"/>
            <w:tcBorders>
              <w:top w:val="single" w:color="auto" w:sz="6" w:space="0"/>
              <w:left w:val="single" w:color="auto" w:sz="6" w:space="0"/>
              <w:bottom w:val="single" w:color="auto" w:sz="6" w:space="0"/>
              <w:right w:val="single" w:color="auto" w:sz="6" w:space="0"/>
            </w:tcBorders>
            <w:vAlign w:val="center"/>
          </w:tcPr>
          <w:p w14:paraId="5CC6C5D3">
            <w:pPr>
              <w:pStyle w:val="317"/>
              <w:keepNext w:val="0"/>
              <w:keepLines w:val="0"/>
              <w:pageBreakBefore w:val="0"/>
              <w:kinsoku/>
              <w:wordWrap/>
              <w:overflowPunct/>
              <w:topLinePunct w:val="0"/>
              <w:bidi w:val="0"/>
              <w:snapToGrid/>
              <w:ind w:firstLine="0" w:firstLineChars="0"/>
              <w:textAlignment w:val="auto"/>
              <w:rPr>
                <w:color w:val="000000"/>
                <w:sz w:val="21"/>
                <w:szCs w:val="21"/>
              </w:rPr>
            </w:pPr>
            <w:r>
              <w:rPr>
                <w:color w:val="000000"/>
                <w:sz w:val="21"/>
                <w:szCs w:val="21"/>
              </w:rPr>
              <w:t>●</w:t>
            </w:r>
          </w:p>
        </w:tc>
        <w:tc>
          <w:tcPr>
            <w:tcW w:w="543" w:type="pct"/>
            <w:tcBorders>
              <w:top w:val="single" w:color="auto" w:sz="6" w:space="0"/>
              <w:left w:val="single" w:color="auto" w:sz="6" w:space="0"/>
              <w:bottom w:val="single" w:color="auto" w:sz="6" w:space="0"/>
              <w:right w:val="single" w:color="auto" w:sz="6" w:space="0"/>
            </w:tcBorders>
            <w:vAlign w:val="center"/>
          </w:tcPr>
          <w:p w14:paraId="595E5951">
            <w:pPr>
              <w:pStyle w:val="317"/>
              <w:keepNext w:val="0"/>
              <w:keepLines w:val="0"/>
              <w:pageBreakBefore w:val="0"/>
              <w:kinsoku/>
              <w:wordWrap/>
              <w:overflowPunct/>
              <w:topLinePunct w:val="0"/>
              <w:bidi w:val="0"/>
              <w:snapToGrid/>
              <w:ind w:firstLine="0" w:firstLineChars="0"/>
              <w:textAlignment w:val="auto"/>
              <w:rPr>
                <w:color w:val="000000"/>
                <w:sz w:val="21"/>
                <w:szCs w:val="21"/>
              </w:rPr>
            </w:pPr>
            <w:r>
              <w:rPr>
                <w:rFonts w:ascii="Cambria Math" w:hAnsi="Cambria Math" w:cs="Cambria Math"/>
                <w:color w:val="000000"/>
                <w:sz w:val="21"/>
                <w:szCs w:val="21"/>
              </w:rPr>
              <w:t>◇</w:t>
            </w:r>
          </w:p>
        </w:tc>
        <w:tc>
          <w:tcPr>
            <w:tcW w:w="543" w:type="pct"/>
            <w:tcBorders>
              <w:top w:val="single" w:color="auto" w:sz="6" w:space="0"/>
              <w:left w:val="single" w:color="auto" w:sz="6" w:space="0"/>
              <w:bottom w:val="single" w:color="auto" w:sz="6" w:space="0"/>
              <w:right w:val="single" w:color="auto" w:sz="6" w:space="0"/>
            </w:tcBorders>
            <w:vAlign w:val="center"/>
          </w:tcPr>
          <w:p w14:paraId="3600D838">
            <w:pPr>
              <w:pStyle w:val="317"/>
              <w:keepNext w:val="0"/>
              <w:keepLines w:val="0"/>
              <w:pageBreakBefore w:val="0"/>
              <w:kinsoku/>
              <w:wordWrap/>
              <w:overflowPunct/>
              <w:topLinePunct w:val="0"/>
              <w:bidi w:val="0"/>
              <w:snapToGrid/>
              <w:ind w:firstLine="0" w:firstLineChars="0"/>
              <w:textAlignment w:val="auto"/>
              <w:rPr>
                <w:color w:val="000000"/>
                <w:sz w:val="21"/>
                <w:szCs w:val="21"/>
              </w:rPr>
            </w:pPr>
            <w:r>
              <w:rPr>
                <w:rFonts w:ascii="Cambria Math" w:hAnsi="Cambria Math" w:cs="Cambria Math"/>
                <w:color w:val="000000"/>
                <w:sz w:val="21"/>
                <w:szCs w:val="21"/>
              </w:rPr>
              <w:t>◇</w:t>
            </w:r>
          </w:p>
        </w:tc>
        <w:tc>
          <w:tcPr>
            <w:tcW w:w="543" w:type="pct"/>
            <w:tcBorders>
              <w:top w:val="single" w:color="auto" w:sz="6" w:space="0"/>
              <w:left w:val="single" w:color="auto" w:sz="6" w:space="0"/>
              <w:bottom w:val="single" w:color="auto" w:sz="6" w:space="0"/>
              <w:right w:val="single" w:color="auto" w:sz="6" w:space="0"/>
            </w:tcBorders>
            <w:vAlign w:val="center"/>
          </w:tcPr>
          <w:p w14:paraId="6E9E7503">
            <w:pPr>
              <w:pStyle w:val="317"/>
              <w:keepNext w:val="0"/>
              <w:keepLines w:val="0"/>
              <w:pageBreakBefore w:val="0"/>
              <w:kinsoku/>
              <w:wordWrap/>
              <w:overflowPunct/>
              <w:topLinePunct w:val="0"/>
              <w:bidi w:val="0"/>
              <w:snapToGrid/>
              <w:ind w:firstLine="0" w:firstLineChars="0"/>
              <w:textAlignment w:val="auto"/>
              <w:rPr>
                <w:color w:val="000000"/>
                <w:sz w:val="21"/>
                <w:szCs w:val="21"/>
              </w:rPr>
            </w:pPr>
            <w:r>
              <w:rPr>
                <w:rFonts w:ascii="Cambria Math" w:hAnsi="Cambria Math" w:cs="Cambria Math"/>
                <w:color w:val="000000"/>
                <w:sz w:val="21"/>
                <w:szCs w:val="21"/>
              </w:rPr>
              <w:t>◇</w:t>
            </w:r>
          </w:p>
        </w:tc>
        <w:tc>
          <w:tcPr>
            <w:tcW w:w="543" w:type="pct"/>
            <w:tcBorders>
              <w:top w:val="single" w:color="auto" w:sz="6" w:space="0"/>
              <w:left w:val="single" w:color="auto" w:sz="6" w:space="0"/>
              <w:bottom w:val="single" w:color="auto" w:sz="6" w:space="0"/>
              <w:right w:val="single" w:color="auto" w:sz="6" w:space="0"/>
            </w:tcBorders>
            <w:vAlign w:val="center"/>
          </w:tcPr>
          <w:p w14:paraId="5A8E1A97">
            <w:pPr>
              <w:pStyle w:val="317"/>
              <w:keepNext w:val="0"/>
              <w:keepLines w:val="0"/>
              <w:pageBreakBefore w:val="0"/>
              <w:kinsoku/>
              <w:wordWrap/>
              <w:overflowPunct/>
              <w:topLinePunct w:val="0"/>
              <w:bidi w:val="0"/>
              <w:snapToGrid/>
              <w:ind w:firstLine="0" w:firstLineChars="0"/>
              <w:textAlignment w:val="auto"/>
              <w:rPr>
                <w:color w:val="000000"/>
                <w:sz w:val="21"/>
                <w:szCs w:val="21"/>
              </w:rPr>
            </w:pPr>
            <w:r>
              <w:rPr>
                <w:rFonts w:ascii="Cambria Math" w:hAnsi="Cambria Math" w:cs="Cambria Math"/>
                <w:color w:val="000000"/>
                <w:sz w:val="21"/>
                <w:szCs w:val="21"/>
              </w:rPr>
              <w:t>◇</w:t>
            </w:r>
          </w:p>
        </w:tc>
        <w:tc>
          <w:tcPr>
            <w:tcW w:w="543" w:type="pct"/>
            <w:tcBorders>
              <w:top w:val="single" w:color="auto" w:sz="6" w:space="0"/>
              <w:left w:val="single" w:color="auto" w:sz="6" w:space="0"/>
              <w:bottom w:val="single" w:color="auto" w:sz="6" w:space="0"/>
              <w:right w:val="nil"/>
            </w:tcBorders>
            <w:vAlign w:val="center"/>
          </w:tcPr>
          <w:p w14:paraId="5D6A9AA3">
            <w:pPr>
              <w:pStyle w:val="317"/>
              <w:keepNext w:val="0"/>
              <w:keepLines w:val="0"/>
              <w:pageBreakBefore w:val="0"/>
              <w:kinsoku/>
              <w:wordWrap/>
              <w:overflowPunct/>
              <w:topLinePunct w:val="0"/>
              <w:bidi w:val="0"/>
              <w:snapToGrid/>
              <w:ind w:firstLine="0" w:firstLineChars="0"/>
              <w:textAlignment w:val="auto"/>
              <w:rPr>
                <w:color w:val="000000"/>
                <w:sz w:val="21"/>
                <w:szCs w:val="21"/>
              </w:rPr>
            </w:pPr>
            <w:r>
              <w:rPr>
                <w:rFonts w:ascii="Cambria Math" w:hAnsi="Cambria Math" w:cs="Cambria Math"/>
                <w:color w:val="000000"/>
                <w:sz w:val="21"/>
                <w:szCs w:val="21"/>
              </w:rPr>
              <w:t>◇</w:t>
            </w:r>
          </w:p>
        </w:tc>
      </w:tr>
      <w:tr w14:paraId="6086017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344" w:type="pct"/>
            <w:vMerge w:val="continue"/>
            <w:tcBorders>
              <w:top w:val="single" w:color="auto" w:sz="6" w:space="0"/>
              <w:left w:val="nil"/>
              <w:bottom w:val="single" w:color="auto" w:sz="12" w:space="0"/>
              <w:right w:val="single" w:color="auto" w:sz="6" w:space="0"/>
            </w:tcBorders>
            <w:vAlign w:val="center"/>
          </w:tcPr>
          <w:p w14:paraId="536C90CA">
            <w:pPr>
              <w:keepNext w:val="0"/>
              <w:keepLines w:val="0"/>
              <w:pageBreakBefore w:val="0"/>
              <w:widowControl/>
              <w:kinsoku/>
              <w:wordWrap/>
              <w:overflowPunct/>
              <w:topLinePunct w:val="0"/>
              <w:bidi w:val="0"/>
              <w:snapToGrid/>
              <w:spacing w:line="240" w:lineRule="auto"/>
              <w:ind w:firstLine="0" w:firstLineChars="0"/>
              <w:jc w:val="left"/>
              <w:textAlignment w:val="auto"/>
              <w:rPr>
                <w:bCs/>
                <w:color w:val="000000"/>
                <w:kern w:val="0"/>
                <w:sz w:val="21"/>
                <w:szCs w:val="21"/>
                <w:lang w:val="zh-CN"/>
              </w:rPr>
            </w:pPr>
          </w:p>
        </w:tc>
        <w:tc>
          <w:tcPr>
            <w:tcW w:w="854" w:type="pct"/>
            <w:tcBorders>
              <w:top w:val="single" w:color="auto" w:sz="6" w:space="0"/>
              <w:left w:val="single" w:color="auto" w:sz="6" w:space="0"/>
              <w:bottom w:val="single" w:color="auto" w:sz="6" w:space="0"/>
              <w:right w:val="single" w:color="auto" w:sz="6" w:space="0"/>
            </w:tcBorders>
            <w:vAlign w:val="center"/>
          </w:tcPr>
          <w:p w14:paraId="33315430">
            <w:pPr>
              <w:pStyle w:val="317"/>
              <w:keepNext w:val="0"/>
              <w:keepLines w:val="0"/>
              <w:pageBreakBefore w:val="0"/>
              <w:kinsoku/>
              <w:wordWrap/>
              <w:overflowPunct/>
              <w:topLinePunct w:val="0"/>
              <w:bidi w:val="0"/>
              <w:snapToGrid/>
              <w:ind w:firstLine="0" w:firstLineChars="0"/>
              <w:textAlignment w:val="auto"/>
              <w:rPr>
                <w:color w:val="000000"/>
                <w:sz w:val="21"/>
                <w:szCs w:val="21"/>
              </w:rPr>
            </w:pPr>
            <w:r>
              <w:rPr>
                <w:color w:val="000000"/>
                <w:sz w:val="21"/>
                <w:szCs w:val="21"/>
              </w:rPr>
              <w:t>固废</w:t>
            </w:r>
          </w:p>
        </w:tc>
        <w:tc>
          <w:tcPr>
            <w:tcW w:w="543" w:type="pct"/>
            <w:tcBorders>
              <w:top w:val="single" w:color="auto" w:sz="6" w:space="0"/>
              <w:left w:val="single" w:color="auto" w:sz="6" w:space="0"/>
              <w:bottom w:val="single" w:color="auto" w:sz="6" w:space="0"/>
              <w:right w:val="single" w:color="auto" w:sz="6" w:space="0"/>
            </w:tcBorders>
            <w:vAlign w:val="center"/>
          </w:tcPr>
          <w:p w14:paraId="0618B651">
            <w:pPr>
              <w:pStyle w:val="317"/>
              <w:keepNext w:val="0"/>
              <w:keepLines w:val="0"/>
              <w:pageBreakBefore w:val="0"/>
              <w:kinsoku/>
              <w:wordWrap/>
              <w:overflowPunct/>
              <w:topLinePunct w:val="0"/>
              <w:bidi w:val="0"/>
              <w:snapToGrid/>
              <w:ind w:firstLine="0" w:firstLineChars="0"/>
              <w:textAlignment w:val="auto"/>
              <w:rPr>
                <w:color w:val="000000"/>
                <w:sz w:val="21"/>
                <w:szCs w:val="21"/>
              </w:rPr>
            </w:pPr>
            <w:r>
              <w:rPr>
                <w:rFonts w:ascii="Cambria Math" w:hAnsi="Cambria Math" w:cs="Cambria Math"/>
                <w:color w:val="000000"/>
                <w:sz w:val="21"/>
                <w:szCs w:val="21"/>
              </w:rPr>
              <w:t>◇</w:t>
            </w:r>
          </w:p>
        </w:tc>
        <w:tc>
          <w:tcPr>
            <w:tcW w:w="543" w:type="pct"/>
            <w:tcBorders>
              <w:top w:val="single" w:color="auto" w:sz="6" w:space="0"/>
              <w:left w:val="single" w:color="auto" w:sz="6" w:space="0"/>
              <w:bottom w:val="single" w:color="auto" w:sz="6" w:space="0"/>
              <w:right w:val="single" w:color="auto" w:sz="6" w:space="0"/>
            </w:tcBorders>
            <w:vAlign w:val="center"/>
          </w:tcPr>
          <w:p w14:paraId="753DCD85">
            <w:pPr>
              <w:pStyle w:val="317"/>
              <w:keepNext w:val="0"/>
              <w:keepLines w:val="0"/>
              <w:pageBreakBefore w:val="0"/>
              <w:kinsoku/>
              <w:wordWrap/>
              <w:overflowPunct/>
              <w:topLinePunct w:val="0"/>
              <w:bidi w:val="0"/>
              <w:snapToGrid/>
              <w:ind w:firstLine="0" w:firstLineChars="0"/>
              <w:textAlignment w:val="auto"/>
              <w:rPr>
                <w:color w:val="000000"/>
                <w:sz w:val="21"/>
                <w:szCs w:val="21"/>
              </w:rPr>
            </w:pPr>
            <w:r>
              <w:rPr>
                <w:rFonts w:ascii="Cambria Math" w:hAnsi="Cambria Math" w:cs="Cambria Math"/>
                <w:color w:val="000000"/>
                <w:sz w:val="21"/>
                <w:szCs w:val="21"/>
              </w:rPr>
              <w:t>◇</w:t>
            </w:r>
          </w:p>
        </w:tc>
        <w:tc>
          <w:tcPr>
            <w:tcW w:w="543" w:type="pct"/>
            <w:tcBorders>
              <w:top w:val="single" w:color="auto" w:sz="6" w:space="0"/>
              <w:left w:val="single" w:color="auto" w:sz="6" w:space="0"/>
              <w:bottom w:val="single" w:color="auto" w:sz="6" w:space="0"/>
              <w:right w:val="single" w:color="auto" w:sz="6" w:space="0"/>
            </w:tcBorders>
            <w:vAlign w:val="center"/>
          </w:tcPr>
          <w:p w14:paraId="79F2F39C">
            <w:pPr>
              <w:pStyle w:val="317"/>
              <w:keepNext w:val="0"/>
              <w:keepLines w:val="0"/>
              <w:pageBreakBefore w:val="0"/>
              <w:kinsoku/>
              <w:wordWrap/>
              <w:overflowPunct/>
              <w:topLinePunct w:val="0"/>
              <w:bidi w:val="0"/>
              <w:snapToGrid/>
              <w:ind w:firstLine="0" w:firstLineChars="0"/>
              <w:textAlignment w:val="auto"/>
              <w:rPr>
                <w:color w:val="000000"/>
                <w:sz w:val="21"/>
                <w:szCs w:val="21"/>
              </w:rPr>
            </w:pPr>
            <w:r>
              <w:rPr>
                <w:rFonts w:ascii="Cambria Math" w:hAnsi="Cambria Math" w:cs="Cambria Math"/>
                <w:color w:val="000000"/>
                <w:sz w:val="21"/>
                <w:szCs w:val="21"/>
              </w:rPr>
              <w:t>◇</w:t>
            </w:r>
          </w:p>
        </w:tc>
        <w:tc>
          <w:tcPr>
            <w:tcW w:w="543" w:type="pct"/>
            <w:tcBorders>
              <w:top w:val="single" w:color="auto" w:sz="6" w:space="0"/>
              <w:left w:val="single" w:color="auto" w:sz="6" w:space="0"/>
              <w:bottom w:val="single" w:color="auto" w:sz="6" w:space="0"/>
              <w:right w:val="single" w:color="auto" w:sz="6" w:space="0"/>
            </w:tcBorders>
            <w:vAlign w:val="center"/>
          </w:tcPr>
          <w:p w14:paraId="76FD43BF">
            <w:pPr>
              <w:pStyle w:val="317"/>
              <w:keepNext w:val="0"/>
              <w:keepLines w:val="0"/>
              <w:pageBreakBefore w:val="0"/>
              <w:kinsoku/>
              <w:wordWrap/>
              <w:overflowPunct/>
              <w:topLinePunct w:val="0"/>
              <w:bidi w:val="0"/>
              <w:snapToGrid/>
              <w:ind w:firstLine="0" w:firstLineChars="0"/>
              <w:textAlignment w:val="auto"/>
              <w:rPr>
                <w:color w:val="000000"/>
                <w:sz w:val="21"/>
                <w:szCs w:val="21"/>
              </w:rPr>
            </w:pPr>
            <w:r>
              <w:rPr>
                <w:color w:val="000000"/>
                <w:sz w:val="21"/>
                <w:szCs w:val="21"/>
              </w:rPr>
              <w:t>●</w:t>
            </w:r>
          </w:p>
        </w:tc>
        <w:tc>
          <w:tcPr>
            <w:tcW w:w="543" w:type="pct"/>
            <w:tcBorders>
              <w:top w:val="single" w:color="auto" w:sz="6" w:space="0"/>
              <w:left w:val="single" w:color="auto" w:sz="6" w:space="0"/>
              <w:bottom w:val="single" w:color="auto" w:sz="6" w:space="0"/>
              <w:right w:val="single" w:color="auto" w:sz="6" w:space="0"/>
            </w:tcBorders>
            <w:vAlign w:val="center"/>
          </w:tcPr>
          <w:p w14:paraId="58D2D123">
            <w:pPr>
              <w:pStyle w:val="317"/>
              <w:keepNext w:val="0"/>
              <w:keepLines w:val="0"/>
              <w:pageBreakBefore w:val="0"/>
              <w:kinsoku/>
              <w:wordWrap/>
              <w:overflowPunct/>
              <w:topLinePunct w:val="0"/>
              <w:bidi w:val="0"/>
              <w:snapToGrid/>
              <w:ind w:firstLine="0" w:firstLineChars="0"/>
              <w:textAlignment w:val="auto"/>
              <w:rPr>
                <w:color w:val="000000"/>
                <w:sz w:val="21"/>
                <w:szCs w:val="21"/>
              </w:rPr>
            </w:pPr>
            <w:r>
              <w:rPr>
                <w:rFonts w:ascii="Cambria Math" w:hAnsi="Cambria Math" w:cs="Cambria Math"/>
                <w:color w:val="000000"/>
                <w:sz w:val="21"/>
                <w:szCs w:val="21"/>
              </w:rPr>
              <w:t>◇</w:t>
            </w:r>
          </w:p>
        </w:tc>
        <w:tc>
          <w:tcPr>
            <w:tcW w:w="543" w:type="pct"/>
            <w:tcBorders>
              <w:top w:val="single" w:color="auto" w:sz="6" w:space="0"/>
              <w:left w:val="single" w:color="auto" w:sz="6" w:space="0"/>
              <w:bottom w:val="single" w:color="auto" w:sz="6" w:space="0"/>
              <w:right w:val="single" w:color="auto" w:sz="6" w:space="0"/>
            </w:tcBorders>
            <w:vAlign w:val="center"/>
          </w:tcPr>
          <w:p w14:paraId="5A80FF6A">
            <w:pPr>
              <w:pStyle w:val="317"/>
              <w:keepNext w:val="0"/>
              <w:keepLines w:val="0"/>
              <w:pageBreakBefore w:val="0"/>
              <w:kinsoku/>
              <w:wordWrap/>
              <w:overflowPunct/>
              <w:topLinePunct w:val="0"/>
              <w:bidi w:val="0"/>
              <w:snapToGrid/>
              <w:ind w:firstLine="0" w:firstLineChars="0"/>
              <w:textAlignment w:val="auto"/>
              <w:rPr>
                <w:color w:val="000000"/>
                <w:sz w:val="21"/>
                <w:szCs w:val="21"/>
              </w:rPr>
            </w:pPr>
            <w:r>
              <w:rPr>
                <w:rFonts w:ascii="Cambria Math" w:hAnsi="Cambria Math" w:cs="Cambria Math"/>
                <w:color w:val="000000"/>
                <w:sz w:val="21"/>
                <w:szCs w:val="21"/>
              </w:rPr>
              <w:t>◇</w:t>
            </w:r>
          </w:p>
        </w:tc>
        <w:tc>
          <w:tcPr>
            <w:tcW w:w="543" w:type="pct"/>
            <w:tcBorders>
              <w:top w:val="single" w:color="auto" w:sz="6" w:space="0"/>
              <w:left w:val="single" w:color="auto" w:sz="6" w:space="0"/>
              <w:bottom w:val="single" w:color="auto" w:sz="6" w:space="0"/>
              <w:right w:val="nil"/>
            </w:tcBorders>
            <w:vAlign w:val="center"/>
          </w:tcPr>
          <w:p w14:paraId="37B16255">
            <w:pPr>
              <w:pStyle w:val="317"/>
              <w:keepNext w:val="0"/>
              <w:keepLines w:val="0"/>
              <w:pageBreakBefore w:val="0"/>
              <w:kinsoku/>
              <w:wordWrap/>
              <w:overflowPunct/>
              <w:topLinePunct w:val="0"/>
              <w:bidi w:val="0"/>
              <w:snapToGrid/>
              <w:ind w:firstLine="0" w:firstLineChars="0"/>
              <w:textAlignment w:val="auto"/>
              <w:rPr>
                <w:color w:val="000000"/>
                <w:sz w:val="21"/>
                <w:szCs w:val="21"/>
              </w:rPr>
            </w:pPr>
            <w:r>
              <w:rPr>
                <w:rFonts w:ascii="Cambria Math" w:hAnsi="Cambria Math" w:cs="Cambria Math"/>
                <w:color w:val="000000"/>
                <w:sz w:val="21"/>
                <w:szCs w:val="21"/>
              </w:rPr>
              <w:t>◇</w:t>
            </w:r>
          </w:p>
        </w:tc>
      </w:tr>
      <w:tr w14:paraId="48C4A00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344" w:type="pct"/>
            <w:vMerge w:val="continue"/>
            <w:tcBorders>
              <w:top w:val="single" w:color="auto" w:sz="6" w:space="0"/>
              <w:left w:val="nil"/>
              <w:bottom w:val="single" w:color="auto" w:sz="12" w:space="0"/>
              <w:right w:val="single" w:color="auto" w:sz="6" w:space="0"/>
            </w:tcBorders>
            <w:vAlign w:val="center"/>
          </w:tcPr>
          <w:p w14:paraId="1AA89612">
            <w:pPr>
              <w:keepNext w:val="0"/>
              <w:keepLines w:val="0"/>
              <w:pageBreakBefore w:val="0"/>
              <w:widowControl/>
              <w:kinsoku/>
              <w:wordWrap/>
              <w:overflowPunct/>
              <w:topLinePunct w:val="0"/>
              <w:bidi w:val="0"/>
              <w:snapToGrid/>
              <w:spacing w:line="240" w:lineRule="auto"/>
              <w:ind w:firstLine="0" w:firstLineChars="0"/>
              <w:jc w:val="left"/>
              <w:textAlignment w:val="auto"/>
              <w:rPr>
                <w:bCs/>
                <w:color w:val="000000"/>
                <w:kern w:val="0"/>
                <w:sz w:val="21"/>
                <w:szCs w:val="21"/>
                <w:lang w:val="zh-CN"/>
              </w:rPr>
            </w:pPr>
          </w:p>
        </w:tc>
        <w:tc>
          <w:tcPr>
            <w:tcW w:w="854" w:type="pct"/>
            <w:tcBorders>
              <w:top w:val="single" w:color="auto" w:sz="6" w:space="0"/>
              <w:left w:val="single" w:color="auto" w:sz="6" w:space="0"/>
              <w:bottom w:val="single" w:color="auto" w:sz="6" w:space="0"/>
              <w:right w:val="single" w:color="auto" w:sz="6" w:space="0"/>
            </w:tcBorders>
            <w:vAlign w:val="center"/>
          </w:tcPr>
          <w:p w14:paraId="55C40A4B">
            <w:pPr>
              <w:pStyle w:val="317"/>
              <w:keepNext w:val="0"/>
              <w:keepLines w:val="0"/>
              <w:pageBreakBefore w:val="0"/>
              <w:kinsoku/>
              <w:wordWrap/>
              <w:overflowPunct/>
              <w:topLinePunct w:val="0"/>
              <w:bidi w:val="0"/>
              <w:snapToGrid/>
              <w:ind w:firstLine="0" w:firstLineChars="0"/>
              <w:textAlignment w:val="auto"/>
              <w:rPr>
                <w:color w:val="000000"/>
                <w:sz w:val="21"/>
                <w:szCs w:val="21"/>
              </w:rPr>
            </w:pPr>
            <w:r>
              <w:rPr>
                <w:color w:val="000000"/>
                <w:sz w:val="21"/>
                <w:szCs w:val="21"/>
              </w:rPr>
              <w:t>噪声</w:t>
            </w:r>
          </w:p>
        </w:tc>
        <w:tc>
          <w:tcPr>
            <w:tcW w:w="543" w:type="pct"/>
            <w:tcBorders>
              <w:top w:val="single" w:color="auto" w:sz="6" w:space="0"/>
              <w:left w:val="single" w:color="auto" w:sz="6" w:space="0"/>
              <w:bottom w:val="single" w:color="auto" w:sz="6" w:space="0"/>
              <w:right w:val="single" w:color="auto" w:sz="6" w:space="0"/>
            </w:tcBorders>
            <w:vAlign w:val="center"/>
          </w:tcPr>
          <w:p w14:paraId="543627A2">
            <w:pPr>
              <w:pStyle w:val="317"/>
              <w:keepNext w:val="0"/>
              <w:keepLines w:val="0"/>
              <w:pageBreakBefore w:val="0"/>
              <w:kinsoku/>
              <w:wordWrap/>
              <w:overflowPunct/>
              <w:topLinePunct w:val="0"/>
              <w:bidi w:val="0"/>
              <w:snapToGrid/>
              <w:ind w:firstLine="0" w:firstLineChars="0"/>
              <w:textAlignment w:val="auto"/>
              <w:rPr>
                <w:color w:val="000000"/>
                <w:sz w:val="21"/>
                <w:szCs w:val="21"/>
              </w:rPr>
            </w:pPr>
            <w:r>
              <w:rPr>
                <w:rFonts w:ascii="Cambria Math" w:hAnsi="Cambria Math" w:cs="Cambria Math"/>
                <w:color w:val="000000"/>
                <w:sz w:val="21"/>
                <w:szCs w:val="21"/>
              </w:rPr>
              <w:t>◇</w:t>
            </w:r>
          </w:p>
        </w:tc>
        <w:tc>
          <w:tcPr>
            <w:tcW w:w="543" w:type="pct"/>
            <w:tcBorders>
              <w:top w:val="single" w:color="auto" w:sz="6" w:space="0"/>
              <w:left w:val="single" w:color="auto" w:sz="6" w:space="0"/>
              <w:bottom w:val="single" w:color="auto" w:sz="6" w:space="0"/>
              <w:right w:val="single" w:color="auto" w:sz="6" w:space="0"/>
            </w:tcBorders>
            <w:vAlign w:val="center"/>
          </w:tcPr>
          <w:p w14:paraId="70C447FB">
            <w:pPr>
              <w:pStyle w:val="317"/>
              <w:keepNext w:val="0"/>
              <w:keepLines w:val="0"/>
              <w:pageBreakBefore w:val="0"/>
              <w:kinsoku/>
              <w:wordWrap/>
              <w:overflowPunct/>
              <w:topLinePunct w:val="0"/>
              <w:bidi w:val="0"/>
              <w:snapToGrid/>
              <w:ind w:firstLine="0" w:firstLineChars="0"/>
              <w:textAlignment w:val="auto"/>
              <w:rPr>
                <w:color w:val="000000"/>
                <w:sz w:val="21"/>
                <w:szCs w:val="21"/>
              </w:rPr>
            </w:pPr>
            <w:r>
              <w:rPr>
                <w:rFonts w:ascii="Cambria Math" w:hAnsi="Cambria Math" w:cs="Cambria Math"/>
                <w:color w:val="000000"/>
                <w:sz w:val="21"/>
                <w:szCs w:val="21"/>
              </w:rPr>
              <w:t>◇</w:t>
            </w:r>
          </w:p>
        </w:tc>
        <w:tc>
          <w:tcPr>
            <w:tcW w:w="543" w:type="pct"/>
            <w:tcBorders>
              <w:top w:val="single" w:color="auto" w:sz="6" w:space="0"/>
              <w:left w:val="single" w:color="auto" w:sz="6" w:space="0"/>
              <w:bottom w:val="single" w:color="auto" w:sz="6" w:space="0"/>
              <w:right w:val="single" w:color="auto" w:sz="6" w:space="0"/>
            </w:tcBorders>
            <w:vAlign w:val="center"/>
          </w:tcPr>
          <w:p w14:paraId="617A3F29">
            <w:pPr>
              <w:pStyle w:val="317"/>
              <w:keepNext w:val="0"/>
              <w:keepLines w:val="0"/>
              <w:pageBreakBefore w:val="0"/>
              <w:kinsoku/>
              <w:wordWrap/>
              <w:overflowPunct/>
              <w:topLinePunct w:val="0"/>
              <w:bidi w:val="0"/>
              <w:snapToGrid/>
              <w:ind w:firstLine="0" w:firstLineChars="0"/>
              <w:textAlignment w:val="auto"/>
              <w:rPr>
                <w:color w:val="000000"/>
                <w:sz w:val="21"/>
                <w:szCs w:val="21"/>
              </w:rPr>
            </w:pPr>
            <w:r>
              <w:rPr>
                <w:color w:val="000000"/>
                <w:sz w:val="21"/>
                <w:szCs w:val="21"/>
              </w:rPr>
              <w:t>●</w:t>
            </w:r>
          </w:p>
        </w:tc>
        <w:tc>
          <w:tcPr>
            <w:tcW w:w="543" w:type="pct"/>
            <w:tcBorders>
              <w:top w:val="single" w:color="auto" w:sz="6" w:space="0"/>
              <w:left w:val="single" w:color="auto" w:sz="6" w:space="0"/>
              <w:bottom w:val="single" w:color="auto" w:sz="6" w:space="0"/>
              <w:right w:val="single" w:color="auto" w:sz="6" w:space="0"/>
            </w:tcBorders>
            <w:vAlign w:val="center"/>
          </w:tcPr>
          <w:p w14:paraId="4FBE6FEE">
            <w:pPr>
              <w:pStyle w:val="317"/>
              <w:keepNext w:val="0"/>
              <w:keepLines w:val="0"/>
              <w:pageBreakBefore w:val="0"/>
              <w:kinsoku/>
              <w:wordWrap/>
              <w:overflowPunct/>
              <w:topLinePunct w:val="0"/>
              <w:bidi w:val="0"/>
              <w:snapToGrid/>
              <w:ind w:firstLine="0" w:firstLineChars="0"/>
              <w:textAlignment w:val="auto"/>
              <w:rPr>
                <w:color w:val="000000"/>
                <w:sz w:val="21"/>
                <w:szCs w:val="21"/>
              </w:rPr>
            </w:pPr>
            <w:r>
              <w:rPr>
                <w:rFonts w:ascii="Cambria Math" w:hAnsi="Cambria Math" w:cs="Cambria Math"/>
                <w:color w:val="000000"/>
                <w:sz w:val="21"/>
                <w:szCs w:val="21"/>
              </w:rPr>
              <w:t>◇</w:t>
            </w:r>
          </w:p>
        </w:tc>
        <w:tc>
          <w:tcPr>
            <w:tcW w:w="543" w:type="pct"/>
            <w:tcBorders>
              <w:top w:val="single" w:color="auto" w:sz="6" w:space="0"/>
              <w:left w:val="single" w:color="auto" w:sz="6" w:space="0"/>
              <w:bottom w:val="single" w:color="auto" w:sz="6" w:space="0"/>
              <w:right w:val="single" w:color="auto" w:sz="6" w:space="0"/>
            </w:tcBorders>
            <w:vAlign w:val="center"/>
          </w:tcPr>
          <w:p w14:paraId="5E3BEA34">
            <w:pPr>
              <w:pStyle w:val="317"/>
              <w:keepNext w:val="0"/>
              <w:keepLines w:val="0"/>
              <w:pageBreakBefore w:val="0"/>
              <w:kinsoku/>
              <w:wordWrap/>
              <w:overflowPunct/>
              <w:topLinePunct w:val="0"/>
              <w:bidi w:val="0"/>
              <w:snapToGrid/>
              <w:ind w:firstLine="0" w:firstLineChars="0"/>
              <w:textAlignment w:val="auto"/>
              <w:rPr>
                <w:color w:val="000000"/>
                <w:sz w:val="21"/>
                <w:szCs w:val="21"/>
              </w:rPr>
            </w:pPr>
            <w:r>
              <w:rPr>
                <w:rFonts w:ascii="Cambria Math" w:hAnsi="Cambria Math" w:cs="Cambria Math"/>
                <w:color w:val="000000"/>
                <w:sz w:val="21"/>
                <w:szCs w:val="21"/>
              </w:rPr>
              <w:t>◇</w:t>
            </w:r>
          </w:p>
        </w:tc>
        <w:tc>
          <w:tcPr>
            <w:tcW w:w="543" w:type="pct"/>
            <w:tcBorders>
              <w:top w:val="single" w:color="auto" w:sz="6" w:space="0"/>
              <w:left w:val="single" w:color="auto" w:sz="6" w:space="0"/>
              <w:bottom w:val="single" w:color="auto" w:sz="6" w:space="0"/>
              <w:right w:val="single" w:color="auto" w:sz="6" w:space="0"/>
            </w:tcBorders>
            <w:vAlign w:val="center"/>
          </w:tcPr>
          <w:p w14:paraId="040E675B">
            <w:pPr>
              <w:pStyle w:val="317"/>
              <w:keepNext w:val="0"/>
              <w:keepLines w:val="0"/>
              <w:pageBreakBefore w:val="0"/>
              <w:kinsoku/>
              <w:wordWrap/>
              <w:overflowPunct/>
              <w:topLinePunct w:val="0"/>
              <w:bidi w:val="0"/>
              <w:snapToGrid/>
              <w:ind w:firstLine="0" w:firstLineChars="0"/>
              <w:textAlignment w:val="auto"/>
              <w:rPr>
                <w:color w:val="000000"/>
                <w:sz w:val="21"/>
                <w:szCs w:val="21"/>
              </w:rPr>
            </w:pPr>
            <w:r>
              <w:rPr>
                <w:rFonts w:ascii="Cambria Math" w:hAnsi="Cambria Math" w:cs="Cambria Math"/>
                <w:color w:val="000000"/>
                <w:sz w:val="21"/>
                <w:szCs w:val="21"/>
              </w:rPr>
              <w:t>◇</w:t>
            </w:r>
          </w:p>
        </w:tc>
        <w:tc>
          <w:tcPr>
            <w:tcW w:w="543" w:type="pct"/>
            <w:tcBorders>
              <w:top w:val="single" w:color="auto" w:sz="6" w:space="0"/>
              <w:left w:val="single" w:color="auto" w:sz="6" w:space="0"/>
              <w:bottom w:val="single" w:color="auto" w:sz="6" w:space="0"/>
              <w:right w:val="nil"/>
            </w:tcBorders>
            <w:vAlign w:val="center"/>
          </w:tcPr>
          <w:p w14:paraId="049DF4CB">
            <w:pPr>
              <w:pStyle w:val="317"/>
              <w:keepNext w:val="0"/>
              <w:keepLines w:val="0"/>
              <w:pageBreakBefore w:val="0"/>
              <w:kinsoku/>
              <w:wordWrap/>
              <w:overflowPunct/>
              <w:topLinePunct w:val="0"/>
              <w:bidi w:val="0"/>
              <w:snapToGrid/>
              <w:ind w:firstLine="0" w:firstLineChars="0"/>
              <w:textAlignment w:val="auto"/>
              <w:rPr>
                <w:color w:val="000000"/>
                <w:sz w:val="21"/>
                <w:szCs w:val="21"/>
              </w:rPr>
            </w:pPr>
            <w:r>
              <w:rPr>
                <w:rFonts w:ascii="Cambria Math" w:hAnsi="Cambria Math" w:cs="Cambria Math"/>
                <w:color w:val="000000"/>
                <w:sz w:val="21"/>
                <w:szCs w:val="21"/>
              </w:rPr>
              <w:t>◇</w:t>
            </w:r>
          </w:p>
        </w:tc>
      </w:tr>
      <w:tr w14:paraId="3FDD38E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344" w:type="pct"/>
            <w:vMerge w:val="continue"/>
            <w:tcBorders>
              <w:top w:val="single" w:color="auto" w:sz="6" w:space="0"/>
              <w:left w:val="nil"/>
              <w:bottom w:val="single" w:color="auto" w:sz="12" w:space="0"/>
              <w:right w:val="single" w:color="auto" w:sz="6" w:space="0"/>
            </w:tcBorders>
            <w:vAlign w:val="center"/>
          </w:tcPr>
          <w:p w14:paraId="7784A345">
            <w:pPr>
              <w:keepNext w:val="0"/>
              <w:keepLines w:val="0"/>
              <w:pageBreakBefore w:val="0"/>
              <w:widowControl/>
              <w:kinsoku/>
              <w:wordWrap/>
              <w:overflowPunct/>
              <w:topLinePunct w:val="0"/>
              <w:bidi w:val="0"/>
              <w:snapToGrid/>
              <w:spacing w:line="240" w:lineRule="auto"/>
              <w:ind w:firstLine="0" w:firstLineChars="0"/>
              <w:jc w:val="left"/>
              <w:textAlignment w:val="auto"/>
              <w:rPr>
                <w:bCs/>
                <w:color w:val="000000"/>
                <w:kern w:val="0"/>
                <w:sz w:val="21"/>
                <w:szCs w:val="21"/>
                <w:lang w:val="zh-CN"/>
              </w:rPr>
            </w:pPr>
          </w:p>
        </w:tc>
        <w:tc>
          <w:tcPr>
            <w:tcW w:w="854" w:type="pct"/>
            <w:tcBorders>
              <w:top w:val="single" w:color="auto" w:sz="6" w:space="0"/>
              <w:left w:val="single" w:color="auto" w:sz="6" w:space="0"/>
              <w:bottom w:val="single" w:color="auto" w:sz="6" w:space="0"/>
              <w:right w:val="single" w:color="auto" w:sz="6" w:space="0"/>
            </w:tcBorders>
            <w:vAlign w:val="center"/>
          </w:tcPr>
          <w:p w14:paraId="2EAE93DC">
            <w:pPr>
              <w:pStyle w:val="317"/>
              <w:keepNext w:val="0"/>
              <w:keepLines w:val="0"/>
              <w:pageBreakBefore w:val="0"/>
              <w:kinsoku/>
              <w:wordWrap/>
              <w:overflowPunct/>
              <w:topLinePunct w:val="0"/>
              <w:bidi w:val="0"/>
              <w:snapToGrid/>
              <w:ind w:firstLine="0" w:firstLineChars="0"/>
              <w:textAlignment w:val="auto"/>
              <w:rPr>
                <w:color w:val="000000"/>
                <w:sz w:val="21"/>
                <w:szCs w:val="21"/>
              </w:rPr>
            </w:pPr>
            <w:r>
              <w:rPr>
                <w:color w:val="000000"/>
                <w:sz w:val="21"/>
                <w:szCs w:val="21"/>
              </w:rPr>
              <w:t>环境风险</w:t>
            </w:r>
          </w:p>
        </w:tc>
        <w:tc>
          <w:tcPr>
            <w:tcW w:w="543" w:type="pct"/>
            <w:tcBorders>
              <w:top w:val="single" w:color="auto" w:sz="6" w:space="0"/>
              <w:left w:val="single" w:color="auto" w:sz="6" w:space="0"/>
              <w:bottom w:val="single" w:color="auto" w:sz="6" w:space="0"/>
              <w:right w:val="single" w:color="auto" w:sz="6" w:space="0"/>
            </w:tcBorders>
            <w:vAlign w:val="center"/>
          </w:tcPr>
          <w:p w14:paraId="3691F350">
            <w:pPr>
              <w:pStyle w:val="317"/>
              <w:keepNext w:val="0"/>
              <w:keepLines w:val="0"/>
              <w:pageBreakBefore w:val="0"/>
              <w:kinsoku/>
              <w:wordWrap/>
              <w:overflowPunct/>
              <w:topLinePunct w:val="0"/>
              <w:bidi w:val="0"/>
              <w:snapToGrid/>
              <w:ind w:firstLine="0" w:firstLineChars="0"/>
              <w:textAlignment w:val="auto"/>
              <w:rPr>
                <w:color w:val="000000"/>
                <w:sz w:val="21"/>
                <w:szCs w:val="21"/>
              </w:rPr>
            </w:pPr>
            <w:r>
              <w:rPr>
                <w:color w:val="000000"/>
                <w:sz w:val="21"/>
                <w:szCs w:val="21"/>
              </w:rPr>
              <w:t>●</w:t>
            </w:r>
          </w:p>
        </w:tc>
        <w:tc>
          <w:tcPr>
            <w:tcW w:w="543" w:type="pct"/>
            <w:tcBorders>
              <w:top w:val="single" w:color="auto" w:sz="6" w:space="0"/>
              <w:left w:val="single" w:color="auto" w:sz="6" w:space="0"/>
              <w:bottom w:val="single" w:color="auto" w:sz="6" w:space="0"/>
              <w:right w:val="single" w:color="auto" w:sz="6" w:space="0"/>
            </w:tcBorders>
            <w:vAlign w:val="center"/>
          </w:tcPr>
          <w:p w14:paraId="4DE7E1FF">
            <w:pPr>
              <w:pStyle w:val="317"/>
              <w:keepNext w:val="0"/>
              <w:keepLines w:val="0"/>
              <w:pageBreakBefore w:val="0"/>
              <w:kinsoku/>
              <w:wordWrap/>
              <w:overflowPunct/>
              <w:topLinePunct w:val="0"/>
              <w:bidi w:val="0"/>
              <w:snapToGrid/>
              <w:ind w:firstLine="0" w:firstLineChars="0"/>
              <w:textAlignment w:val="auto"/>
              <w:rPr>
                <w:color w:val="000000"/>
                <w:sz w:val="21"/>
                <w:szCs w:val="21"/>
              </w:rPr>
            </w:pPr>
            <w:r>
              <w:rPr>
                <w:color w:val="000000"/>
                <w:sz w:val="21"/>
                <w:szCs w:val="21"/>
              </w:rPr>
              <w:t>●</w:t>
            </w:r>
          </w:p>
        </w:tc>
        <w:tc>
          <w:tcPr>
            <w:tcW w:w="543" w:type="pct"/>
            <w:tcBorders>
              <w:top w:val="single" w:color="auto" w:sz="6" w:space="0"/>
              <w:left w:val="single" w:color="auto" w:sz="6" w:space="0"/>
              <w:bottom w:val="single" w:color="auto" w:sz="6" w:space="0"/>
              <w:right w:val="single" w:color="auto" w:sz="6" w:space="0"/>
            </w:tcBorders>
            <w:vAlign w:val="center"/>
          </w:tcPr>
          <w:p w14:paraId="50E0BF1F">
            <w:pPr>
              <w:pStyle w:val="317"/>
              <w:keepNext w:val="0"/>
              <w:keepLines w:val="0"/>
              <w:pageBreakBefore w:val="0"/>
              <w:kinsoku/>
              <w:wordWrap/>
              <w:overflowPunct/>
              <w:topLinePunct w:val="0"/>
              <w:bidi w:val="0"/>
              <w:snapToGrid/>
              <w:ind w:firstLine="0" w:firstLineChars="0"/>
              <w:textAlignment w:val="auto"/>
              <w:rPr>
                <w:color w:val="000000"/>
                <w:sz w:val="21"/>
                <w:szCs w:val="21"/>
              </w:rPr>
            </w:pPr>
            <w:r>
              <w:rPr>
                <w:rFonts w:ascii="Cambria Math" w:hAnsi="Cambria Math" w:cs="Cambria Math"/>
                <w:color w:val="000000"/>
                <w:sz w:val="21"/>
                <w:szCs w:val="21"/>
              </w:rPr>
              <w:t>◇</w:t>
            </w:r>
          </w:p>
        </w:tc>
        <w:tc>
          <w:tcPr>
            <w:tcW w:w="543" w:type="pct"/>
            <w:tcBorders>
              <w:top w:val="single" w:color="auto" w:sz="6" w:space="0"/>
              <w:left w:val="single" w:color="auto" w:sz="6" w:space="0"/>
              <w:bottom w:val="single" w:color="auto" w:sz="6" w:space="0"/>
              <w:right w:val="single" w:color="auto" w:sz="6" w:space="0"/>
            </w:tcBorders>
            <w:vAlign w:val="center"/>
          </w:tcPr>
          <w:p w14:paraId="6B9D1A35">
            <w:pPr>
              <w:pStyle w:val="317"/>
              <w:keepNext w:val="0"/>
              <w:keepLines w:val="0"/>
              <w:pageBreakBefore w:val="0"/>
              <w:kinsoku/>
              <w:wordWrap/>
              <w:overflowPunct/>
              <w:topLinePunct w:val="0"/>
              <w:bidi w:val="0"/>
              <w:snapToGrid/>
              <w:ind w:firstLine="0" w:firstLineChars="0"/>
              <w:textAlignment w:val="auto"/>
              <w:rPr>
                <w:color w:val="000000"/>
                <w:sz w:val="21"/>
                <w:szCs w:val="21"/>
              </w:rPr>
            </w:pPr>
            <w:r>
              <w:rPr>
                <w:rFonts w:ascii="Cambria Math" w:hAnsi="Cambria Math" w:cs="Cambria Math"/>
                <w:color w:val="000000"/>
                <w:sz w:val="21"/>
                <w:szCs w:val="21"/>
              </w:rPr>
              <w:t>◇</w:t>
            </w:r>
          </w:p>
        </w:tc>
        <w:tc>
          <w:tcPr>
            <w:tcW w:w="543" w:type="pct"/>
            <w:tcBorders>
              <w:top w:val="single" w:color="auto" w:sz="6" w:space="0"/>
              <w:left w:val="single" w:color="auto" w:sz="6" w:space="0"/>
              <w:bottom w:val="single" w:color="auto" w:sz="6" w:space="0"/>
              <w:right w:val="single" w:color="auto" w:sz="6" w:space="0"/>
            </w:tcBorders>
            <w:vAlign w:val="center"/>
          </w:tcPr>
          <w:p w14:paraId="13EDB0F9">
            <w:pPr>
              <w:pStyle w:val="317"/>
              <w:keepNext w:val="0"/>
              <w:keepLines w:val="0"/>
              <w:pageBreakBefore w:val="0"/>
              <w:kinsoku/>
              <w:wordWrap/>
              <w:overflowPunct/>
              <w:topLinePunct w:val="0"/>
              <w:bidi w:val="0"/>
              <w:snapToGrid/>
              <w:ind w:firstLine="0" w:firstLineChars="0"/>
              <w:textAlignment w:val="auto"/>
              <w:rPr>
                <w:color w:val="000000"/>
                <w:sz w:val="21"/>
                <w:szCs w:val="21"/>
              </w:rPr>
            </w:pPr>
            <w:r>
              <w:rPr>
                <w:color w:val="000000"/>
                <w:sz w:val="21"/>
                <w:szCs w:val="21"/>
              </w:rPr>
              <w:t>●</w:t>
            </w:r>
          </w:p>
        </w:tc>
        <w:tc>
          <w:tcPr>
            <w:tcW w:w="543" w:type="pct"/>
            <w:tcBorders>
              <w:top w:val="single" w:color="auto" w:sz="6" w:space="0"/>
              <w:left w:val="single" w:color="auto" w:sz="6" w:space="0"/>
              <w:bottom w:val="single" w:color="auto" w:sz="6" w:space="0"/>
              <w:right w:val="single" w:color="auto" w:sz="6" w:space="0"/>
            </w:tcBorders>
            <w:vAlign w:val="center"/>
          </w:tcPr>
          <w:p w14:paraId="07A72831">
            <w:pPr>
              <w:pStyle w:val="317"/>
              <w:keepNext w:val="0"/>
              <w:keepLines w:val="0"/>
              <w:pageBreakBefore w:val="0"/>
              <w:kinsoku/>
              <w:wordWrap/>
              <w:overflowPunct/>
              <w:topLinePunct w:val="0"/>
              <w:bidi w:val="0"/>
              <w:snapToGrid/>
              <w:ind w:firstLine="0" w:firstLineChars="0"/>
              <w:textAlignment w:val="auto"/>
              <w:rPr>
                <w:color w:val="000000"/>
                <w:sz w:val="21"/>
                <w:szCs w:val="21"/>
              </w:rPr>
            </w:pPr>
            <w:r>
              <w:rPr>
                <w:rFonts w:ascii="Cambria Math" w:hAnsi="Cambria Math" w:cs="Cambria Math"/>
                <w:color w:val="000000"/>
                <w:sz w:val="21"/>
                <w:szCs w:val="21"/>
              </w:rPr>
              <w:t>◇</w:t>
            </w:r>
          </w:p>
        </w:tc>
        <w:tc>
          <w:tcPr>
            <w:tcW w:w="543" w:type="pct"/>
            <w:tcBorders>
              <w:top w:val="single" w:color="auto" w:sz="6" w:space="0"/>
              <w:left w:val="single" w:color="auto" w:sz="6" w:space="0"/>
              <w:bottom w:val="single" w:color="auto" w:sz="6" w:space="0"/>
              <w:right w:val="nil"/>
            </w:tcBorders>
            <w:vAlign w:val="center"/>
          </w:tcPr>
          <w:p w14:paraId="33891863">
            <w:pPr>
              <w:pStyle w:val="317"/>
              <w:keepNext w:val="0"/>
              <w:keepLines w:val="0"/>
              <w:pageBreakBefore w:val="0"/>
              <w:kinsoku/>
              <w:wordWrap/>
              <w:overflowPunct/>
              <w:topLinePunct w:val="0"/>
              <w:bidi w:val="0"/>
              <w:snapToGrid/>
              <w:ind w:firstLine="0" w:firstLineChars="0"/>
              <w:textAlignment w:val="auto"/>
              <w:rPr>
                <w:color w:val="000000"/>
                <w:sz w:val="21"/>
                <w:szCs w:val="21"/>
              </w:rPr>
            </w:pPr>
            <w:r>
              <w:rPr>
                <w:rFonts w:ascii="Cambria Math" w:hAnsi="Cambria Math" w:cs="Cambria Math"/>
                <w:color w:val="000000"/>
                <w:sz w:val="21"/>
                <w:szCs w:val="21"/>
              </w:rPr>
              <w:t>◇</w:t>
            </w:r>
          </w:p>
        </w:tc>
      </w:tr>
      <w:tr w14:paraId="197CF74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344" w:type="pct"/>
            <w:vMerge w:val="continue"/>
            <w:tcBorders>
              <w:top w:val="single" w:color="auto" w:sz="6" w:space="0"/>
              <w:left w:val="nil"/>
              <w:bottom w:val="single" w:color="auto" w:sz="12" w:space="0"/>
              <w:right w:val="single" w:color="auto" w:sz="6" w:space="0"/>
            </w:tcBorders>
            <w:vAlign w:val="center"/>
          </w:tcPr>
          <w:p w14:paraId="38F30E47">
            <w:pPr>
              <w:keepNext w:val="0"/>
              <w:keepLines w:val="0"/>
              <w:pageBreakBefore w:val="0"/>
              <w:widowControl/>
              <w:kinsoku/>
              <w:wordWrap/>
              <w:overflowPunct/>
              <w:topLinePunct w:val="0"/>
              <w:bidi w:val="0"/>
              <w:snapToGrid/>
              <w:spacing w:line="240" w:lineRule="auto"/>
              <w:ind w:firstLine="0" w:firstLineChars="0"/>
              <w:jc w:val="left"/>
              <w:textAlignment w:val="auto"/>
              <w:rPr>
                <w:bCs/>
                <w:color w:val="000000"/>
                <w:kern w:val="0"/>
                <w:sz w:val="21"/>
                <w:szCs w:val="21"/>
                <w:lang w:val="zh-CN"/>
              </w:rPr>
            </w:pPr>
          </w:p>
        </w:tc>
        <w:tc>
          <w:tcPr>
            <w:tcW w:w="854" w:type="pct"/>
            <w:tcBorders>
              <w:top w:val="single" w:color="auto" w:sz="6" w:space="0"/>
              <w:left w:val="single" w:color="auto" w:sz="6" w:space="0"/>
              <w:bottom w:val="single" w:color="auto" w:sz="6" w:space="0"/>
              <w:right w:val="single" w:color="auto" w:sz="6" w:space="0"/>
            </w:tcBorders>
            <w:vAlign w:val="center"/>
          </w:tcPr>
          <w:p w14:paraId="0C963CA2">
            <w:pPr>
              <w:pStyle w:val="317"/>
              <w:keepNext w:val="0"/>
              <w:keepLines w:val="0"/>
              <w:pageBreakBefore w:val="0"/>
              <w:kinsoku/>
              <w:wordWrap/>
              <w:overflowPunct/>
              <w:topLinePunct w:val="0"/>
              <w:bidi w:val="0"/>
              <w:snapToGrid/>
              <w:ind w:firstLine="0" w:firstLineChars="0"/>
              <w:textAlignment w:val="auto"/>
              <w:rPr>
                <w:color w:val="000000"/>
                <w:sz w:val="21"/>
                <w:szCs w:val="21"/>
              </w:rPr>
            </w:pPr>
            <w:r>
              <w:rPr>
                <w:color w:val="000000"/>
                <w:sz w:val="21"/>
                <w:szCs w:val="21"/>
              </w:rPr>
              <w:t>地下水</w:t>
            </w:r>
          </w:p>
        </w:tc>
        <w:tc>
          <w:tcPr>
            <w:tcW w:w="543" w:type="pct"/>
            <w:tcBorders>
              <w:top w:val="single" w:color="auto" w:sz="6" w:space="0"/>
              <w:left w:val="single" w:color="auto" w:sz="6" w:space="0"/>
              <w:bottom w:val="single" w:color="auto" w:sz="6" w:space="0"/>
              <w:right w:val="single" w:color="auto" w:sz="6" w:space="0"/>
            </w:tcBorders>
            <w:vAlign w:val="center"/>
          </w:tcPr>
          <w:p w14:paraId="2EF206E7">
            <w:pPr>
              <w:pStyle w:val="317"/>
              <w:keepNext w:val="0"/>
              <w:keepLines w:val="0"/>
              <w:pageBreakBefore w:val="0"/>
              <w:kinsoku/>
              <w:wordWrap/>
              <w:overflowPunct/>
              <w:topLinePunct w:val="0"/>
              <w:bidi w:val="0"/>
              <w:snapToGrid/>
              <w:ind w:firstLine="0" w:firstLineChars="0"/>
              <w:textAlignment w:val="auto"/>
              <w:rPr>
                <w:color w:val="000000"/>
                <w:sz w:val="21"/>
                <w:szCs w:val="21"/>
              </w:rPr>
            </w:pPr>
            <w:r>
              <w:rPr>
                <w:rFonts w:ascii="Cambria Math" w:hAnsi="Cambria Math" w:cs="Cambria Math"/>
                <w:color w:val="000000"/>
                <w:sz w:val="21"/>
                <w:szCs w:val="21"/>
              </w:rPr>
              <w:t>◇</w:t>
            </w:r>
          </w:p>
        </w:tc>
        <w:tc>
          <w:tcPr>
            <w:tcW w:w="543" w:type="pct"/>
            <w:tcBorders>
              <w:top w:val="single" w:color="auto" w:sz="6" w:space="0"/>
              <w:left w:val="single" w:color="auto" w:sz="6" w:space="0"/>
              <w:bottom w:val="single" w:color="auto" w:sz="6" w:space="0"/>
              <w:right w:val="single" w:color="auto" w:sz="6" w:space="0"/>
            </w:tcBorders>
            <w:vAlign w:val="center"/>
          </w:tcPr>
          <w:p w14:paraId="77577F4F">
            <w:pPr>
              <w:pStyle w:val="317"/>
              <w:keepNext w:val="0"/>
              <w:keepLines w:val="0"/>
              <w:pageBreakBefore w:val="0"/>
              <w:kinsoku/>
              <w:wordWrap/>
              <w:overflowPunct/>
              <w:topLinePunct w:val="0"/>
              <w:bidi w:val="0"/>
              <w:snapToGrid/>
              <w:ind w:firstLine="0" w:firstLineChars="0"/>
              <w:textAlignment w:val="auto"/>
              <w:rPr>
                <w:color w:val="000000"/>
                <w:sz w:val="21"/>
                <w:szCs w:val="21"/>
              </w:rPr>
            </w:pPr>
            <w:r>
              <w:rPr>
                <w:rFonts w:ascii="Cambria Math" w:hAnsi="Cambria Math" w:cs="Cambria Math"/>
                <w:color w:val="000000"/>
                <w:sz w:val="21"/>
                <w:szCs w:val="21"/>
              </w:rPr>
              <w:t>◇</w:t>
            </w:r>
          </w:p>
        </w:tc>
        <w:tc>
          <w:tcPr>
            <w:tcW w:w="543" w:type="pct"/>
            <w:tcBorders>
              <w:top w:val="single" w:color="auto" w:sz="6" w:space="0"/>
              <w:left w:val="single" w:color="auto" w:sz="6" w:space="0"/>
              <w:bottom w:val="single" w:color="auto" w:sz="6" w:space="0"/>
              <w:right w:val="single" w:color="auto" w:sz="6" w:space="0"/>
            </w:tcBorders>
            <w:vAlign w:val="center"/>
          </w:tcPr>
          <w:p w14:paraId="5EE49929">
            <w:pPr>
              <w:pStyle w:val="317"/>
              <w:keepNext w:val="0"/>
              <w:keepLines w:val="0"/>
              <w:pageBreakBefore w:val="0"/>
              <w:kinsoku/>
              <w:wordWrap/>
              <w:overflowPunct/>
              <w:topLinePunct w:val="0"/>
              <w:bidi w:val="0"/>
              <w:snapToGrid/>
              <w:ind w:firstLine="0" w:firstLineChars="0"/>
              <w:textAlignment w:val="auto"/>
              <w:rPr>
                <w:color w:val="000000"/>
                <w:sz w:val="21"/>
                <w:szCs w:val="21"/>
              </w:rPr>
            </w:pPr>
            <w:r>
              <w:rPr>
                <w:rFonts w:ascii="Cambria Math" w:hAnsi="Cambria Math" w:cs="Cambria Math"/>
                <w:color w:val="000000"/>
                <w:sz w:val="21"/>
                <w:szCs w:val="21"/>
              </w:rPr>
              <w:t>◇</w:t>
            </w:r>
          </w:p>
        </w:tc>
        <w:tc>
          <w:tcPr>
            <w:tcW w:w="543" w:type="pct"/>
            <w:tcBorders>
              <w:top w:val="single" w:color="auto" w:sz="6" w:space="0"/>
              <w:left w:val="single" w:color="auto" w:sz="6" w:space="0"/>
              <w:bottom w:val="single" w:color="auto" w:sz="6" w:space="0"/>
              <w:right w:val="single" w:color="auto" w:sz="6" w:space="0"/>
            </w:tcBorders>
            <w:vAlign w:val="center"/>
          </w:tcPr>
          <w:p w14:paraId="5414424E">
            <w:pPr>
              <w:pStyle w:val="317"/>
              <w:keepNext w:val="0"/>
              <w:keepLines w:val="0"/>
              <w:pageBreakBefore w:val="0"/>
              <w:kinsoku/>
              <w:wordWrap/>
              <w:overflowPunct/>
              <w:topLinePunct w:val="0"/>
              <w:bidi w:val="0"/>
              <w:snapToGrid/>
              <w:ind w:firstLine="0" w:firstLineChars="0"/>
              <w:textAlignment w:val="auto"/>
              <w:rPr>
                <w:color w:val="000000"/>
                <w:sz w:val="21"/>
                <w:szCs w:val="21"/>
              </w:rPr>
            </w:pPr>
            <w:r>
              <w:rPr>
                <w:rFonts w:ascii="Cambria Math" w:hAnsi="Cambria Math" w:cs="Cambria Math"/>
                <w:color w:val="000000"/>
                <w:sz w:val="21"/>
                <w:szCs w:val="21"/>
              </w:rPr>
              <w:t>◇</w:t>
            </w:r>
          </w:p>
        </w:tc>
        <w:tc>
          <w:tcPr>
            <w:tcW w:w="543" w:type="pct"/>
            <w:tcBorders>
              <w:top w:val="single" w:color="auto" w:sz="6" w:space="0"/>
              <w:left w:val="single" w:color="auto" w:sz="6" w:space="0"/>
              <w:bottom w:val="single" w:color="auto" w:sz="6" w:space="0"/>
              <w:right w:val="single" w:color="auto" w:sz="6" w:space="0"/>
            </w:tcBorders>
            <w:vAlign w:val="center"/>
          </w:tcPr>
          <w:p w14:paraId="3C32ECA2">
            <w:pPr>
              <w:pStyle w:val="317"/>
              <w:keepNext w:val="0"/>
              <w:keepLines w:val="0"/>
              <w:pageBreakBefore w:val="0"/>
              <w:kinsoku/>
              <w:wordWrap/>
              <w:overflowPunct/>
              <w:topLinePunct w:val="0"/>
              <w:bidi w:val="0"/>
              <w:snapToGrid/>
              <w:ind w:firstLine="0" w:firstLineChars="0"/>
              <w:textAlignment w:val="auto"/>
              <w:rPr>
                <w:color w:val="000000"/>
                <w:sz w:val="21"/>
                <w:szCs w:val="21"/>
              </w:rPr>
            </w:pPr>
            <w:r>
              <w:rPr>
                <w:rFonts w:ascii="Cambria Math" w:hAnsi="Cambria Math" w:cs="Cambria Math"/>
                <w:color w:val="000000"/>
                <w:sz w:val="21"/>
                <w:szCs w:val="21"/>
              </w:rPr>
              <w:t>◇</w:t>
            </w:r>
          </w:p>
        </w:tc>
        <w:tc>
          <w:tcPr>
            <w:tcW w:w="543" w:type="pct"/>
            <w:tcBorders>
              <w:top w:val="single" w:color="auto" w:sz="6" w:space="0"/>
              <w:left w:val="single" w:color="auto" w:sz="6" w:space="0"/>
              <w:bottom w:val="single" w:color="auto" w:sz="6" w:space="0"/>
              <w:right w:val="single" w:color="auto" w:sz="6" w:space="0"/>
            </w:tcBorders>
            <w:vAlign w:val="center"/>
          </w:tcPr>
          <w:p w14:paraId="1E0B44B1">
            <w:pPr>
              <w:pStyle w:val="317"/>
              <w:keepNext w:val="0"/>
              <w:keepLines w:val="0"/>
              <w:pageBreakBefore w:val="0"/>
              <w:kinsoku/>
              <w:wordWrap/>
              <w:overflowPunct/>
              <w:topLinePunct w:val="0"/>
              <w:bidi w:val="0"/>
              <w:snapToGrid/>
              <w:ind w:firstLine="0" w:firstLineChars="0"/>
              <w:textAlignment w:val="auto"/>
              <w:rPr>
                <w:color w:val="000000"/>
                <w:sz w:val="21"/>
                <w:szCs w:val="21"/>
              </w:rPr>
            </w:pPr>
            <w:r>
              <w:rPr>
                <w:rFonts w:ascii="Cambria Math" w:hAnsi="Cambria Math" w:cs="Cambria Math"/>
                <w:color w:val="000000"/>
                <w:sz w:val="21"/>
                <w:szCs w:val="21"/>
              </w:rPr>
              <w:t>◇</w:t>
            </w:r>
          </w:p>
        </w:tc>
        <w:tc>
          <w:tcPr>
            <w:tcW w:w="543" w:type="pct"/>
            <w:tcBorders>
              <w:top w:val="single" w:color="auto" w:sz="6" w:space="0"/>
              <w:left w:val="single" w:color="auto" w:sz="6" w:space="0"/>
              <w:bottom w:val="single" w:color="auto" w:sz="6" w:space="0"/>
              <w:right w:val="nil"/>
            </w:tcBorders>
            <w:vAlign w:val="center"/>
          </w:tcPr>
          <w:p w14:paraId="79D16CE6">
            <w:pPr>
              <w:pStyle w:val="317"/>
              <w:keepNext w:val="0"/>
              <w:keepLines w:val="0"/>
              <w:pageBreakBefore w:val="0"/>
              <w:kinsoku/>
              <w:wordWrap/>
              <w:overflowPunct/>
              <w:topLinePunct w:val="0"/>
              <w:bidi w:val="0"/>
              <w:snapToGrid/>
              <w:ind w:firstLine="0" w:firstLineChars="0"/>
              <w:textAlignment w:val="auto"/>
              <w:rPr>
                <w:color w:val="000000"/>
                <w:sz w:val="21"/>
                <w:szCs w:val="21"/>
              </w:rPr>
            </w:pPr>
            <w:r>
              <w:rPr>
                <w:rFonts w:ascii="Cambria Math" w:hAnsi="Cambria Math" w:cs="Cambria Math"/>
                <w:color w:val="000000"/>
                <w:sz w:val="21"/>
                <w:szCs w:val="21"/>
              </w:rPr>
              <w:t>◇</w:t>
            </w:r>
          </w:p>
        </w:tc>
      </w:tr>
      <w:tr w14:paraId="799BD9B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344" w:type="pct"/>
            <w:vMerge w:val="continue"/>
            <w:tcBorders>
              <w:top w:val="single" w:color="auto" w:sz="6" w:space="0"/>
              <w:left w:val="nil"/>
              <w:bottom w:val="single" w:color="auto" w:sz="12" w:space="0"/>
              <w:right w:val="single" w:color="auto" w:sz="6" w:space="0"/>
            </w:tcBorders>
            <w:vAlign w:val="center"/>
          </w:tcPr>
          <w:p w14:paraId="59EBA1F0">
            <w:pPr>
              <w:keepNext w:val="0"/>
              <w:keepLines w:val="0"/>
              <w:pageBreakBefore w:val="0"/>
              <w:widowControl/>
              <w:kinsoku/>
              <w:wordWrap/>
              <w:overflowPunct/>
              <w:topLinePunct w:val="0"/>
              <w:bidi w:val="0"/>
              <w:snapToGrid/>
              <w:spacing w:line="240" w:lineRule="auto"/>
              <w:ind w:firstLine="0" w:firstLineChars="0"/>
              <w:jc w:val="left"/>
              <w:textAlignment w:val="auto"/>
              <w:rPr>
                <w:bCs/>
                <w:color w:val="000000"/>
                <w:kern w:val="0"/>
                <w:sz w:val="21"/>
                <w:szCs w:val="21"/>
                <w:lang w:val="zh-CN"/>
              </w:rPr>
            </w:pPr>
          </w:p>
        </w:tc>
        <w:tc>
          <w:tcPr>
            <w:tcW w:w="854" w:type="pct"/>
            <w:tcBorders>
              <w:top w:val="single" w:color="auto" w:sz="6" w:space="0"/>
              <w:left w:val="single" w:color="auto" w:sz="6" w:space="0"/>
              <w:bottom w:val="single" w:color="auto" w:sz="6" w:space="0"/>
              <w:right w:val="single" w:color="auto" w:sz="6" w:space="0"/>
            </w:tcBorders>
            <w:vAlign w:val="center"/>
          </w:tcPr>
          <w:p w14:paraId="5E3FA1D2">
            <w:pPr>
              <w:pStyle w:val="317"/>
              <w:keepNext w:val="0"/>
              <w:keepLines w:val="0"/>
              <w:pageBreakBefore w:val="0"/>
              <w:kinsoku/>
              <w:wordWrap/>
              <w:overflowPunct/>
              <w:topLinePunct w:val="0"/>
              <w:bidi w:val="0"/>
              <w:snapToGrid/>
              <w:ind w:firstLine="0" w:firstLineChars="0"/>
              <w:textAlignment w:val="auto"/>
              <w:rPr>
                <w:color w:val="000000"/>
                <w:sz w:val="21"/>
                <w:szCs w:val="21"/>
              </w:rPr>
            </w:pPr>
            <w:r>
              <w:rPr>
                <w:color w:val="000000"/>
                <w:sz w:val="21"/>
                <w:szCs w:val="21"/>
              </w:rPr>
              <w:t>生态</w:t>
            </w:r>
          </w:p>
        </w:tc>
        <w:tc>
          <w:tcPr>
            <w:tcW w:w="543" w:type="pct"/>
            <w:tcBorders>
              <w:top w:val="single" w:color="auto" w:sz="6" w:space="0"/>
              <w:left w:val="single" w:color="auto" w:sz="6" w:space="0"/>
              <w:bottom w:val="single" w:color="auto" w:sz="6" w:space="0"/>
              <w:right w:val="single" w:color="auto" w:sz="6" w:space="0"/>
            </w:tcBorders>
            <w:vAlign w:val="center"/>
          </w:tcPr>
          <w:p w14:paraId="529029D3">
            <w:pPr>
              <w:pStyle w:val="317"/>
              <w:keepNext w:val="0"/>
              <w:keepLines w:val="0"/>
              <w:pageBreakBefore w:val="0"/>
              <w:kinsoku/>
              <w:wordWrap/>
              <w:overflowPunct/>
              <w:topLinePunct w:val="0"/>
              <w:bidi w:val="0"/>
              <w:snapToGrid/>
              <w:ind w:firstLine="0" w:firstLineChars="0"/>
              <w:textAlignment w:val="auto"/>
              <w:rPr>
                <w:color w:val="000000"/>
                <w:sz w:val="21"/>
                <w:szCs w:val="21"/>
              </w:rPr>
            </w:pPr>
            <w:r>
              <w:rPr>
                <w:rFonts w:ascii="Cambria Math" w:hAnsi="Cambria Math" w:cs="Cambria Math"/>
                <w:color w:val="000000"/>
                <w:sz w:val="21"/>
                <w:szCs w:val="21"/>
              </w:rPr>
              <w:t>◇</w:t>
            </w:r>
          </w:p>
        </w:tc>
        <w:tc>
          <w:tcPr>
            <w:tcW w:w="543" w:type="pct"/>
            <w:tcBorders>
              <w:top w:val="single" w:color="auto" w:sz="6" w:space="0"/>
              <w:left w:val="single" w:color="auto" w:sz="6" w:space="0"/>
              <w:bottom w:val="single" w:color="auto" w:sz="6" w:space="0"/>
              <w:right w:val="single" w:color="auto" w:sz="6" w:space="0"/>
            </w:tcBorders>
            <w:vAlign w:val="center"/>
          </w:tcPr>
          <w:p w14:paraId="785AC0FB">
            <w:pPr>
              <w:pStyle w:val="317"/>
              <w:keepNext w:val="0"/>
              <w:keepLines w:val="0"/>
              <w:pageBreakBefore w:val="0"/>
              <w:kinsoku/>
              <w:wordWrap/>
              <w:overflowPunct/>
              <w:topLinePunct w:val="0"/>
              <w:bidi w:val="0"/>
              <w:snapToGrid/>
              <w:ind w:firstLine="0" w:firstLineChars="0"/>
              <w:textAlignment w:val="auto"/>
              <w:rPr>
                <w:color w:val="000000"/>
                <w:sz w:val="21"/>
                <w:szCs w:val="21"/>
              </w:rPr>
            </w:pPr>
            <w:r>
              <w:rPr>
                <w:rFonts w:ascii="Cambria Math" w:hAnsi="Cambria Math" w:cs="Cambria Math"/>
                <w:color w:val="000000"/>
                <w:sz w:val="21"/>
                <w:szCs w:val="21"/>
              </w:rPr>
              <w:t>◇</w:t>
            </w:r>
          </w:p>
        </w:tc>
        <w:tc>
          <w:tcPr>
            <w:tcW w:w="543" w:type="pct"/>
            <w:tcBorders>
              <w:top w:val="single" w:color="auto" w:sz="6" w:space="0"/>
              <w:left w:val="single" w:color="auto" w:sz="6" w:space="0"/>
              <w:bottom w:val="single" w:color="auto" w:sz="6" w:space="0"/>
              <w:right w:val="single" w:color="auto" w:sz="6" w:space="0"/>
            </w:tcBorders>
            <w:vAlign w:val="center"/>
          </w:tcPr>
          <w:p w14:paraId="3897591F">
            <w:pPr>
              <w:pStyle w:val="317"/>
              <w:keepNext w:val="0"/>
              <w:keepLines w:val="0"/>
              <w:pageBreakBefore w:val="0"/>
              <w:kinsoku/>
              <w:wordWrap/>
              <w:overflowPunct/>
              <w:topLinePunct w:val="0"/>
              <w:bidi w:val="0"/>
              <w:snapToGrid/>
              <w:ind w:firstLine="0" w:firstLineChars="0"/>
              <w:textAlignment w:val="auto"/>
              <w:rPr>
                <w:color w:val="000000"/>
                <w:sz w:val="21"/>
                <w:szCs w:val="21"/>
              </w:rPr>
            </w:pPr>
            <w:r>
              <w:rPr>
                <w:rFonts w:ascii="Cambria Math" w:hAnsi="Cambria Math" w:cs="Cambria Math"/>
                <w:color w:val="000000"/>
                <w:sz w:val="21"/>
                <w:szCs w:val="21"/>
              </w:rPr>
              <w:t>◇</w:t>
            </w:r>
          </w:p>
        </w:tc>
        <w:tc>
          <w:tcPr>
            <w:tcW w:w="543" w:type="pct"/>
            <w:tcBorders>
              <w:top w:val="single" w:color="auto" w:sz="6" w:space="0"/>
              <w:left w:val="single" w:color="auto" w:sz="6" w:space="0"/>
              <w:bottom w:val="single" w:color="auto" w:sz="6" w:space="0"/>
              <w:right w:val="single" w:color="auto" w:sz="6" w:space="0"/>
            </w:tcBorders>
            <w:vAlign w:val="center"/>
          </w:tcPr>
          <w:p w14:paraId="4F33A0CE">
            <w:pPr>
              <w:pStyle w:val="317"/>
              <w:keepNext w:val="0"/>
              <w:keepLines w:val="0"/>
              <w:pageBreakBefore w:val="0"/>
              <w:kinsoku/>
              <w:wordWrap/>
              <w:overflowPunct/>
              <w:topLinePunct w:val="0"/>
              <w:bidi w:val="0"/>
              <w:snapToGrid/>
              <w:ind w:firstLine="0" w:firstLineChars="0"/>
              <w:textAlignment w:val="auto"/>
              <w:rPr>
                <w:color w:val="000000"/>
                <w:sz w:val="21"/>
                <w:szCs w:val="21"/>
              </w:rPr>
            </w:pPr>
            <w:r>
              <w:rPr>
                <w:rFonts w:ascii="Cambria Math" w:hAnsi="Cambria Math" w:cs="Cambria Math"/>
                <w:color w:val="000000"/>
                <w:sz w:val="21"/>
                <w:szCs w:val="21"/>
              </w:rPr>
              <w:t>◇</w:t>
            </w:r>
          </w:p>
        </w:tc>
        <w:tc>
          <w:tcPr>
            <w:tcW w:w="543" w:type="pct"/>
            <w:tcBorders>
              <w:top w:val="single" w:color="auto" w:sz="6" w:space="0"/>
              <w:left w:val="single" w:color="auto" w:sz="6" w:space="0"/>
              <w:bottom w:val="single" w:color="auto" w:sz="6" w:space="0"/>
              <w:right w:val="single" w:color="auto" w:sz="6" w:space="0"/>
            </w:tcBorders>
            <w:vAlign w:val="center"/>
          </w:tcPr>
          <w:p w14:paraId="644BA559">
            <w:pPr>
              <w:pStyle w:val="317"/>
              <w:keepNext w:val="0"/>
              <w:keepLines w:val="0"/>
              <w:pageBreakBefore w:val="0"/>
              <w:kinsoku/>
              <w:wordWrap/>
              <w:overflowPunct/>
              <w:topLinePunct w:val="0"/>
              <w:bidi w:val="0"/>
              <w:snapToGrid/>
              <w:ind w:firstLine="0" w:firstLineChars="0"/>
              <w:textAlignment w:val="auto"/>
              <w:rPr>
                <w:color w:val="000000"/>
                <w:sz w:val="21"/>
                <w:szCs w:val="21"/>
              </w:rPr>
            </w:pPr>
            <w:r>
              <w:rPr>
                <w:rFonts w:ascii="Cambria Math" w:hAnsi="Cambria Math" w:cs="Cambria Math"/>
                <w:color w:val="000000"/>
                <w:sz w:val="21"/>
                <w:szCs w:val="21"/>
              </w:rPr>
              <w:t>◇</w:t>
            </w:r>
          </w:p>
        </w:tc>
        <w:tc>
          <w:tcPr>
            <w:tcW w:w="543" w:type="pct"/>
            <w:tcBorders>
              <w:top w:val="single" w:color="auto" w:sz="6" w:space="0"/>
              <w:left w:val="single" w:color="auto" w:sz="6" w:space="0"/>
              <w:bottom w:val="single" w:color="auto" w:sz="6" w:space="0"/>
              <w:right w:val="single" w:color="auto" w:sz="6" w:space="0"/>
            </w:tcBorders>
            <w:vAlign w:val="center"/>
          </w:tcPr>
          <w:p w14:paraId="228B131C">
            <w:pPr>
              <w:pStyle w:val="317"/>
              <w:keepNext w:val="0"/>
              <w:keepLines w:val="0"/>
              <w:pageBreakBefore w:val="0"/>
              <w:kinsoku/>
              <w:wordWrap/>
              <w:overflowPunct/>
              <w:topLinePunct w:val="0"/>
              <w:bidi w:val="0"/>
              <w:snapToGrid/>
              <w:ind w:firstLine="0" w:firstLineChars="0"/>
              <w:textAlignment w:val="auto"/>
              <w:rPr>
                <w:color w:val="000000"/>
                <w:sz w:val="21"/>
                <w:szCs w:val="21"/>
              </w:rPr>
            </w:pPr>
            <w:r>
              <w:rPr>
                <w:rFonts w:ascii="Cambria Math" w:hAnsi="Cambria Math" w:cs="Cambria Math"/>
                <w:color w:val="000000"/>
                <w:sz w:val="21"/>
                <w:szCs w:val="21"/>
              </w:rPr>
              <w:t>◇</w:t>
            </w:r>
          </w:p>
        </w:tc>
        <w:tc>
          <w:tcPr>
            <w:tcW w:w="543" w:type="pct"/>
            <w:tcBorders>
              <w:top w:val="single" w:color="auto" w:sz="6" w:space="0"/>
              <w:left w:val="single" w:color="auto" w:sz="6" w:space="0"/>
              <w:bottom w:val="single" w:color="auto" w:sz="6" w:space="0"/>
              <w:right w:val="nil"/>
            </w:tcBorders>
            <w:vAlign w:val="center"/>
          </w:tcPr>
          <w:p w14:paraId="13C2E980">
            <w:pPr>
              <w:pStyle w:val="317"/>
              <w:keepNext w:val="0"/>
              <w:keepLines w:val="0"/>
              <w:pageBreakBefore w:val="0"/>
              <w:kinsoku/>
              <w:wordWrap/>
              <w:overflowPunct/>
              <w:topLinePunct w:val="0"/>
              <w:bidi w:val="0"/>
              <w:snapToGrid/>
              <w:ind w:firstLine="0" w:firstLineChars="0"/>
              <w:textAlignment w:val="auto"/>
              <w:rPr>
                <w:color w:val="000000"/>
                <w:sz w:val="21"/>
                <w:szCs w:val="21"/>
              </w:rPr>
            </w:pPr>
            <w:r>
              <w:rPr>
                <w:rFonts w:ascii="Cambria Math" w:hAnsi="Cambria Math" w:cs="Cambria Math"/>
                <w:color w:val="000000"/>
                <w:sz w:val="21"/>
                <w:szCs w:val="21"/>
              </w:rPr>
              <w:t>◇</w:t>
            </w:r>
          </w:p>
        </w:tc>
      </w:tr>
      <w:tr w14:paraId="10A9D5E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344" w:type="pct"/>
            <w:vMerge w:val="continue"/>
            <w:tcBorders>
              <w:top w:val="single" w:color="auto" w:sz="6" w:space="0"/>
              <w:left w:val="nil"/>
              <w:bottom w:val="single" w:color="auto" w:sz="12" w:space="0"/>
              <w:right w:val="single" w:color="auto" w:sz="6" w:space="0"/>
            </w:tcBorders>
            <w:vAlign w:val="center"/>
          </w:tcPr>
          <w:p w14:paraId="74B3ABAF">
            <w:pPr>
              <w:keepNext w:val="0"/>
              <w:keepLines w:val="0"/>
              <w:pageBreakBefore w:val="0"/>
              <w:widowControl/>
              <w:kinsoku/>
              <w:wordWrap/>
              <w:overflowPunct/>
              <w:topLinePunct w:val="0"/>
              <w:bidi w:val="0"/>
              <w:snapToGrid/>
              <w:spacing w:line="240" w:lineRule="auto"/>
              <w:ind w:firstLine="0" w:firstLineChars="0"/>
              <w:jc w:val="left"/>
              <w:textAlignment w:val="auto"/>
              <w:rPr>
                <w:bCs/>
                <w:color w:val="000000"/>
                <w:kern w:val="0"/>
                <w:sz w:val="21"/>
                <w:szCs w:val="21"/>
                <w:lang w:val="zh-CN"/>
              </w:rPr>
            </w:pPr>
          </w:p>
        </w:tc>
        <w:tc>
          <w:tcPr>
            <w:tcW w:w="854" w:type="pct"/>
            <w:tcBorders>
              <w:top w:val="single" w:color="auto" w:sz="6" w:space="0"/>
              <w:left w:val="single" w:color="auto" w:sz="6" w:space="0"/>
              <w:bottom w:val="single" w:color="auto" w:sz="12" w:space="0"/>
              <w:right w:val="single" w:color="auto" w:sz="6" w:space="0"/>
            </w:tcBorders>
            <w:vAlign w:val="center"/>
          </w:tcPr>
          <w:p w14:paraId="07047EAB">
            <w:pPr>
              <w:pStyle w:val="317"/>
              <w:keepNext w:val="0"/>
              <w:keepLines w:val="0"/>
              <w:pageBreakBefore w:val="0"/>
              <w:kinsoku/>
              <w:wordWrap/>
              <w:overflowPunct/>
              <w:topLinePunct w:val="0"/>
              <w:bidi w:val="0"/>
              <w:snapToGrid/>
              <w:ind w:firstLine="0" w:firstLineChars="0"/>
              <w:textAlignment w:val="auto"/>
              <w:rPr>
                <w:color w:val="000000"/>
                <w:sz w:val="21"/>
                <w:szCs w:val="21"/>
              </w:rPr>
            </w:pPr>
            <w:r>
              <w:rPr>
                <w:color w:val="000000"/>
                <w:sz w:val="21"/>
                <w:szCs w:val="21"/>
              </w:rPr>
              <w:t>当地经济</w:t>
            </w:r>
          </w:p>
        </w:tc>
        <w:tc>
          <w:tcPr>
            <w:tcW w:w="543" w:type="pct"/>
            <w:tcBorders>
              <w:top w:val="single" w:color="auto" w:sz="6" w:space="0"/>
              <w:left w:val="single" w:color="auto" w:sz="6" w:space="0"/>
              <w:bottom w:val="single" w:color="auto" w:sz="12" w:space="0"/>
              <w:right w:val="single" w:color="auto" w:sz="6" w:space="0"/>
            </w:tcBorders>
            <w:vAlign w:val="center"/>
          </w:tcPr>
          <w:p w14:paraId="5C246E38">
            <w:pPr>
              <w:pStyle w:val="317"/>
              <w:keepNext w:val="0"/>
              <w:keepLines w:val="0"/>
              <w:pageBreakBefore w:val="0"/>
              <w:kinsoku/>
              <w:wordWrap/>
              <w:overflowPunct/>
              <w:topLinePunct w:val="0"/>
              <w:bidi w:val="0"/>
              <w:snapToGrid/>
              <w:ind w:firstLine="0" w:firstLineChars="0"/>
              <w:textAlignment w:val="auto"/>
              <w:rPr>
                <w:color w:val="000000"/>
                <w:sz w:val="21"/>
                <w:szCs w:val="21"/>
              </w:rPr>
            </w:pPr>
            <w:r>
              <w:rPr>
                <w:rFonts w:ascii="Cambria Math" w:hAnsi="Cambria Math" w:cs="Cambria Math"/>
                <w:color w:val="000000"/>
                <w:sz w:val="21"/>
                <w:szCs w:val="21"/>
              </w:rPr>
              <w:t>◇</w:t>
            </w:r>
          </w:p>
        </w:tc>
        <w:tc>
          <w:tcPr>
            <w:tcW w:w="543" w:type="pct"/>
            <w:tcBorders>
              <w:top w:val="single" w:color="auto" w:sz="6" w:space="0"/>
              <w:left w:val="single" w:color="auto" w:sz="6" w:space="0"/>
              <w:bottom w:val="single" w:color="auto" w:sz="12" w:space="0"/>
              <w:right w:val="single" w:color="auto" w:sz="6" w:space="0"/>
            </w:tcBorders>
            <w:vAlign w:val="center"/>
          </w:tcPr>
          <w:p w14:paraId="66F1E4FF">
            <w:pPr>
              <w:pStyle w:val="317"/>
              <w:keepNext w:val="0"/>
              <w:keepLines w:val="0"/>
              <w:pageBreakBefore w:val="0"/>
              <w:kinsoku/>
              <w:wordWrap/>
              <w:overflowPunct/>
              <w:topLinePunct w:val="0"/>
              <w:bidi w:val="0"/>
              <w:snapToGrid/>
              <w:ind w:firstLine="0" w:firstLineChars="0"/>
              <w:textAlignment w:val="auto"/>
              <w:rPr>
                <w:color w:val="000000"/>
                <w:sz w:val="21"/>
                <w:szCs w:val="21"/>
              </w:rPr>
            </w:pPr>
            <w:r>
              <w:rPr>
                <w:rFonts w:ascii="Cambria Math" w:hAnsi="Cambria Math" w:cs="Cambria Math"/>
                <w:color w:val="000000"/>
                <w:sz w:val="21"/>
                <w:szCs w:val="21"/>
              </w:rPr>
              <w:t>◇</w:t>
            </w:r>
          </w:p>
        </w:tc>
        <w:tc>
          <w:tcPr>
            <w:tcW w:w="543" w:type="pct"/>
            <w:tcBorders>
              <w:top w:val="single" w:color="auto" w:sz="6" w:space="0"/>
              <w:left w:val="single" w:color="auto" w:sz="6" w:space="0"/>
              <w:bottom w:val="single" w:color="auto" w:sz="12" w:space="0"/>
              <w:right w:val="single" w:color="auto" w:sz="6" w:space="0"/>
            </w:tcBorders>
            <w:vAlign w:val="center"/>
          </w:tcPr>
          <w:p w14:paraId="4A8AFC9B">
            <w:pPr>
              <w:pStyle w:val="317"/>
              <w:keepNext w:val="0"/>
              <w:keepLines w:val="0"/>
              <w:pageBreakBefore w:val="0"/>
              <w:kinsoku/>
              <w:wordWrap/>
              <w:overflowPunct/>
              <w:topLinePunct w:val="0"/>
              <w:bidi w:val="0"/>
              <w:snapToGrid/>
              <w:ind w:firstLine="0" w:firstLineChars="0"/>
              <w:textAlignment w:val="auto"/>
              <w:rPr>
                <w:color w:val="000000"/>
                <w:sz w:val="21"/>
                <w:szCs w:val="21"/>
              </w:rPr>
            </w:pPr>
            <w:r>
              <w:rPr>
                <w:rFonts w:ascii="Cambria Math" w:hAnsi="Cambria Math" w:cs="Cambria Math"/>
                <w:color w:val="000000"/>
                <w:sz w:val="21"/>
                <w:szCs w:val="21"/>
              </w:rPr>
              <w:t>◇</w:t>
            </w:r>
          </w:p>
        </w:tc>
        <w:tc>
          <w:tcPr>
            <w:tcW w:w="543" w:type="pct"/>
            <w:tcBorders>
              <w:top w:val="single" w:color="auto" w:sz="6" w:space="0"/>
              <w:left w:val="single" w:color="auto" w:sz="6" w:space="0"/>
              <w:bottom w:val="single" w:color="auto" w:sz="12" w:space="0"/>
              <w:right w:val="single" w:color="auto" w:sz="6" w:space="0"/>
            </w:tcBorders>
            <w:vAlign w:val="center"/>
          </w:tcPr>
          <w:p w14:paraId="3A269B6C">
            <w:pPr>
              <w:pStyle w:val="317"/>
              <w:keepNext w:val="0"/>
              <w:keepLines w:val="0"/>
              <w:pageBreakBefore w:val="0"/>
              <w:kinsoku/>
              <w:wordWrap/>
              <w:overflowPunct/>
              <w:topLinePunct w:val="0"/>
              <w:bidi w:val="0"/>
              <w:snapToGrid/>
              <w:ind w:firstLine="0" w:firstLineChars="0"/>
              <w:textAlignment w:val="auto"/>
              <w:rPr>
                <w:color w:val="000000"/>
                <w:sz w:val="21"/>
                <w:szCs w:val="21"/>
              </w:rPr>
            </w:pPr>
            <w:r>
              <w:rPr>
                <w:rFonts w:ascii="Cambria Math" w:hAnsi="Cambria Math" w:cs="Cambria Math"/>
                <w:color w:val="000000"/>
                <w:sz w:val="21"/>
                <w:szCs w:val="21"/>
              </w:rPr>
              <w:t>◇</w:t>
            </w:r>
          </w:p>
        </w:tc>
        <w:tc>
          <w:tcPr>
            <w:tcW w:w="543" w:type="pct"/>
            <w:tcBorders>
              <w:top w:val="single" w:color="auto" w:sz="6" w:space="0"/>
              <w:left w:val="single" w:color="auto" w:sz="6" w:space="0"/>
              <w:bottom w:val="single" w:color="auto" w:sz="12" w:space="0"/>
              <w:right w:val="single" w:color="auto" w:sz="6" w:space="0"/>
            </w:tcBorders>
            <w:vAlign w:val="center"/>
          </w:tcPr>
          <w:p w14:paraId="4F5CBD32">
            <w:pPr>
              <w:pStyle w:val="317"/>
              <w:keepNext w:val="0"/>
              <w:keepLines w:val="0"/>
              <w:pageBreakBefore w:val="0"/>
              <w:kinsoku/>
              <w:wordWrap/>
              <w:overflowPunct/>
              <w:topLinePunct w:val="0"/>
              <w:bidi w:val="0"/>
              <w:snapToGrid/>
              <w:ind w:firstLine="0" w:firstLineChars="0"/>
              <w:textAlignment w:val="auto"/>
              <w:rPr>
                <w:color w:val="000000"/>
                <w:sz w:val="21"/>
                <w:szCs w:val="21"/>
              </w:rPr>
            </w:pPr>
            <w:r>
              <w:rPr>
                <w:color w:val="000000"/>
                <w:sz w:val="21"/>
                <w:szCs w:val="21"/>
              </w:rPr>
              <w:t>○</w:t>
            </w:r>
          </w:p>
        </w:tc>
        <w:tc>
          <w:tcPr>
            <w:tcW w:w="543" w:type="pct"/>
            <w:tcBorders>
              <w:top w:val="single" w:color="auto" w:sz="6" w:space="0"/>
              <w:left w:val="single" w:color="auto" w:sz="6" w:space="0"/>
              <w:bottom w:val="single" w:color="auto" w:sz="12" w:space="0"/>
              <w:right w:val="single" w:color="auto" w:sz="6" w:space="0"/>
            </w:tcBorders>
            <w:vAlign w:val="center"/>
          </w:tcPr>
          <w:p w14:paraId="30188FEF">
            <w:pPr>
              <w:pStyle w:val="317"/>
              <w:keepNext w:val="0"/>
              <w:keepLines w:val="0"/>
              <w:pageBreakBefore w:val="0"/>
              <w:kinsoku/>
              <w:wordWrap/>
              <w:overflowPunct/>
              <w:topLinePunct w:val="0"/>
              <w:bidi w:val="0"/>
              <w:snapToGrid/>
              <w:ind w:firstLine="0" w:firstLineChars="0"/>
              <w:textAlignment w:val="auto"/>
              <w:rPr>
                <w:color w:val="000000"/>
                <w:sz w:val="21"/>
                <w:szCs w:val="21"/>
              </w:rPr>
            </w:pPr>
            <w:r>
              <w:rPr>
                <w:rFonts w:ascii="Cambria Math" w:hAnsi="Cambria Math" w:cs="Cambria Math"/>
                <w:color w:val="000000"/>
                <w:sz w:val="21"/>
                <w:szCs w:val="21"/>
              </w:rPr>
              <w:t>◇</w:t>
            </w:r>
          </w:p>
        </w:tc>
        <w:tc>
          <w:tcPr>
            <w:tcW w:w="543" w:type="pct"/>
            <w:tcBorders>
              <w:top w:val="single" w:color="auto" w:sz="6" w:space="0"/>
              <w:left w:val="single" w:color="auto" w:sz="6" w:space="0"/>
              <w:bottom w:val="single" w:color="auto" w:sz="12" w:space="0"/>
              <w:right w:val="nil"/>
            </w:tcBorders>
            <w:vAlign w:val="center"/>
          </w:tcPr>
          <w:p w14:paraId="0CA8D389">
            <w:pPr>
              <w:pStyle w:val="317"/>
              <w:keepNext w:val="0"/>
              <w:keepLines w:val="0"/>
              <w:pageBreakBefore w:val="0"/>
              <w:kinsoku/>
              <w:wordWrap/>
              <w:overflowPunct/>
              <w:topLinePunct w:val="0"/>
              <w:bidi w:val="0"/>
              <w:snapToGrid/>
              <w:ind w:firstLine="0" w:firstLineChars="0"/>
              <w:textAlignment w:val="auto"/>
              <w:rPr>
                <w:color w:val="000000"/>
                <w:sz w:val="21"/>
                <w:szCs w:val="21"/>
              </w:rPr>
            </w:pPr>
            <w:r>
              <w:rPr>
                <w:rFonts w:ascii="Cambria Math" w:hAnsi="Cambria Math" w:cs="Cambria Math"/>
                <w:color w:val="000000"/>
                <w:sz w:val="21"/>
                <w:szCs w:val="21"/>
              </w:rPr>
              <w:t>◇</w:t>
            </w:r>
          </w:p>
        </w:tc>
      </w:tr>
    </w:tbl>
    <w:p w14:paraId="61CC0BC4">
      <w:pPr>
        <w:pStyle w:val="318"/>
        <w:ind w:firstLine="360"/>
        <w:rPr>
          <w:rFonts w:ascii="Times New Roman" w:hAnsi="Times New Roman" w:cs="Times New Roman"/>
          <w:color w:val="000000"/>
          <w:sz w:val="18"/>
          <w:szCs w:val="18"/>
        </w:rPr>
      </w:pPr>
      <w:r>
        <w:rPr>
          <w:rFonts w:ascii="Times New Roman" w:hAnsi="Times New Roman" w:cs="Times New Roman"/>
          <w:color w:val="000000"/>
          <w:sz w:val="18"/>
          <w:szCs w:val="18"/>
        </w:rPr>
        <w:t>注：</w:t>
      </w:r>
      <w:r>
        <w:rPr>
          <w:rFonts w:ascii="Cambria Math" w:hAnsi="Cambria Math" w:cs="Cambria Math"/>
          <w:color w:val="000000"/>
          <w:sz w:val="18"/>
          <w:szCs w:val="18"/>
        </w:rPr>
        <w:t>◎</w:t>
      </w:r>
      <w:r>
        <w:rPr>
          <w:rFonts w:ascii="Times New Roman" w:hAnsi="Times New Roman" w:cs="Times New Roman"/>
          <w:color w:val="000000"/>
          <w:sz w:val="18"/>
          <w:szCs w:val="18"/>
        </w:rPr>
        <w:t xml:space="preserve">改善    ○正影响    ●负影响    </w:t>
      </w:r>
      <w:r>
        <w:rPr>
          <w:rFonts w:ascii="Cambria Math" w:hAnsi="Cambria Math" w:cs="Cambria Math"/>
          <w:color w:val="000000"/>
          <w:sz w:val="18"/>
          <w:szCs w:val="18"/>
        </w:rPr>
        <w:t>◇</w:t>
      </w:r>
      <w:r>
        <w:rPr>
          <w:rFonts w:ascii="Times New Roman" w:hAnsi="Times New Roman" w:cs="Times New Roman"/>
          <w:color w:val="000000"/>
          <w:sz w:val="18"/>
          <w:szCs w:val="18"/>
        </w:rPr>
        <w:t>无影响</w:t>
      </w:r>
    </w:p>
    <w:p w14:paraId="1D89942E">
      <w:pPr>
        <w:adjustRightInd w:val="0"/>
        <w:snapToGrid w:val="0"/>
        <w:spacing w:line="360" w:lineRule="auto"/>
        <w:ind w:firstLine="480"/>
        <w:rPr>
          <w:color w:val="000000"/>
        </w:rPr>
      </w:pPr>
      <w:r>
        <w:rPr>
          <w:color w:val="000000"/>
        </w:rPr>
        <w:t>由上表可以看出，本项目运营期将对当地自然环境和社会环境产生较小程度的不利影响，主要影响因素是地表水环境、空气环境。</w:t>
      </w:r>
    </w:p>
    <w:p w14:paraId="70E24AF4">
      <w:pPr>
        <w:pStyle w:val="5"/>
        <w:numPr>
          <w:ilvl w:val="2"/>
          <w:numId w:val="0"/>
        </w:numPr>
      </w:pPr>
      <w:r>
        <w:t>2.4.2评价因子</w:t>
      </w:r>
    </w:p>
    <w:p w14:paraId="3AA0BF5F">
      <w:pPr>
        <w:ind w:firstLine="480" w:firstLineChars="200"/>
      </w:pPr>
      <w:bookmarkStart w:id="77" w:name="_Toc81987503"/>
      <w:bookmarkStart w:id="78" w:name="_Toc248904703"/>
      <w:bookmarkStart w:id="79" w:name="_Toc82940850"/>
      <w:bookmarkStart w:id="80" w:name="_Toc86648405"/>
      <w:bookmarkStart w:id="81" w:name="_Toc163558740"/>
      <w:bookmarkStart w:id="82" w:name="_Toc151627689"/>
      <w:bookmarkStart w:id="83" w:name="_Toc163557160"/>
      <w:bookmarkStart w:id="84" w:name="_Toc83363013"/>
      <w:bookmarkStart w:id="85" w:name="_Toc110400438"/>
      <w:bookmarkStart w:id="86" w:name="_Toc82941043"/>
      <w:bookmarkStart w:id="87" w:name="_Toc81796383"/>
      <w:bookmarkStart w:id="88" w:name="_Toc83301416"/>
      <w:bookmarkStart w:id="89" w:name="_Toc81997854"/>
      <w:bookmarkStart w:id="90" w:name="_Toc83099175"/>
      <w:bookmarkStart w:id="91" w:name="_Toc82940712"/>
      <w:bookmarkStart w:id="92" w:name="_Toc82940532"/>
      <w:bookmarkStart w:id="93" w:name="_Toc82940937"/>
      <w:bookmarkStart w:id="94" w:name="_Toc163557456"/>
      <w:bookmarkStart w:id="95" w:name="_Toc81796315"/>
      <w:bookmarkStart w:id="96" w:name="_Toc119992151"/>
      <w:bookmarkStart w:id="97" w:name="_Toc158481374"/>
      <w:r>
        <w:t>根据对本项目施工期和营运期的调查，通过初步的工程分析筛选项目施工期和营运期各阶段的主要污染因子，见表</w:t>
      </w:r>
      <w:r>
        <w:rPr>
          <w:rFonts w:hint="eastAsia"/>
          <w:lang w:val="en-US" w:eastAsia="zh-CN"/>
        </w:rPr>
        <w:t>2-2</w:t>
      </w:r>
      <w:r>
        <w:t>。</w:t>
      </w:r>
    </w:p>
    <w:p w14:paraId="701E432E">
      <w:pPr>
        <w:spacing w:line="360" w:lineRule="exact"/>
        <w:jc w:val="center"/>
        <w:rPr>
          <w:b/>
          <w:color w:val="000000"/>
          <w:sz w:val="21"/>
          <w:szCs w:val="21"/>
        </w:rPr>
      </w:pPr>
    </w:p>
    <w:p w14:paraId="42655DA5">
      <w:pPr>
        <w:spacing w:line="360" w:lineRule="exact"/>
        <w:jc w:val="center"/>
        <w:rPr>
          <w:b/>
          <w:color w:val="000000"/>
          <w:sz w:val="21"/>
          <w:szCs w:val="21"/>
        </w:rPr>
      </w:pPr>
    </w:p>
    <w:p w14:paraId="5864CAD2">
      <w:pPr>
        <w:spacing w:line="360" w:lineRule="exact"/>
        <w:jc w:val="center"/>
        <w:rPr>
          <w:b/>
          <w:color w:val="000000"/>
          <w:sz w:val="21"/>
          <w:szCs w:val="21"/>
        </w:rPr>
      </w:pPr>
      <w:r>
        <w:rPr>
          <w:b/>
          <w:color w:val="000000"/>
          <w:sz w:val="21"/>
          <w:szCs w:val="21"/>
        </w:rPr>
        <w:t>表</w:t>
      </w:r>
      <w:r>
        <w:rPr>
          <w:rFonts w:hint="eastAsia"/>
          <w:b/>
          <w:color w:val="000000"/>
          <w:sz w:val="21"/>
          <w:szCs w:val="21"/>
          <w:lang w:val="en-US" w:eastAsia="zh-CN"/>
        </w:rPr>
        <w:t>2-2</w:t>
      </w:r>
      <w:r>
        <w:rPr>
          <w:b/>
          <w:color w:val="000000"/>
          <w:sz w:val="21"/>
          <w:szCs w:val="21"/>
        </w:rPr>
        <w:t>污染因子筛选结果</w:t>
      </w:r>
    </w:p>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tbl>
      <w:tblPr>
        <w:tblStyle w:val="52"/>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28" w:type="dxa"/>
          <w:bottom w:w="0" w:type="dxa"/>
          <w:right w:w="28" w:type="dxa"/>
        </w:tblCellMar>
      </w:tblPr>
      <w:tblGrid>
        <w:gridCol w:w="988"/>
        <w:gridCol w:w="1940"/>
        <w:gridCol w:w="5431"/>
      </w:tblGrid>
      <w:tr w14:paraId="53D2990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jc w:val="center"/>
        </w:trPr>
        <w:tc>
          <w:tcPr>
            <w:tcW w:w="591" w:type="pct"/>
            <w:tcMar>
              <w:top w:w="28" w:type="dxa"/>
              <w:bottom w:w="28" w:type="dxa"/>
            </w:tcMar>
            <w:vAlign w:val="center"/>
          </w:tcPr>
          <w:p w14:paraId="06D50E5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环境要素</w:t>
            </w:r>
          </w:p>
        </w:tc>
        <w:tc>
          <w:tcPr>
            <w:tcW w:w="1160" w:type="pct"/>
            <w:tcMar>
              <w:top w:w="28" w:type="dxa"/>
              <w:bottom w:w="28" w:type="dxa"/>
            </w:tcMar>
            <w:vAlign w:val="center"/>
          </w:tcPr>
          <w:p w14:paraId="5CDC619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sz w:val="21"/>
                <w:szCs w:val="21"/>
                <w:lang w:eastAsia="zh-CN"/>
              </w:rPr>
            </w:pPr>
            <w:r>
              <w:rPr>
                <w:rFonts w:hint="eastAsia"/>
                <w:sz w:val="21"/>
                <w:szCs w:val="21"/>
                <w:lang w:eastAsia="zh-CN"/>
              </w:rPr>
              <w:t>项目</w:t>
            </w:r>
          </w:p>
        </w:tc>
        <w:tc>
          <w:tcPr>
            <w:tcW w:w="3247" w:type="pct"/>
            <w:tcMar>
              <w:top w:w="28" w:type="dxa"/>
              <w:bottom w:w="28" w:type="dxa"/>
            </w:tcMar>
            <w:vAlign w:val="center"/>
          </w:tcPr>
          <w:p w14:paraId="77A0F1A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评价因子</w:t>
            </w:r>
          </w:p>
        </w:tc>
      </w:tr>
      <w:tr w14:paraId="3A92A24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jc w:val="center"/>
        </w:trPr>
        <w:tc>
          <w:tcPr>
            <w:tcW w:w="591" w:type="pct"/>
            <w:vMerge w:val="restart"/>
            <w:tcMar>
              <w:top w:w="28" w:type="dxa"/>
              <w:bottom w:w="28" w:type="dxa"/>
            </w:tcMar>
            <w:vAlign w:val="center"/>
          </w:tcPr>
          <w:p w14:paraId="5F21F3E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sz w:val="21"/>
                <w:szCs w:val="21"/>
                <w:lang w:eastAsia="zh-CN"/>
              </w:rPr>
            </w:pPr>
            <w:r>
              <w:rPr>
                <w:rFonts w:hint="eastAsia"/>
                <w:sz w:val="21"/>
                <w:szCs w:val="21"/>
                <w:lang w:eastAsia="zh-CN"/>
              </w:rPr>
              <w:t>环境空气</w:t>
            </w:r>
          </w:p>
        </w:tc>
        <w:tc>
          <w:tcPr>
            <w:tcW w:w="1160" w:type="pct"/>
            <w:tcMar>
              <w:top w:w="28" w:type="dxa"/>
              <w:bottom w:w="28" w:type="dxa"/>
            </w:tcMar>
            <w:vAlign w:val="center"/>
          </w:tcPr>
          <w:p w14:paraId="5086176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sz w:val="21"/>
                <w:szCs w:val="21"/>
                <w:lang w:eastAsia="zh-CN"/>
              </w:rPr>
            </w:pPr>
            <w:r>
              <w:rPr>
                <w:rFonts w:hint="eastAsia"/>
                <w:sz w:val="21"/>
                <w:szCs w:val="21"/>
                <w:lang w:eastAsia="zh-CN"/>
              </w:rPr>
              <w:t>现状评价因子</w:t>
            </w:r>
          </w:p>
        </w:tc>
        <w:tc>
          <w:tcPr>
            <w:tcW w:w="3247" w:type="pct"/>
            <w:tcMar>
              <w:top w:w="28" w:type="dxa"/>
              <w:bottom w:w="28" w:type="dxa"/>
            </w:tcMar>
            <w:vAlign w:val="center"/>
          </w:tcPr>
          <w:p w14:paraId="1945BD7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sz w:val="21"/>
                <w:szCs w:val="21"/>
                <w:lang w:val="en-US" w:eastAsia="zh-CN"/>
              </w:rPr>
            </w:pPr>
            <w:r>
              <w:rPr>
                <w:rFonts w:hint="eastAsia"/>
                <w:sz w:val="21"/>
                <w:szCs w:val="21"/>
                <w:lang w:val="en-US" w:eastAsia="zh-CN"/>
              </w:rPr>
              <w:t>PM</w:t>
            </w:r>
            <w:r>
              <w:rPr>
                <w:rFonts w:hint="eastAsia"/>
                <w:sz w:val="21"/>
                <w:szCs w:val="21"/>
                <w:vertAlign w:val="subscript"/>
                <w:lang w:val="en-US" w:eastAsia="zh-CN"/>
              </w:rPr>
              <w:t>10</w:t>
            </w:r>
            <w:r>
              <w:rPr>
                <w:rFonts w:hint="eastAsia"/>
                <w:sz w:val="21"/>
                <w:szCs w:val="21"/>
                <w:lang w:val="en-US" w:eastAsia="zh-CN"/>
              </w:rPr>
              <w:t>、PM</w:t>
            </w:r>
            <w:r>
              <w:rPr>
                <w:rFonts w:hint="eastAsia"/>
                <w:sz w:val="21"/>
                <w:szCs w:val="21"/>
                <w:vertAlign w:val="subscript"/>
                <w:lang w:val="en-US" w:eastAsia="zh-CN"/>
              </w:rPr>
              <w:t>2.5</w:t>
            </w:r>
            <w:r>
              <w:rPr>
                <w:rFonts w:hint="eastAsia"/>
                <w:sz w:val="21"/>
                <w:szCs w:val="21"/>
                <w:lang w:val="en-US" w:eastAsia="zh-CN"/>
              </w:rPr>
              <w:t>、SO</w:t>
            </w:r>
            <w:r>
              <w:rPr>
                <w:rFonts w:hint="eastAsia"/>
                <w:sz w:val="21"/>
                <w:szCs w:val="21"/>
                <w:vertAlign w:val="subscript"/>
                <w:lang w:val="en-US" w:eastAsia="zh-CN"/>
              </w:rPr>
              <w:t>2</w:t>
            </w:r>
            <w:r>
              <w:rPr>
                <w:rFonts w:hint="eastAsia"/>
                <w:sz w:val="21"/>
                <w:szCs w:val="21"/>
                <w:lang w:val="en-US" w:eastAsia="zh-CN"/>
              </w:rPr>
              <w:t>、NOx、CO、O</w:t>
            </w:r>
            <w:r>
              <w:rPr>
                <w:rFonts w:hint="eastAsia"/>
                <w:sz w:val="21"/>
                <w:szCs w:val="21"/>
                <w:vertAlign w:val="subscript"/>
                <w:lang w:val="en-US" w:eastAsia="zh-CN"/>
              </w:rPr>
              <w:t>3</w:t>
            </w:r>
            <w:r>
              <w:rPr>
                <w:rFonts w:hint="eastAsia"/>
                <w:sz w:val="21"/>
                <w:szCs w:val="21"/>
                <w:lang w:val="en-US" w:eastAsia="zh-CN"/>
              </w:rPr>
              <w:t>、TVOCs</w:t>
            </w:r>
          </w:p>
        </w:tc>
      </w:tr>
      <w:tr w14:paraId="70C5308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jc w:val="center"/>
        </w:trPr>
        <w:tc>
          <w:tcPr>
            <w:tcW w:w="591" w:type="pct"/>
            <w:vMerge w:val="continue"/>
            <w:tcMar>
              <w:top w:w="28" w:type="dxa"/>
              <w:bottom w:w="28" w:type="dxa"/>
            </w:tcMar>
            <w:vAlign w:val="center"/>
          </w:tcPr>
          <w:p w14:paraId="1974AE6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1160" w:type="pct"/>
            <w:tcMar>
              <w:top w:w="28" w:type="dxa"/>
              <w:bottom w:w="28" w:type="dxa"/>
            </w:tcMar>
            <w:vAlign w:val="center"/>
          </w:tcPr>
          <w:p w14:paraId="4BED34B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sz w:val="21"/>
                <w:szCs w:val="21"/>
                <w:lang w:eastAsia="zh-CN"/>
              </w:rPr>
            </w:pPr>
            <w:r>
              <w:rPr>
                <w:rFonts w:hint="eastAsia"/>
                <w:sz w:val="21"/>
                <w:szCs w:val="21"/>
                <w:lang w:eastAsia="zh-CN"/>
              </w:rPr>
              <w:t>预测评价因子</w:t>
            </w:r>
          </w:p>
        </w:tc>
        <w:tc>
          <w:tcPr>
            <w:tcW w:w="3247" w:type="pct"/>
            <w:tcMar>
              <w:top w:w="28" w:type="dxa"/>
              <w:bottom w:w="28" w:type="dxa"/>
            </w:tcMar>
            <w:vAlign w:val="center"/>
          </w:tcPr>
          <w:p w14:paraId="2DD2549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sz w:val="21"/>
                <w:szCs w:val="21"/>
                <w:lang w:eastAsia="zh-CN"/>
              </w:rPr>
            </w:pPr>
            <w:r>
              <w:rPr>
                <w:rFonts w:hint="eastAsia"/>
                <w:sz w:val="21"/>
                <w:szCs w:val="21"/>
                <w:lang w:eastAsia="zh-CN"/>
              </w:rPr>
              <w:t>甲基磺酸</w:t>
            </w:r>
          </w:p>
        </w:tc>
      </w:tr>
      <w:tr w14:paraId="2DE241B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574" w:hRule="atLeast"/>
          <w:jc w:val="center"/>
        </w:trPr>
        <w:tc>
          <w:tcPr>
            <w:tcW w:w="591" w:type="pct"/>
            <w:tcMar>
              <w:top w:w="28" w:type="dxa"/>
              <w:bottom w:w="28" w:type="dxa"/>
            </w:tcMar>
            <w:vAlign w:val="center"/>
          </w:tcPr>
          <w:p w14:paraId="6ABEB58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sz w:val="21"/>
                <w:szCs w:val="21"/>
                <w:lang w:eastAsia="zh-CN"/>
              </w:rPr>
            </w:pPr>
            <w:r>
              <w:rPr>
                <w:rFonts w:hint="eastAsia"/>
                <w:sz w:val="21"/>
                <w:szCs w:val="21"/>
                <w:lang w:eastAsia="zh-CN"/>
              </w:rPr>
              <w:t>地下水</w:t>
            </w:r>
          </w:p>
        </w:tc>
        <w:tc>
          <w:tcPr>
            <w:tcW w:w="1160" w:type="pct"/>
            <w:tcMar>
              <w:top w:w="28" w:type="dxa"/>
              <w:bottom w:w="28" w:type="dxa"/>
            </w:tcMar>
            <w:vAlign w:val="center"/>
          </w:tcPr>
          <w:p w14:paraId="14F863B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kern w:val="0"/>
                <w:sz w:val="21"/>
                <w:szCs w:val="21"/>
                <w:lang w:val="en-US" w:eastAsia="zh-CN"/>
              </w:rPr>
            </w:pPr>
            <w:r>
              <w:rPr>
                <w:rFonts w:hint="eastAsia" w:ascii="Times New Roman" w:hAnsi="Times New Roman" w:eastAsia="宋体"/>
                <w:kern w:val="0"/>
                <w:sz w:val="21"/>
                <w:szCs w:val="21"/>
                <w:lang w:val="en-US" w:eastAsia="zh-CN"/>
              </w:rPr>
              <w:t>现状评价因子</w:t>
            </w:r>
          </w:p>
        </w:tc>
        <w:tc>
          <w:tcPr>
            <w:tcW w:w="3247" w:type="pct"/>
            <w:tcMar>
              <w:top w:w="28" w:type="dxa"/>
              <w:bottom w:w="28" w:type="dxa"/>
            </w:tcMar>
            <w:vAlign w:val="center"/>
          </w:tcPr>
          <w:p w14:paraId="593DA60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ascii="Times New Roman" w:hAnsi="Times New Roman" w:eastAsia="宋体"/>
                <w:kern w:val="0"/>
                <w:sz w:val="21"/>
                <w:szCs w:val="21"/>
                <w:lang w:val="en-US" w:eastAsia="zh-CN"/>
              </w:rPr>
            </w:pPr>
            <w:r>
              <w:rPr>
                <w:rFonts w:hint="default" w:ascii="Times New Roman" w:hAnsi="Times New Roman" w:eastAsia="宋体"/>
                <w:kern w:val="0"/>
                <w:sz w:val="21"/>
                <w:szCs w:val="21"/>
                <w:lang w:val="en-US" w:eastAsia="zh-CN"/>
              </w:rPr>
              <w:t>pH</w:t>
            </w:r>
            <w:r>
              <w:rPr>
                <w:rFonts w:hint="eastAsia" w:ascii="Times New Roman" w:hAnsi="Times New Roman" w:eastAsia="宋体"/>
                <w:kern w:val="0"/>
                <w:sz w:val="21"/>
                <w:szCs w:val="21"/>
                <w:lang w:val="en-US" w:eastAsia="zh-CN"/>
              </w:rPr>
              <w:t>、氟化物、氰化物、六价铬、镍、镉、银、铅、汞、铜、锌、铁、高锰酸盐指数、总硬度、硫酸盐、氯化物、硝酸盐、总大肠菌群</w:t>
            </w:r>
          </w:p>
        </w:tc>
      </w:tr>
      <w:tr w14:paraId="3797E75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jc w:val="center"/>
        </w:trPr>
        <w:tc>
          <w:tcPr>
            <w:tcW w:w="591" w:type="pct"/>
            <w:tcMar>
              <w:top w:w="28" w:type="dxa"/>
              <w:bottom w:w="28" w:type="dxa"/>
            </w:tcMar>
            <w:vAlign w:val="center"/>
          </w:tcPr>
          <w:p w14:paraId="187168E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sz w:val="21"/>
                <w:szCs w:val="21"/>
                <w:lang w:eastAsia="zh-CN"/>
              </w:rPr>
            </w:pPr>
            <w:r>
              <w:rPr>
                <w:rFonts w:hint="eastAsia"/>
                <w:sz w:val="21"/>
                <w:szCs w:val="21"/>
                <w:lang w:eastAsia="zh-CN"/>
              </w:rPr>
              <w:t>声环境</w:t>
            </w:r>
          </w:p>
        </w:tc>
        <w:tc>
          <w:tcPr>
            <w:tcW w:w="1160" w:type="pct"/>
            <w:tcMar>
              <w:top w:w="28" w:type="dxa"/>
              <w:bottom w:w="28" w:type="dxa"/>
            </w:tcMar>
            <w:vAlign w:val="center"/>
          </w:tcPr>
          <w:p w14:paraId="20A5165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lang w:eastAsia="zh-CN"/>
              </w:rPr>
              <w:t>评价因子</w:t>
            </w:r>
          </w:p>
        </w:tc>
        <w:tc>
          <w:tcPr>
            <w:tcW w:w="3247" w:type="pct"/>
            <w:tcMar>
              <w:top w:w="28" w:type="dxa"/>
              <w:bottom w:w="28" w:type="dxa"/>
            </w:tcMar>
            <w:vAlign w:val="center"/>
          </w:tcPr>
          <w:p w14:paraId="665DD20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sz w:val="21"/>
                <w:szCs w:val="21"/>
                <w:lang w:val="en-US" w:eastAsia="zh-CN"/>
              </w:rPr>
            </w:pPr>
            <w:r>
              <w:rPr>
                <w:rFonts w:hint="eastAsia"/>
                <w:sz w:val="21"/>
                <w:szCs w:val="21"/>
                <w:lang w:val="en-US" w:eastAsia="zh-CN"/>
              </w:rPr>
              <w:t>Leq（A）</w:t>
            </w:r>
          </w:p>
        </w:tc>
      </w:tr>
      <w:tr w14:paraId="5CF2017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jc w:val="center"/>
        </w:trPr>
        <w:tc>
          <w:tcPr>
            <w:tcW w:w="591" w:type="pct"/>
            <w:tcMar>
              <w:top w:w="28" w:type="dxa"/>
              <w:bottom w:w="28" w:type="dxa"/>
            </w:tcMar>
            <w:vAlign w:val="center"/>
          </w:tcPr>
          <w:p w14:paraId="751AD59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sz w:val="21"/>
                <w:szCs w:val="21"/>
                <w:lang w:eastAsia="zh-CN"/>
              </w:rPr>
            </w:pPr>
            <w:r>
              <w:rPr>
                <w:rFonts w:hint="eastAsia"/>
                <w:sz w:val="21"/>
                <w:szCs w:val="21"/>
                <w:lang w:eastAsia="zh-CN"/>
              </w:rPr>
              <w:t>土壤</w:t>
            </w:r>
          </w:p>
        </w:tc>
        <w:tc>
          <w:tcPr>
            <w:tcW w:w="1160" w:type="pct"/>
            <w:tcMar>
              <w:top w:w="28" w:type="dxa"/>
              <w:bottom w:w="28" w:type="dxa"/>
            </w:tcMar>
            <w:vAlign w:val="center"/>
          </w:tcPr>
          <w:p w14:paraId="6ABAE5B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sz w:val="21"/>
                <w:szCs w:val="21"/>
                <w:lang w:eastAsia="zh-CN"/>
              </w:rPr>
            </w:pPr>
            <w:r>
              <w:rPr>
                <w:rFonts w:hint="eastAsia"/>
                <w:sz w:val="21"/>
                <w:szCs w:val="21"/>
                <w:lang w:eastAsia="zh-CN"/>
              </w:rPr>
              <w:t>现状评价因子</w:t>
            </w:r>
          </w:p>
        </w:tc>
        <w:tc>
          <w:tcPr>
            <w:tcW w:w="3247" w:type="pct"/>
            <w:tcMar>
              <w:top w:w="28" w:type="dxa"/>
              <w:bottom w:w="28" w:type="dxa"/>
            </w:tcMar>
            <w:vAlign w:val="center"/>
          </w:tcPr>
          <w:p w14:paraId="0A0C5CC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sz w:val="21"/>
                <w:szCs w:val="21"/>
              </w:rPr>
            </w:pPr>
            <w:r>
              <w:rPr>
                <w:rFonts w:hint="eastAsia" w:eastAsia="宋体"/>
                <w:kern w:val="0"/>
                <w:sz w:val="21"/>
                <w:szCs w:val="21"/>
                <w:lang w:val="en-US" w:eastAsia="zh-CN"/>
              </w:rPr>
              <w:t>砷、镉、铬、铜、铅、汞、镍、四氯化碳、氯仿、氯甲烷、1,1二氯乙烷、1,2二氯乙烷、1,1二氯乙烯、顺-1,2二氯乙烯、反1,2二氯乙烯、二氯甲烷、1,2二氯丙烷、1,1,1,2四氯乙烷、1,1,2,2四氯乙烷、四氯乙烯、1,1,1三氯乙烷、1,1,2三氯乙烷、三氯乙烯、1,2,3三氯丙烷、氯乙烯、苯、氯苯、1,2二氯苯、1,4二氯苯、乙苯、苯乙烯、甲苯、间二甲苯+对二甲苯、邻二甲苯、硝基苯、苯胺、2-氯酚、苯并[a]蒽、苯并</w:t>
            </w:r>
            <w:bookmarkStart w:id="98" w:name="OLE_LINK2"/>
            <w:r>
              <w:rPr>
                <w:rFonts w:hint="eastAsia" w:eastAsia="宋体"/>
                <w:kern w:val="0"/>
                <w:sz w:val="21"/>
                <w:szCs w:val="21"/>
                <w:lang w:val="en-US" w:eastAsia="zh-CN"/>
              </w:rPr>
              <w:t>[a]</w:t>
            </w:r>
            <w:bookmarkEnd w:id="98"/>
            <w:r>
              <w:rPr>
                <w:rFonts w:hint="eastAsia" w:eastAsia="宋体"/>
                <w:kern w:val="0"/>
                <w:sz w:val="21"/>
                <w:szCs w:val="21"/>
                <w:lang w:val="en-US" w:eastAsia="zh-CN"/>
              </w:rPr>
              <w:t>芘、</w:t>
            </w:r>
            <w:bookmarkStart w:id="99" w:name="OLE_LINK1"/>
            <w:r>
              <w:rPr>
                <w:rFonts w:hint="eastAsia" w:eastAsia="宋体"/>
                <w:kern w:val="0"/>
                <w:sz w:val="21"/>
                <w:szCs w:val="21"/>
                <w:lang w:val="en-US" w:eastAsia="zh-CN"/>
              </w:rPr>
              <w:t>苯并[b]荧蒽、</w:t>
            </w:r>
            <w:bookmarkEnd w:id="99"/>
            <w:r>
              <w:rPr>
                <w:rFonts w:hint="eastAsia" w:eastAsia="宋体"/>
                <w:kern w:val="0"/>
                <w:sz w:val="21"/>
                <w:szCs w:val="21"/>
                <w:lang w:val="en-US" w:eastAsia="zh-CN"/>
              </w:rPr>
              <w:t>苯并[k]荧蒽、䓛、二苯并[a，h]蒽、茚并芘、萘</w:t>
            </w:r>
          </w:p>
        </w:tc>
      </w:tr>
      <w:tr w14:paraId="4F872AC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jc w:val="center"/>
        </w:trPr>
        <w:tc>
          <w:tcPr>
            <w:tcW w:w="591" w:type="pct"/>
            <w:tcMar>
              <w:top w:w="28" w:type="dxa"/>
              <w:bottom w:w="28" w:type="dxa"/>
            </w:tcMar>
            <w:vAlign w:val="center"/>
          </w:tcPr>
          <w:p w14:paraId="01F231A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sz w:val="21"/>
                <w:szCs w:val="21"/>
                <w:lang w:eastAsia="zh-CN"/>
              </w:rPr>
            </w:pPr>
            <w:r>
              <w:rPr>
                <w:rFonts w:hint="eastAsia"/>
                <w:sz w:val="21"/>
                <w:szCs w:val="21"/>
                <w:lang w:eastAsia="zh-CN"/>
              </w:rPr>
              <w:t>固体废物</w:t>
            </w:r>
          </w:p>
        </w:tc>
        <w:tc>
          <w:tcPr>
            <w:tcW w:w="1160" w:type="pct"/>
            <w:tcMar>
              <w:top w:w="28" w:type="dxa"/>
              <w:bottom w:w="28" w:type="dxa"/>
            </w:tcMar>
            <w:vAlign w:val="center"/>
          </w:tcPr>
          <w:p w14:paraId="32D93B6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sz w:val="21"/>
                <w:szCs w:val="21"/>
                <w:lang w:eastAsia="zh-CN"/>
              </w:rPr>
            </w:pPr>
            <w:r>
              <w:rPr>
                <w:rFonts w:hint="eastAsia"/>
                <w:sz w:val="21"/>
                <w:szCs w:val="21"/>
                <w:lang w:eastAsia="zh-CN"/>
              </w:rPr>
              <w:t>分析因子</w:t>
            </w:r>
          </w:p>
        </w:tc>
        <w:tc>
          <w:tcPr>
            <w:tcW w:w="3247" w:type="pct"/>
            <w:tcMar>
              <w:top w:w="28" w:type="dxa"/>
              <w:bottom w:w="28" w:type="dxa"/>
            </w:tcMar>
            <w:vAlign w:val="center"/>
          </w:tcPr>
          <w:p w14:paraId="7EFA5FD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sz w:val="21"/>
                <w:szCs w:val="21"/>
                <w:lang w:eastAsia="zh-CN"/>
              </w:rPr>
            </w:pPr>
            <w:r>
              <w:rPr>
                <w:rFonts w:hint="eastAsia"/>
                <w:sz w:val="21"/>
                <w:szCs w:val="21"/>
                <w:lang w:eastAsia="zh-CN"/>
              </w:rPr>
              <w:t>电镀废液、废离子交换树脂等</w:t>
            </w:r>
          </w:p>
        </w:tc>
      </w:tr>
    </w:tbl>
    <w:p w14:paraId="7C3DDE7C">
      <w:pPr>
        <w:pStyle w:val="3"/>
      </w:pPr>
      <w:bookmarkStart w:id="100" w:name="_Toc27282"/>
      <w:bookmarkStart w:id="101" w:name="_Toc6691"/>
      <w:r>
        <w:t>2.5</w:t>
      </w:r>
      <w:bookmarkEnd w:id="76"/>
      <w:r>
        <w:t>环境功能区划与评价标准</w:t>
      </w:r>
      <w:bookmarkEnd w:id="100"/>
      <w:bookmarkEnd w:id="101"/>
    </w:p>
    <w:p w14:paraId="39ACA6B1">
      <w:pPr>
        <w:pStyle w:val="5"/>
      </w:pPr>
      <w:r>
        <w:t>2.5.1区域环境功能区划</w:t>
      </w:r>
    </w:p>
    <w:p w14:paraId="73776847">
      <w:pPr>
        <w:ind w:firstLine="480" w:firstLineChars="200"/>
      </w:pPr>
      <w:r>
        <w:t>（1）环境空气</w:t>
      </w:r>
    </w:p>
    <w:p w14:paraId="5B5FC2A6">
      <w:pPr>
        <w:ind w:firstLine="480" w:firstLineChars="200"/>
      </w:pPr>
      <w:r>
        <w:rPr>
          <w:rFonts w:ascii="Times New Roman" w:hAnsi="Times New Roman"/>
        </w:rPr>
        <w:t>根据</w:t>
      </w:r>
      <w:r>
        <w:rPr>
          <w:rFonts w:hint="eastAsia" w:ascii="Times New Roman" w:hAnsi="Times New Roman"/>
          <w:lang w:eastAsia="zh-CN"/>
        </w:rPr>
        <w:t>《</w:t>
      </w:r>
      <w:r>
        <w:rPr>
          <w:rFonts w:hint="eastAsia" w:ascii="Times New Roman" w:hAnsi="Times New Roman"/>
          <w:lang w:val="en-US" w:eastAsia="zh-CN"/>
        </w:rPr>
        <w:t>本溪市城市环境总体规划（</w:t>
      </w:r>
      <w:r>
        <w:rPr>
          <w:rFonts w:ascii="Times New Roman" w:hAnsi="Times New Roman"/>
          <w:lang w:val="en-US" w:eastAsia="zh-CN"/>
        </w:rPr>
        <w:t>2015-2030</w:t>
      </w:r>
      <w:r>
        <w:rPr>
          <w:rFonts w:hint="eastAsia" w:ascii="Times New Roman" w:hAnsi="Times New Roman"/>
          <w:lang w:val="en-US" w:eastAsia="zh-CN"/>
        </w:rPr>
        <w:t>）</w:t>
      </w:r>
      <w:r>
        <w:rPr>
          <w:rFonts w:hint="eastAsia" w:ascii="Times New Roman" w:hAnsi="Times New Roman"/>
          <w:lang w:eastAsia="zh-CN"/>
        </w:rPr>
        <w:t>》</w:t>
      </w:r>
      <w:r>
        <w:t>中确定的环境功能区划，本项目所在</w:t>
      </w:r>
      <w:r>
        <w:rPr>
          <w:rFonts w:hint="eastAsia"/>
          <w:lang w:eastAsia="zh-CN"/>
        </w:rPr>
        <w:t>区域为溪湖区东风街道办事处</w:t>
      </w:r>
      <w:r>
        <w:t>，为二类环境空气质量功能区。</w:t>
      </w:r>
    </w:p>
    <w:p w14:paraId="44B441E2">
      <w:pPr>
        <w:ind w:firstLine="480" w:firstLineChars="200"/>
      </w:pPr>
      <w:r>
        <w:t>（2）地表水环境</w:t>
      </w:r>
    </w:p>
    <w:p w14:paraId="6B24B1B2">
      <w:pPr>
        <w:ind w:firstLine="480" w:firstLineChars="200"/>
      </w:pPr>
      <w:r>
        <w:t>根据</w:t>
      </w:r>
      <w:r>
        <w:rPr>
          <w:rFonts w:hint="eastAsia" w:ascii="Times New Roman" w:hAnsi="Times New Roman"/>
          <w:lang w:eastAsia="zh-CN"/>
        </w:rPr>
        <w:t>《</w:t>
      </w:r>
      <w:r>
        <w:rPr>
          <w:rFonts w:hint="eastAsia" w:ascii="Times New Roman" w:hAnsi="Times New Roman"/>
          <w:lang w:val="en-US" w:eastAsia="zh-CN"/>
        </w:rPr>
        <w:t>本溪市城市环境总体规划（</w:t>
      </w:r>
      <w:r>
        <w:rPr>
          <w:rFonts w:ascii="Times New Roman" w:hAnsi="Times New Roman"/>
          <w:lang w:val="en-US" w:eastAsia="zh-CN"/>
        </w:rPr>
        <w:t>2015-2030</w:t>
      </w:r>
      <w:r>
        <w:rPr>
          <w:rFonts w:hint="eastAsia" w:ascii="Times New Roman" w:hAnsi="Times New Roman"/>
          <w:lang w:val="en-US" w:eastAsia="zh-CN"/>
        </w:rPr>
        <w:t>）</w:t>
      </w:r>
      <w:r>
        <w:rPr>
          <w:rFonts w:hint="eastAsia" w:ascii="Times New Roman" w:hAnsi="Times New Roman"/>
          <w:lang w:eastAsia="zh-CN"/>
        </w:rPr>
        <w:t>》</w:t>
      </w:r>
      <w:r>
        <w:t>中确定的环境功能区划，</w:t>
      </w:r>
      <w:r>
        <w:rPr>
          <w:rFonts w:hint="eastAsia"/>
          <w:lang w:eastAsia="zh-CN"/>
        </w:rPr>
        <w:t>本项目废水经处理达标后循环使用不外排，项目所在区域为太子河工业用水区域，为</w:t>
      </w:r>
      <w:r>
        <w:rPr>
          <w:rFonts w:hint="eastAsia" w:ascii="宋体" w:hAnsi="宋体" w:eastAsia="宋体" w:cs="宋体"/>
          <w:lang w:eastAsia="zh-CN"/>
        </w:rPr>
        <w:t>Ⅳ</w:t>
      </w:r>
      <w:r>
        <w:rPr>
          <w:rFonts w:hint="eastAsia"/>
          <w:lang w:eastAsia="zh-CN"/>
        </w:rPr>
        <w:t>类水环境功能区</w:t>
      </w:r>
      <w:r>
        <w:t>。</w:t>
      </w:r>
    </w:p>
    <w:p w14:paraId="04A34D71">
      <w:pPr>
        <w:ind w:firstLine="480" w:firstLineChars="200"/>
      </w:pPr>
      <w:r>
        <w:t>（3）声环境</w:t>
      </w:r>
    </w:p>
    <w:p w14:paraId="2A6DA808">
      <w:pPr>
        <w:ind w:firstLine="480" w:firstLineChars="200"/>
      </w:pPr>
      <w:r>
        <w:rPr>
          <w:rFonts w:hint="eastAsia" w:ascii="Times New Roman" w:hAnsi="Times New Roman"/>
          <w:lang w:eastAsia="zh-CN"/>
        </w:rPr>
        <w:t>《</w:t>
      </w:r>
      <w:r>
        <w:rPr>
          <w:rFonts w:hint="eastAsia" w:ascii="Times New Roman" w:hAnsi="Times New Roman"/>
          <w:lang w:val="en-US" w:eastAsia="zh-CN"/>
        </w:rPr>
        <w:t>本溪市城市环境总体规划（</w:t>
      </w:r>
      <w:r>
        <w:rPr>
          <w:rFonts w:ascii="Times New Roman" w:hAnsi="Times New Roman"/>
          <w:lang w:val="en-US" w:eastAsia="zh-CN"/>
        </w:rPr>
        <w:t>2015-2030</w:t>
      </w:r>
      <w:r>
        <w:rPr>
          <w:rFonts w:hint="eastAsia" w:ascii="Times New Roman" w:hAnsi="Times New Roman"/>
          <w:lang w:val="en-US" w:eastAsia="zh-CN"/>
        </w:rPr>
        <w:t>）</w:t>
      </w:r>
      <w:r>
        <w:rPr>
          <w:rFonts w:hint="eastAsia" w:ascii="Times New Roman" w:hAnsi="Times New Roman"/>
          <w:lang w:eastAsia="zh-CN"/>
        </w:rPr>
        <w:t>》</w:t>
      </w:r>
      <w:r>
        <w:t>中确定了</w:t>
      </w:r>
      <w:r>
        <w:rPr>
          <w:rFonts w:hint="eastAsia"/>
          <w:lang w:eastAsia="zh-CN"/>
        </w:rPr>
        <w:t>本溪</w:t>
      </w:r>
      <w:r>
        <w:t>市的声环境功能区划，即以居民住宅、医疗卫生、文化教育、科研设计、行政办公为主要功能的区域划为1类声环境功能区；工业园区划为3类区；交通干线两侧一定距离内区域为4a类区；规划铁路、高铁等铁路两侧区域为4b类区；1、3、4类以外区域划为2类区。</w:t>
      </w:r>
    </w:p>
    <w:p w14:paraId="0C06BDC4">
      <w:pPr>
        <w:ind w:firstLine="480" w:firstLineChars="200"/>
      </w:pPr>
      <w:r>
        <w:t>根据声环境规划，本项目处于</w:t>
      </w:r>
      <w:r>
        <w:rPr>
          <w:rFonts w:hint="eastAsia" w:ascii="宋体" w:hAnsi="宋体" w:eastAsia="宋体" w:cs="宋体"/>
          <w:i w:val="0"/>
          <w:caps w:val="0"/>
          <w:color w:val="000000"/>
          <w:spacing w:val="0"/>
          <w:sz w:val="24"/>
          <w:szCs w:val="24"/>
          <w:shd w:val="clear" w:fill="FFFFFF"/>
        </w:rPr>
        <w:t>辽宁（本溪湖）再生资源产业园</w:t>
      </w:r>
      <w:r>
        <w:rPr>
          <w:rFonts w:hint="eastAsia" w:ascii="宋体" w:hAnsi="宋体" w:eastAsia="宋体" w:cs="宋体"/>
          <w:i w:val="0"/>
          <w:caps w:val="0"/>
          <w:color w:val="000000"/>
          <w:spacing w:val="0"/>
          <w:sz w:val="24"/>
          <w:szCs w:val="24"/>
          <w:shd w:val="clear" w:fill="FFFFFF"/>
          <w:lang w:eastAsia="zh-CN"/>
        </w:rPr>
        <w:t>园区内</w:t>
      </w:r>
      <w:r>
        <w:t>，属于</w:t>
      </w:r>
      <w:r>
        <w:rPr>
          <w:rFonts w:hint="eastAsia"/>
          <w:lang w:val="en-US" w:eastAsia="zh-CN"/>
        </w:rPr>
        <w:t>2</w:t>
      </w:r>
      <w:r>
        <w:t>类声环境功能区。</w:t>
      </w:r>
    </w:p>
    <w:bookmarkEnd w:id="17"/>
    <w:bookmarkEnd w:id="18"/>
    <w:p w14:paraId="7DA0B743">
      <w:pPr>
        <w:pStyle w:val="5"/>
      </w:pPr>
      <w:r>
        <w:t>2.5.2环境质量标准</w:t>
      </w:r>
    </w:p>
    <w:p w14:paraId="60261BC8">
      <w:pPr>
        <w:numPr>
          <w:ilvl w:val="0"/>
          <w:numId w:val="6"/>
        </w:numPr>
        <w:ind w:firstLine="480" w:firstLineChars="200"/>
      </w:pPr>
      <w:r>
        <w:t>环境空气</w:t>
      </w:r>
    </w:p>
    <w:p w14:paraId="78B13FA1">
      <w:pPr>
        <w:ind w:firstLine="480" w:firstLineChars="200"/>
      </w:pPr>
      <w:r>
        <w:t>项目处于环境空气质量二类功能区，SO</w:t>
      </w:r>
      <w:r>
        <w:rPr>
          <w:vertAlign w:val="subscript"/>
        </w:rPr>
        <w:t>2</w:t>
      </w:r>
      <w:r>
        <w:t>、NO</w:t>
      </w:r>
      <w:r>
        <w:rPr>
          <w:vertAlign w:val="subscript"/>
        </w:rPr>
        <w:t>2</w:t>
      </w:r>
      <w:r>
        <w:t>、PM</w:t>
      </w:r>
      <w:r>
        <w:rPr>
          <w:vertAlign w:val="subscript"/>
        </w:rPr>
        <w:t>10</w:t>
      </w:r>
      <w:r>
        <w:t>、PM</w:t>
      </w:r>
      <w:r>
        <w:rPr>
          <w:vertAlign w:val="subscript"/>
        </w:rPr>
        <w:t>2.5</w:t>
      </w:r>
      <w:r>
        <w:t>、CO、O</w:t>
      </w:r>
      <w:r>
        <w:rPr>
          <w:vertAlign w:val="subscript"/>
        </w:rPr>
        <w:t>3</w:t>
      </w:r>
      <w:r>
        <w:t>执行《环境空气质量标准》（GB3095-2012）中二级标准；</w:t>
      </w:r>
      <w:r>
        <w:rPr>
          <w:rFonts w:hint="eastAsia"/>
          <w:lang w:val="en-US" w:eastAsia="zh-CN"/>
        </w:rPr>
        <w:t>TVOCs</w:t>
      </w:r>
      <w:r>
        <w:t>环境空气质量执行《环境影响评价技术导则大气环境》（HJ2.2-2018）附录D其他污染物空气质量浓度参考限值，标准值见下表。</w:t>
      </w:r>
    </w:p>
    <w:p w14:paraId="515456AA">
      <w:pPr>
        <w:pStyle w:val="293"/>
        <w:adjustRightInd w:val="0"/>
        <w:snapToGrid w:val="0"/>
        <w:ind w:left="420" w:leftChars="175" w:firstLine="103" w:firstLineChars="49"/>
        <w:jc w:val="center"/>
        <w:rPr>
          <w:b/>
          <w:sz w:val="21"/>
          <w:szCs w:val="21"/>
          <w:vertAlign w:val="superscript"/>
        </w:rPr>
      </w:pPr>
      <w:r>
        <w:rPr>
          <w:b/>
          <w:sz w:val="21"/>
          <w:szCs w:val="21"/>
        </w:rPr>
        <w:t>表</w:t>
      </w:r>
      <w:r>
        <w:rPr>
          <w:rFonts w:hint="eastAsia"/>
          <w:b/>
          <w:sz w:val="21"/>
          <w:szCs w:val="21"/>
          <w:lang w:val="en-US" w:eastAsia="zh-CN"/>
        </w:rPr>
        <w:t>2-3</w:t>
      </w:r>
      <w:r>
        <w:rPr>
          <w:b/>
          <w:sz w:val="21"/>
          <w:szCs w:val="21"/>
        </w:rPr>
        <w:t>环境空气质量标准</w:t>
      </w:r>
    </w:p>
    <w:tbl>
      <w:tblPr>
        <w:tblStyle w:val="52"/>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449"/>
        <w:gridCol w:w="870"/>
        <w:gridCol w:w="1048"/>
        <w:gridCol w:w="1050"/>
        <w:gridCol w:w="1050"/>
        <w:gridCol w:w="1190"/>
        <w:gridCol w:w="876"/>
        <w:gridCol w:w="1989"/>
      </w:tblGrid>
      <w:tr w14:paraId="2C9507E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72" w:type="pct"/>
            <w:vMerge w:val="restart"/>
            <w:tcBorders>
              <w:tl2br w:val="nil"/>
              <w:tr2bl w:val="nil"/>
            </w:tcBorders>
            <w:vAlign w:val="center"/>
          </w:tcPr>
          <w:p w14:paraId="2CF78B35">
            <w:pPr>
              <w:keepNext w:val="0"/>
              <w:keepLines w:val="0"/>
              <w:pageBreakBefore w:val="0"/>
              <w:kinsoku/>
              <w:wordWrap/>
              <w:overflowPunct/>
              <w:autoSpaceDE/>
              <w:autoSpaceDN/>
              <w:bidi w:val="0"/>
              <w:adjustRightInd w:val="0"/>
              <w:snapToGrid w:val="0"/>
              <w:spacing w:line="240" w:lineRule="auto"/>
              <w:ind w:firstLine="0" w:firstLineChars="0"/>
              <w:jc w:val="center"/>
              <w:textAlignment w:val="auto"/>
              <w:rPr>
                <w:sz w:val="21"/>
                <w:szCs w:val="21"/>
              </w:rPr>
            </w:pPr>
            <w:r>
              <w:rPr>
                <w:sz w:val="21"/>
                <w:szCs w:val="21"/>
              </w:rPr>
              <w:t>序 号</w:t>
            </w:r>
          </w:p>
        </w:tc>
        <w:tc>
          <w:tcPr>
            <w:tcW w:w="452" w:type="pct"/>
            <w:vMerge w:val="restart"/>
            <w:tcBorders>
              <w:tl2br w:val="nil"/>
              <w:tr2bl w:val="nil"/>
            </w:tcBorders>
            <w:vAlign w:val="center"/>
          </w:tcPr>
          <w:p w14:paraId="1D9C90AF">
            <w:pPr>
              <w:keepNext w:val="0"/>
              <w:keepLines w:val="0"/>
              <w:pageBreakBefore w:val="0"/>
              <w:kinsoku/>
              <w:wordWrap/>
              <w:overflowPunct/>
              <w:autoSpaceDE/>
              <w:autoSpaceDN/>
              <w:bidi w:val="0"/>
              <w:adjustRightInd w:val="0"/>
              <w:snapToGrid w:val="0"/>
              <w:spacing w:line="240" w:lineRule="auto"/>
              <w:ind w:firstLine="0" w:firstLineChars="0"/>
              <w:jc w:val="center"/>
              <w:textAlignment w:val="auto"/>
              <w:rPr>
                <w:sz w:val="21"/>
                <w:szCs w:val="21"/>
              </w:rPr>
            </w:pPr>
            <w:r>
              <w:rPr>
                <w:sz w:val="21"/>
                <w:szCs w:val="21"/>
              </w:rPr>
              <w:t>项 目</w:t>
            </w:r>
          </w:p>
        </w:tc>
        <w:tc>
          <w:tcPr>
            <w:tcW w:w="2577" w:type="pct"/>
            <w:gridSpan w:val="4"/>
            <w:tcBorders>
              <w:tl2br w:val="nil"/>
              <w:tr2bl w:val="nil"/>
            </w:tcBorders>
            <w:vAlign w:val="center"/>
          </w:tcPr>
          <w:p w14:paraId="23A2AB94">
            <w:pPr>
              <w:keepNext w:val="0"/>
              <w:keepLines w:val="0"/>
              <w:pageBreakBefore w:val="0"/>
              <w:kinsoku/>
              <w:wordWrap/>
              <w:overflowPunct/>
              <w:autoSpaceDE/>
              <w:autoSpaceDN/>
              <w:bidi w:val="0"/>
              <w:adjustRightInd w:val="0"/>
              <w:snapToGrid w:val="0"/>
              <w:spacing w:line="240" w:lineRule="auto"/>
              <w:ind w:firstLine="0" w:firstLineChars="0"/>
              <w:jc w:val="center"/>
              <w:textAlignment w:val="auto"/>
              <w:rPr>
                <w:sz w:val="21"/>
                <w:szCs w:val="21"/>
              </w:rPr>
            </w:pPr>
            <w:r>
              <w:rPr>
                <w:sz w:val="21"/>
                <w:szCs w:val="21"/>
              </w:rPr>
              <w:t>标准限值</w:t>
            </w:r>
          </w:p>
        </w:tc>
        <w:tc>
          <w:tcPr>
            <w:tcW w:w="522" w:type="pct"/>
            <w:vMerge w:val="restart"/>
            <w:tcBorders>
              <w:tl2br w:val="nil"/>
              <w:tr2bl w:val="nil"/>
            </w:tcBorders>
            <w:vAlign w:val="center"/>
          </w:tcPr>
          <w:p w14:paraId="07C79EDD">
            <w:pPr>
              <w:keepNext w:val="0"/>
              <w:keepLines w:val="0"/>
              <w:pageBreakBefore w:val="0"/>
              <w:kinsoku/>
              <w:wordWrap/>
              <w:overflowPunct/>
              <w:autoSpaceDE/>
              <w:autoSpaceDN/>
              <w:bidi w:val="0"/>
              <w:adjustRightInd w:val="0"/>
              <w:snapToGrid w:val="0"/>
              <w:spacing w:line="240" w:lineRule="auto"/>
              <w:ind w:firstLine="0" w:firstLineChars="0"/>
              <w:jc w:val="center"/>
              <w:textAlignment w:val="auto"/>
              <w:rPr>
                <w:sz w:val="21"/>
                <w:szCs w:val="21"/>
              </w:rPr>
            </w:pPr>
            <w:r>
              <w:rPr>
                <w:sz w:val="21"/>
                <w:szCs w:val="21"/>
              </w:rPr>
              <w:t>单位</w:t>
            </w:r>
          </w:p>
        </w:tc>
        <w:tc>
          <w:tcPr>
            <w:tcW w:w="1175" w:type="pct"/>
            <w:vMerge w:val="restart"/>
            <w:tcBorders>
              <w:tl2br w:val="nil"/>
              <w:tr2bl w:val="nil"/>
            </w:tcBorders>
            <w:vAlign w:val="center"/>
          </w:tcPr>
          <w:p w14:paraId="3F8C5E55">
            <w:pPr>
              <w:keepNext w:val="0"/>
              <w:keepLines w:val="0"/>
              <w:pageBreakBefore w:val="0"/>
              <w:kinsoku/>
              <w:wordWrap/>
              <w:overflowPunct/>
              <w:autoSpaceDE/>
              <w:autoSpaceDN/>
              <w:bidi w:val="0"/>
              <w:adjustRightInd w:val="0"/>
              <w:snapToGrid w:val="0"/>
              <w:spacing w:line="240" w:lineRule="auto"/>
              <w:ind w:firstLine="0" w:firstLineChars="0"/>
              <w:jc w:val="center"/>
              <w:textAlignment w:val="auto"/>
              <w:rPr>
                <w:sz w:val="21"/>
                <w:szCs w:val="21"/>
              </w:rPr>
            </w:pPr>
            <w:r>
              <w:rPr>
                <w:sz w:val="21"/>
                <w:szCs w:val="21"/>
              </w:rPr>
              <w:t>执行标准</w:t>
            </w:r>
          </w:p>
        </w:tc>
      </w:tr>
      <w:tr w14:paraId="6809D16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l2br w:val="nil"/>
              <w:tr2bl w:val="nil"/>
            </w:tcBorders>
            <w:vAlign w:val="center"/>
          </w:tcPr>
          <w:p w14:paraId="41274CA0">
            <w:pPr>
              <w:keepNext w:val="0"/>
              <w:keepLines w:val="0"/>
              <w:pageBreakBefore w:val="0"/>
              <w:widowControl/>
              <w:kinsoku/>
              <w:wordWrap/>
              <w:overflowPunct/>
              <w:autoSpaceDE/>
              <w:autoSpaceDN/>
              <w:bidi w:val="0"/>
              <w:spacing w:line="240" w:lineRule="auto"/>
              <w:ind w:firstLine="0" w:firstLineChars="0"/>
              <w:jc w:val="left"/>
              <w:textAlignment w:val="auto"/>
              <w:rPr>
                <w:sz w:val="21"/>
                <w:szCs w:val="21"/>
              </w:rPr>
            </w:pPr>
          </w:p>
        </w:tc>
        <w:tc>
          <w:tcPr>
            <w:tcW w:w="0" w:type="auto"/>
            <w:vMerge w:val="continue"/>
            <w:tcBorders>
              <w:tl2br w:val="nil"/>
              <w:tr2bl w:val="nil"/>
            </w:tcBorders>
            <w:vAlign w:val="center"/>
          </w:tcPr>
          <w:p w14:paraId="2CC717EE">
            <w:pPr>
              <w:keepNext w:val="0"/>
              <w:keepLines w:val="0"/>
              <w:pageBreakBefore w:val="0"/>
              <w:widowControl/>
              <w:kinsoku/>
              <w:wordWrap/>
              <w:overflowPunct/>
              <w:autoSpaceDE/>
              <w:autoSpaceDN/>
              <w:bidi w:val="0"/>
              <w:spacing w:line="240" w:lineRule="auto"/>
              <w:ind w:firstLine="0" w:firstLineChars="0"/>
              <w:jc w:val="left"/>
              <w:textAlignment w:val="auto"/>
              <w:rPr>
                <w:sz w:val="21"/>
                <w:szCs w:val="21"/>
              </w:rPr>
            </w:pPr>
          </w:p>
        </w:tc>
        <w:tc>
          <w:tcPr>
            <w:tcW w:w="623" w:type="pct"/>
            <w:tcBorders>
              <w:tl2br w:val="nil"/>
              <w:tr2bl w:val="nil"/>
            </w:tcBorders>
            <w:vAlign w:val="center"/>
          </w:tcPr>
          <w:p w14:paraId="76FCB59A">
            <w:pPr>
              <w:keepNext w:val="0"/>
              <w:keepLines w:val="0"/>
              <w:pageBreakBefore w:val="0"/>
              <w:kinsoku/>
              <w:wordWrap/>
              <w:overflowPunct/>
              <w:autoSpaceDE/>
              <w:autoSpaceDN/>
              <w:bidi w:val="0"/>
              <w:adjustRightInd w:val="0"/>
              <w:snapToGrid w:val="0"/>
              <w:spacing w:line="240" w:lineRule="auto"/>
              <w:ind w:firstLine="0" w:firstLineChars="0"/>
              <w:jc w:val="center"/>
              <w:textAlignment w:val="auto"/>
              <w:rPr>
                <w:sz w:val="21"/>
                <w:szCs w:val="21"/>
              </w:rPr>
            </w:pPr>
            <w:r>
              <w:rPr>
                <w:sz w:val="21"/>
                <w:szCs w:val="21"/>
              </w:rPr>
              <w:t>1小时平均</w:t>
            </w:r>
          </w:p>
        </w:tc>
        <w:tc>
          <w:tcPr>
            <w:tcW w:w="624" w:type="pct"/>
            <w:tcBorders>
              <w:tl2br w:val="nil"/>
              <w:tr2bl w:val="nil"/>
            </w:tcBorders>
            <w:vAlign w:val="center"/>
          </w:tcPr>
          <w:p w14:paraId="67F82889">
            <w:pPr>
              <w:keepNext w:val="0"/>
              <w:keepLines w:val="0"/>
              <w:pageBreakBefore w:val="0"/>
              <w:kinsoku/>
              <w:wordWrap/>
              <w:overflowPunct/>
              <w:autoSpaceDE/>
              <w:autoSpaceDN/>
              <w:bidi w:val="0"/>
              <w:adjustRightInd w:val="0"/>
              <w:snapToGrid w:val="0"/>
              <w:spacing w:line="240" w:lineRule="auto"/>
              <w:ind w:firstLine="0" w:firstLineChars="0"/>
              <w:jc w:val="center"/>
              <w:textAlignment w:val="auto"/>
              <w:rPr>
                <w:sz w:val="21"/>
                <w:szCs w:val="21"/>
              </w:rPr>
            </w:pPr>
            <w:r>
              <w:rPr>
                <w:sz w:val="21"/>
                <w:szCs w:val="21"/>
              </w:rPr>
              <w:t>24小时平均</w:t>
            </w:r>
          </w:p>
        </w:tc>
        <w:tc>
          <w:tcPr>
            <w:tcW w:w="624" w:type="pct"/>
            <w:tcBorders>
              <w:tl2br w:val="nil"/>
              <w:tr2bl w:val="nil"/>
            </w:tcBorders>
            <w:vAlign w:val="center"/>
          </w:tcPr>
          <w:p w14:paraId="1BDCF376">
            <w:pPr>
              <w:keepNext w:val="0"/>
              <w:keepLines w:val="0"/>
              <w:pageBreakBefore w:val="0"/>
              <w:kinsoku/>
              <w:wordWrap/>
              <w:overflowPunct/>
              <w:autoSpaceDE/>
              <w:autoSpaceDN/>
              <w:bidi w:val="0"/>
              <w:adjustRightInd w:val="0"/>
              <w:snapToGrid w:val="0"/>
              <w:spacing w:line="240" w:lineRule="auto"/>
              <w:ind w:firstLine="0" w:firstLineChars="0"/>
              <w:jc w:val="center"/>
              <w:textAlignment w:val="auto"/>
              <w:rPr>
                <w:sz w:val="21"/>
                <w:szCs w:val="21"/>
              </w:rPr>
            </w:pPr>
            <w:r>
              <w:rPr>
                <w:sz w:val="21"/>
                <w:szCs w:val="21"/>
              </w:rPr>
              <w:t>年平均</w:t>
            </w:r>
          </w:p>
        </w:tc>
        <w:tc>
          <w:tcPr>
            <w:tcW w:w="705" w:type="pct"/>
            <w:tcBorders>
              <w:tl2br w:val="nil"/>
              <w:tr2bl w:val="nil"/>
            </w:tcBorders>
            <w:vAlign w:val="center"/>
          </w:tcPr>
          <w:p w14:paraId="73C9A924">
            <w:pPr>
              <w:keepNext w:val="0"/>
              <w:keepLines w:val="0"/>
              <w:pageBreakBefore w:val="0"/>
              <w:kinsoku/>
              <w:wordWrap/>
              <w:overflowPunct/>
              <w:autoSpaceDE/>
              <w:autoSpaceDN/>
              <w:bidi w:val="0"/>
              <w:adjustRightInd w:val="0"/>
              <w:snapToGrid w:val="0"/>
              <w:spacing w:line="240" w:lineRule="auto"/>
              <w:ind w:firstLine="0" w:firstLineChars="0"/>
              <w:jc w:val="center"/>
              <w:textAlignment w:val="auto"/>
              <w:rPr>
                <w:sz w:val="21"/>
                <w:szCs w:val="21"/>
              </w:rPr>
            </w:pPr>
            <w:r>
              <w:rPr>
                <w:sz w:val="21"/>
                <w:szCs w:val="21"/>
              </w:rPr>
              <w:t>日最大8小时平均</w:t>
            </w:r>
          </w:p>
        </w:tc>
        <w:tc>
          <w:tcPr>
            <w:tcW w:w="0" w:type="auto"/>
            <w:vMerge w:val="continue"/>
            <w:tcBorders>
              <w:tl2br w:val="nil"/>
              <w:tr2bl w:val="nil"/>
            </w:tcBorders>
            <w:vAlign w:val="center"/>
          </w:tcPr>
          <w:p w14:paraId="44997997">
            <w:pPr>
              <w:keepNext w:val="0"/>
              <w:keepLines w:val="0"/>
              <w:pageBreakBefore w:val="0"/>
              <w:widowControl/>
              <w:kinsoku/>
              <w:wordWrap/>
              <w:overflowPunct/>
              <w:autoSpaceDE/>
              <w:autoSpaceDN/>
              <w:bidi w:val="0"/>
              <w:spacing w:line="240" w:lineRule="auto"/>
              <w:ind w:firstLine="0" w:firstLineChars="0"/>
              <w:jc w:val="left"/>
              <w:textAlignment w:val="auto"/>
              <w:rPr>
                <w:sz w:val="21"/>
                <w:szCs w:val="21"/>
              </w:rPr>
            </w:pPr>
          </w:p>
        </w:tc>
        <w:tc>
          <w:tcPr>
            <w:tcW w:w="0" w:type="auto"/>
            <w:vMerge w:val="continue"/>
            <w:tcBorders>
              <w:tl2br w:val="nil"/>
              <w:tr2bl w:val="nil"/>
            </w:tcBorders>
            <w:vAlign w:val="center"/>
          </w:tcPr>
          <w:p w14:paraId="0F898801">
            <w:pPr>
              <w:keepNext w:val="0"/>
              <w:keepLines w:val="0"/>
              <w:pageBreakBefore w:val="0"/>
              <w:widowControl/>
              <w:kinsoku/>
              <w:wordWrap/>
              <w:overflowPunct/>
              <w:autoSpaceDE/>
              <w:autoSpaceDN/>
              <w:bidi w:val="0"/>
              <w:spacing w:line="240" w:lineRule="auto"/>
              <w:ind w:firstLine="0" w:firstLineChars="0"/>
              <w:jc w:val="left"/>
              <w:textAlignment w:val="auto"/>
              <w:rPr>
                <w:sz w:val="21"/>
                <w:szCs w:val="21"/>
              </w:rPr>
            </w:pPr>
          </w:p>
        </w:tc>
      </w:tr>
      <w:tr w14:paraId="14F13C9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72" w:type="pct"/>
            <w:tcBorders>
              <w:tl2br w:val="nil"/>
              <w:tr2bl w:val="nil"/>
            </w:tcBorders>
            <w:vAlign w:val="center"/>
          </w:tcPr>
          <w:p w14:paraId="6D184FAD">
            <w:pPr>
              <w:keepNext w:val="0"/>
              <w:keepLines w:val="0"/>
              <w:pageBreakBefore w:val="0"/>
              <w:kinsoku/>
              <w:wordWrap/>
              <w:overflowPunct/>
              <w:autoSpaceDE/>
              <w:autoSpaceDN/>
              <w:bidi w:val="0"/>
              <w:adjustRightInd w:val="0"/>
              <w:snapToGrid w:val="0"/>
              <w:spacing w:line="240" w:lineRule="auto"/>
              <w:ind w:firstLine="0" w:firstLineChars="0"/>
              <w:jc w:val="center"/>
              <w:textAlignment w:val="auto"/>
              <w:rPr>
                <w:sz w:val="21"/>
                <w:szCs w:val="21"/>
              </w:rPr>
            </w:pPr>
            <w:r>
              <w:rPr>
                <w:sz w:val="21"/>
                <w:szCs w:val="21"/>
              </w:rPr>
              <w:t>1</w:t>
            </w:r>
          </w:p>
        </w:tc>
        <w:tc>
          <w:tcPr>
            <w:tcW w:w="452" w:type="pct"/>
            <w:tcBorders>
              <w:tl2br w:val="nil"/>
              <w:tr2bl w:val="nil"/>
            </w:tcBorders>
            <w:vAlign w:val="center"/>
          </w:tcPr>
          <w:p w14:paraId="5179FBA1">
            <w:pPr>
              <w:keepNext w:val="0"/>
              <w:keepLines w:val="0"/>
              <w:pageBreakBefore w:val="0"/>
              <w:kinsoku/>
              <w:wordWrap/>
              <w:overflowPunct/>
              <w:autoSpaceDE/>
              <w:autoSpaceDN/>
              <w:bidi w:val="0"/>
              <w:adjustRightInd w:val="0"/>
              <w:snapToGrid w:val="0"/>
              <w:spacing w:line="240" w:lineRule="auto"/>
              <w:ind w:firstLine="0" w:firstLineChars="0"/>
              <w:jc w:val="center"/>
              <w:textAlignment w:val="auto"/>
              <w:rPr>
                <w:sz w:val="21"/>
                <w:szCs w:val="21"/>
              </w:rPr>
            </w:pPr>
            <w:r>
              <w:rPr>
                <w:sz w:val="21"/>
                <w:szCs w:val="21"/>
              </w:rPr>
              <w:t>SO</w:t>
            </w:r>
            <w:r>
              <w:rPr>
                <w:sz w:val="21"/>
                <w:szCs w:val="21"/>
                <w:vertAlign w:val="subscript"/>
              </w:rPr>
              <w:t>2</w:t>
            </w:r>
          </w:p>
        </w:tc>
        <w:tc>
          <w:tcPr>
            <w:tcW w:w="623" w:type="pct"/>
            <w:tcBorders>
              <w:tl2br w:val="nil"/>
              <w:tr2bl w:val="nil"/>
            </w:tcBorders>
            <w:vAlign w:val="center"/>
          </w:tcPr>
          <w:p w14:paraId="2A4BE7BA">
            <w:pPr>
              <w:keepNext w:val="0"/>
              <w:keepLines w:val="0"/>
              <w:pageBreakBefore w:val="0"/>
              <w:kinsoku/>
              <w:wordWrap/>
              <w:overflowPunct/>
              <w:autoSpaceDE/>
              <w:autoSpaceDN/>
              <w:bidi w:val="0"/>
              <w:adjustRightInd w:val="0"/>
              <w:snapToGrid w:val="0"/>
              <w:spacing w:line="240" w:lineRule="auto"/>
              <w:ind w:firstLine="0" w:firstLineChars="0"/>
              <w:jc w:val="center"/>
              <w:textAlignment w:val="auto"/>
              <w:rPr>
                <w:sz w:val="21"/>
                <w:szCs w:val="21"/>
              </w:rPr>
            </w:pPr>
            <w:r>
              <w:rPr>
                <w:sz w:val="21"/>
                <w:szCs w:val="21"/>
              </w:rPr>
              <w:t>500</w:t>
            </w:r>
          </w:p>
        </w:tc>
        <w:tc>
          <w:tcPr>
            <w:tcW w:w="624" w:type="pct"/>
            <w:tcBorders>
              <w:tl2br w:val="nil"/>
              <w:tr2bl w:val="nil"/>
            </w:tcBorders>
            <w:vAlign w:val="center"/>
          </w:tcPr>
          <w:p w14:paraId="666818AB">
            <w:pPr>
              <w:keepNext w:val="0"/>
              <w:keepLines w:val="0"/>
              <w:pageBreakBefore w:val="0"/>
              <w:kinsoku/>
              <w:wordWrap/>
              <w:overflowPunct/>
              <w:autoSpaceDE/>
              <w:autoSpaceDN/>
              <w:bidi w:val="0"/>
              <w:adjustRightInd w:val="0"/>
              <w:snapToGrid w:val="0"/>
              <w:spacing w:line="240" w:lineRule="auto"/>
              <w:ind w:firstLine="0" w:firstLineChars="0"/>
              <w:jc w:val="center"/>
              <w:textAlignment w:val="auto"/>
              <w:rPr>
                <w:sz w:val="21"/>
                <w:szCs w:val="21"/>
              </w:rPr>
            </w:pPr>
            <w:r>
              <w:rPr>
                <w:sz w:val="21"/>
                <w:szCs w:val="21"/>
              </w:rPr>
              <w:t>150</w:t>
            </w:r>
          </w:p>
        </w:tc>
        <w:tc>
          <w:tcPr>
            <w:tcW w:w="624" w:type="pct"/>
            <w:tcBorders>
              <w:tl2br w:val="nil"/>
              <w:tr2bl w:val="nil"/>
            </w:tcBorders>
            <w:vAlign w:val="center"/>
          </w:tcPr>
          <w:p w14:paraId="09429590">
            <w:pPr>
              <w:keepNext w:val="0"/>
              <w:keepLines w:val="0"/>
              <w:pageBreakBefore w:val="0"/>
              <w:kinsoku/>
              <w:wordWrap/>
              <w:overflowPunct/>
              <w:autoSpaceDE/>
              <w:autoSpaceDN/>
              <w:bidi w:val="0"/>
              <w:adjustRightInd w:val="0"/>
              <w:snapToGrid w:val="0"/>
              <w:spacing w:line="240" w:lineRule="auto"/>
              <w:ind w:firstLine="0" w:firstLineChars="0"/>
              <w:jc w:val="center"/>
              <w:textAlignment w:val="auto"/>
              <w:rPr>
                <w:sz w:val="21"/>
                <w:szCs w:val="21"/>
              </w:rPr>
            </w:pPr>
            <w:r>
              <w:rPr>
                <w:sz w:val="21"/>
                <w:szCs w:val="21"/>
              </w:rPr>
              <w:t>60</w:t>
            </w:r>
          </w:p>
        </w:tc>
        <w:tc>
          <w:tcPr>
            <w:tcW w:w="705" w:type="pct"/>
            <w:tcBorders>
              <w:tl2br w:val="nil"/>
              <w:tr2bl w:val="nil"/>
            </w:tcBorders>
            <w:vAlign w:val="center"/>
          </w:tcPr>
          <w:p w14:paraId="5E7FA000">
            <w:pPr>
              <w:keepNext w:val="0"/>
              <w:keepLines w:val="0"/>
              <w:pageBreakBefore w:val="0"/>
              <w:kinsoku/>
              <w:wordWrap/>
              <w:overflowPunct/>
              <w:autoSpaceDE/>
              <w:autoSpaceDN/>
              <w:bidi w:val="0"/>
              <w:adjustRightInd w:val="0"/>
              <w:snapToGrid w:val="0"/>
              <w:spacing w:line="240" w:lineRule="auto"/>
              <w:ind w:firstLine="0" w:firstLineChars="0"/>
              <w:jc w:val="center"/>
              <w:textAlignment w:val="auto"/>
              <w:rPr>
                <w:sz w:val="21"/>
                <w:szCs w:val="21"/>
              </w:rPr>
            </w:pPr>
            <w:r>
              <w:rPr>
                <w:sz w:val="21"/>
                <w:szCs w:val="21"/>
              </w:rPr>
              <w:t>—</w:t>
            </w:r>
          </w:p>
        </w:tc>
        <w:tc>
          <w:tcPr>
            <w:tcW w:w="522" w:type="pct"/>
            <w:vMerge w:val="restart"/>
            <w:tcBorders>
              <w:tl2br w:val="nil"/>
              <w:tr2bl w:val="nil"/>
            </w:tcBorders>
            <w:vAlign w:val="center"/>
          </w:tcPr>
          <w:p w14:paraId="309425AD">
            <w:pPr>
              <w:keepNext w:val="0"/>
              <w:keepLines w:val="0"/>
              <w:pageBreakBefore w:val="0"/>
              <w:kinsoku/>
              <w:wordWrap/>
              <w:overflowPunct/>
              <w:autoSpaceDE/>
              <w:autoSpaceDN/>
              <w:bidi w:val="0"/>
              <w:adjustRightInd w:val="0"/>
              <w:snapToGrid w:val="0"/>
              <w:spacing w:line="240" w:lineRule="auto"/>
              <w:ind w:firstLine="0" w:firstLineChars="0"/>
              <w:jc w:val="center"/>
              <w:textAlignment w:val="auto"/>
              <w:rPr>
                <w:sz w:val="21"/>
                <w:szCs w:val="21"/>
              </w:rPr>
            </w:pPr>
            <w:r>
              <w:rPr>
                <w:sz w:val="21"/>
                <w:szCs w:val="21"/>
              </w:rPr>
              <w:t>μg/m</w:t>
            </w:r>
            <w:r>
              <w:rPr>
                <w:sz w:val="21"/>
                <w:szCs w:val="21"/>
                <w:vertAlign w:val="superscript"/>
              </w:rPr>
              <w:t>3</w:t>
            </w:r>
          </w:p>
        </w:tc>
        <w:tc>
          <w:tcPr>
            <w:tcW w:w="1175" w:type="pct"/>
            <w:vMerge w:val="restart"/>
            <w:tcBorders>
              <w:tl2br w:val="nil"/>
              <w:tr2bl w:val="nil"/>
            </w:tcBorders>
            <w:vAlign w:val="center"/>
          </w:tcPr>
          <w:p w14:paraId="767B3419">
            <w:pPr>
              <w:keepNext w:val="0"/>
              <w:keepLines w:val="0"/>
              <w:pageBreakBefore w:val="0"/>
              <w:kinsoku/>
              <w:wordWrap/>
              <w:overflowPunct/>
              <w:autoSpaceDE/>
              <w:autoSpaceDN/>
              <w:bidi w:val="0"/>
              <w:adjustRightInd w:val="0"/>
              <w:snapToGrid w:val="0"/>
              <w:spacing w:line="240" w:lineRule="auto"/>
              <w:ind w:firstLine="0" w:firstLineChars="0"/>
              <w:jc w:val="center"/>
              <w:textAlignment w:val="auto"/>
              <w:rPr>
                <w:sz w:val="21"/>
                <w:szCs w:val="21"/>
              </w:rPr>
            </w:pPr>
            <w:r>
              <w:rPr>
                <w:sz w:val="21"/>
                <w:szCs w:val="21"/>
              </w:rPr>
              <w:t>《环境空气质量标准》（GB3095-2012）中的二级标准</w:t>
            </w:r>
          </w:p>
        </w:tc>
      </w:tr>
      <w:tr w14:paraId="1E45D6B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72" w:type="pct"/>
            <w:tcBorders>
              <w:tl2br w:val="nil"/>
              <w:tr2bl w:val="nil"/>
            </w:tcBorders>
            <w:vAlign w:val="center"/>
          </w:tcPr>
          <w:p w14:paraId="5C8ADF40">
            <w:pPr>
              <w:keepNext w:val="0"/>
              <w:keepLines w:val="0"/>
              <w:pageBreakBefore w:val="0"/>
              <w:kinsoku/>
              <w:wordWrap/>
              <w:overflowPunct/>
              <w:autoSpaceDE/>
              <w:autoSpaceDN/>
              <w:bidi w:val="0"/>
              <w:adjustRightInd w:val="0"/>
              <w:snapToGrid w:val="0"/>
              <w:spacing w:line="240" w:lineRule="auto"/>
              <w:ind w:firstLine="0" w:firstLineChars="0"/>
              <w:jc w:val="center"/>
              <w:textAlignment w:val="auto"/>
              <w:rPr>
                <w:sz w:val="21"/>
                <w:szCs w:val="21"/>
              </w:rPr>
            </w:pPr>
            <w:r>
              <w:rPr>
                <w:sz w:val="21"/>
                <w:szCs w:val="21"/>
              </w:rPr>
              <w:t>2</w:t>
            </w:r>
          </w:p>
        </w:tc>
        <w:tc>
          <w:tcPr>
            <w:tcW w:w="452" w:type="pct"/>
            <w:tcBorders>
              <w:tl2br w:val="nil"/>
              <w:tr2bl w:val="nil"/>
            </w:tcBorders>
            <w:vAlign w:val="center"/>
          </w:tcPr>
          <w:p w14:paraId="41742A8D">
            <w:pPr>
              <w:keepNext w:val="0"/>
              <w:keepLines w:val="0"/>
              <w:pageBreakBefore w:val="0"/>
              <w:kinsoku/>
              <w:wordWrap/>
              <w:overflowPunct/>
              <w:autoSpaceDE/>
              <w:autoSpaceDN/>
              <w:bidi w:val="0"/>
              <w:adjustRightInd w:val="0"/>
              <w:snapToGrid w:val="0"/>
              <w:spacing w:line="240" w:lineRule="auto"/>
              <w:ind w:firstLine="0" w:firstLineChars="0"/>
              <w:jc w:val="center"/>
              <w:textAlignment w:val="auto"/>
              <w:rPr>
                <w:sz w:val="21"/>
                <w:szCs w:val="21"/>
              </w:rPr>
            </w:pPr>
            <w:r>
              <w:rPr>
                <w:sz w:val="21"/>
                <w:szCs w:val="21"/>
              </w:rPr>
              <w:t>NO</w:t>
            </w:r>
            <w:r>
              <w:rPr>
                <w:sz w:val="21"/>
                <w:szCs w:val="21"/>
                <w:vertAlign w:val="subscript"/>
              </w:rPr>
              <w:t>2</w:t>
            </w:r>
          </w:p>
        </w:tc>
        <w:tc>
          <w:tcPr>
            <w:tcW w:w="623" w:type="pct"/>
            <w:tcBorders>
              <w:tl2br w:val="nil"/>
              <w:tr2bl w:val="nil"/>
            </w:tcBorders>
            <w:vAlign w:val="center"/>
          </w:tcPr>
          <w:p w14:paraId="740FF5BF">
            <w:pPr>
              <w:keepNext w:val="0"/>
              <w:keepLines w:val="0"/>
              <w:pageBreakBefore w:val="0"/>
              <w:kinsoku/>
              <w:wordWrap/>
              <w:overflowPunct/>
              <w:autoSpaceDE/>
              <w:autoSpaceDN/>
              <w:bidi w:val="0"/>
              <w:adjustRightInd w:val="0"/>
              <w:snapToGrid w:val="0"/>
              <w:spacing w:line="240" w:lineRule="auto"/>
              <w:ind w:firstLine="0" w:firstLineChars="0"/>
              <w:jc w:val="center"/>
              <w:textAlignment w:val="auto"/>
              <w:rPr>
                <w:sz w:val="21"/>
                <w:szCs w:val="21"/>
              </w:rPr>
            </w:pPr>
            <w:r>
              <w:rPr>
                <w:sz w:val="21"/>
                <w:szCs w:val="21"/>
              </w:rPr>
              <w:t>200</w:t>
            </w:r>
          </w:p>
        </w:tc>
        <w:tc>
          <w:tcPr>
            <w:tcW w:w="624" w:type="pct"/>
            <w:tcBorders>
              <w:tl2br w:val="nil"/>
              <w:tr2bl w:val="nil"/>
            </w:tcBorders>
            <w:vAlign w:val="center"/>
          </w:tcPr>
          <w:p w14:paraId="77D295B2">
            <w:pPr>
              <w:keepNext w:val="0"/>
              <w:keepLines w:val="0"/>
              <w:pageBreakBefore w:val="0"/>
              <w:kinsoku/>
              <w:wordWrap/>
              <w:overflowPunct/>
              <w:autoSpaceDE/>
              <w:autoSpaceDN/>
              <w:bidi w:val="0"/>
              <w:adjustRightInd w:val="0"/>
              <w:snapToGrid w:val="0"/>
              <w:spacing w:line="240" w:lineRule="auto"/>
              <w:ind w:firstLine="0" w:firstLineChars="0"/>
              <w:jc w:val="center"/>
              <w:textAlignment w:val="auto"/>
              <w:rPr>
                <w:sz w:val="21"/>
                <w:szCs w:val="21"/>
              </w:rPr>
            </w:pPr>
            <w:r>
              <w:rPr>
                <w:sz w:val="21"/>
                <w:szCs w:val="21"/>
              </w:rPr>
              <w:t>80</w:t>
            </w:r>
          </w:p>
        </w:tc>
        <w:tc>
          <w:tcPr>
            <w:tcW w:w="624" w:type="pct"/>
            <w:tcBorders>
              <w:tl2br w:val="nil"/>
              <w:tr2bl w:val="nil"/>
            </w:tcBorders>
            <w:vAlign w:val="center"/>
          </w:tcPr>
          <w:p w14:paraId="1B56B0AB">
            <w:pPr>
              <w:keepNext w:val="0"/>
              <w:keepLines w:val="0"/>
              <w:pageBreakBefore w:val="0"/>
              <w:kinsoku/>
              <w:wordWrap/>
              <w:overflowPunct/>
              <w:autoSpaceDE/>
              <w:autoSpaceDN/>
              <w:bidi w:val="0"/>
              <w:adjustRightInd w:val="0"/>
              <w:snapToGrid w:val="0"/>
              <w:spacing w:line="240" w:lineRule="auto"/>
              <w:ind w:firstLine="0" w:firstLineChars="0"/>
              <w:jc w:val="center"/>
              <w:textAlignment w:val="auto"/>
              <w:rPr>
                <w:sz w:val="21"/>
                <w:szCs w:val="21"/>
              </w:rPr>
            </w:pPr>
            <w:r>
              <w:rPr>
                <w:sz w:val="21"/>
                <w:szCs w:val="21"/>
              </w:rPr>
              <w:t>40</w:t>
            </w:r>
          </w:p>
        </w:tc>
        <w:tc>
          <w:tcPr>
            <w:tcW w:w="705" w:type="pct"/>
            <w:tcBorders>
              <w:tl2br w:val="nil"/>
              <w:tr2bl w:val="nil"/>
            </w:tcBorders>
            <w:vAlign w:val="center"/>
          </w:tcPr>
          <w:p w14:paraId="042F6504">
            <w:pPr>
              <w:keepNext w:val="0"/>
              <w:keepLines w:val="0"/>
              <w:pageBreakBefore w:val="0"/>
              <w:kinsoku/>
              <w:wordWrap/>
              <w:overflowPunct/>
              <w:autoSpaceDE/>
              <w:autoSpaceDN/>
              <w:bidi w:val="0"/>
              <w:adjustRightInd w:val="0"/>
              <w:snapToGrid w:val="0"/>
              <w:spacing w:line="240" w:lineRule="auto"/>
              <w:ind w:firstLine="0" w:firstLineChars="0"/>
              <w:jc w:val="center"/>
              <w:textAlignment w:val="auto"/>
              <w:rPr>
                <w:sz w:val="21"/>
                <w:szCs w:val="21"/>
              </w:rPr>
            </w:pPr>
            <w:r>
              <w:rPr>
                <w:sz w:val="21"/>
                <w:szCs w:val="21"/>
              </w:rPr>
              <w:t>—</w:t>
            </w:r>
          </w:p>
        </w:tc>
        <w:tc>
          <w:tcPr>
            <w:tcW w:w="0" w:type="auto"/>
            <w:vMerge w:val="continue"/>
            <w:tcBorders>
              <w:tl2br w:val="nil"/>
              <w:tr2bl w:val="nil"/>
            </w:tcBorders>
            <w:vAlign w:val="center"/>
          </w:tcPr>
          <w:p w14:paraId="443589F2">
            <w:pPr>
              <w:keepNext w:val="0"/>
              <w:keepLines w:val="0"/>
              <w:pageBreakBefore w:val="0"/>
              <w:widowControl/>
              <w:kinsoku/>
              <w:wordWrap/>
              <w:overflowPunct/>
              <w:autoSpaceDE/>
              <w:autoSpaceDN/>
              <w:bidi w:val="0"/>
              <w:spacing w:line="240" w:lineRule="auto"/>
              <w:ind w:firstLine="0" w:firstLineChars="0"/>
              <w:jc w:val="left"/>
              <w:textAlignment w:val="auto"/>
              <w:rPr>
                <w:sz w:val="21"/>
                <w:szCs w:val="21"/>
              </w:rPr>
            </w:pPr>
          </w:p>
        </w:tc>
        <w:tc>
          <w:tcPr>
            <w:tcW w:w="0" w:type="auto"/>
            <w:vMerge w:val="continue"/>
            <w:tcBorders>
              <w:tl2br w:val="nil"/>
              <w:tr2bl w:val="nil"/>
            </w:tcBorders>
            <w:vAlign w:val="center"/>
          </w:tcPr>
          <w:p w14:paraId="47B05668">
            <w:pPr>
              <w:keepNext w:val="0"/>
              <w:keepLines w:val="0"/>
              <w:pageBreakBefore w:val="0"/>
              <w:widowControl/>
              <w:kinsoku/>
              <w:wordWrap/>
              <w:overflowPunct/>
              <w:autoSpaceDE/>
              <w:autoSpaceDN/>
              <w:bidi w:val="0"/>
              <w:spacing w:line="240" w:lineRule="auto"/>
              <w:ind w:firstLine="0" w:firstLineChars="0"/>
              <w:jc w:val="left"/>
              <w:textAlignment w:val="auto"/>
              <w:rPr>
                <w:sz w:val="21"/>
                <w:szCs w:val="21"/>
              </w:rPr>
            </w:pPr>
          </w:p>
        </w:tc>
      </w:tr>
      <w:tr w14:paraId="3D0DAA0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72" w:type="pct"/>
            <w:tcBorders>
              <w:tl2br w:val="nil"/>
              <w:tr2bl w:val="nil"/>
            </w:tcBorders>
            <w:vAlign w:val="center"/>
          </w:tcPr>
          <w:p w14:paraId="4B25548F">
            <w:pPr>
              <w:keepNext w:val="0"/>
              <w:keepLines w:val="0"/>
              <w:pageBreakBefore w:val="0"/>
              <w:kinsoku/>
              <w:wordWrap/>
              <w:overflowPunct/>
              <w:autoSpaceDE/>
              <w:autoSpaceDN/>
              <w:bidi w:val="0"/>
              <w:adjustRightInd w:val="0"/>
              <w:snapToGrid w:val="0"/>
              <w:spacing w:line="240" w:lineRule="auto"/>
              <w:ind w:firstLine="0" w:firstLineChars="0"/>
              <w:jc w:val="center"/>
              <w:textAlignment w:val="auto"/>
              <w:rPr>
                <w:sz w:val="21"/>
                <w:szCs w:val="21"/>
              </w:rPr>
            </w:pPr>
            <w:r>
              <w:rPr>
                <w:sz w:val="21"/>
                <w:szCs w:val="21"/>
              </w:rPr>
              <w:t>3</w:t>
            </w:r>
          </w:p>
        </w:tc>
        <w:tc>
          <w:tcPr>
            <w:tcW w:w="452" w:type="pct"/>
            <w:tcBorders>
              <w:tl2br w:val="nil"/>
              <w:tr2bl w:val="nil"/>
            </w:tcBorders>
            <w:vAlign w:val="center"/>
          </w:tcPr>
          <w:p w14:paraId="08A09DEF">
            <w:pPr>
              <w:keepNext w:val="0"/>
              <w:keepLines w:val="0"/>
              <w:pageBreakBefore w:val="0"/>
              <w:kinsoku/>
              <w:wordWrap/>
              <w:overflowPunct/>
              <w:autoSpaceDE/>
              <w:autoSpaceDN/>
              <w:bidi w:val="0"/>
              <w:adjustRightInd w:val="0"/>
              <w:snapToGrid w:val="0"/>
              <w:spacing w:line="240" w:lineRule="auto"/>
              <w:ind w:firstLine="0" w:firstLineChars="0"/>
              <w:jc w:val="center"/>
              <w:textAlignment w:val="auto"/>
              <w:rPr>
                <w:sz w:val="21"/>
                <w:szCs w:val="21"/>
              </w:rPr>
            </w:pPr>
            <w:r>
              <w:rPr>
                <w:sz w:val="21"/>
                <w:szCs w:val="21"/>
              </w:rPr>
              <w:t>PM</w:t>
            </w:r>
            <w:r>
              <w:rPr>
                <w:sz w:val="21"/>
                <w:szCs w:val="21"/>
                <w:vertAlign w:val="subscript"/>
              </w:rPr>
              <w:t>10</w:t>
            </w:r>
          </w:p>
        </w:tc>
        <w:tc>
          <w:tcPr>
            <w:tcW w:w="623" w:type="pct"/>
            <w:tcBorders>
              <w:tl2br w:val="nil"/>
              <w:tr2bl w:val="nil"/>
            </w:tcBorders>
            <w:vAlign w:val="center"/>
          </w:tcPr>
          <w:p w14:paraId="6877076B">
            <w:pPr>
              <w:keepNext w:val="0"/>
              <w:keepLines w:val="0"/>
              <w:pageBreakBefore w:val="0"/>
              <w:kinsoku/>
              <w:wordWrap/>
              <w:overflowPunct/>
              <w:autoSpaceDE/>
              <w:autoSpaceDN/>
              <w:bidi w:val="0"/>
              <w:adjustRightInd w:val="0"/>
              <w:snapToGrid w:val="0"/>
              <w:spacing w:line="240" w:lineRule="auto"/>
              <w:ind w:firstLine="0" w:firstLineChars="0"/>
              <w:jc w:val="center"/>
              <w:textAlignment w:val="auto"/>
              <w:rPr>
                <w:sz w:val="21"/>
                <w:szCs w:val="21"/>
              </w:rPr>
            </w:pPr>
            <w:r>
              <w:rPr>
                <w:sz w:val="21"/>
                <w:szCs w:val="21"/>
              </w:rPr>
              <w:t>—</w:t>
            </w:r>
          </w:p>
        </w:tc>
        <w:tc>
          <w:tcPr>
            <w:tcW w:w="624" w:type="pct"/>
            <w:tcBorders>
              <w:tl2br w:val="nil"/>
              <w:tr2bl w:val="nil"/>
            </w:tcBorders>
            <w:vAlign w:val="center"/>
          </w:tcPr>
          <w:p w14:paraId="1A1FB883">
            <w:pPr>
              <w:keepNext w:val="0"/>
              <w:keepLines w:val="0"/>
              <w:pageBreakBefore w:val="0"/>
              <w:kinsoku/>
              <w:wordWrap/>
              <w:overflowPunct/>
              <w:autoSpaceDE/>
              <w:autoSpaceDN/>
              <w:bidi w:val="0"/>
              <w:adjustRightInd w:val="0"/>
              <w:snapToGrid w:val="0"/>
              <w:spacing w:line="240" w:lineRule="auto"/>
              <w:ind w:firstLine="0" w:firstLineChars="0"/>
              <w:jc w:val="center"/>
              <w:textAlignment w:val="auto"/>
              <w:rPr>
                <w:sz w:val="21"/>
                <w:szCs w:val="21"/>
              </w:rPr>
            </w:pPr>
            <w:r>
              <w:rPr>
                <w:sz w:val="21"/>
                <w:szCs w:val="21"/>
              </w:rPr>
              <w:t>150</w:t>
            </w:r>
          </w:p>
        </w:tc>
        <w:tc>
          <w:tcPr>
            <w:tcW w:w="624" w:type="pct"/>
            <w:tcBorders>
              <w:tl2br w:val="nil"/>
              <w:tr2bl w:val="nil"/>
            </w:tcBorders>
            <w:vAlign w:val="center"/>
          </w:tcPr>
          <w:p w14:paraId="61AFF198">
            <w:pPr>
              <w:keepNext w:val="0"/>
              <w:keepLines w:val="0"/>
              <w:pageBreakBefore w:val="0"/>
              <w:kinsoku/>
              <w:wordWrap/>
              <w:overflowPunct/>
              <w:autoSpaceDE/>
              <w:autoSpaceDN/>
              <w:bidi w:val="0"/>
              <w:adjustRightInd w:val="0"/>
              <w:snapToGrid w:val="0"/>
              <w:spacing w:line="240" w:lineRule="auto"/>
              <w:ind w:firstLine="0" w:firstLineChars="0"/>
              <w:jc w:val="center"/>
              <w:textAlignment w:val="auto"/>
              <w:rPr>
                <w:sz w:val="21"/>
                <w:szCs w:val="21"/>
              </w:rPr>
            </w:pPr>
            <w:r>
              <w:rPr>
                <w:sz w:val="21"/>
                <w:szCs w:val="21"/>
              </w:rPr>
              <w:t>70</w:t>
            </w:r>
          </w:p>
        </w:tc>
        <w:tc>
          <w:tcPr>
            <w:tcW w:w="705" w:type="pct"/>
            <w:tcBorders>
              <w:tl2br w:val="nil"/>
              <w:tr2bl w:val="nil"/>
            </w:tcBorders>
            <w:vAlign w:val="center"/>
          </w:tcPr>
          <w:p w14:paraId="7A924625">
            <w:pPr>
              <w:keepNext w:val="0"/>
              <w:keepLines w:val="0"/>
              <w:pageBreakBefore w:val="0"/>
              <w:kinsoku/>
              <w:wordWrap/>
              <w:overflowPunct/>
              <w:autoSpaceDE/>
              <w:autoSpaceDN/>
              <w:bidi w:val="0"/>
              <w:adjustRightInd w:val="0"/>
              <w:snapToGrid w:val="0"/>
              <w:spacing w:line="240" w:lineRule="auto"/>
              <w:ind w:firstLine="0" w:firstLineChars="0"/>
              <w:jc w:val="center"/>
              <w:textAlignment w:val="auto"/>
              <w:rPr>
                <w:sz w:val="21"/>
                <w:szCs w:val="21"/>
              </w:rPr>
            </w:pPr>
            <w:r>
              <w:rPr>
                <w:sz w:val="21"/>
                <w:szCs w:val="21"/>
              </w:rPr>
              <w:t>—</w:t>
            </w:r>
          </w:p>
        </w:tc>
        <w:tc>
          <w:tcPr>
            <w:tcW w:w="0" w:type="auto"/>
            <w:vMerge w:val="continue"/>
            <w:tcBorders>
              <w:tl2br w:val="nil"/>
              <w:tr2bl w:val="nil"/>
            </w:tcBorders>
            <w:vAlign w:val="center"/>
          </w:tcPr>
          <w:p w14:paraId="6E5009AC">
            <w:pPr>
              <w:keepNext w:val="0"/>
              <w:keepLines w:val="0"/>
              <w:pageBreakBefore w:val="0"/>
              <w:widowControl/>
              <w:kinsoku/>
              <w:wordWrap/>
              <w:overflowPunct/>
              <w:autoSpaceDE/>
              <w:autoSpaceDN/>
              <w:bidi w:val="0"/>
              <w:spacing w:line="240" w:lineRule="auto"/>
              <w:ind w:firstLine="0" w:firstLineChars="0"/>
              <w:jc w:val="left"/>
              <w:textAlignment w:val="auto"/>
              <w:rPr>
                <w:sz w:val="21"/>
                <w:szCs w:val="21"/>
              </w:rPr>
            </w:pPr>
          </w:p>
        </w:tc>
        <w:tc>
          <w:tcPr>
            <w:tcW w:w="0" w:type="auto"/>
            <w:vMerge w:val="continue"/>
            <w:tcBorders>
              <w:tl2br w:val="nil"/>
              <w:tr2bl w:val="nil"/>
            </w:tcBorders>
            <w:vAlign w:val="center"/>
          </w:tcPr>
          <w:p w14:paraId="340920EE">
            <w:pPr>
              <w:keepNext w:val="0"/>
              <w:keepLines w:val="0"/>
              <w:pageBreakBefore w:val="0"/>
              <w:widowControl/>
              <w:kinsoku/>
              <w:wordWrap/>
              <w:overflowPunct/>
              <w:autoSpaceDE/>
              <w:autoSpaceDN/>
              <w:bidi w:val="0"/>
              <w:spacing w:line="240" w:lineRule="auto"/>
              <w:ind w:firstLine="0" w:firstLineChars="0"/>
              <w:jc w:val="left"/>
              <w:textAlignment w:val="auto"/>
              <w:rPr>
                <w:sz w:val="21"/>
                <w:szCs w:val="21"/>
              </w:rPr>
            </w:pPr>
          </w:p>
        </w:tc>
      </w:tr>
      <w:tr w14:paraId="124B1B0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72" w:type="pct"/>
            <w:tcBorders>
              <w:tl2br w:val="nil"/>
              <w:tr2bl w:val="nil"/>
            </w:tcBorders>
            <w:vAlign w:val="center"/>
          </w:tcPr>
          <w:p w14:paraId="4B05E92F">
            <w:pPr>
              <w:keepNext w:val="0"/>
              <w:keepLines w:val="0"/>
              <w:pageBreakBefore w:val="0"/>
              <w:kinsoku/>
              <w:wordWrap/>
              <w:overflowPunct/>
              <w:autoSpaceDE/>
              <w:autoSpaceDN/>
              <w:bidi w:val="0"/>
              <w:adjustRightInd w:val="0"/>
              <w:snapToGrid w:val="0"/>
              <w:spacing w:line="240" w:lineRule="auto"/>
              <w:ind w:firstLine="0" w:firstLineChars="0"/>
              <w:jc w:val="center"/>
              <w:textAlignment w:val="auto"/>
              <w:rPr>
                <w:sz w:val="21"/>
                <w:szCs w:val="21"/>
              </w:rPr>
            </w:pPr>
            <w:r>
              <w:rPr>
                <w:sz w:val="21"/>
                <w:szCs w:val="21"/>
              </w:rPr>
              <w:t>4</w:t>
            </w:r>
          </w:p>
        </w:tc>
        <w:tc>
          <w:tcPr>
            <w:tcW w:w="452" w:type="pct"/>
            <w:tcBorders>
              <w:tl2br w:val="nil"/>
              <w:tr2bl w:val="nil"/>
            </w:tcBorders>
            <w:vAlign w:val="center"/>
          </w:tcPr>
          <w:p w14:paraId="07331CA1">
            <w:pPr>
              <w:keepNext w:val="0"/>
              <w:keepLines w:val="0"/>
              <w:pageBreakBefore w:val="0"/>
              <w:kinsoku/>
              <w:wordWrap/>
              <w:overflowPunct/>
              <w:autoSpaceDE/>
              <w:autoSpaceDN/>
              <w:bidi w:val="0"/>
              <w:adjustRightInd w:val="0"/>
              <w:snapToGrid w:val="0"/>
              <w:spacing w:line="240" w:lineRule="auto"/>
              <w:ind w:firstLine="0" w:firstLineChars="0"/>
              <w:jc w:val="center"/>
              <w:textAlignment w:val="auto"/>
              <w:rPr>
                <w:sz w:val="21"/>
                <w:szCs w:val="21"/>
              </w:rPr>
            </w:pPr>
            <w:r>
              <w:rPr>
                <w:sz w:val="21"/>
                <w:szCs w:val="21"/>
              </w:rPr>
              <w:t>PM</w:t>
            </w:r>
            <w:r>
              <w:rPr>
                <w:sz w:val="21"/>
                <w:szCs w:val="21"/>
                <w:vertAlign w:val="subscript"/>
              </w:rPr>
              <w:t>2.5</w:t>
            </w:r>
          </w:p>
        </w:tc>
        <w:tc>
          <w:tcPr>
            <w:tcW w:w="623" w:type="pct"/>
            <w:tcBorders>
              <w:tl2br w:val="nil"/>
              <w:tr2bl w:val="nil"/>
            </w:tcBorders>
            <w:vAlign w:val="center"/>
          </w:tcPr>
          <w:p w14:paraId="2B5C3CA0">
            <w:pPr>
              <w:keepNext w:val="0"/>
              <w:keepLines w:val="0"/>
              <w:pageBreakBefore w:val="0"/>
              <w:kinsoku/>
              <w:wordWrap/>
              <w:overflowPunct/>
              <w:autoSpaceDE/>
              <w:autoSpaceDN/>
              <w:bidi w:val="0"/>
              <w:adjustRightInd w:val="0"/>
              <w:snapToGrid w:val="0"/>
              <w:spacing w:line="240" w:lineRule="auto"/>
              <w:ind w:firstLine="0" w:firstLineChars="0"/>
              <w:jc w:val="center"/>
              <w:textAlignment w:val="auto"/>
              <w:rPr>
                <w:sz w:val="21"/>
                <w:szCs w:val="21"/>
              </w:rPr>
            </w:pPr>
            <w:r>
              <w:rPr>
                <w:sz w:val="21"/>
                <w:szCs w:val="21"/>
              </w:rPr>
              <w:t>—</w:t>
            </w:r>
          </w:p>
        </w:tc>
        <w:tc>
          <w:tcPr>
            <w:tcW w:w="624" w:type="pct"/>
            <w:tcBorders>
              <w:tl2br w:val="nil"/>
              <w:tr2bl w:val="nil"/>
            </w:tcBorders>
            <w:vAlign w:val="center"/>
          </w:tcPr>
          <w:p w14:paraId="39679F5F">
            <w:pPr>
              <w:keepNext w:val="0"/>
              <w:keepLines w:val="0"/>
              <w:pageBreakBefore w:val="0"/>
              <w:kinsoku/>
              <w:wordWrap/>
              <w:overflowPunct/>
              <w:autoSpaceDE/>
              <w:autoSpaceDN/>
              <w:bidi w:val="0"/>
              <w:adjustRightInd w:val="0"/>
              <w:snapToGrid w:val="0"/>
              <w:spacing w:line="240" w:lineRule="auto"/>
              <w:ind w:firstLine="0" w:firstLineChars="0"/>
              <w:jc w:val="center"/>
              <w:textAlignment w:val="auto"/>
              <w:rPr>
                <w:sz w:val="21"/>
                <w:szCs w:val="21"/>
              </w:rPr>
            </w:pPr>
            <w:r>
              <w:rPr>
                <w:sz w:val="21"/>
                <w:szCs w:val="21"/>
              </w:rPr>
              <w:t>75</w:t>
            </w:r>
          </w:p>
        </w:tc>
        <w:tc>
          <w:tcPr>
            <w:tcW w:w="624" w:type="pct"/>
            <w:tcBorders>
              <w:tl2br w:val="nil"/>
              <w:tr2bl w:val="nil"/>
            </w:tcBorders>
            <w:vAlign w:val="center"/>
          </w:tcPr>
          <w:p w14:paraId="54C582D3">
            <w:pPr>
              <w:keepNext w:val="0"/>
              <w:keepLines w:val="0"/>
              <w:pageBreakBefore w:val="0"/>
              <w:kinsoku/>
              <w:wordWrap/>
              <w:overflowPunct/>
              <w:autoSpaceDE/>
              <w:autoSpaceDN/>
              <w:bidi w:val="0"/>
              <w:adjustRightInd w:val="0"/>
              <w:snapToGrid w:val="0"/>
              <w:spacing w:line="240" w:lineRule="auto"/>
              <w:ind w:firstLine="0" w:firstLineChars="0"/>
              <w:jc w:val="center"/>
              <w:textAlignment w:val="auto"/>
              <w:rPr>
                <w:sz w:val="21"/>
                <w:szCs w:val="21"/>
              </w:rPr>
            </w:pPr>
            <w:r>
              <w:rPr>
                <w:sz w:val="21"/>
                <w:szCs w:val="21"/>
              </w:rPr>
              <w:t>35</w:t>
            </w:r>
          </w:p>
        </w:tc>
        <w:tc>
          <w:tcPr>
            <w:tcW w:w="705" w:type="pct"/>
            <w:tcBorders>
              <w:tl2br w:val="nil"/>
              <w:tr2bl w:val="nil"/>
            </w:tcBorders>
            <w:vAlign w:val="center"/>
          </w:tcPr>
          <w:p w14:paraId="05BACB26">
            <w:pPr>
              <w:keepNext w:val="0"/>
              <w:keepLines w:val="0"/>
              <w:pageBreakBefore w:val="0"/>
              <w:kinsoku/>
              <w:wordWrap/>
              <w:overflowPunct/>
              <w:autoSpaceDE/>
              <w:autoSpaceDN/>
              <w:bidi w:val="0"/>
              <w:adjustRightInd w:val="0"/>
              <w:snapToGrid w:val="0"/>
              <w:spacing w:line="240" w:lineRule="auto"/>
              <w:ind w:firstLine="0" w:firstLineChars="0"/>
              <w:jc w:val="center"/>
              <w:textAlignment w:val="auto"/>
              <w:rPr>
                <w:sz w:val="21"/>
                <w:szCs w:val="21"/>
              </w:rPr>
            </w:pPr>
            <w:r>
              <w:rPr>
                <w:sz w:val="21"/>
                <w:szCs w:val="21"/>
              </w:rPr>
              <w:t>—</w:t>
            </w:r>
          </w:p>
        </w:tc>
        <w:tc>
          <w:tcPr>
            <w:tcW w:w="0" w:type="auto"/>
            <w:vMerge w:val="continue"/>
            <w:tcBorders>
              <w:tl2br w:val="nil"/>
              <w:tr2bl w:val="nil"/>
            </w:tcBorders>
            <w:vAlign w:val="center"/>
          </w:tcPr>
          <w:p w14:paraId="0E41ADA5">
            <w:pPr>
              <w:keepNext w:val="0"/>
              <w:keepLines w:val="0"/>
              <w:pageBreakBefore w:val="0"/>
              <w:widowControl/>
              <w:kinsoku/>
              <w:wordWrap/>
              <w:overflowPunct/>
              <w:autoSpaceDE/>
              <w:autoSpaceDN/>
              <w:bidi w:val="0"/>
              <w:spacing w:line="240" w:lineRule="auto"/>
              <w:ind w:firstLine="0" w:firstLineChars="0"/>
              <w:jc w:val="left"/>
              <w:textAlignment w:val="auto"/>
              <w:rPr>
                <w:sz w:val="21"/>
                <w:szCs w:val="21"/>
              </w:rPr>
            </w:pPr>
          </w:p>
        </w:tc>
        <w:tc>
          <w:tcPr>
            <w:tcW w:w="0" w:type="auto"/>
            <w:vMerge w:val="continue"/>
            <w:tcBorders>
              <w:tl2br w:val="nil"/>
              <w:tr2bl w:val="nil"/>
            </w:tcBorders>
            <w:vAlign w:val="center"/>
          </w:tcPr>
          <w:p w14:paraId="5A5B7110">
            <w:pPr>
              <w:keepNext w:val="0"/>
              <w:keepLines w:val="0"/>
              <w:pageBreakBefore w:val="0"/>
              <w:widowControl/>
              <w:kinsoku/>
              <w:wordWrap/>
              <w:overflowPunct/>
              <w:autoSpaceDE/>
              <w:autoSpaceDN/>
              <w:bidi w:val="0"/>
              <w:spacing w:line="240" w:lineRule="auto"/>
              <w:ind w:firstLine="0" w:firstLineChars="0"/>
              <w:jc w:val="left"/>
              <w:textAlignment w:val="auto"/>
              <w:rPr>
                <w:sz w:val="21"/>
                <w:szCs w:val="21"/>
              </w:rPr>
            </w:pPr>
          </w:p>
        </w:tc>
      </w:tr>
      <w:tr w14:paraId="05887FE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72" w:type="pct"/>
            <w:tcBorders>
              <w:tl2br w:val="nil"/>
              <w:tr2bl w:val="nil"/>
            </w:tcBorders>
            <w:vAlign w:val="center"/>
          </w:tcPr>
          <w:p w14:paraId="60180754">
            <w:pPr>
              <w:keepNext w:val="0"/>
              <w:keepLines w:val="0"/>
              <w:pageBreakBefore w:val="0"/>
              <w:kinsoku/>
              <w:wordWrap/>
              <w:overflowPunct/>
              <w:autoSpaceDE/>
              <w:autoSpaceDN/>
              <w:bidi w:val="0"/>
              <w:adjustRightInd w:val="0"/>
              <w:snapToGrid w:val="0"/>
              <w:spacing w:line="240" w:lineRule="auto"/>
              <w:ind w:firstLine="0" w:firstLineChars="0"/>
              <w:jc w:val="center"/>
              <w:textAlignment w:val="auto"/>
              <w:rPr>
                <w:sz w:val="21"/>
                <w:szCs w:val="21"/>
              </w:rPr>
            </w:pPr>
            <w:r>
              <w:rPr>
                <w:sz w:val="21"/>
                <w:szCs w:val="21"/>
              </w:rPr>
              <w:t>5</w:t>
            </w:r>
          </w:p>
        </w:tc>
        <w:tc>
          <w:tcPr>
            <w:tcW w:w="452" w:type="pct"/>
            <w:tcBorders>
              <w:tl2br w:val="nil"/>
              <w:tr2bl w:val="nil"/>
            </w:tcBorders>
            <w:vAlign w:val="center"/>
          </w:tcPr>
          <w:p w14:paraId="0B070D95">
            <w:pPr>
              <w:pStyle w:val="320"/>
              <w:keepNext w:val="0"/>
              <w:keepLines w:val="0"/>
              <w:pageBreakBefore w:val="0"/>
              <w:kinsoku/>
              <w:wordWrap/>
              <w:overflowPunct/>
              <w:autoSpaceDE/>
              <w:autoSpaceDN/>
              <w:bidi w:val="0"/>
              <w:snapToGrid w:val="0"/>
              <w:spacing w:line="240" w:lineRule="auto"/>
              <w:ind w:firstLine="0" w:firstLineChars="0"/>
              <w:jc w:val="center"/>
              <w:textAlignment w:val="auto"/>
              <w:rPr>
                <w:rFonts w:ascii="Times New Roman" w:hAnsi="Times New Roman"/>
                <w:sz w:val="21"/>
              </w:rPr>
            </w:pPr>
            <w:r>
              <w:rPr>
                <w:rFonts w:ascii="Times New Roman" w:hAnsi="Times New Roman"/>
                <w:sz w:val="21"/>
              </w:rPr>
              <w:t>CO</w:t>
            </w:r>
          </w:p>
        </w:tc>
        <w:tc>
          <w:tcPr>
            <w:tcW w:w="623" w:type="pct"/>
            <w:tcBorders>
              <w:tl2br w:val="nil"/>
              <w:tr2bl w:val="nil"/>
            </w:tcBorders>
            <w:vAlign w:val="center"/>
          </w:tcPr>
          <w:p w14:paraId="18EA3CDA">
            <w:pPr>
              <w:keepNext w:val="0"/>
              <w:keepLines w:val="0"/>
              <w:pageBreakBefore w:val="0"/>
              <w:kinsoku/>
              <w:wordWrap/>
              <w:overflowPunct/>
              <w:autoSpaceDE/>
              <w:autoSpaceDN/>
              <w:bidi w:val="0"/>
              <w:adjustRightInd w:val="0"/>
              <w:snapToGrid w:val="0"/>
              <w:spacing w:line="240" w:lineRule="auto"/>
              <w:ind w:firstLine="0" w:firstLineChars="0"/>
              <w:jc w:val="center"/>
              <w:textAlignment w:val="auto"/>
              <w:rPr>
                <w:sz w:val="21"/>
                <w:szCs w:val="21"/>
              </w:rPr>
            </w:pPr>
            <w:r>
              <w:rPr>
                <w:sz w:val="21"/>
                <w:szCs w:val="21"/>
              </w:rPr>
              <w:t>10</w:t>
            </w:r>
          </w:p>
        </w:tc>
        <w:tc>
          <w:tcPr>
            <w:tcW w:w="624" w:type="pct"/>
            <w:tcBorders>
              <w:tl2br w:val="nil"/>
              <w:tr2bl w:val="nil"/>
            </w:tcBorders>
            <w:vAlign w:val="center"/>
          </w:tcPr>
          <w:p w14:paraId="35D3E210">
            <w:pPr>
              <w:keepNext w:val="0"/>
              <w:keepLines w:val="0"/>
              <w:pageBreakBefore w:val="0"/>
              <w:kinsoku/>
              <w:wordWrap/>
              <w:overflowPunct/>
              <w:autoSpaceDE/>
              <w:autoSpaceDN/>
              <w:bidi w:val="0"/>
              <w:adjustRightInd w:val="0"/>
              <w:snapToGrid w:val="0"/>
              <w:spacing w:line="240" w:lineRule="auto"/>
              <w:ind w:firstLine="0" w:firstLineChars="0"/>
              <w:jc w:val="center"/>
              <w:textAlignment w:val="auto"/>
              <w:rPr>
                <w:sz w:val="21"/>
                <w:szCs w:val="21"/>
              </w:rPr>
            </w:pPr>
            <w:r>
              <w:rPr>
                <w:sz w:val="21"/>
                <w:szCs w:val="21"/>
              </w:rPr>
              <w:t>4</w:t>
            </w:r>
          </w:p>
        </w:tc>
        <w:tc>
          <w:tcPr>
            <w:tcW w:w="624" w:type="pct"/>
            <w:tcBorders>
              <w:tl2br w:val="nil"/>
              <w:tr2bl w:val="nil"/>
            </w:tcBorders>
            <w:vAlign w:val="center"/>
          </w:tcPr>
          <w:p w14:paraId="4BE1A20E">
            <w:pPr>
              <w:keepNext w:val="0"/>
              <w:keepLines w:val="0"/>
              <w:pageBreakBefore w:val="0"/>
              <w:kinsoku/>
              <w:wordWrap/>
              <w:overflowPunct/>
              <w:autoSpaceDE/>
              <w:autoSpaceDN/>
              <w:bidi w:val="0"/>
              <w:adjustRightInd w:val="0"/>
              <w:snapToGrid w:val="0"/>
              <w:spacing w:line="240" w:lineRule="auto"/>
              <w:ind w:firstLine="0" w:firstLineChars="0"/>
              <w:jc w:val="center"/>
              <w:textAlignment w:val="auto"/>
              <w:rPr>
                <w:sz w:val="21"/>
                <w:szCs w:val="21"/>
              </w:rPr>
            </w:pPr>
            <w:r>
              <w:rPr>
                <w:sz w:val="21"/>
                <w:szCs w:val="21"/>
              </w:rPr>
              <w:t>—</w:t>
            </w:r>
          </w:p>
        </w:tc>
        <w:tc>
          <w:tcPr>
            <w:tcW w:w="705" w:type="pct"/>
            <w:tcBorders>
              <w:tl2br w:val="nil"/>
              <w:tr2bl w:val="nil"/>
            </w:tcBorders>
            <w:vAlign w:val="center"/>
          </w:tcPr>
          <w:p w14:paraId="349C73CE">
            <w:pPr>
              <w:keepNext w:val="0"/>
              <w:keepLines w:val="0"/>
              <w:pageBreakBefore w:val="0"/>
              <w:kinsoku/>
              <w:wordWrap/>
              <w:overflowPunct/>
              <w:autoSpaceDE/>
              <w:autoSpaceDN/>
              <w:bidi w:val="0"/>
              <w:adjustRightInd w:val="0"/>
              <w:snapToGrid w:val="0"/>
              <w:spacing w:line="240" w:lineRule="auto"/>
              <w:ind w:firstLine="0" w:firstLineChars="0"/>
              <w:jc w:val="center"/>
              <w:textAlignment w:val="auto"/>
              <w:rPr>
                <w:sz w:val="21"/>
                <w:szCs w:val="21"/>
              </w:rPr>
            </w:pPr>
            <w:r>
              <w:rPr>
                <w:sz w:val="21"/>
                <w:szCs w:val="21"/>
              </w:rPr>
              <w:t>—</w:t>
            </w:r>
          </w:p>
        </w:tc>
        <w:tc>
          <w:tcPr>
            <w:tcW w:w="522" w:type="pct"/>
            <w:tcBorders>
              <w:tl2br w:val="nil"/>
              <w:tr2bl w:val="nil"/>
            </w:tcBorders>
            <w:vAlign w:val="center"/>
          </w:tcPr>
          <w:p w14:paraId="15083D96">
            <w:pPr>
              <w:keepNext w:val="0"/>
              <w:keepLines w:val="0"/>
              <w:pageBreakBefore w:val="0"/>
              <w:kinsoku/>
              <w:wordWrap/>
              <w:overflowPunct/>
              <w:autoSpaceDE/>
              <w:autoSpaceDN/>
              <w:bidi w:val="0"/>
              <w:adjustRightInd w:val="0"/>
              <w:snapToGrid w:val="0"/>
              <w:spacing w:line="240" w:lineRule="auto"/>
              <w:ind w:firstLine="0" w:firstLineChars="0"/>
              <w:jc w:val="center"/>
              <w:textAlignment w:val="auto"/>
              <w:rPr>
                <w:sz w:val="21"/>
                <w:szCs w:val="21"/>
              </w:rPr>
            </w:pPr>
            <w:r>
              <w:rPr>
                <w:sz w:val="21"/>
                <w:szCs w:val="21"/>
              </w:rPr>
              <w:t>mg/m</w:t>
            </w:r>
            <w:r>
              <w:rPr>
                <w:sz w:val="21"/>
                <w:szCs w:val="21"/>
                <w:vertAlign w:val="superscript"/>
              </w:rPr>
              <w:t>3</w:t>
            </w:r>
          </w:p>
        </w:tc>
        <w:tc>
          <w:tcPr>
            <w:tcW w:w="0" w:type="auto"/>
            <w:vMerge w:val="continue"/>
            <w:tcBorders>
              <w:tl2br w:val="nil"/>
              <w:tr2bl w:val="nil"/>
            </w:tcBorders>
            <w:vAlign w:val="center"/>
          </w:tcPr>
          <w:p w14:paraId="253D11DD">
            <w:pPr>
              <w:keepNext w:val="0"/>
              <w:keepLines w:val="0"/>
              <w:pageBreakBefore w:val="0"/>
              <w:widowControl/>
              <w:kinsoku/>
              <w:wordWrap/>
              <w:overflowPunct/>
              <w:autoSpaceDE/>
              <w:autoSpaceDN/>
              <w:bidi w:val="0"/>
              <w:spacing w:line="240" w:lineRule="auto"/>
              <w:ind w:firstLine="0" w:firstLineChars="0"/>
              <w:jc w:val="left"/>
              <w:textAlignment w:val="auto"/>
              <w:rPr>
                <w:sz w:val="21"/>
                <w:szCs w:val="21"/>
              </w:rPr>
            </w:pPr>
          </w:p>
        </w:tc>
      </w:tr>
      <w:tr w14:paraId="77A6ECB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72" w:type="pct"/>
            <w:tcBorders>
              <w:tl2br w:val="nil"/>
              <w:tr2bl w:val="nil"/>
            </w:tcBorders>
            <w:vAlign w:val="center"/>
          </w:tcPr>
          <w:p w14:paraId="3E330A50">
            <w:pPr>
              <w:keepNext w:val="0"/>
              <w:keepLines w:val="0"/>
              <w:pageBreakBefore w:val="0"/>
              <w:kinsoku/>
              <w:wordWrap/>
              <w:overflowPunct/>
              <w:autoSpaceDE/>
              <w:autoSpaceDN/>
              <w:bidi w:val="0"/>
              <w:adjustRightInd w:val="0"/>
              <w:snapToGrid w:val="0"/>
              <w:spacing w:line="240" w:lineRule="auto"/>
              <w:ind w:firstLine="0" w:firstLineChars="0"/>
              <w:jc w:val="center"/>
              <w:textAlignment w:val="auto"/>
              <w:rPr>
                <w:sz w:val="21"/>
                <w:szCs w:val="21"/>
              </w:rPr>
            </w:pPr>
            <w:r>
              <w:rPr>
                <w:sz w:val="21"/>
                <w:szCs w:val="21"/>
              </w:rPr>
              <w:t>6</w:t>
            </w:r>
          </w:p>
        </w:tc>
        <w:tc>
          <w:tcPr>
            <w:tcW w:w="452" w:type="pct"/>
            <w:tcBorders>
              <w:tl2br w:val="nil"/>
              <w:tr2bl w:val="nil"/>
            </w:tcBorders>
            <w:vAlign w:val="center"/>
          </w:tcPr>
          <w:p w14:paraId="66A4829C">
            <w:pPr>
              <w:pStyle w:val="320"/>
              <w:keepNext w:val="0"/>
              <w:keepLines w:val="0"/>
              <w:pageBreakBefore w:val="0"/>
              <w:kinsoku/>
              <w:wordWrap/>
              <w:overflowPunct/>
              <w:autoSpaceDE/>
              <w:autoSpaceDN/>
              <w:bidi w:val="0"/>
              <w:snapToGrid w:val="0"/>
              <w:spacing w:line="240" w:lineRule="auto"/>
              <w:ind w:firstLine="0" w:firstLineChars="0"/>
              <w:jc w:val="center"/>
              <w:textAlignment w:val="auto"/>
              <w:rPr>
                <w:rFonts w:ascii="Times New Roman" w:hAnsi="Times New Roman"/>
                <w:sz w:val="21"/>
              </w:rPr>
            </w:pPr>
            <w:r>
              <w:rPr>
                <w:rFonts w:ascii="Times New Roman" w:hAnsi="Times New Roman"/>
                <w:sz w:val="21"/>
              </w:rPr>
              <w:t>O</w:t>
            </w:r>
            <w:r>
              <w:rPr>
                <w:rFonts w:ascii="Times New Roman" w:hAnsi="Times New Roman"/>
                <w:sz w:val="21"/>
                <w:vertAlign w:val="subscript"/>
              </w:rPr>
              <w:t>3</w:t>
            </w:r>
          </w:p>
        </w:tc>
        <w:tc>
          <w:tcPr>
            <w:tcW w:w="623" w:type="pct"/>
            <w:tcBorders>
              <w:tl2br w:val="nil"/>
              <w:tr2bl w:val="nil"/>
            </w:tcBorders>
            <w:vAlign w:val="center"/>
          </w:tcPr>
          <w:p w14:paraId="1186585C">
            <w:pPr>
              <w:keepNext w:val="0"/>
              <w:keepLines w:val="0"/>
              <w:pageBreakBefore w:val="0"/>
              <w:kinsoku/>
              <w:wordWrap/>
              <w:overflowPunct/>
              <w:autoSpaceDE/>
              <w:autoSpaceDN/>
              <w:bidi w:val="0"/>
              <w:adjustRightInd w:val="0"/>
              <w:snapToGrid w:val="0"/>
              <w:spacing w:line="240" w:lineRule="auto"/>
              <w:ind w:firstLine="0" w:firstLineChars="0"/>
              <w:jc w:val="center"/>
              <w:textAlignment w:val="auto"/>
              <w:rPr>
                <w:sz w:val="21"/>
                <w:szCs w:val="21"/>
              </w:rPr>
            </w:pPr>
            <w:r>
              <w:rPr>
                <w:sz w:val="21"/>
                <w:szCs w:val="21"/>
              </w:rPr>
              <w:t>200</w:t>
            </w:r>
          </w:p>
        </w:tc>
        <w:tc>
          <w:tcPr>
            <w:tcW w:w="624" w:type="pct"/>
            <w:tcBorders>
              <w:tl2br w:val="nil"/>
              <w:tr2bl w:val="nil"/>
            </w:tcBorders>
            <w:vAlign w:val="center"/>
          </w:tcPr>
          <w:p w14:paraId="69CF2A0A">
            <w:pPr>
              <w:keepNext w:val="0"/>
              <w:keepLines w:val="0"/>
              <w:pageBreakBefore w:val="0"/>
              <w:kinsoku/>
              <w:wordWrap/>
              <w:overflowPunct/>
              <w:autoSpaceDE/>
              <w:autoSpaceDN/>
              <w:bidi w:val="0"/>
              <w:adjustRightInd w:val="0"/>
              <w:snapToGrid w:val="0"/>
              <w:spacing w:line="240" w:lineRule="auto"/>
              <w:ind w:firstLine="0" w:firstLineChars="0"/>
              <w:jc w:val="center"/>
              <w:textAlignment w:val="auto"/>
              <w:rPr>
                <w:sz w:val="21"/>
                <w:szCs w:val="21"/>
              </w:rPr>
            </w:pPr>
            <w:r>
              <w:rPr>
                <w:sz w:val="21"/>
                <w:szCs w:val="21"/>
              </w:rPr>
              <w:t>—</w:t>
            </w:r>
          </w:p>
        </w:tc>
        <w:tc>
          <w:tcPr>
            <w:tcW w:w="624" w:type="pct"/>
            <w:tcBorders>
              <w:tl2br w:val="nil"/>
              <w:tr2bl w:val="nil"/>
            </w:tcBorders>
            <w:vAlign w:val="center"/>
          </w:tcPr>
          <w:p w14:paraId="71D61404">
            <w:pPr>
              <w:keepNext w:val="0"/>
              <w:keepLines w:val="0"/>
              <w:pageBreakBefore w:val="0"/>
              <w:kinsoku/>
              <w:wordWrap/>
              <w:overflowPunct/>
              <w:autoSpaceDE/>
              <w:autoSpaceDN/>
              <w:bidi w:val="0"/>
              <w:adjustRightInd w:val="0"/>
              <w:snapToGrid w:val="0"/>
              <w:spacing w:line="240" w:lineRule="auto"/>
              <w:ind w:firstLine="0" w:firstLineChars="0"/>
              <w:jc w:val="center"/>
              <w:textAlignment w:val="auto"/>
              <w:rPr>
                <w:sz w:val="21"/>
                <w:szCs w:val="21"/>
              </w:rPr>
            </w:pPr>
            <w:r>
              <w:rPr>
                <w:sz w:val="21"/>
                <w:szCs w:val="21"/>
              </w:rPr>
              <w:t>—</w:t>
            </w:r>
          </w:p>
        </w:tc>
        <w:tc>
          <w:tcPr>
            <w:tcW w:w="705" w:type="pct"/>
            <w:tcBorders>
              <w:tl2br w:val="nil"/>
              <w:tr2bl w:val="nil"/>
            </w:tcBorders>
            <w:vAlign w:val="center"/>
          </w:tcPr>
          <w:p w14:paraId="2BEBD43F">
            <w:pPr>
              <w:keepNext w:val="0"/>
              <w:keepLines w:val="0"/>
              <w:pageBreakBefore w:val="0"/>
              <w:kinsoku/>
              <w:wordWrap/>
              <w:overflowPunct/>
              <w:autoSpaceDE/>
              <w:autoSpaceDN/>
              <w:bidi w:val="0"/>
              <w:adjustRightInd w:val="0"/>
              <w:snapToGrid w:val="0"/>
              <w:spacing w:line="240" w:lineRule="auto"/>
              <w:ind w:firstLine="0" w:firstLineChars="0"/>
              <w:jc w:val="center"/>
              <w:textAlignment w:val="auto"/>
              <w:rPr>
                <w:sz w:val="21"/>
                <w:szCs w:val="21"/>
              </w:rPr>
            </w:pPr>
            <w:r>
              <w:rPr>
                <w:sz w:val="21"/>
                <w:szCs w:val="21"/>
              </w:rPr>
              <w:t>160</w:t>
            </w:r>
          </w:p>
        </w:tc>
        <w:tc>
          <w:tcPr>
            <w:tcW w:w="522" w:type="pct"/>
            <w:tcBorders>
              <w:tl2br w:val="nil"/>
              <w:tr2bl w:val="nil"/>
            </w:tcBorders>
            <w:vAlign w:val="center"/>
          </w:tcPr>
          <w:p w14:paraId="1E9865A8">
            <w:pPr>
              <w:keepNext w:val="0"/>
              <w:keepLines w:val="0"/>
              <w:pageBreakBefore w:val="0"/>
              <w:kinsoku/>
              <w:wordWrap/>
              <w:overflowPunct/>
              <w:autoSpaceDE/>
              <w:autoSpaceDN/>
              <w:bidi w:val="0"/>
              <w:adjustRightInd w:val="0"/>
              <w:snapToGrid w:val="0"/>
              <w:spacing w:line="240" w:lineRule="auto"/>
              <w:ind w:firstLine="0" w:firstLineChars="0"/>
              <w:jc w:val="center"/>
              <w:textAlignment w:val="auto"/>
              <w:rPr>
                <w:sz w:val="21"/>
                <w:szCs w:val="21"/>
              </w:rPr>
            </w:pPr>
            <w:r>
              <w:rPr>
                <w:sz w:val="21"/>
                <w:szCs w:val="21"/>
              </w:rPr>
              <w:t>μg/m</w:t>
            </w:r>
            <w:r>
              <w:rPr>
                <w:sz w:val="21"/>
                <w:szCs w:val="21"/>
                <w:vertAlign w:val="superscript"/>
              </w:rPr>
              <w:t>3</w:t>
            </w:r>
          </w:p>
        </w:tc>
        <w:tc>
          <w:tcPr>
            <w:tcW w:w="0" w:type="auto"/>
            <w:vMerge w:val="continue"/>
            <w:tcBorders>
              <w:tl2br w:val="nil"/>
              <w:tr2bl w:val="nil"/>
            </w:tcBorders>
            <w:vAlign w:val="center"/>
          </w:tcPr>
          <w:p w14:paraId="50208080">
            <w:pPr>
              <w:keepNext w:val="0"/>
              <w:keepLines w:val="0"/>
              <w:pageBreakBefore w:val="0"/>
              <w:widowControl/>
              <w:kinsoku/>
              <w:wordWrap/>
              <w:overflowPunct/>
              <w:autoSpaceDE/>
              <w:autoSpaceDN/>
              <w:bidi w:val="0"/>
              <w:spacing w:line="240" w:lineRule="auto"/>
              <w:ind w:firstLine="0" w:firstLineChars="0"/>
              <w:jc w:val="left"/>
              <w:textAlignment w:val="auto"/>
              <w:rPr>
                <w:sz w:val="21"/>
                <w:szCs w:val="21"/>
              </w:rPr>
            </w:pPr>
          </w:p>
        </w:tc>
      </w:tr>
      <w:tr w14:paraId="2083172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272" w:type="pct"/>
            <w:tcBorders>
              <w:tl2br w:val="nil"/>
              <w:tr2bl w:val="nil"/>
            </w:tcBorders>
            <w:vAlign w:val="center"/>
          </w:tcPr>
          <w:p w14:paraId="1D0850B2">
            <w:pPr>
              <w:pStyle w:val="320"/>
              <w:keepNext w:val="0"/>
              <w:keepLines w:val="0"/>
              <w:pageBreakBefore w:val="0"/>
              <w:kinsoku/>
              <w:wordWrap/>
              <w:overflowPunct/>
              <w:autoSpaceDE/>
              <w:autoSpaceDN/>
              <w:bidi w:val="0"/>
              <w:snapToGrid w:val="0"/>
              <w:spacing w:line="240" w:lineRule="auto"/>
              <w:ind w:firstLine="0" w:firstLineChars="0"/>
              <w:jc w:val="center"/>
              <w:textAlignment w:val="auto"/>
              <w:rPr>
                <w:rFonts w:ascii="Times New Roman" w:hAnsi="Times New Roman"/>
                <w:sz w:val="21"/>
              </w:rPr>
            </w:pPr>
            <w:r>
              <w:rPr>
                <w:rFonts w:ascii="Times New Roman" w:hAnsi="Times New Roman"/>
                <w:sz w:val="21"/>
              </w:rPr>
              <w:t>7</w:t>
            </w:r>
          </w:p>
        </w:tc>
        <w:tc>
          <w:tcPr>
            <w:tcW w:w="452" w:type="pct"/>
            <w:tcBorders>
              <w:tl2br w:val="nil"/>
              <w:tr2bl w:val="nil"/>
            </w:tcBorders>
            <w:vAlign w:val="center"/>
          </w:tcPr>
          <w:p w14:paraId="7B914EBF">
            <w:pPr>
              <w:pStyle w:val="320"/>
              <w:keepNext w:val="0"/>
              <w:keepLines w:val="0"/>
              <w:pageBreakBefore w:val="0"/>
              <w:kinsoku/>
              <w:wordWrap/>
              <w:overflowPunct/>
              <w:autoSpaceDE/>
              <w:autoSpaceDN/>
              <w:bidi w:val="0"/>
              <w:snapToGrid w:val="0"/>
              <w:spacing w:line="240" w:lineRule="auto"/>
              <w:ind w:firstLine="0" w:firstLineChars="0"/>
              <w:jc w:val="center"/>
              <w:textAlignment w:val="auto"/>
              <w:rPr>
                <w:rFonts w:hint="default" w:ascii="Times New Roman" w:hAnsi="Times New Roman" w:eastAsia="宋体"/>
                <w:sz w:val="21"/>
                <w:lang w:val="en-US" w:eastAsia="zh-CN"/>
              </w:rPr>
            </w:pPr>
            <w:r>
              <w:rPr>
                <w:rFonts w:hint="eastAsia" w:ascii="Times New Roman" w:hAnsi="Times New Roman"/>
                <w:sz w:val="21"/>
                <w:lang w:val="en-US" w:eastAsia="zh-CN"/>
              </w:rPr>
              <w:t>TVOCs</w:t>
            </w:r>
          </w:p>
        </w:tc>
        <w:tc>
          <w:tcPr>
            <w:tcW w:w="623" w:type="pct"/>
            <w:tcBorders>
              <w:tl2br w:val="nil"/>
              <w:tr2bl w:val="nil"/>
            </w:tcBorders>
            <w:vAlign w:val="center"/>
          </w:tcPr>
          <w:p w14:paraId="12C4E32B">
            <w:pPr>
              <w:pStyle w:val="320"/>
              <w:keepNext w:val="0"/>
              <w:keepLines w:val="0"/>
              <w:pageBreakBefore w:val="0"/>
              <w:kinsoku/>
              <w:wordWrap/>
              <w:overflowPunct/>
              <w:autoSpaceDE/>
              <w:autoSpaceDN/>
              <w:bidi w:val="0"/>
              <w:snapToGrid w:val="0"/>
              <w:spacing w:line="240" w:lineRule="auto"/>
              <w:ind w:firstLine="0" w:firstLineChars="0"/>
              <w:jc w:val="center"/>
              <w:textAlignment w:val="auto"/>
              <w:rPr>
                <w:rFonts w:ascii="Times New Roman" w:hAnsi="Times New Roman"/>
                <w:sz w:val="21"/>
              </w:rPr>
            </w:pPr>
            <w:r>
              <w:rPr>
                <w:rFonts w:ascii="Times New Roman" w:hAnsi="Times New Roman"/>
                <w:sz w:val="21"/>
              </w:rPr>
              <w:t>—</w:t>
            </w:r>
          </w:p>
        </w:tc>
        <w:tc>
          <w:tcPr>
            <w:tcW w:w="624" w:type="pct"/>
            <w:tcBorders>
              <w:tl2br w:val="nil"/>
              <w:tr2bl w:val="nil"/>
            </w:tcBorders>
            <w:vAlign w:val="center"/>
          </w:tcPr>
          <w:p w14:paraId="316CBC49">
            <w:pPr>
              <w:pStyle w:val="320"/>
              <w:keepNext w:val="0"/>
              <w:keepLines w:val="0"/>
              <w:pageBreakBefore w:val="0"/>
              <w:kinsoku/>
              <w:wordWrap/>
              <w:overflowPunct/>
              <w:autoSpaceDE/>
              <w:autoSpaceDN/>
              <w:bidi w:val="0"/>
              <w:snapToGrid w:val="0"/>
              <w:spacing w:line="240" w:lineRule="auto"/>
              <w:ind w:firstLine="0" w:firstLineChars="0"/>
              <w:jc w:val="center"/>
              <w:textAlignment w:val="auto"/>
              <w:rPr>
                <w:rFonts w:ascii="Times New Roman" w:hAnsi="Times New Roman"/>
                <w:sz w:val="21"/>
              </w:rPr>
            </w:pPr>
            <w:r>
              <w:rPr>
                <w:rFonts w:ascii="Times New Roman" w:hAnsi="Times New Roman"/>
                <w:sz w:val="21"/>
              </w:rPr>
              <w:t>—</w:t>
            </w:r>
          </w:p>
        </w:tc>
        <w:tc>
          <w:tcPr>
            <w:tcW w:w="624" w:type="pct"/>
            <w:tcBorders>
              <w:tl2br w:val="nil"/>
              <w:tr2bl w:val="nil"/>
            </w:tcBorders>
            <w:vAlign w:val="center"/>
          </w:tcPr>
          <w:p w14:paraId="1F77BD1E">
            <w:pPr>
              <w:pStyle w:val="320"/>
              <w:keepNext w:val="0"/>
              <w:keepLines w:val="0"/>
              <w:pageBreakBefore w:val="0"/>
              <w:kinsoku/>
              <w:wordWrap/>
              <w:overflowPunct/>
              <w:autoSpaceDE/>
              <w:autoSpaceDN/>
              <w:bidi w:val="0"/>
              <w:snapToGrid w:val="0"/>
              <w:spacing w:line="240" w:lineRule="auto"/>
              <w:ind w:firstLine="0" w:firstLineChars="0"/>
              <w:jc w:val="center"/>
              <w:textAlignment w:val="auto"/>
              <w:rPr>
                <w:rFonts w:ascii="Times New Roman" w:hAnsi="Times New Roman"/>
                <w:sz w:val="21"/>
              </w:rPr>
            </w:pPr>
            <w:r>
              <w:rPr>
                <w:rFonts w:ascii="Times New Roman" w:hAnsi="Times New Roman"/>
                <w:sz w:val="21"/>
              </w:rPr>
              <w:t>—</w:t>
            </w:r>
          </w:p>
        </w:tc>
        <w:tc>
          <w:tcPr>
            <w:tcW w:w="705" w:type="pct"/>
            <w:tcBorders>
              <w:tl2br w:val="nil"/>
              <w:tr2bl w:val="nil"/>
            </w:tcBorders>
            <w:vAlign w:val="center"/>
          </w:tcPr>
          <w:p w14:paraId="63B11FD7">
            <w:pPr>
              <w:pStyle w:val="320"/>
              <w:keepNext w:val="0"/>
              <w:keepLines w:val="0"/>
              <w:pageBreakBefore w:val="0"/>
              <w:kinsoku/>
              <w:wordWrap/>
              <w:overflowPunct/>
              <w:autoSpaceDE/>
              <w:autoSpaceDN/>
              <w:bidi w:val="0"/>
              <w:snapToGrid w:val="0"/>
              <w:spacing w:line="240" w:lineRule="auto"/>
              <w:ind w:firstLine="0" w:firstLineChars="0"/>
              <w:jc w:val="center"/>
              <w:textAlignment w:val="auto"/>
              <w:rPr>
                <w:rFonts w:hint="default" w:ascii="Times New Roman" w:hAnsi="Times New Roman" w:eastAsia="宋体"/>
                <w:sz w:val="21"/>
                <w:lang w:val="en-US" w:eastAsia="zh-CN"/>
              </w:rPr>
            </w:pPr>
            <w:r>
              <w:rPr>
                <w:rFonts w:hint="eastAsia" w:ascii="Times New Roman" w:hAnsi="Times New Roman"/>
                <w:sz w:val="21"/>
                <w:lang w:val="en-US" w:eastAsia="zh-CN"/>
              </w:rPr>
              <w:t>600</w:t>
            </w:r>
          </w:p>
        </w:tc>
        <w:tc>
          <w:tcPr>
            <w:tcW w:w="0" w:type="auto"/>
            <w:tcBorders>
              <w:tl2br w:val="nil"/>
              <w:tr2bl w:val="nil"/>
            </w:tcBorders>
            <w:vAlign w:val="center"/>
          </w:tcPr>
          <w:p w14:paraId="09A0EDCB">
            <w:pPr>
              <w:pStyle w:val="320"/>
              <w:keepNext w:val="0"/>
              <w:keepLines w:val="0"/>
              <w:pageBreakBefore w:val="0"/>
              <w:kinsoku/>
              <w:wordWrap/>
              <w:overflowPunct/>
              <w:autoSpaceDE/>
              <w:autoSpaceDN/>
              <w:bidi w:val="0"/>
              <w:snapToGrid w:val="0"/>
              <w:spacing w:line="240" w:lineRule="auto"/>
              <w:ind w:firstLine="0" w:firstLineChars="0"/>
              <w:jc w:val="center"/>
              <w:textAlignment w:val="auto"/>
              <w:rPr>
                <w:rFonts w:ascii="Times New Roman" w:hAnsi="Times New Roman"/>
                <w:sz w:val="21"/>
              </w:rPr>
            </w:pPr>
            <w:r>
              <w:rPr>
                <w:rFonts w:ascii="Times New Roman" w:hAnsi="Times New Roman"/>
                <w:sz w:val="21"/>
              </w:rPr>
              <w:t>μg/m</w:t>
            </w:r>
            <w:r>
              <w:rPr>
                <w:rFonts w:ascii="Times New Roman" w:hAnsi="Times New Roman"/>
                <w:sz w:val="21"/>
                <w:vertAlign w:val="superscript"/>
              </w:rPr>
              <w:t>3</w:t>
            </w:r>
          </w:p>
        </w:tc>
        <w:tc>
          <w:tcPr>
            <w:tcW w:w="0" w:type="auto"/>
            <w:tcBorders>
              <w:tl2br w:val="nil"/>
              <w:tr2bl w:val="nil"/>
            </w:tcBorders>
            <w:vAlign w:val="center"/>
          </w:tcPr>
          <w:p w14:paraId="224961E2">
            <w:pPr>
              <w:pStyle w:val="320"/>
              <w:keepNext w:val="0"/>
              <w:keepLines w:val="0"/>
              <w:pageBreakBefore w:val="0"/>
              <w:kinsoku/>
              <w:wordWrap/>
              <w:overflowPunct/>
              <w:autoSpaceDE/>
              <w:autoSpaceDN/>
              <w:bidi w:val="0"/>
              <w:snapToGrid w:val="0"/>
              <w:spacing w:line="240" w:lineRule="auto"/>
              <w:ind w:firstLine="0" w:firstLineChars="0"/>
              <w:jc w:val="center"/>
              <w:textAlignment w:val="auto"/>
              <w:rPr>
                <w:rFonts w:hint="eastAsia" w:ascii="Times New Roman" w:hAnsi="Times New Roman" w:eastAsia="宋体"/>
                <w:sz w:val="21"/>
                <w:lang w:eastAsia="zh-CN"/>
              </w:rPr>
            </w:pPr>
            <w:r>
              <w:rPr>
                <w:rFonts w:ascii="Times New Roman" w:hAnsi="Times New Roman"/>
                <w:sz w:val="21"/>
              </w:rPr>
              <w:t>《环境影响评价技术导则大气环境》（HJ2.2-2018）附录D</w:t>
            </w:r>
          </w:p>
        </w:tc>
      </w:tr>
    </w:tbl>
    <w:p w14:paraId="2205F0CC">
      <w:pPr>
        <w:bidi w:val="0"/>
      </w:pPr>
      <w:r>
        <w:t>（2）地表水环境质量标准</w:t>
      </w:r>
    </w:p>
    <w:p w14:paraId="4CD2D137">
      <w:pPr>
        <w:bidi w:val="0"/>
      </w:pPr>
      <w:r>
        <w:t>本项目所在</w:t>
      </w:r>
      <w:r>
        <w:rPr>
          <w:rFonts w:hint="eastAsia"/>
          <w:lang w:eastAsia="zh-CN"/>
        </w:rPr>
        <w:t>区域水体</w:t>
      </w:r>
      <w:r>
        <w:t>的</w:t>
      </w:r>
      <w:r>
        <w:rPr>
          <w:rFonts w:hint="eastAsia"/>
          <w:lang w:eastAsia="zh-CN"/>
        </w:rPr>
        <w:t>太子</w:t>
      </w:r>
      <w:r>
        <w:t>河执行《地表水环境质量标准》（GB3838-2002）中</w:t>
      </w:r>
      <w:r>
        <w:rPr>
          <w:rFonts w:hint="eastAsia"/>
        </w:rPr>
        <w:t>Ⅳ</w:t>
      </w:r>
      <w:r>
        <w:t>类标准，详见下表。</w:t>
      </w:r>
    </w:p>
    <w:p w14:paraId="5E5DF282">
      <w:pPr>
        <w:pStyle w:val="293"/>
        <w:adjustRightInd w:val="0"/>
        <w:snapToGrid w:val="0"/>
        <w:ind w:left="420" w:leftChars="175" w:firstLine="103" w:firstLineChars="49"/>
        <w:jc w:val="center"/>
        <w:rPr>
          <w:b/>
          <w:sz w:val="21"/>
          <w:szCs w:val="21"/>
        </w:rPr>
      </w:pPr>
      <w:r>
        <w:rPr>
          <w:b/>
          <w:sz w:val="21"/>
          <w:szCs w:val="21"/>
        </w:rPr>
        <w:t>表</w:t>
      </w:r>
      <w:r>
        <w:rPr>
          <w:rFonts w:hint="eastAsia"/>
          <w:b/>
          <w:sz w:val="21"/>
          <w:szCs w:val="21"/>
          <w:lang w:val="en-US" w:eastAsia="zh-CN"/>
        </w:rPr>
        <w:t>2-4</w:t>
      </w:r>
      <w:r>
        <w:rPr>
          <w:b/>
          <w:sz w:val="21"/>
          <w:szCs w:val="21"/>
        </w:rPr>
        <w:t>地表水环境质量标准  单位：mg/L（pH除外）</w:t>
      </w:r>
    </w:p>
    <w:tbl>
      <w:tblPr>
        <w:tblStyle w:val="52"/>
        <w:tblW w:w="8658" w:type="dxa"/>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543"/>
        <w:gridCol w:w="2351"/>
        <w:gridCol w:w="1320"/>
        <w:gridCol w:w="1119"/>
        <w:gridCol w:w="1111"/>
        <w:gridCol w:w="1107"/>
        <w:gridCol w:w="1107"/>
      </w:tblGrid>
      <w:tr w14:paraId="2D62F06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543" w:type="dxa"/>
            <w:tcBorders>
              <w:tl2br w:val="nil"/>
              <w:tr2bl w:val="nil"/>
            </w:tcBorders>
            <w:vAlign w:val="center"/>
          </w:tcPr>
          <w:p w14:paraId="2843BEC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序号</w:t>
            </w:r>
          </w:p>
        </w:tc>
        <w:tc>
          <w:tcPr>
            <w:tcW w:w="2351" w:type="dxa"/>
            <w:tcBorders>
              <w:tl2br w:val="nil"/>
              <w:tr2bl w:val="nil"/>
            </w:tcBorders>
            <w:vAlign w:val="center"/>
          </w:tcPr>
          <w:p w14:paraId="6326E411">
            <w:pPr>
              <w:keepNext w:val="0"/>
              <w:keepLines w:val="0"/>
              <w:pageBreakBefore w:val="0"/>
              <w:widowControl w:val="0"/>
              <w:kinsoku/>
              <w:wordWrap/>
              <w:overflowPunct/>
              <w:topLinePunct w:val="0"/>
              <w:autoSpaceDE/>
              <w:autoSpaceDN/>
              <w:bidi w:val="0"/>
              <w:adjustRightInd/>
              <w:snapToGrid/>
              <w:spacing w:line="240" w:lineRule="auto"/>
              <w:ind w:firstLine="0" w:firstLineChars="0"/>
              <w:jc w:val="right"/>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mc:AlternateContent>
                <mc:Choice Requires="wps">
                  <w:drawing>
                    <wp:anchor distT="0" distB="0" distL="114300" distR="114300" simplePos="0" relativeHeight="251659264" behindDoc="0" locked="0" layoutInCell="1" allowOverlap="1">
                      <wp:simplePos x="0" y="0"/>
                      <wp:positionH relativeFrom="column">
                        <wp:posOffset>621665</wp:posOffset>
                      </wp:positionH>
                      <wp:positionV relativeFrom="paragraph">
                        <wp:posOffset>-13335</wp:posOffset>
                      </wp:positionV>
                      <wp:extent cx="714375" cy="514985"/>
                      <wp:effectExtent l="8890" t="13335" r="10160" b="5080"/>
                      <wp:wrapNone/>
                      <wp:docPr id="148" name="直线 12217"/>
                      <wp:cNvGraphicFramePr/>
                      <a:graphic xmlns:a="http://schemas.openxmlformats.org/drawingml/2006/main">
                        <a:graphicData uri="http://schemas.microsoft.com/office/word/2010/wordprocessingShape">
                          <wps:wsp>
                            <wps:cNvCnPr>
                              <a:cxnSpLocks noChangeShapeType="1"/>
                            </wps:cNvCnPr>
                            <wps:spPr bwMode="auto">
                              <a:xfrm>
                                <a:off x="0" y="0"/>
                                <a:ext cx="714375" cy="514985"/>
                              </a:xfrm>
                              <a:prstGeom prst="line">
                                <a:avLst/>
                              </a:prstGeom>
                              <a:noFill/>
                              <a:ln w="9525">
                                <a:solidFill>
                                  <a:srgbClr val="000000"/>
                                </a:solidFill>
                                <a:round/>
                              </a:ln>
                            </wps:spPr>
                            <wps:bodyPr/>
                          </wps:wsp>
                        </a:graphicData>
                      </a:graphic>
                    </wp:anchor>
                  </w:drawing>
                </mc:Choice>
                <mc:Fallback>
                  <w:pict>
                    <v:line id="直线 12217" o:spid="_x0000_s1026" o:spt="20" style="position:absolute;left:0pt;margin-left:48.95pt;margin-top:-1.05pt;height:40.55pt;width:56.25pt;z-index:251659264;mso-width-relative:page;mso-height-relative:page;" filled="f" stroked="t" coordsize="21600,21600" o:gfxdata="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ZUjTd9cAAAAIAQAA&#10;DwAAAAAAAAABACAAAAAiAAAAZHJzL2Rvd25yZXYueG1sUEsBAhQAFAAAAAgAh07iQGYO0ZnhAQAA&#10;qwMAAA4AAAAAAAAAAQAgAAAAJgEAAGRycy9lMm9Eb2MueG1sUEsFBgAAAAAGAAYAWQEAAHkFAAAA&#10;AA==&#10;">
                      <v:fill on="f" focussize="0,0"/>
                      <v:stroke color="#000000" joinstyle="round"/>
                      <v:imagedata o:title=""/>
                      <o:lock v:ext="edit" aspectratio="f"/>
                    </v:line>
                  </w:pict>
                </mc:Fallback>
              </mc:AlternateContent>
            </w:r>
            <w:r>
              <w:rPr>
                <w:rFonts w:hint="eastAsia" w:ascii="宋体" w:hAnsi="宋体" w:eastAsia="宋体" w:cs="宋体"/>
                <w:b w:val="0"/>
                <w:bCs w:val="0"/>
                <w:sz w:val="21"/>
                <w:szCs w:val="21"/>
              </w:rPr>
              <w:t>分类</w:t>
            </w:r>
          </w:p>
          <w:p w14:paraId="3BA6B97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mc:AlternateContent>
                <mc:Choice Requires="wps">
                  <w:drawing>
                    <wp:anchor distT="0" distB="0" distL="114300" distR="114300" simplePos="0" relativeHeight="251660288" behindDoc="0" locked="0" layoutInCell="1" allowOverlap="1">
                      <wp:simplePos x="0" y="0"/>
                      <wp:positionH relativeFrom="column">
                        <wp:posOffset>-66040</wp:posOffset>
                      </wp:positionH>
                      <wp:positionV relativeFrom="paragraph">
                        <wp:posOffset>140335</wp:posOffset>
                      </wp:positionV>
                      <wp:extent cx="1397000" cy="200025"/>
                      <wp:effectExtent l="6985" t="6985" r="5715" b="12065"/>
                      <wp:wrapNone/>
                      <wp:docPr id="147" name="直线 12218"/>
                      <wp:cNvGraphicFramePr/>
                      <a:graphic xmlns:a="http://schemas.openxmlformats.org/drawingml/2006/main">
                        <a:graphicData uri="http://schemas.microsoft.com/office/word/2010/wordprocessingShape">
                          <wps:wsp>
                            <wps:cNvCnPr>
                              <a:cxnSpLocks noChangeShapeType="1"/>
                            </wps:cNvCnPr>
                            <wps:spPr bwMode="auto">
                              <a:xfrm>
                                <a:off x="0" y="0"/>
                                <a:ext cx="1397000" cy="200025"/>
                              </a:xfrm>
                              <a:prstGeom prst="line">
                                <a:avLst/>
                              </a:prstGeom>
                              <a:noFill/>
                              <a:ln w="9525">
                                <a:solidFill>
                                  <a:srgbClr val="000000"/>
                                </a:solidFill>
                                <a:round/>
                              </a:ln>
                            </wps:spPr>
                            <wps:bodyPr/>
                          </wps:wsp>
                        </a:graphicData>
                      </a:graphic>
                    </wp:anchor>
                  </w:drawing>
                </mc:Choice>
                <mc:Fallback>
                  <w:pict>
                    <v:line id="直线 12218" o:spid="_x0000_s1026" o:spt="20" style="position:absolute;left:0pt;margin-left:-5.2pt;margin-top:11.05pt;height:15.75pt;width:110pt;z-index:251660288;mso-width-relative:page;mso-height-relative:page;" filled="f" stroked="t" coordsize="21600,21600" o:gfxdata="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DWfPCu2AAAAAkBAAAP&#10;AAAAAAAAAAEAIAAAACIAAABkcnMvZG93bnJldi54bWxQSwECFAAUAAAACACHTuJAd/+XR98BAACs&#10;AwAADgAAAAAAAAABACAAAAAnAQAAZHJzL2Uyb0RvYy54bWxQSwUGAAAAAAYABgBZAQAAeAUAAAAA&#10;">
                      <v:fill on="f" focussize="0,0"/>
                      <v:stroke color="#000000" joinstyle="round"/>
                      <v:imagedata o:title=""/>
                      <o:lock v:ext="edit" aspectratio="f"/>
                    </v:line>
                  </w:pict>
                </mc:Fallback>
              </mc:AlternateContent>
            </w:r>
            <w:r>
              <w:rPr>
                <w:rFonts w:hint="eastAsia" w:ascii="宋体" w:hAnsi="宋体" w:eastAsia="宋体" w:cs="宋体"/>
                <w:b w:val="0"/>
                <w:bCs w:val="0"/>
                <w:sz w:val="21"/>
                <w:szCs w:val="21"/>
              </w:rPr>
              <w:t>标准值</w:t>
            </w:r>
          </w:p>
          <w:p w14:paraId="7D1172DF">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项目</w:t>
            </w:r>
          </w:p>
        </w:tc>
        <w:tc>
          <w:tcPr>
            <w:tcW w:w="1320" w:type="dxa"/>
            <w:tcBorders>
              <w:tl2br w:val="nil"/>
              <w:tr2bl w:val="nil"/>
            </w:tcBorders>
            <w:vAlign w:val="center"/>
          </w:tcPr>
          <w:p w14:paraId="600CB92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Ⅰ类</w:t>
            </w:r>
          </w:p>
        </w:tc>
        <w:tc>
          <w:tcPr>
            <w:tcW w:w="1119" w:type="dxa"/>
            <w:tcBorders>
              <w:tl2br w:val="nil"/>
              <w:tr2bl w:val="nil"/>
            </w:tcBorders>
            <w:vAlign w:val="center"/>
          </w:tcPr>
          <w:p w14:paraId="1980D29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Ⅱ类</w:t>
            </w:r>
          </w:p>
        </w:tc>
        <w:tc>
          <w:tcPr>
            <w:tcW w:w="1111" w:type="dxa"/>
            <w:tcBorders>
              <w:tl2br w:val="nil"/>
              <w:tr2bl w:val="nil"/>
            </w:tcBorders>
            <w:vAlign w:val="center"/>
          </w:tcPr>
          <w:p w14:paraId="445A1E3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Ⅲ类</w:t>
            </w:r>
          </w:p>
        </w:tc>
        <w:tc>
          <w:tcPr>
            <w:tcW w:w="1107" w:type="dxa"/>
            <w:tcBorders>
              <w:tl2br w:val="nil"/>
              <w:tr2bl w:val="nil"/>
            </w:tcBorders>
            <w:vAlign w:val="center"/>
          </w:tcPr>
          <w:p w14:paraId="7D2436B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Ⅳ类</w:t>
            </w:r>
          </w:p>
        </w:tc>
        <w:tc>
          <w:tcPr>
            <w:tcW w:w="1107" w:type="dxa"/>
            <w:tcBorders>
              <w:tl2br w:val="nil"/>
              <w:tr2bl w:val="nil"/>
            </w:tcBorders>
            <w:vAlign w:val="center"/>
          </w:tcPr>
          <w:p w14:paraId="12E1091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Ⅴ类</w:t>
            </w:r>
          </w:p>
        </w:tc>
      </w:tr>
      <w:tr w14:paraId="38DF86F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543" w:type="dxa"/>
            <w:tcBorders>
              <w:tl2br w:val="nil"/>
              <w:tr2bl w:val="nil"/>
            </w:tcBorders>
            <w:vAlign w:val="center"/>
          </w:tcPr>
          <w:p w14:paraId="3B7E5F9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1</w:t>
            </w:r>
          </w:p>
        </w:tc>
        <w:tc>
          <w:tcPr>
            <w:tcW w:w="2351" w:type="dxa"/>
            <w:tcBorders>
              <w:tl2br w:val="nil"/>
              <w:tr2bl w:val="nil"/>
            </w:tcBorders>
            <w:vAlign w:val="center"/>
          </w:tcPr>
          <w:p w14:paraId="26D37C96">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pH（无量纲）</w:t>
            </w:r>
          </w:p>
        </w:tc>
        <w:tc>
          <w:tcPr>
            <w:tcW w:w="5764" w:type="dxa"/>
            <w:gridSpan w:val="5"/>
            <w:tcBorders>
              <w:tl2br w:val="nil"/>
              <w:tr2bl w:val="nil"/>
            </w:tcBorders>
            <w:vAlign w:val="center"/>
          </w:tcPr>
          <w:p w14:paraId="48910C3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6~9</w:t>
            </w:r>
          </w:p>
        </w:tc>
      </w:tr>
      <w:tr w14:paraId="32C1AFF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543" w:type="dxa"/>
            <w:tcBorders>
              <w:tl2br w:val="nil"/>
              <w:tr2bl w:val="nil"/>
            </w:tcBorders>
            <w:vAlign w:val="center"/>
          </w:tcPr>
          <w:p w14:paraId="1B99D53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2</w:t>
            </w:r>
          </w:p>
        </w:tc>
        <w:tc>
          <w:tcPr>
            <w:tcW w:w="2351" w:type="dxa"/>
            <w:tcBorders>
              <w:tl2br w:val="nil"/>
              <w:tr2bl w:val="nil"/>
            </w:tcBorders>
            <w:vAlign w:val="center"/>
          </w:tcPr>
          <w:p w14:paraId="3FD370C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化学需氧量（COD）≤</w:t>
            </w:r>
          </w:p>
        </w:tc>
        <w:tc>
          <w:tcPr>
            <w:tcW w:w="1320" w:type="dxa"/>
            <w:tcBorders>
              <w:tl2br w:val="nil"/>
              <w:tr2bl w:val="nil"/>
            </w:tcBorders>
            <w:vAlign w:val="center"/>
          </w:tcPr>
          <w:p w14:paraId="47DDB6D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15</w:t>
            </w:r>
          </w:p>
        </w:tc>
        <w:tc>
          <w:tcPr>
            <w:tcW w:w="1119" w:type="dxa"/>
            <w:tcBorders>
              <w:tl2br w:val="nil"/>
              <w:tr2bl w:val="nil"/>
            </w:tcBorders>
            <w:vAlign w:val="center"/>
          </w:tcPr>
          <w:p w14:paraId="79BF1E4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15</w:t>
            </w:r>
          </w:p>
        </w:tc>
        <w:tc>
          <w:tcPr>
            <w:tcW w:w="1111" w:type="dxa"/>
            <w:tcBorders>
              <w:tl2br w:val="nil"/>
              <w:tr2bl w:val="nil"/>
            </w:tcBorders>
            <w:vAlign w:val="center"/>
          </w:tcPr>
          <w:p w14:paraId="030A6F7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20</w:t>
            </w:r>
          </w:p>
        </w:tc>
        <w:tc>
          <w:tcPr>
            <w:tcW w:w="1107" w:type="dxa"/>
            <w:tcBorders>
              <w:tl2br w:val="nil"/>
              <w:tr2bl w:val="nil"/>
            </w:tcBorders>
            <w:vAlign w:val="center"/>
          </w:tcPr>
          <w:p w14:paraId="0B22AB8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30</w:t>
            </w:r>
          </w:p>
        </w:tc>
        <w:tc>
          <w:tcPr>
            <w:tcW w:w="1107" w:type="dxa"/>
            <w:tcBorders>
              <w:tl2br w:val="nil"/>
              <w:tr2bl w:val="nil"/>
            </w:tcBorders>
            <w:vAlign w:val="center"/>
          </w:tcPr>
          <w:p w14:paraId="1203B46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40</w:t>
            </w:r>
          </w:p>
        </w:tc>
      </w:tr>
      <w:tr w14:paraId="5EF4A79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543" w:type="dxa"/>
            <w:tcBorders>
              <w:tl2br w:val="nil"/>
              <w:tr2bl w:val="nil"/>
            </w:tcBorders>
            <w:vAlign w:val="center"/>
          </w:tcPr>
          <w:p w14:paraId="425CB38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3</w:t>
            </w:r>
          </w:p>
        </w:tc>
        <w:tc>
          <w:tcPr>
            <w:tcW w:w="2351" w:type="dxa"/>
            <w:tcBorders>
              <w:tl2br w:val="nil"/>
              <w:tr2bl w:val="nil"/>
            </w:tcBorders>
            <w:vAlign w:val="center"/>
          </w:tcPr>
          <w:p w14:paraId="4401243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氨氮（NH</w:t>
            </w:r>
            <w:r>
              <w:rPr>
                <w:rFonts w:hint="eastAsia" w:ascii="宋体" w:hAnsi="宋体" w:eastAsia="宋体" w:cs="宋体"/>
                <w:b w:val="0"/>
                <w:bCs w:val="0"/>
                <w:sz w:val="21"/>
                <w:szCs w:val="21"/>
                <w:vertAlign w:val="subscript"/>
              </w:rPr>
              <w:t>3</w:t>
            </w:r>
            <w:r>
              <w:rPr>
                <w:rFonts w:hint="eastAsia" w:ascii="宋体" w:hAnsi="宋体" w:eastAsia="宋体" w:cs="宋体"/>
                <w:b w:val="0"/>
                <w:bCs w:val="0"/>
                <w:sz w:val="21"/>
                <w:szCs w:val="21"/>
              </w:rPr>
              <w:t>-N）    ≤</w:t>
            </w:r>
          </w:p>
        </w:tc>
        <w:tc>
          <w:tcPr>
            <w:tcW w:w="1320" w:type="dxa"/>
            <w:tcBorders>
              <w:tl2br w:val="nil"/>
              <w:tr2bl w:val="nil"/>
            </w:tcBorders>
            <w:vAlign w:val="center"/>
          </w:tcPr>
          <w:p w14:paraId="14F84F5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0.15</w:t>
            </w:r>
          </w:p>
        </w:tc>
        <w:tc>
          <w:tcPr>
            <w:tcW w:w="1119" w:type="dxa"/>
            <w:tcBorders>
              <w:tl2br w:val="nil"/>
              <w:tr2bl w:val="nil"/>
            </w:tcBorders>
            <w:vAlign w:val="center"/>
          </w:tcPr>
          <w:p w14:paraId="6CF2504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0.5</w:t>
            </w:r>
          </w:p>
        </w:tc>
        <w:tc>
          <w:tcPr>
            <w:tcW w:w="1111" w:type="dxa"/>
            <w:tcBorders>
              <w:tl2br w:val="nil"/>
              <w:tr2bl w:val="nil"/>
            </w:tcBorders>
            <w:vAlign w:val="center"/>
          </w:tcPr>
          <w:p w14:paraId="162E92C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1.0</w:t>
            </w:r>
          </w:p>
        </w:tc>
        <w:tc>
          <w:tcPr>
            <w:tcW w:w="1107" w:type="dxa"/>
            <w:tcBorders>
              <w:tl2br w:val="nil"/>
              <w:tr2bl w:val="nil"/>
            </w:tcBorders>
            <w:vAlign w:val="center"/>
          </w:tcPr>
          <w:p w14:paraId="254D3E7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1.5</w:t>
            </w:r>
          </w:p>
        </w:tc>
        <w:tc>
          <w:tcPr>
            <w:tcW w:w="1107" w:type="dxa"/>
            <w:tcBorders>
              <w:tl2br w:val="nil"/>
              <w:tr2bl w:val="nil"/>
            </w:tcBorders>
            <w:vAlign w:val="center"/>
          </w:tcPr>
          <w:p w14:paraId="38DAAAA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2.0</w:t>
            </w:r>
          </w:p>
        </w:tc>
      </w:tr>
      <w:tr w14:paraId="3A8FF4E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543" w:type="dxa"/>
            <w:tcBorders>
              <w:tl2br w:val="nil"/>
              <w:tr2bl w:val="nil"/>
            </w:tcBorders>
            <w:vAlign w:val="center"/>
          </w:tcPr>
          <w:p w14:paraId="4082427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4</w:t>
            </w:r>
          </w:p>
        </w:tc>
        <w:tc>
          <w:tcPr>
            <w:tcW w:w="2351" w:type="dxa"/>
            <w:tcBorders>
              <w:tl2br w:val="nil"/>
              <w:tr2bl w:val="nil"/>
            </w:tcBorders>
            <w:vAlign w:val="center"/>
          </w:tcPr>
          <w:p w14:paraId="67A9040D">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总磷              ≤</w:t>
            </w:r>
          </w:p>
        </w:tc>
        <w:tc>
          <w:tcPr>
            <w:tcW w:w="1320" w:type="dxa"/>
            <w:tcBorders>
              <w:tl2br w:val="nil"/>
              <w:tr2bl w:val="nil"/>
            </w:tcBorders>
            <w:vAlign w:val="center"/>
          </w:tcPr>
          <w:p w14:paraId="374A472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0.02</w:t>
            </w:r>
          </w:p>
        </w:tc>
        <w:tc>
          <w:tcPr>
            <w:tcW w:w="1119" w:type="dxa"/>
            <w:tcBorders>
              <w:tl2br w:val="nil"/>
              <w:tr2bl w:val="nil"/>
            </w:tcBorders>
            <w:vAlign w:val="center"/>
          </w:tcPr>
          <w:p w14:paraId="49F3D51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0.1</w:t>
            </w:r>
          </w:p>
        </w:tc>
        <w:tc>
          <w:tcPr>
            <w:tcW w:w="1111" w:type="dxa"/>
            <w:tcBorders>
              <w:tl2br w:val="nil"/>
              <w:tr2bl w:val="nil"/>
            </w:tcBorders>
            <w:vAlign w:val="center"/>
          </w:tcPr>
          <w:p w14:paraId="1D370D5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0.2</w:t>
            </w:r>
          </w:p>
        </w:tc>
        <w:tc>
          <w:tcPr>
            <w:tcW w:w="1107" w:type="dxa"/>
            <w:tcBorders>
              <w:tl2br w:val="nil"/>
              <w:tr2bl w:val="nil"/>
            </w:tcBorders>
            <w:vAlign w:val="center"/>
          </w:tcPr>
          <w:p w14:paraId="3A28503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0.3</w:t>
            </w:r>
          </w:p>
        </w:tc>
        <w:tc>
          <w:tcPr>
            <w:tcW w:w="1107" w:type="dxa"/>
            <w:tcBorders>
              <w:tl2br w:val="nil"/>
              <w:tr2bl w:val="nil"/>
            </w:tcBorders>
            <w:vAlign w:val="center"/>
          </w:tcPr>
          <w:p w14:paraId="35E337F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0.4</w:t>
            </w:r>
          </w:p>
        </w:tc>
      </w:tr>
      <w:tr w14:paraId="27C2BE0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543" w:type="dxa"/>
            <w:tcBorders>
              <w:tl2br w:val="nil"/>
              <w:tr2bl w:val="nil"/>
            </w:tcBorders>
            <w:vAlign w:val="center"/>
          </w:tcPr>
          <w:p w14:paraId="179A287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5</w:t>
            </w:r>
          </w:p>
        </w:tc>
        <w:tc>
          <w:tcPr>
            <w:tcW w:w="2351" w:type="dxa"/>
            <w:tcBorders>
              <w:tl2br w:val="nil"/>
              <w:tr2bl w:val="nil"/>
            </w:tcBorders>
            <w:vAlign w:val="center"/>
          </w:tcPr>
          <w:p w14:paraId="35078D43">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总氮              ≤</w:t>
            </w:r>
          </w:p>
        </w:tc>
        <w:tc>
          <w:tcPr>
            <w:tcW w:w="1320" w:type="dxa"/>
            <w:tcBorders>
              <w:tl2br w:val="nil"/>
              <w:tr2bl w:val="nil"/>
            </w:tcBorders>
            <w:vAlign w:val="center"/>
          </w:tcPr>
          <w:p w14:paraId="03E9F8A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0.2</w:t>
            </w:r>
          </w:p>
        </w:tc>
        <w:tc>
          <w:tcPr>
            <w:tcW w:w="1119" w:type="dxa"/>
            <w:tcBorders>
              <w:tl2br w:val="nil"/>
              <w:tr2bl w:val="nil"/>
            </w:tcBorders>
            <w:vAlign w:val="center"/>
          </w:tcPr>
          <w:p w14:paraId="0B58CF3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0.5</w:t>
            </w:r>
          </w:p>
        </w:tc>
        <w:tc>
          <w:tcPr>
            <w:tcW w:w="1111" w:type="dxa"/>
            <w:tcBorders>
              <w:tl2br w:val="nil"/>
              <w:tr2bl w:val="nil"/>
            </w:tcBorders>
            <w:vAlign w:val="center"/>
          </w:tcPr>
          <w:p w14:paraId="43A5BD7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1.0</w:t>
            </w:r>
          </w:p>
        </w:tc>
        <w:tc>
          <w:tcPr>
            <w:tcW w:w="1107" w:type="dxa"/>
            <w:tcBorders>
              <w:tl2br w:val="nil"/>
              <w:tr2bl w:val="nil"/>
            </w:tcBorders>
            <w:vAlign w:val="center"/>
          </w:tcPr>
          <w:p w14:paraId="2E12A61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1.5</w:t>
            </w:r>
          </w:p>
        </w:tc>
        <w:tc>
          <w:tcPr>
            <w:tcW w:w="1107" w:type="dxa"/>
            <w:tcBorders>
              <w:tl2br w:val="nil"/>
              <w:tr2bl w:val="nil"/>
            </w:tcBorders>
            <w:vAlign w:val="center"/>
          </w:tcPr>
          <w:p w14:paraId="3376008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2.0</w:t>
            </w:r>
          </w:p>
        </w:tc>
      </w:tr>
      <w:tr w14:paraId="700CA34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543" w:type="dxa"/>
            <w:tcBorders>
              <w:tl2br w:val="nil"/>
              <w:tr2bl w:val="nil"/>
            </w:tcBorders>
            <w:vAlign w:val="center"/>
          </w:tcPr>
          <w:p w14:paraId="4CF4793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6</w:t>
            </w:r>
          </w:p>
        </w:tc>
        <w:tc>
          <w:tcPr>
            <w:tcW w:w="2351" w:type="dxa"/>
            <w:tcBorders>
              <w:tl2br w:val="nil"/>
              <w:tr2bl w:val="nil"/>
            </w:tcBorders>
            <w:vAlign w:val="center"/>
          </w:tcPr>
          <w:p w14:paraId="75F31F8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BOD              ≤</w:t>
            </w:r>
          </w:p>
        </w:tc>
        <w:tc>
          <w:tcPr>
            <w:tcW w:w="1320" w:type="dxa"/>
            <w:tcBorders>
              <w:tl2br w:val="nil"/>
              <w:tr2bl w:val="nil"/>
            </w:tcBorders>
            <w:vAlign w:val="center"/>
          </w:tcPr>
          <w:p w14:paraId="65CF207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3</w:t>
            </w:r>
          </w:p>
        </w:tc>
        <w:tc>
          <w:tcPr>
            <w:tcW w:w="1119" w:type="dxa"/>
            <w:tcBorders>
              <w:tl2br w:val="nil"/>
              <w:tr2bl w:val="nil"/>
            </w:tcBorders>
            <w:vAlign w:val="center"/>
          </w:tcPr>
          <w:p w14:paraId="78C9580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3</w:t>
            </w:r>
          </w:p>
        </w:tc>
        <w:tc>
          <w:tcPr>
            <w:tcW w:w="1111" w:type="dxa"/>
            <w:tcBorders>
              <w:tl2br w:val="nil"/>
              <w:tr2bl w:val="nil"/>
            </w:tcBorders>
            <w:vAlign w:val="center"/>
          </w:tcPr>
          <w:p w14:paraId="6F2CB7C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4</w:t>
            </w:r>
          </w:p>
        </w:tc>
        <w:tc>
          <w:tcPr>
            <w:tcW w:w="1107" w:type="dxa"/>
            <w:tcBorders>
              <w:tl2br w:val="nil"/>
              <w:tr2bl w:val="nil"/>
            </w:tcBorders>
            <w:vAlign w:val="center"/>
          </w:tcPr>
          <w:p w14:paraId="108FF28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6</w:t>
            </w:r>
          </w:p>
        </w:tc>
        <w:tc>
          <w:tcPr>
            <w:tcW w:w="1107" w:type="dxa"/>
            <w:tcBorders>
              <w:tl2br w:val="nil"/>
              <w:tr2bl w:val="nil"/>
            </w:tcBorders>
            <w:vAlign w:val="center"/>
          </w:tcPr>
          <w:p w14:paraId="71A2D03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10</w:t>
            </w:r>
          </w:p>
        </w:tc>
      </w:tr>
      <w:tr w14:paraId="14C02B9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543" w:type="dxa"/>
            <w:tcBorders>
              <w:tl2br w:val="nil"/>
              <w:tr2bl w:val="nil"/>
            </w:tcBorders>
            <w:vAlign w:val="center"/>
          </w:tcPr>
          <w:p w14:paraId="35B463B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7</w:t>
            </w:r>
          </w:p>
        </w:tc>
        <w:tc>
          <w:tcPr>
            <w:tcW w:w="2351" w:type="dxa"/>
            <w:tcBorders>
              <w:tl2br w:val="nil"/>
              <w:tr2bl w:val="nil"/>
            </w:tcBorders>
            <w:vAlign w:val="center"/>
          </w:tcPr>
          <w:p w14:paraId="6A2E4C80">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石油类            ≤</w:t>
            </w:r>
          </w:p>
        </w:tc>
        <w:tc>
          <w:tcPr>
            <w:tcW w:w="1320" w:type="dxa"/>
            <w:tcBorders>
              <w:tl2br w:val="nil"/>
              <w:tr2bl w:val="nil"/>
            </w:tcBorders>
            <w:vAlign w:val="center"/>
          </w:tcPr>
          <w:p w14:paraId="3D09571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0.05</w:t>
            </w:r>
          </w:p>
        </w:tc>
        <w:tc>
          <w:tcPr>
            <w:tcW w:w="1119" w:type="dxa"/>
            <w:tcBorders>
              <w:tl2br w:val="nil"/>
              <w:tr2bl w:val="nil"/>
            </w:tcBorders>
            <w:vAlign w:val="center"/>
          </w:tcPr>
          <w:p w14:paraId="1F2F928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0.05</w:t>
            </w:r>
          </w:p>
        </w:tc>
        <w:tc>
          <w:tcPr>
            <w:tcW w:w="1111" w:type="dxa"/>
            <w:tcBorders>
              <w:tl2br w:val="nil"/>
              <w:tr2bl w:val="nil"/>
            </w:tcBorders>
            <w:vAlign w:val="center"/>
          </w:tcPr>
          <w:p w14:paraId="513531D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0.05</w:t>
            </w:r>
          </w:p>
        </w:tc>
        <w:tc>
          <w:tcPr>
            <w:tcW w:w="1107" w:type="dxa"/>
            <w:tcBorders>
              <w:tl2br w:val="nil"/>
              <w:tr2bl w:val="nil"/>
            </w:tcBorders>
            <w:vAlign w:val="center"/>
          </w:tcPr>
          <w:p w14:paraId="519E81A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0.5</w:t>
            </w:r>
          </w:p>
        </w:tc>
        <w:tc>
          <w:tcPr>
            <w:tcW w:w="1107" w:type="dxa"/>
            <w:tcBorders>
              <w:tl2br w:val="nil"/>
              <w:tr2bl w:val="nil"/>
            </w:tcBorders>
            <w:vAlign w:val="center"/>
          </w:tcPr>
          <w:p w14:paraId="1E2576F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1.0</w:t>
            </w:r>
          </w:p>
        </w:tc>
      </w:tr>
    </w:tbl>
    <w:p w14:paraId="49D5FB17">
      <w:pPr>
        <w:adjustRightInd w:val="0"/>
        <w:snapToGrid w:val="0"/>
        <w:spacing w:line="240" w:lineRule="auto"/>
        <w:rPr>
          <w:b/>
          <w:sz w:val="21"/>
          <w:szCs w:val="21"/>
        </w:rPr>
      </w:pPr>
    </w:p>
    <w:p w14:paraId="36691816">
      <w:pPr>
        <w:ind w:firstLine="480" w:firstLineChars="200"/>
      </w:pPr>
      <w:r>
        <w:t>（3）地下水质量标准</w:t>
      </w:r>
    </w:p>
    <w:p w14:paraId="011718DE">
      <w:pPr>
        <w:ind w:firstLine="480" w:firstLineChars="200"/>
      </w:pPr>
      <w:r>
        <w:t>区域地下水质量标准执行《地下水质量标准》（GB/T 14848-2017）中</w:t>
      </w:r>
      <w:r>
        <w:fldChar w:fldCharType="begin"/>
      </w:r>
      <w:r>
        <w:instrText xml:space="preserve"> = 3 \* ROMAN \* MERGEFORMAT </w:instrText>
      </w:r>
      <w:r>
        <w:fldChar w:fldCharType="separate"/>
      </w:r>
      <w:r>
        <w:t>III</w:t>
      </w:r>
      <w:r>
        <w:fldChar w:fldCharType="end"/>
      </w:r>
      <w:r>
        <w:t>类标准。具体见下表。</w:t>
      </w:r>
    </w:p>
    <w:p w14:paraId="415E8173">
      <w:pPr>
        <w:pStyle w:val="293"/>
        <w:adjustRightInd w:val="0"/>
        <w:snapToGrid w:val="0"/>
        <w:ind w:left="420" w:leftChars="175" w:firstLine="103" w:firstLineChars="49"/>
        <w:jc w:val="center"/>
        <w:rPr>
          <w:b/>
          <w:sz w:val="21"/>
          <w:szCs w:val="21"/>
        </w:rPr>
      </w:pPr>
      <w:r>
        <w:rPr>
          <w:b/>
          <w:sz w:val="21"/>
          <w:szCs w:val="21"/>
        </w:rPr>
        <w:t>表</w:t>
      </w:r>
      <w:r>
        <w:rPr>
          <w:rFonts w:hint="eastAsia"/>
          <w:b/>
          <w:sz w:val="21"/>
          <w:szCs w:val="21"/>
          <w:lang w:val="en-US" w:eastAsia="zh-CN"/>
        </w:rPr>
        <w:t>2-5</w:t>
      </w:r>
      <w:r>
        <w:rPr>
          <w:b/>
          <w:sz w:val="21"/>
          <w:szCs w:val="21"/>
        </w:rPr>
        <w:t>地下水质量标准  单位：mg/L（pH除外）</w:t>
      </w:r>
    </w:p>
    <w:tbl>
      <w:tblPr>
        <w:tblStyle w:val="52"/>
        <w:tblW w:w="5052" w:type="pct"/>
        <w:tblInd w:w="0" w:type="dxa"/>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943"/>
        <w:gridCol w:w="829"/>
        <w:gridCol w:w="629"/>
        <w:gridCol w:w="970"/>
        <w:gridCol w:w="708"/>
        <w:gridCol w:w="708"/>
        <w:gridCol w:w="851"/>
        <w:gridCol w:w="708"/>
        <w:gridCol w:w="848"/>
        <w:gridCol w:w="1417"/>
      </w:tblGrid>
      <w:tr w14:paraId="287190A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547" w:type="pct"/>
            <w:shd w:val="clear" w:color="auto" w:fill="auto"/>
            <w:vAlign w:val="center"/>
          </w:tcPr>
          <w:p w14:paraId="1FC703E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b w:val="0"/>
                <w:bCs/>
                <w:sz w:val="21"/>
                <w:szCs w:val="21"/>
              </w:rPr>
            </w:pPr>
            <w:r>
              <w:rPr>
                <w:b w:val="0"/>
                <w:bCs/>
                <w:sz w:val="21"/>
                <w:szCs w:val="21"/>
              </w:rPr>
              <w:t>标准</w:t>
            </w:r>
          </w:p>
        </w:tc>
        <w:tc>
          <w:tcPr>
            <w:tcW w:w="846" w:type="pct"/>
            <w:gridSpan w:val="2"/>
            <w:shd w:val="clear" w:color="auto" w:fill="auto"/>
            <w:vAlign w:val="center"/>
          </w:tcPr>
          <w:p w14:paraId="25BBC49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b w:val="0"/>
                <w:bCs/>
                <w:sz w:val="21"/>
                <w:szCs w:val="21"/>
              </w:rPr>
            </w:pPr>
            <w:r>
              <w:rPr>
                <w:b w:val="0"/>
                <w:bCs/>
                <w:sz w:val="21"/>
                <w:szCs w:val="21"/>
              </w:rPr>
              <w:t>pH</w:t>
            </w:r>
          </w:p>
        </w:tc>
        <w:tc>
          <w:tcPr>
            <w:tcW w:w="563" w:type="pct"/>
            <w:shd w:val="clear" w:color="auto" w:fill="auto"/>
            <w:vAlign w:val="center"/>
          </w:tcPr>
          <w:p w14:paraId="2AAD0A7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b w:val="0"/>
                <w:bCs/>
                <w:sz w:val="21"/>
                <w:szCs w:val="21"/>
              </w:rPr>
            </w:pPr>
            <w:r>
              <w:rPr>
                <w:b w:val="0"/>
                <w:bCs/>
                <w:sz w:val="21"/>
                <w:szCs w:val="21"/>
              </w:rPr>
              <w:t>高锰酸盐指数</w:t>
            </w:r>
          </w:p>
        </w:tc>
        <w:tc>
          <w:tcPr>
            <w:tcW w:w="411" w:type="pct"/>
            <w:shd w:val="clear" w:color="auto" w:fill="auto"/>
            <w:vAlign w:val="center"/>
          </w:tcPr>
          <w:p w14:paraId="5D9907D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b w:val="0"/>
                <w:bCs/>
                <w:sz w:val="21"/>
                <w:szCs w:val="21"/>
              </w:rPr>
            </w:pPr>
            <w:r>
              <w:rPr>
                <w:b w:val="0"/>
                <w:bCs/>
                <w:sz w:val="21"/>
                <w:szCs w:val="21"/>
              </w:rPr>
              <w:t>氨氮</w:t>
            </w:r>
          </w:p>
        </w:tc>
        <w:tc>
          <w:tcPr>
            <w:tcW w:w="411" w:type="pct"/>
            <w:shd w:val="clear" w:color="auto" w:fill="auto"/>
            <w:vAlign w:val="center"/>
          </w:tcPr>
          <w:p w14:paraId="6CBC028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b w:val="0"/>
                <w:bCs/>
                <w:sz w:val="21"/>
                <w:szCs w:val="21"/>
              </w:rPr>
            </w:pPr>
            <w:r>
              <w:rPr>
                <w:b w:val="0"/>
                <w:bCs/>
                <w:sz w:val="21"/>
                <w:szCs w:val="21"/>
              </w:rPr>
              <w:t>硝酸盐氮</w:t>
            </w:r>
          </w:p>
        </w:tc>
        <w:tc>
          <w:tcPr>
            <w:tcW w:w="494" w:type="pct"/>
            <w:shd w:val="clear" w:color="auto" w:fill="auto"/>
            <w:vAlign w:val="center"/>
          </w:tcPr>
          <w:p w14:paraId="1AE94F1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b w:val="0"/>
                <w:bCs/>
                <w:sz w:val="21"/>
                <w:szCs w:val="21"/>
              </w:rPr>
            </w:pPr>
            <w:r>
              <w:rPr>
                <w:b w:val="0"/>
                <w:bCs/>
                <w:sz w:val="21"/>
                <w:szCs w:val="21"/>
              </w:rPr>
              <w:t>亚硝酸盐氮</w:t>
            </w:r>
          </w:p>
        </w:tc>
        <w:tc>
          <w:tcPr>
            <w:tcW w:w="411" w:type="pct"/>
            <w:shd w:val="clear" w:color="auto" w:fill="auto"/>
            <w:vAlign w:val="center"/>
          </w:tcPr>
          <w:p w14:paraId="1B560EB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b w:val="0"/>
                <w:bCs/>
                <w:sz w:val="21"/>
                <w:szCs w:val="21"/>
              </w:rPr>
            </w:pPr>
            <w:r>
              <w:rPr>
                <w:b w:val="0"/>
                <w:bCs/>
                <w:sz w:val="21"/>
                <w:szCs w:val="21"/>
              </w:rPr>
              <w:t>总硬度</w:t>
            </w:r>
          </w:p>
        </w:tc>
        <w:tc>
          <w:tcPr>
            <w:tcW w:w="492" w:type="pct"/>
            <w:shd w:val="clear" w:color="auto" w:fill="auto"/>
            <w:vAlign w:val="center"/>
          </w:tcPr>
          <w:p w14:paraId="756F10F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b w:val="0"/>
                <w:bCs/>
                <w:sz w:val="21"/>
                <w:szCs w:val="21"/>
              </w:rPr>
            </w:pPr>
            <w:r>
              <w:rPr>
                <w:b w:val="0"/>
                <w:bCs/>
                <w:sz w:val="21"/>
                <w:szCs w:val="21"/>
              </w:rPr>
              <w:t>氯化物</w:t>
            </w:r>
          </w:p>
        </w:tc>
        <w:tc>
          <w:tcPr>
            <w:tcW w:w="822" w:type="pct"/>
            <w:shd w:val="clear" w:color="auto" w:fill="auto"/>
            <w:vAlign w:val="center"/>
          </w:tcPr>
          <w:p w14:paraId="1825A90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b w:val="0"/>
                <w:bCs/>
                <w:sz w:val="21"/>
                <w:szCs w:val="21"/>
              </w:rPr>
            </w:pPr>
            <w:r>
              <w:rPr>
                <w:b w:val="0"/>
                <w:bCs/>
                <w:sz w:val="21"/>
                <w:szCs w:val="21"/>
              </w:rPr>
              <w:t>硫酸盐</w:t>
            </w:r>
          </w:p>
        </w:tc>
      </w:tr>
      <w:tr w14:paraId="366D4EC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547" w:type="pct"/>
            <w:shd w:val="clear" w:color="auto" w:fill="auto"/>
            <w:vAlign w:val="center"/>
          </w:tcPr>
          <w:p w14:paraId="17A2E73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b w:val="0"/>
                <w:bCs/>
                <w:sz w:val="21"/>
                <w:szCs w:val="21"/>
              </w:rPr>
            </w:pPr>
            <w:r>
              <w:rPr>
                <w:b w:val="0"/>
                <w:bCs/>
                <w:sz w:val="21"/>
                <w:szCs w:val="21"/>
              </w:rPr>
              <w:fldChar w:fldCharType="begin"/>
            </w:r>
            <w:r>
              <w:rPr>
                <w:b w:val="0"/>
                <w:bCs/>
                <w:sz w:val="21"/>
                <w:szCs w:val="21"/>
              </w:rPr>
              <w:instrText xml:space="preserve"> = 3 \* ROMAN </w:instrText>
            </w:r>
            <w:r>
              <w:rPr>
                <w:b w:val="0"/>
                <w:bCs/>
                <w:sz w:val="21"/>
                <w:szCs w:val="21"/>
              </w:rPr>
              <w:fldChar w:fldCharType="separate"/>
            </w:r>
            <w:r>
              <w:rPr>
                <w:b w:val="0"/>
                <w:bCs/>
                <w:sz w:val="21"/>
                <w:szCs w:val="21"/>
              </w:rPr>
              <w:t>III</w:t>
            </w:r>
            <w:r>
              <w:rPr>
                <w:b w:val="0"/>
                <w:bCs/>
                <w:sz w:val="21"/>
                <w:szCs w:val="21"/>
              </w:rPr>
              <w:fldChar w:fldCharType="end"/>
            </w:r>
            <w:r>
              <w:rPr>
                <w:b w:val="0"/>
                <w:bCs/>
                <w:sz w:val="21"/>
                <w:szCs w:val="21"/>
              </w:rPr>
              <w:t>类</w:t>
            </w:r>
          </w:p>
        </w:tc>
        <w:tc>
          <w:tcPr>
            <w:tcW w:w="846" w:type="pct"/>
            <w:gridSpan w:val="2"/>
            <w:shd w:val="clear" w:color="auto" w:fill="auto"/>
            <w:vAlign w:val="center"/>
          </w:tcPr>
          <w:p w14:paraId="5614D5C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b w:val="0"/>
                <w:bCs/>
                <w:sz w:val="21"/>
                <w:szCs w:val="21"/>
              </w:rPr>
            </w:pPr>
            <w:r>
              <w:rPr>
                <w:b w:val="0"/>
                <w:bCs/>
                <w:sz w:val="21"/>
                <w:szCs w:val="21"/>
              </w:rPr>
              <w:t>6.5～8.5</w:t>
            </w:r>
          </w:p>
        </w:tc>
        <w:tc>
          <w:tcPr>
            <w:tcW w:w="563" w:type="pct"/>
            <w:shd w:val="clear" w:color="auto" w:fill="auto"/>
            <w:vAlign w:val="center"/>
          </w:tcPr>
          <w:p w14:paraId="69CC4FD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b w:val="0"/>
                <w:bCs/>
                <w:sz w:val="21"/>
                <w:szCs w:val="21"/>
              </w:rPr>
            </w:pPr>
            <w:r>
              <w:rPr>
                <w:b w:val="0"/>
                <w:bCs/>
                <w:sz w:val="21"/>
                <w:szCs w:val="21"/>
              </w:rPr>
              <w:t>3.0</w:t>
            </w:r>
          </w:p>
        </w:tc>
        <w:tc>
          <w:tcPr>
            <w:tcW w:w="411" w:type="pct"/>
            <w:shd w:val="clear" w:color="auto" w:fill="auto"/>
            <w:vAlign w:val="center"/>
          </w:tcPr>
          <w:p w14:paraId="54DF3C3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b w:val="0"/>
                <w:bCs/>
                <w:sz w:val="21"/>
                <w:szCs w:val="21"/>
              </w:rPr>
            </w:pPr>
            <w:r>
              <w:rPr>
                <w:b w:val="0"/>
                <w:bCs/>
                <w:sz w:val="21"/>
                <w:szCs w:val="21"/>
              </w:rPr>
              <w:t>0.2</w:t>
            </w:r>
          </w:p>
        </w:tc>
        <w:tc>
          <w:tcPr>
            <w:tcW w:w="411" w:type="pct"/>
            <w:shd w:val="clear" w:color="auto" w:fill="auto"/>
            <w:vAlign w:val="center"/>
          </w:tcPr>
          <w:p w14:paraId="646AE95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b w:val="0"/>
                <w:bCs/>
                <w:sz w:val="21"/>
                <w:szCs w:val="21"/>
              </w:rPr>
            </w:pPr>
            <w:r>
              <w:rPr>
                <w:b w:val="0"/>
                <w:bCs/>
                <w:sz w:val="21"/>
                <w:szCs w:val="21"/>
              </w:rPr>
              <w:t>20</w:t>
            </w:r>
          </w:p>
        </w:tc>
        <w:tc>
          <w:tcPr>
            <w:tcW w:w="494" w:type="pct"/>
            <w:shd w:val="clear" w:color="auto" w:fill="auto"/>
            <w:vAlign w:val="center"/>
          </w:tcPr>
          <w:p w14:paraId="5B52481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b w:val="0"/>
                <w:bCs/>
                <w:sz w:val="21"/>
                <w:szCs w:val="21"/>
              </w:rPr>
            </w:pPr>
            <w:r>
              <w:rPr>
                <w:b w:val="0"/>
                <w:bCs/>
                <w:sz w:val="21"/>
                <w:szCs w:val="21"/>
              </w:rPr>
              <w:t>0.02</w:t>
            </w:r>
          </w:p>
        </w:tc>
        <w:tc>
          <w:tcPr>
            <w:tcW w:w="411" w:type="pct"/>
            <w:shd w:val="clear" w:color="auto" w:fill="auto"/>
            <w:vAlign w:val="center"/>
          </w:tcPr>
          <w:p w14:paraId="66B82C2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b w:val="0"/>
                <w:bCs/>
                <w:sz w:val="21"/>
                <w:szCs w:val="21"/>
              </w:rPr>
            </w:pPr>
            <w:r>
              <w:rPr>
                <w:b w:val="0"/>
                <w:bCs/>
                <w:sz w:val="21"/>
                <w:szCs w:val="21"/>
              </w:rPr>
              <w:t>450</w:t>
            </w:r>
          </w:p>
        </w:tc>
        <w:tc>
          <w:tcPr>
            <w:tcW w:w="492" w:type="pct"/>
            <w:shd w:val="clear" w:color="auto" w:fill="auto"/>
            <w:vAlign w:val="center"/>
          </w:tcPr>
          <w:p w14:paraId="1699CA5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b w:val="0"/>
                <w:bCs/>
                <w:sz w:val="21"/>
                <w:szCs w:val="21"/>
              </w:rPr>
            </w:pPr>
            <w:r>
              <w:rPr>
                <w:b w:val="0"/>
                <w:bCs/>
                <w:sz w:val="21"/>
                <w:szCs w:val="21"/>
              </w:rPr>
              <w:t>250</w:t>
            </w:r>
          </w:p>
        </w:tc>
        <w:tc>
          <w:tcPr>
            <w:tcW w:w="822" w:type="pct"/>
            <w:shd w:val="clear" w:color="auto" w:fill="auto"/>
            <w:vAlign w:val="center"/>
          </w:tcPr>
          <w:p w14:paraId="47DF16F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b w:val="0"/>
                <w:bCs/>
                <w:sz w:val="21"/>
                <w:szCs w:val="21"/>
              </w:rPr>
            </w:pPr>
            <w:r>
              <w:rPr>
                <w:b w:val="0"/>
                <w:bCs/>
                <w:sz w:val="21"/>
                <w:szCs w:val="21"/>
              </w:rPr>
              <w:t>250</w:t>
            </w:r>
          </w:p>
        </w:tc>
      </w:tr>
      <w:tr w14:paraId="6614BD7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547" w:type="pct"/>
            <w:shd w:val="clear" w:color="auto" w:fill="auto"/>
            <w:vAlign w:val="center"/>
          </w:tcPr>
          <w:p w14:paraId="562AEC4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b w:val="0"/>
                <w:bCs/>
                <w:sz w:val="21"/>
                <w:szCs w:val="21"/>
              </w:rPr>
            </w:pPr>
            <w:r>
              <w:rPr>
                <w:b w:val="0"/>
                <w:bCs/>
                <w:sz w:val="21"/>
                <w:szCs w:val="21"/>
              </w:rPr>
              <w:t>标准</w:t>
            </w:r>
          </w:p>
        </w:tc>
        <w:tc>
          <w:tcPr>
            <w:tcW w:w="481" w:type="pct"/>
            <w:tcBorders>
              <w:right w:val="single" w:color="auto" w:sz="4" w:space="0"/>
            </w:tcBorders>
            <w:shd w:val="clear" w:color="auto" w:fill="auto"/>
            <w:vAlign w:val="center"/>
          </w:tcPr>
          <w:p w14:paraId="1DFB7B2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b w:val="0"/>
                <w:bCs/>
                <w:sz w:val="21"/>
                <w:szCs w:val="21"/>
              </w:rPr>
            </w:pPr>
            <w:r>
              <w:rPr>
                <w:b w:val="0"/>
                <w:bCs/>
                <w:sz w:val="21"/>
                <w:szCs w:val="21"/>
              </w:rPr>
              <w:t>铜</w:t>
            </w:r>
          </w:p>
        </w:tc>
        <w:tc>
          <w:tcPr>
            <w:tcW w:w="928" w:type="pct"/>
            <w:gridSpan w:val="2"/>
            <w:tcBorders>
              <w:left w:val="single" w:color="auto" w:sz="4" w:space="0"/>
            </w:tcBorders>
            <w:shd w:val="clear" w:color="auto" w:fill="auto"/>
            <w:vAlign w:val="center"/>
          </w:tcPr>
          <w:p w14:paraId="6135816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b w:val="0"/>
                <w:bCs/>
                <w:sz w:val="21"/>
                <w:szCs w:val="21"/>
              </w:rPr>
            </w:pPr>
            <w:r>
              <w:rPr>
                <w:b w:val="0"/>
                <w:bCs/>
                <w:sz w:val="21"/>
                <w:szCs w:val="21"/>
              </w:rPr>
              <w:t>溶解性总固体</w:t>
            </w:r>
          </w:p>
        </w:tc>
        <w:tc>
          <w:tcPr>
            <w:tcW w:w="411" w:type="pct"/>
            <w:shd w:val="clear" w:color="auto" w:fill="auto"/>
            <w:vAlign w:val="center"/>
          </w:tcPr>
          <w:p w14:paraId="2F1DD1B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b w:val="0"/>
                <w:bCs/>
                <w:sz w:val="21"/>
                <w:szCs w:val="21"/>
              </w:rPr>
            </w:pPr>
            <w:r>
              <w:rPr>
                <w:b w:val="0"/>
                <w:bCs/>
                <w:sz w:val="21"/>
                <w:szCs w:val="21"/>
              </w:rPr>
              <w:t>铅</w:t>
            </w:r>
          </w:p>
        </w:tc>
        <w:tc>
          <w:tcPr>
            <w:tcW w:w="411" w:type="pct"/>
            <w:shd w:val="clear" w:color="auto" w:fill="auto"/>
            <w:vAlign w:val="center"/>
          </w:tcPr>
          <w:p w14:paraId="1895D62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b w:val="0"/>
                <w:bCs/>
                <w:sz w:val="21"/>
                <w:szCs w:val="21"/>
              </w:rPr>
            </w:pPr>
            <w:r>
              <w:rPr>
                <w:b w:val="0"/>
                <w:bCs/>
                <w:sz w:val="21"/>
                <w:szCs w:val="21"/>
              </w:rPr>
              <w:t>锌</w:t>
            </w:r>
          </w:p>
        </w:tc>
        <w:tc>
          <w:tcPr>
            <w:tcW w:w="494" w:type="pct"/>
            <w:shd w:val="clear" w:color="auto" w:fill="auto"/>
            <w:vAlign w:val="center"/>
          </w:tcPr>
          <w:p w14:paraId="7A67987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b w:val="0"/>
                <w:bCs/>
                <w:sz w:val="21"/>
                <w:szCs w:val="21"/>
              </w:rPr>
            </w:pPr>
            <w:r>
              <w:rPr>
                <w:b w:val="0"/>
                <w:bCs/>
                <w:sz w:val="21"/>
                <w:szCs w:val="21"/>
              </w:rPr>
              <w:t>汞</w:t>
            </w:r>
          </w:p>
        </w:tc>
        <w:tc>
          <w:tcPr>
            <w:tcW w:w="411" w:type="pct"/>
            <w:shd w:val="clear" w:color="auto" w:fill="auto"/>
            <w:vAlign w:val="center"/>
          </w:tcPr>
          <w:p w14:paraId="3C27016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b w:val="0"/>
                <w:bCs/>
                <w:sz w:val="21"/>
                <w:szCs w:val="21"/>
              </w:rPr>
            </w:pPr>
            <w:r>
              <w:rPr>
                <w:b w:val="0"/>
                <w:bCs/>
                <w:sz w:val="21"/>
                <w:szCs w:val="21"/>
              </w:rPr>
              <w:t>镉</w:t>
            </w:r>
          </w:p>
        </w:tc>
        <w:tc>
          <w:tcPr>
            <w:tcW w:w="492" w:type="pct"/>
            <w:shd w:val="clear" w:color="auto" w:fill="auto"/>
            <w:vAlign w:val="center"/>
          </w:tcPr>
          <w:p w14:paraId="2F671F7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b w:val="0"/>
                <w:bCs/>
                <w:sz w:val="21"/>
                <w:szCs w:val="21"/>
              </w:rPr>
            </w:pPr>
            <w:r>
              <w:rPr>
                <w:b w:val="0"/>
                <w:bCs/>
                <w:sz w:val="21"/>
                <w:szCs w:val="21"/>
              </w:rPr>
              <w:t>六价铬</w:t>
            </w:r>
          </w:p>
        </w:tc>
        <w:tc>
          <w:tcPr>
            <w:tcW w:w="822" w:type="pct"/>
            <w:shd w:val="clear" w:color="auto" w:fill="auto"/>
            <w:vAlign w:val="center"/>
          </w:tcPr>
          <w:p w14:paraId="5E37B29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b w:val="0"/>
                <w:bCs/>
                <w:sz w:val="21"/>
                <w:szCs w:val="21"/>
              </w:rPr>
            </w:pPr>
            <w:r>
              <w:rPr>
                <w:b w:val="0"/>
                <w:bCs/>
                <w:sz w:val="21"/>
                <w:szCs w:val="21"/>
              </w:rPr>
              <w:t>总大肠菌群</w:t>
            </w:r>
          </w:p>
          <w:p w14:paraId="244E215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b w:val="0"/>
                <w:bCs/>
                <w:sz w:val="21"/>
                <w:szCs w:val="21"/>
              </w:rPr>
            </w:pPr>
            <w:r>
              <w:rPr>
                <w:b w:val="0"/>
                <w:bCs/>
                <w:sz w:val="21"/>
                <w:szCs w:val="21"/>
              </w:rPr>
              <w:t>（个/升）</w:t>
            </w:r>
          </w:p>
        </w:tc>
      </w:tr>
      <w:tr w14:paraId="1CB3832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547" w:type="pct"/>
            <w:shd w:val="clear" w:color="auto" w:fill="auto"/>
            <w:vAlign w:val="center"/>
          </w:tcPr>
          <w:p w14:paraId="24B8705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b w:val="0"/>
                <w:bCs/>
                <w:sz w:val="21"/>
                <w:szCs w:val="21"/>
              </w:rPr>
            </w:pPr>
            <w:r>
              <w:rPr>
                <w:b w:val="0"/>
                <w:bCs/>
                <w:sz w:val="21"/>
                <w:szCs w:val="21"/>
              </w:rPr>
              <w:fldChar w:fldCharType="begin"/>
            </w:r>
            <w:r>
              <w:rPr>
                <w:b w:val="0"/>
                <w:bCs/>
                <w:sz w:val="21"/>
                <w:szCs w:val="21"/>
              </w:rPr>
              <w:instrText xml:space="preserve"> = 3 \* ROMAN </w:instrText>
            </w:r>
            <w:r>
              <w:rPr>
                <w:b w:val="0"/>
                <w:bCs/>
                <w:sz w:val="21"/>
                <w:szCs w:val="21"/>
              </w:rPr>
              <w:fldChar w:fldCharType="separate"/>
            </w:r>
            <w:r>
              <w:rPr>
                <w:b w:val="0"/>
                <w:bCs/>
                <w:sz w:val="21"/>
                <w:szCs w:val="21"/>
              </w:rPr>
              <w:t>III</w:t>
            </w:r>
            <w:r>
              <w:rPr>
                <w:b w:val="0"/>
                <w:bCs/>
                <w:sz w:val="21"/>
                <w:szCs w:val="21"/>
              </w:rPr>
              <w:fldChar w:fldCharType="end"/>
            </w:r>
            <w:r>
              <w:rPr>
                <w:b w:val="0"/>
                <w:bCs/>
                <w:sz w:val="21"/>
                <w:szCs w:val="21"/>
              </w:rPr>
              <w:t>类</w:t>
            </w:r>
          </w:p>
        </w:tc>
        <w:tc>
          <w:tcPr>
            <w:tcW w:w="481" w:type="pct"/>
            <w:tcBorders>
              <w:right w:val="single" w:color="auto" w:sz="4" w:space="0"/>
            </w:tcBorders>
            <w:shd w:val="clear" w:color="auto" w:fill="auto"/>
            <w:vAlign w:val="center"/>
          </w:tcPr>
          <w:p w14:paraId="59909FF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b w:val="0"/>
                <w:bCs/>
                <w:sz w:val="21"/>
                <w:szCs w:val="21"/>
              </w:rPr>
            </w:pPr>
            <w:r>
              <w:rPr>
                <w:b w:val="0"/>
                <w:bCs/>
                <w:sz w:val="21"/>
                <w:szCs w:val="21"/>
              </w:rPr>
              <w:t>1.0</w:t>
            </w:r>
          </w:p>
        </w:tc>
        <w:tc>
          <w:tcPr>
            <w:tcW w:w="928" w:type="pct"/>
            <w:gridSpan w:val="2"/>
            <w:tcBorders>
              <w:left w:val="single" w:color="auto" w:sz="4" w:space="0"/>
            </w:tcBorders>
            <w:shd w:val="clear" w:color="auto" w:fill="auto"/>
            <w:vAlign w:val="center"/>
          </w:tcPr>
          <w:p w14:paraId="20B7B69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b w:val="0"/>
                <w:bCs/>
                <w:sz w:val="21"/>
                <w:szCs w:val="21"/>
              </w:rPr>
            </w:pPr>
            <w:r>
              <w:rPr>
                <w:b w:val="0"/>
                <w:bCs/>
                <w:sz w:val="21"/>
                <w:szCs w:val="21"/>
              </w:rPr>
              <w:t>1000</w:t>
            </w:r>
          </w:p>
        </w:tc>
        <w:tc>
          <w:tcPr>
            <w:tcW w:w="411" w:type="pct"/>
            <w:shd w:val="clear" w:color="auto" w:fill="auto"/>
            <w:vAlign w:val="center"/>
          </w:tcPr>
          <w:p w14:paraId="29A395A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b w:val="0"/>
                <w:bCs/>
                <w:sz w:val="21"/>
                <w:szCs w:val="21"/>
              </w:rPr>
            </w:pPr>
            <w:r>
              <w:rPr>
                <w:b w:val="0"/>
                <w:bCs/>
                <w:sz w:val="21"/>
                <w:szCs w:val="21"/>
              </w:rPr>
              <w:t>0.05</w:t>
            </w:r>
          </w:p>
        </w:tc>
        <w:tc>
          <w:tcPr>
            <w:tcW w:w="411" w:type="pct"/>
            <w:shd w:val="clear" w:color="auto" w:fill="auto"/>
            <w:vAlign w:val="center"/>
          </w:tcPr>
          <w:p w14:paraId="7CA32C0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b w:val="0"/>
                <w:bCs/>
                <w:color w:val="000000"/>
                <w:sz w:val="21"/>
                <w:szCs w:val="21"/>
              </w:rPr>
            </w:pPr>
            <w:r>
              <w:rPr>
                <w:b w:val="0"/>
                <w:bCs/>
                <w:color w:val="000000"/>
                <w:sz w:val="21"/>
                <w:szCs w:val="21"/>
              </w:rPr>
              <w:t>1.0</w:t>
            </w:r>
          </w:p>
        </w:tc>
        <w:tc>
          <w:tcPr>
            <w:tcW w:w="494" w:type="pct"/>
            <w:shd w:val="clear" w:color="auto" w:fill="auto"/>
            <w:vAlign w:val="center"/>
          </w:tcPr>
          <w:p w14:paraId="2AF2775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b w:val="0"/>
                <w:bCs/>
                <w:sz w:val="21"/>
                <w:szCs w:val="21"/>
              </w:rPr>
            </w:pPr>
            <w:r>
              <w:rPr>
                <w:b w:val="0"/>
                <w:bCs/>
                <w:sz w:val="21"/>
                <w:szCs w:val="21"/>
              </w:rPr>
              <w:t>0.001</w:t>
            </w:r>
          </w:p>
        </w:tc>
        <w:tc>
          <w:tcPr>
            <w:tcW w:w="411" w:type="pct"/>
            <w:shd w:val="clear" w:color="auto" w:fill="auto"/>
            <w:vAlign w:val="center"/>
          </w:tcPr>
          <w:p w14:paraId="5014F39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b w:val="0"/>
                <w:bCs/>
                <w:sz w:val="21"/>
                <w:szCs w:val="21"/>
              </w:rPr>
            </w:pPr>
            <w:r>
              <w:rPr>
                <w:b w:val="0"/>
                <w:bCs/>
                <w:sz w:val="21"/>
                <w:szCs w:val="21"/>
              </w:rPr>
              <w:t>0.01</w:t>
            </w:r>
          </w:p>
        </w:tc>
        <w:tc>
          <w:tcPr>
            <w:tcW w:w="492" w:type="pct"/>
            <w:shd w:val="clear" w:color="auto" w:fill="auto"/>
            <w:vAlign w:val="center"/>
          </w:tcPr>
          <w:p w14:paraId="0E79CE3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b w:val="0"/>
                <w:bCs/>
                <w:sz w:val="21"/>
                <w:szCs w:val="21"/>
              </w:rPr>
            </w:pPr>
            <w:r>
              <w:rPr>
                <w:b w:val="0"/>
                <w:bCs/>
                <w:sz w:val="21"/>
                <w:szCs w:val="21"/>
              </w:rPr>
              <w:t>0.05</w:t>
            </w:r>
          </w:p>
        </w:tc>
        <w:tc>
          <w:tcPr>
            <w:tcW w:w="822" w:type="pct"/>
            <w:shd w:val="clear" w:color="auto" w:fill="auto"/>
            <w:vAlign w:val="center"/>
          </w:tcPr>
          <w:p w14:paraId="43D3C4A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b w:val="0"/>
                <w:bCs/>
                <w:sz w:val="21"/>
                <w:szCs w:val="21"/>
              </w:rPr>
            </w:pPr>
            <w:r>
              <w:rPr>
                <w:b w:val="0"/>
                <w:bCs/>
                <w:sz w:val="21"/>
                <w:szCs w:val="21"/>
              </w:rPr>
              <w:t>3.0</w:t>
            </w:r>
          </w:p>
        </w:tc>
      </w:tr>
      <w:tr w14:paraId="7938D7E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547" w:type="pct"/>
            <w:shd w:val="clear" w:color="auto" w:fill="auto"/>
            <w:vAlign w:val="center"/>
          </w:tcPr>
          <w:p w14:paraId="00128F1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b w:val="0"/>
                <w:bCs/>
                <w:sz w:val="21"/>
                <w:szCs w:val="21"/>
              </w:rPr>
            </w:pPr>
            <w:r>
              <w:rPr>
                <w:b w:val="0"/>
                <w:bCs/>
                <w:sz w:val="21"/>
                <w:szCs w:val="21"/>
              </w:rPr>
              <w:t>标准</w:t>
            </w:r>
          </w:p>
        </w:tc>
        <w:tc>
          <w:tcPr>
            <w:tcW w:w="481" w:type="pct"/>
            <w:tcBorders>
              <w:right w:val="single" w:color="auto" w:sz="4" w:space="0"/>
            </w:tcBorders>
            <w:shd w:val="clear" w:color="auto" w:fill="auto"/>
            <w:vAlign w:val="center"/>
          </w:tcPr>
          <w:p w14:paraId="4C6DDE5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b w:val="0"/>
                <w:bCs/>
                <w:sz w:val="21"/>
                <w:szCs w:val="21"/>
              </w:rPr>
            </w:pPr>
            <w:r>
              <w:rPr>
                <w:b w:val="0"/>
                <w:bCs/>
                <w:sz w:val="21"/>
                <w:szCs w:val="21"/>
              </w:rPr>
              <w:t>砷</w:t>
            </w:r>
          </w:p>
        </w:tc>
        <w:tc>
          <w:tcPr>
            <w:tcW w:w="365" w:type="pct"/>
            <w:tcBorders>
              <w:left w:val="single" w:color="auto" w:sz="4" w:space="0"/>
            </w:tcBorders>
            <w:shd w:val="clear" w:color="auto" w:fill="auto"/>
            <w:vAlign w:val="center"/>
          </w:tcPr>
          <w:p w14:paraId="6B920C0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b w:val="0"/>
                <w:bCs/>
                <w:sz w:val="21"/>
                <w:szCs w:val="21"/>
              </w:rPr>
            </w:pPr>
            <w:r>
              <w:rPr>
                <w:b w:val="0"/>
                <w:bCs/>
                <w:sz w:val="21"/>
                <w:szCs w:val="21"/>
              </w:rPr>
              <w:t>铁</w:t>
            </w:r>
          </w:p>
        </w:tc>
        <w:tc>
          <w:tcPr>
            <w:tcW w:w="563" w:type="pct"/>
            <w:shd w:val="clear" w:color="auto" w:fill="auto"/>
            <w:vAlign w:val="center"/>
          </w:tcPr>
          <w:p w14:paraId="1515406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b w:val="0"/>
                <w:bCs/>
                <w:sz w:val="21"/>
                <w:szCs w:val="21"/>
              </w:rPr>
            </w:pPr>
            <w:r>
              <w:rPr>
                <w:b w:val="0"/>
                <w:bCs/>
                <w:sz w:val="21"/>
                <w:szCs w:val="21"/>
              </w:rPr>
              <w:t>挥发酚类</w:t>
            </w:r>
          </w:p>
        </w:tc>
        <w:tc>
          <w:tcPr>
            <w:tcW w:w="822" w:type="pct"/>
            <w:gridSpan w:val="2"/>
            <w:shd w:val="clear" w:color="auto" w:fill="auto"/>
            <w:vAlign w:val="center"/>
          </w:tcPr>
          <w:p w14:paraId="403A847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b w:val="0"/>
                <w:bCs/>
                <w:color w:val="000000"/>
                <w:sz w:val="21"/>
                <w:szCs w:val="21"/>
              </w:rPr>
            </w:pPr>
            <w:r>
              <w:rPr>
                <w:b w:val="0"/>
                <w:bCs/>
                <w:sz w:val="21"/>
                <w:szCs w:val="21"/>
              </w:rPr>
              <w:t>氟化物</w:t>
            </w:r>
          </w:p>
        </w:tc>
        <w:tc>
          <w:tcPr>
            <w:tcW w:w="494" w:type="pct"/>
            <w:shd w:val="clear" w:color="auto" w:fill="auto"/>
            <w:vAlign w:val="center"/>
          </w:tcPr>
          <w:p w14:paraId="1DF340B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b w:val="0"/>
                <w:bCs/>
                <w:sz w:val="21"/>
                <w:szCs w:val="21"/>
              </w:rPr>
            </w:pPr>
            <w:r>
              <w:rPr>
                <w:b w:val="0"/>
                <w:bCs/>
                <w:sz w:val="21"/>
                <w:szCs w:val="21"/>
              </w:rPr>
              <w:t>氰化物</w:t>
            </w:r>
          </w:p>
        </w:tc>
        <w:tc>
          <w:tcPr>
            <w:tcW w:w="411" w:type="pct"/>
            <w:shd w:val="clear" w:color="auto" w:fill="auto"/>
            <w:vAlign w:val="center"/>
          </w:tcPr>
          <w:p w14:paraId="5B193F7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b w:val="0"/>
                <w:bCs/>
                <w:sz w:val="21"/>
                <w:szCs w:val="21"/>
              </w:rPr>
            </w:pPr>
            <w:r>
              <w:rPr>
                <w:b w:val="0"/>
                <w:bCs/>
                <w:sz w:val="21"/>
                <w:szCs w:val="21"/>
              </w:rPr>
              <w:t>细菌总数</w:t>
            </w:r>
          </w:p>
        </w:tc>
        <w:tc>
          <w:tcPr>
            <w:tcW w:w="492" w:type="pct"/>
            <w:shd w:val="clear" w:color="auto" w:fill="auto"/>
            <w:vAlign w:val="center"/>
          </w:tcPr>
          <w:p w14:paraId="3D71F83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b w:val="0"/>
                <w:bCs/>
                <w:sz w:val="21"/>
                <w:szCs w:val="21"/>
              </w:rPr>
            </w:pPr>
          </w:p>
        </w:tc>
        <w:tc>
          <w:tcPr>
            <w:tcW w:w="822" w:type="pct"/>
            <w:shd w:val="clear" w:color="auto" w:fill="auto"/>
            <w:vAlign w:val="center"/>
          </w:tcPr>
          <w:p w14:paraId="1F16B59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b w:val="0"/>
                <w:bCs/>
                <w:sz w:val="21"/>
                <w:szCs w:val="21"/>
              </w:rPr>
            </w:pPr>
          </w:p>
        </w:tc>
      </w:tr>
      <w:tr w14:paraId="0763275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547" w:type="pct"/>
            <w:shd w:val="clear" w:color="auto" w:fill="auto"/>
            <w:vAlign w:val="center"/>
          </w:tcPr>
          <w:p w14:paraId="35982D2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b w:val="0"/>
                <w:bCs/>
                <w:sz w:val="21"/>
                <w:szCs w:val="21"/>
              </w:rPr>
            </w:pPr>
            <w:r>
              <w:rPr>
                <w:b w:val="0"/>
                <w:bCs/>
                <w:sz w:val="21"/>
                <w:szCs w:val="21"/>
              </w:rPr>
              <w:fldChar w:fldCharType="begin"/>
            </w:r>
            <w:r>
              <w:rPr>
                <w:b w:val="0"/>
                <w:bCs/>
                <w:sz w:val="21"/>
                <w:szCs w:val="21"/>
              </w:rPr>
              <w:instrText xml:space="preserve"> = 3 \* ROMAN </w:instrText>
            </w:r>
            <w:r>
              <w:rPr>
                <w:b w:val="0"/>
                <w:bCs/>
                <w:sz w:val="21"/>
                <w:szCs w:val="21"/>
              </w:rPr>
              <w:fldChar w:fldCharType="separate"/>
            </w:r>
            <w:r>
              <w:rPr>
                <w:b w:val="0"/>
                <w:bCs/>
                <w:sz w:val="21"/>
                <w:szCs w:val="21"/>
              </w:rPr>
              <w:t>III</w:t>
            </w:r>
            <w:r>
              <w:rPr>
                <w:b w:val="0"/>
                <w:bCs/>
                <w:sz w:val="21"/>
                <w:szCs w:val="21"/>
              </w:rPr>
              <w:fldChar w:fldCharType="end"/>
            </w:r>
            <w:r>
              <w:rPr>
                <w:b w:val="0"/>
                <w:bCs/>
                <w:sz w:val="21"/>
                <w:szCs w:val="21"/>
              </w:rPr>
              <w:t>类</w:t>
            </w:r>
          </w:p>
        </w:tc>
        <w:tc>
          <w:tcPr>
            <w:tcW w:w="481" w:type="pct"/>
            <w:tcBorders>
              <w:right w:val="single" w:color="auto" w:sz="4" w:space="0"/>
            </w:tcBorders>
            <w:shd w:val="clear" w:color="auto" w:fill="auto"/>
            <w:vAlign w:val="center"/>
          </w:tcPr>
          <w:p w14:paraId="180D9E3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b w:val="0"/>
                <w:bCs/>
                <w:sz w:val="21"/>
                <w:szCs w:val="21"/>
              </w:rPr>
            </w:pPr>
            <w:r>
              <w:rPr>
                <w:b w:val="0"/>
                <w:bCs/>
                <w:sz w:val="21"/>
                <w:szCs w:val="21"/>
              </w:rPr>
              <w:t>0.05</w:t>
            </w:r>
          </w:p>
        </w:tc>
        <w:tc>
          <w:tcPr>
            <w:tcW w:w="365" w:type="pct"/>
            <w:tcBorders>
              <w:left w:val="single" w:color="auto" w:sz="4" w:space="0"/>
            </w:tcBorders>
            <w:shd w:val="clear" w:color="auto" w:fill="auto"/>
            <w:vAlign w:val="center"/>
          </w:tcPr>
          <w:p w14:paraId="5B706A9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b w:val="0"/>
                <w:bCs/>
                <w:sz w:val="21"/>
                <w:szCs w:val="21"/>
              </w:rPr>
            </w:pPr>
            <w:r>
              <w:rPr>
                <w:b w:val="0"/>
                <w:bCs/>
                <w:sz w:val="21"/>
                <w:szCs w:val="21"/>
              </w:rPr>
              <w:t>0.3</w:t>
            </w:r>
          </w:p>
        </w:tc>
        <w:tc>
          <w:tcPr>
            <w:tcW w:w="563" w:type="pct"/>
            <w:shd w:val="clear" w:color="auto" w:fill="auto"/>
            <w:vAlign w:val="center"/>
          </w:tcPr>
          <w:p w14:paraId="3785E28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b w:val="0"/>
                <w:bCs/>
                <w:sz w:val="21"/>
                <w:szCs w:val="21"/>
              </w:rPr>
            </w:pPr>
            <w:r>
              <w:rPr>
                <w:b w:val="0"/>
                <w:bCs/>
                <w:sz w:val="21"/>
                <w:szCs w:val="21"/>
              </w:rPr>
              <w:t>0.002</w:t>
            </w:r>
          </w:p>
        </w:tc>
        <w:tc>
          <w:tcPr>
            <w:tcW w:w="822" w:type="pct"/>
            <w:gridSpan w:val="2"/>
            <w:shd w:val="clear" w:color="auto" w:fill="auto"/>
            <w:vAlign w:val="center"/>
          </w:tcPr>
          <w:p w14:paraId="6136AF1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b w:val="0"/>
                <w:bCs/>
                <w:color w:val="000000"/>
                <w:sz w:val="21"/>
                <w:szCs w:val="21"/>
              </w:rPr>
            </w:pPr>
            <w:r>
              <w:rPr>
                <w:b w:val="0"/>
                <w:bCs/>
                <w:color w:val="000000"/>
                <w:sz w:val="21"/>
                <w:szCs w:val="21"/>
              </w:rPr>
              <w:t>1</w:t>
            </w:r>
          </w:p>
        </w:tc>
        <w:tc>
          <w:tcPr>
            <w:tcW w:w="494" w:type="pct"/>
            <w:shd w:val="clear" w:color="auto" w:fill="auto"/>
            <w:vAlign w:val="center"/>
          </w:tcPr>
          <w:p w14:paraId="3294500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b w:val="0"/>
                <w:bCs/>
                <w:sz w:val="21"/>
                <w:szCs w:val="21"/>
              </w:rPr>
            </w:pPr>
            <w:r>
              <w:rPr>
                <w:b w:val="0"/>
                <w:bCs/>
                <w:sz w:val="21"/>
                <w:szCs w:val="21"/>
              </w:rPr>
              <w:t>0.05</w:t>
            </w:r>
          </w:p>
        </w:tc>
        <w:tc>
          <w:tcPr>
            <w:tcW w:w="411" w:type="pct"/>
            <w:shd w:val="clear" w:color="auto" w:fill="auto"/>
            <w:vAlign w:val="center"/>
          </w:tcPr>
          <w:p w14:paraId="18780FE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b w:val="0"/>
                <w:bCs/>
                <w:sz w:val="21"/>
                <w:szCs w:val="21"/>
              </w:rPr>
            </w:pPr>
            <w:r>
              <w:rPr>
                <w:b w:val="0"/>
                <w:bCs/>
                <w:sz w:val="21"/>
                <w:szCs w:val="21"/>
              </w:rPr>
              <w:t>100</w:t>
            </w:r>
          </w:p>
        </w:tc>
        <w:tc>
          <w:tcPr>
            <w:tcW w:w="492" w:type="pct"/>
            <w:shd w:val="clear" w:color="auto" w:fill="auto"/>
            <w:vAlign w:val="center"/>
          </w:tcPr>
          <w:p w14:paraId="6F93EF4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b w:val="0"/>
                <w:bCs/>
                <w:sz w:val="21"/>
                <w:szCs w:val="21"/>
              </w:rPr>
            </w:pPr>
          </w:p>
        </w:tc>
        <w:tc>
          <w:tcPr>
            <w:tcW w:w="822" w:type="pct"/>
            <w:shd w:val="clear" w:color="auto" w:fill="auto"/>
            <w:vAlign w:val="center"/>
          </w:tcPr>
          <w:p w14:paraId="39CBD9E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b w:val="0"/>
                <w:bCs/>
                <w:sz w:val="21"/>
                <w:szCs w:val="21"/>
              </w:rPr>
            </w:pPr>
          </w:p>
        </w:tc>
      </w:tr>
      <w:tr w14:paraId="7BC8ACB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1028" w:type="pct"/>
            <w:gridSpan w:val="2"/>
            <w:shd w:val="clear" w:color="auto" w:fill="auto"/>
            <w:vAlign w:val="center"/>
          </w:tcPr>
          <w:p w14:paraId="63195EC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b w:val="0"/>
                <w:bCs/>
                <w:color w:val="000000"/>
                <w:spacing w:val="-10"/>
                <w:sz w:val="21"/>
                <w:szCs w:val="21"/>
              </w:rPr>
            </w:pPr>
            <w:r>
              <w:rPr>
                <w:b w:val="0"/>
                <w:bCs/>
                <w:color w:val="000000"/>
                <w:spacing w:val="-10"/>
                <w:sz w:val="21"/>
                <w:szCs w:val="21"/>
              </w:rPr>
              <w:t>*石油类</w:t>
            </w:r>
          </w:p>
        </w:tc>
        <w:tc>
          <w:tcPr>
            <w:tcW w:w="928" w:type="pct"/>
            <w:gridSpan w:val="2"/>
            <w:shd w:val="clear" w:color="auto" w:fill="auto"/>
            <w:vAlign w:val="center"/>
          </w:tcPr>
          <w:p w14:paraId="29C9792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b w:val="0"/>
                <w:bCs/>
                <w:color w:val="000000"/>
                <w:spacing w:val="-10"/>
                <w:sz w:val="21"/>
                <w:szCs w:val="21"/>
              </w:rPr>
            </w:pPr>
            <w:r>
              <w:rPr>
                <w:b w:val="0"/>
                <w:bCs/>
                <w:color w:val="000000"/>
                <w:spacing w:val="-10"/>
                <w:sz w:val="21"/>
                <w:szCs w:val="21"/>
              </w:rPr>
              <w:t>**苯</w:t>
            </w:r>
          </w:p>
        </w:tc>
        <w:tc>
          <w:tcPr>
            <w:tcW w:w="822" w:type="pct"/>
            <w:gridSpan w:val="2"/>
            <w:shd w:val="clear" w:color="auto" w:fill="auto"/>
            <w:vAlign w:val="center"/>
          </w:tcPr>
          <w:p w14:paraId="0D68DAE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b w:val="0"/>
                <w:bCs/>
                <w:color w:val="000000"/>
                <w:spacing w:val="-10"/>
                <w:sz w:val="21"/>
                <w:szCs w:val="21"/>
              </w:rPr>
            </w:pPr>
            <w:r>
              <w:rPr>
                <w:b w:val="0"/>
                <w:bCs/>
                <w:color w:val="000000"/>
                <w:spacing w:val="-10"/>
                <w:sz w:val="21"/>
                <w:szCs w:val="21"/>
              </w:rPr>
              <w:t>**苯乙烯</w:t>
            </w:r>
          </w:p>
        </w:tc>
        <w:tc>
          <w:tcPr>
            <w:tcW w:w="905" w:type="pct"/>
            <w:gridSpan w:val="2"/>
            <w:shd w:val="clear" w:color="auto" w:fill="auto"/>
            <w:vAlign w:val="center"/>
          </w:tcPr>
          <w:p w14:paraId="14A4276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b w:val="0"/>
                <w:bCs/>
                <w:color w:val="000000"/>
                <w:spacing w:val="-10"/>
                <w:sz w:val="21"/>
                <w:szCs w:val="21"/>
              </w:rPr>
            </w:pPr>
            <w:r>
              <w:rPr>
                <w:b w:val="0"/>
                <w:bCs/>
                <w:color w:val="000000"/>
                <w:spacing w:val="-10"/>
                <w:sz w:val="21"/>
                <w:szCs w:val="21"/>
              </w:rPr>
              <w:t>**BaP</w:t>
            </w:r>
          </w:p>
        </w:tc>
        <w:tc>
          <w:tcPr>
            <w:tcW w:w="492" w:type="pct"/>
            <w:shd w:val="clear" w:color="auto" w:fill="auto"/>
            <w:vAlign w:val="center"/>
          </w:tcPr>
          <w:p w14:paraId="630AB3A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b w:val="0"/>
                <w:bCs/>
                <w:color w:val="000000"/>
                <w:spacing w:val="-10"/>
                <w:sz w:val="21"/>
                <w:szCs w:val="21"/>
              </w:rPr>
            </w:pPr>
            <w:r>
              <w:rPr>
                <w:b w:val="0"/>
                <w:bCs/>
                <w:color w:val="000000"/>
                <w:spacing w:val="-10"/>
                <w:sz w:val="21"/>
                <w:szCs w:val="21"/>
              </w:rPr>
              <w:t>**吡啶</w:t>
            </w:r>
          </w:p>
        </w:tc>
        <w:tc>
          <w:tcPr>
            <w:tcW w:w="822" w:type="pct"/>
            <w:shd w:val="clear" w:color="auto" w:fill="auto"/>
            <w:vAlign w:val="center"/>
          </w:tcPr>
          <w:p w14:paraId="4D7AC3E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b w:val="0"/>
                <w:bCs/>
                <w:color w:val="000000"/>
                <w:spacing w:val="-10"/>
                <w:sz w:val="21"/>
                <w:szCs w:val="21"/>
              </w:rPr>
            </w:pPr>
            <w:r>
              <w:rPr>
                <w:b w:val="0"/>
                <w:bCs/>
                <w:color w:val="000000"/>
                <w:spacing w:val="-10"/>
                <w:sz w:val="21"/>
                <w:szCs w:val="21"/>
              </w:rPr>
              <w:t>**苯胺</w:t>
            </w:r>
          </w:p>
        </w:tc>
      </w:tr>
      <w:tr w14:paraId="5829F9D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1028" w:type="pct"/>
            <w:gridSpan w:val="2"/>
            <w:shd w:val="clear" w:color="auto" w:fill="auto"/>
            <w:vAlign w:val="center"/>
          </w:tcPr>
          <w:p w14:paraId="74F05C7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b w:val="0"/>
                <w:bCs/>
                <w:color w:val="000000"/>
                <w:spacing w:val="-10"/>
                <w:sz w:val="21"/>
                <w:szCs w:val="21"/>
              </w:rPr>
            </w:pPr>
            <w:r>
              <w:rPr>
                <w:b w:val="0"/>
                <w:bCs/>
                <w:color w:val="000000"/>
                <w:spacing w:val="-10"/>
                <w:sz w:val="21"/>
                <w:szCs w:val="21"/>
              </w:rPr>
              <w:t>0.05</w:t>
            </w:r>
          </w:p>
        </w:tc>
        <w:tc>
          <w:tcPr>
            <w:tcW w:w="928" w:type="pct"/>
            <w:gridSpan w:val="2"/>
            <w:shd w:val="clear" w:color="auto" w:fill="auto"/>
            <w:vAlign w:val="center"/>
          </w:tcPr>
          <w:p w14:paraId="076010B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b w:val="0"/>
                <w:bCs/>
                <w:color w:val="000000"/>
                <w:spacing w:val="-10"/>
                <w:sz w:val="21"/>
                <w:szCs w:val="21"/>
              </w:rPr>
            </w:pPr>
            <w:r>
              <w:rPr>
                <w:b w:val="0"/>
                <w:bCs/>
                <w:color w:val="000000"/>
                <w:spacing w:val="-10"/>
                <w:sz w:val="21"/>
                <w:szCs w:val="21"/>
              </w:rPr>
              <w:t>0.01</w:t>
            </w:r>
          </w:p>
        </w:tc>
        <w:tc>
          <w:tcPr>
            <w:tcW w:w="822" w:type="pct"/>
            <w:gridSpan w:val="2"/>
            <w:shd w:val="clear" w:color="auto" w:fill="auto"/>
            <w:vAlign w:val="center"/>
          </w:tcPr>
          <w:p w14:paraId="629BA46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b w:val="0"/>
                <w:bCs/>
                <w:color w:val="000000"/>
                <w:spacing w:val="-10"/>
                <w:sz w:val="21"/>
                <w:szCs w:val="21"/>
              </w:rPr>
            </w:pPr>
            <w:r>
              <w:rPr>
                <w:b w:val="0"/>
                <w:bCs/>
                <w:color w:val="000000"/>
                <w:spacing w:val="-10"/>
                <w:sz w:val="21"/>
                <w:szCs w:val="21"/>
              </w:rPr>
              <w:t>0.02</w:t>
            </w:r>
          </w:p>
        </w:tc>
        <w:tc>
          <w:tcPr>
            <w:tcW w:w="905" w:type="pct"/>
            <w:gridSpan w:val="2"/>
            <w:shd w:val="clear" w:color="auto" w:fill="auto"/>
            <w:vAlign w:val="center"/>
          </w:tcPr>
          <w:p w14:paraId="67815FB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b w:val="0"/>
                <w:bCs/>
                <w:color w:val="000000"/>
                <w:spacing w:val="-10"/>
                <w:sz w:val="21"/>
                <w:szCs w:val="21"/>
                <w:vertAlign w:val="superscript"/>
              </w:rPr>
            </w:pPr>
            <w:r>
              <w:rPr>
                <w:b w:val="0"/>
                <w:bCs/>
                <w:color w:val="000000"/>
                <w:spacing w:val="-10"/>
                <w:sz w:val="21"/>
                <w:szCs w:val="21"/>
              </w:rPr>
              <w:t>2.8</w:t>
            </w:r>
            <w:r>
              <w:rPr>
                <w:b w:val="0"/>
                <w:bCs/>
                <w:color w:val="000000"/>
                <w:spacing w:val="-10"/>
                <w:sz w:val="21"/>
                <w:szCs w:val="21"/>
              </w:rPr>
              <w:sym w:font="Symbol" w:char="F0B4"/>
            </w:r>
            <w:r>
              <w:rPr>
                <w:b w:val="0"/>
                <w:bCs/>
                <w:color w:val="000000"/>
                <w:spacing w:val="-10"/>
                <w:sz w:val="21"/>
                <w:szCs w:val="21"/>
              </w:rPr>
              <w:t>10</w:t>
            </w:r>
            <w:r>
              <w:rPr>
                <w:b w:val="0"/>
                <w:bCs/>
                <w:color w:val="000000"/>
                <w:spacing w:val="-10"/>
                <w:sz w:val="21"/>
                <w:szCs w:val="21"/>
                <w:vertAlign w:val="superscript"/>
              </w:rPr>
              <w:t>-6</w:t>
            </w:r>
          </w:p>
        </w:tc>
        <w:tc>
          <w:tcPr>
            <w:tcW w:w="492" w:type="pct"/>
            <w:shd w:val="clear" w:color="auto" w:fill="auto"/>
            <w:vAlign w:val="center"/>
          </w:tcPr>
          <w:p w14:paraId="01222C6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b w:val="0"/>
                <w:bCs/>
                <w:color w:val="000000"/>
                <w:spacing w:val="-10"/>
                <w:sz w:val="21"/>
                <w:szCs w:val="21"/>
              </w:rPr>
            </w:pPr>
            <w:r>
              <w:rPr>
                <w:b w:val="0"/>
                <w:bCs/>
                <w:color w:val="000000"/>
                <w:spacing w:val="-10"/>
                <w:sz w:val="21"/>
                <w:szCs w:val="21"/>
              </w:rPr>
              <w:t>0.2</w:t>
            </w:r>
          </w:p>
        </w:tc>
        <w:tc>
          <w:tcPr>
            <w:tcW w:w="822" w:type="pct"/>
            <w:shd w:val="clear" w:color="auto" w:fill="auto"/>
            <w:vAlign w:val="center"/>
          </w:tcPr>
          <w:p w14:paraId="6ABCC3A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b w:val="0"/>
                <w:bCs/>
                <w:color w:val="000000"/>
                <w:spacing w:val="-10"/>
                <w:sz w:val="21"/>
                <w:szCs w:val="21"/>
              </w:rPr>
            </w:pPr>
            <w:r>
              <w:rPr>
                <w:b w:val="0"/>
                <w:bCs/>
                <w:color w:val="000000"/>
                <w:spacing w:val="-10"/>
                <w:sz w:val="21"/>
                <w:szCs w:val="21"/>
              </w:rPr>
              <w:t>0.1</w:t>
            </w:r>
          </w:p>
        </w:tc>
      </w:tr>
    </w:tbl>
    <w:p w14:paraId="26C5E3D0">
      <w:pPr>
        <w:adjustRightInd w:val="0"/>
        <w:snapToGrid w:val="0"/>
        <w:spacing w:line="240" w:lineRule="auto"/>
        <w:rPr>
          <w:sz w:val="21"/>
          <w:szCs w:val="21"/>
        </w:rPr>
      </w:pPr>
      <w:r>
        <w:rPr>
          <w:sz w:val="21"/>
          <w:szCs w:val="21"/>
        </w:rPr>
        <w:t>*注：石油类参考《地表水环境质量标准》（GB3838-2002）表1地表水环境质量标准基本项目标准限值 石油类的III类标准标准限值。</w:t>
      </w:r>
    </w:p>
    <w:p w14:paraId="5B910B49">
      <w:pPr>
        <w:adjustRightInd w:val="0"/>
        <w:snapToGrid w:val="0"/>
        <w:spacing w:line="240" w:lineRule="auto"/>
        <w:rPr>
          <w:sz w:val="21"/>
          <w:szCs w:val="21"/>
        </w:rPr>
      </w:pPr>
      <w:r>
        <w:rPr>
          <w:sz w:val="21"/>
          <w:szCs w:val="21"/>
        </w:rPr>
        <w:t>**苯、苯乙烯、苯胺、BaP和吡啶参考《地表水环境质量标准》（GB3838-2002）表3集中式生活饮用水地表水水源地特定项目标准限值。</w:t>
      </w:r>
    </w:p>
    <w:p w14:paraId="334B17BF">
      <w:pPr>
        <w:pStyle w:val="31"/>
        <w:spacing w:after="0" w:line="240" w:lineRule="auto"/>
        <w:ind w:left="600" w:leftChars="250"/>
      </w:pPr>
    </w:p>
    <w:p w14:paraId="3D33B3BC">
      <w:pPr>
        <w:ind w:firstLine="600" w:firstLineChars="250"/>
      </w:pPr>
      <w:r>
        <w:t>（4）声环境质量标准</w:t>
      </w:r>
    </w:p>
    <w:p w14:paraId="0E4DFF48">
      <w:pPr>
        <w:ind w:firstLine="482"/>
        <w:jc w:val="left"/>
      </w:pPr>
      <w:r>
        <w:t>厂界声环境执行《声环境质量标准》（GB3096-2008）中</w:t>
      </w:r>
      <w:r>
        <w:rPr>
          <w:rFonts w:hint="eastAsia"/>
          <w:lang w:val="en-US" w:eastAsia="zh-CN"/>
        </w:rPr>
        <w:t>2</w:t>
      </w:r>
      <w:r>
        <w:t>类标准，见下表。</w:t>
      </w:r>
    </w:p>
    <w:p w14:paraId="40EAC178">
      <w:pPr>
        <w:pStyle w:val="293"/>
        <w:adjustRightInd w:val="0"/>
        <w:snapToGrid w:val="0"/>
        <w:ind w:left="420" w:leftChars="175" w:firstLine="103" w:firstLineChars="49"/>
        <w:jc w:val="center"/>
        <w:rPr>
          <w:b/>
          <w:sz w:val="21"/>
          <w:szCs w:val="21"/>
        </w:rPr>
      </w:pPr>
      <w:r>
        <w:rPr>
          <w:b/>
          <w:sz w:val="21"/>
          <w:szCs w:val="21"/>
        </w:rPr>
        <w:t>表</w:t>
      </w:r>
      <w:r>
        <w:rPr>
          <w:rFonts w:hint="eastAsia"/>
          <w:b/>
          <w:sz w:val="21"/>
          <w:szCs w:val="21"/>
          <w:lang w:val="en-US" w:eastAsia="zh-CN"/>
        </w:rPr>
        <w:t>2-6</w:t>
      </w:r>
      <w:r>
        <w:rPr>
          <w:b/>
          <w:sz w:val="21"/>
          <w:szCs w:val="21"/>
        </w:rPr>
        <w:t>声环境质量标准  单位：dB（A）</w:t>
      </w:r>
    </w:p>
    <w:tbl>
      <w:tblPr>
        <w:tblStyle w:val="52"/>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28" w:type="dxa"/>
          <w:bottom w:w="0" w:type="dxa"/>
          <w:right w:w="28" w:type="dxa"/>
        </w:tblCellMar>
      </w:tblPr>
      <w:tblGrid>
        <w:gridCol w:w="1406"/>
        <w:gridCol w:w="1401"/>
        <w:gridCol w:w="1401"/>
        <w:gridCol w:w="1404"/>
        <w:gridCol w:w="2750"/>
      </w:tblGrid>
      <w:tr w14:paraId="6DE48AD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339" w:hRule="atLeast"/>
          <w:jc w:val="center"/>
        </w:trPr>
        <w:tc>
          <w:tcPr>
            <w:tcW w:w="841" w:type="pct"/>
            <w:tcBorders>
              <w:top w:val="single" w:color="auto" w:sz="12" w:space="0"/>
              <w:left w:val="nil"/>
              <w:bottom w:val="single" w:color="auto" w:sz="4" w:space="0"/>
              <w:right w:val="single" w:color="auto" w:sz="4" w:space="0"/>
            </w:tcBorders>
            <w:vAlign w:val="center"/>
          </w:tcPr>
          <w:p w14:paraId="7C8CEDA3">
            <w:pPr>
              <w:pStyle w:val="321"/>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pPr>
            <w:r>
              <w:t>方位</w:t>
            </w:r>
          </w:p>
        </w:tc>
        <w:tc>
          <w:tcPr>
            <w:tcW w:w="838" w:type="pct"/>
            <w:tcBorders>
              <w:top w:val="single" w:color="auto" w:sz="12" w:space="0"/>
              <w:left w:val="single" w:color="auto" w:sz="4" w:space="0"/>
              <w:bottom w:val="single" w:color="auto" w:sz="4" w:space="0"/>
              <w:right w:val="single" w:color="auto" w:sz="4" w:space="0"/>
            </w:tcBorders>
            <w:vAlign w:val="center"/>
          </w:tcPr>
          <w:p w14:paraId="4152054D">
            <w:pPr>
              <w:pStyle w:val="321"/>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pPr>
            <w:r>
              <w:t>类别</w:t>
            </w:r>
          </w:p>
        </w:tc>
        <w:tc>
          <w:tcPr>
            <w:tcW w:w="838" w:type="pct"/>
            <w:tcBorders>
              <w:top w:val="single" w:color="auto" w:sz="12" w:space="0"/>
              <w:left w:val="single" w:color="auto" w:sz="4" w:space="0"/>
              <w:bottom w:val="single" w:color="auto" w:sz="4" w:space="0"/>
              <w:right w:val="single" w:color="auto" w:sz="4" w:space="0"/>
            </w:tcBorders>
            <w:vAlign w:val="center"/>
          </w:tcPr>
          <w:p w14:paraId="738EAFCA">
            <w:pPr>
              <w:pStyle w:val="321"/>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pPr>
            <w:r>
              <w:t>昼间</w:t>
            </w:r>
          </w:p>
        </w:tc>
        <w:tc>
          <w:tcPr>
            <w:tcW w:w="839" w:type="pct"/>
            <w:tcBorders>
              <w:top w:val="single" w:color="auto" w:sz="12" w:space="0"/>
              <w:left w:val="single" w:color="auto" w:sz="4" w:space="0"/>
              <w:bottom w:val="single" w:color="auto" w:sz="4" w:space="0"/>
              <w:right w:val="single" w:color="auto" w:sz="4" w:space="0"/>
            </w:tcBorders>
            <w:vAlign w:val="center"/>
          </w:tcPr>
          <w:p w14:paraId="7717AD5C">
            <w:pPr>
              <w:pStyle w:val="321"/>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pPr>
            <w:r>
              <w:t>夜间</w:t>
            </w:r>
          </w:p>
        </w:tc>
        <w:tc>
          <w:tcPr>
            <w:tcW w:w="1644" w:type="pct"/>
            <w:tcBorders>
              <w:top w:val="single" w:color="auto" w:sz="12" w:space="0"/>
              <w:left w:val="single" w:color="auto" w:sz="4" w:space="0"/>
              <w:bottom w:val="single" w:color="auto" w:sz="4" w:space="0"/>
              <w:right w:val="nil"/>
            </w:tcBorders>
            <w:vAlign w:val="center"/>
          </w:tcPr>
          <w:p w14:paraId="1EA175E6">
            <w:pPr>
              <w:pStyle w:val="321"/>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pPr>
            <w:r>
              <w:t>备注</w:t>
            </w:r>
          </w:p>
        </w:tc>
      </w:tr>
      <w:tr w14:paraId="3E4CD07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606" w:hRule="atLeast"/>
          <w:jc w:val="center"/>
        </w:trPr>
        <w:tc>
          <w:tcPr>
            <w:tcW w:w="841" w:type="pct"/>
            <w:tcBorders>
              <w:top w:val="single" w:color="auto" w:sz="4" w:space="0"/>
              <w:left w:val="nil"/>
              <w:right w:val="single" w:color="auto" w:sz="4" w:space="0"/>
            </w:tcBorders>
            <w:vAlign w:val="center"/>
          </w:tcPr>
          <w:p w14:paraId="14B1242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厂区</w:t>
            </w:r>
          </w:p>
        </w:tc>
        <w:tc>
          <w:tcPr>
            <w:tcW w:w="838" w:type="pct"/>
            <w:tcBorders>
              <w:top w:val="single" w:color="auto" w:sz="4" w:space="0"/>
              <w:left w:val="single" w:color="auto" w:sz="4" w:space="0"/>
              <w:right w:val="single" w:color="auto" w:sz="4" w:space="0"/>
            </w:tcBorders>
            <w:vAlign w:val="center"/>
          </w:tcPr>
          <w:p w14:paraId="6D4B1A65">
            <w:pPr>
              <w:pStyle w:val="321"/>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pPr>
            <w:r>
              <w:rPr>
                <w:rFonts w:hint="eastAsia"/>
                <w:lang w:val="en-US" w:eastAsia="zh-CN"/>
              </w:rPr>
              <w:t>2</w:t>
            </w:r>
            <w:r>
              <w:t>类</w:t>
            </w:r>
          </w:p>
        </w:tc>
        <w:tc>
          <w:tcPr>
            <w:tcW w:w="838" w:type="pct"/>
            <w:tcBorders>
              <w:top w:val="single" w:color="auto" w:sz="4" w:space="0"/>
              <w:left w:val="single" w:color="auto" w:sz="4" w:space="0"/>
              <w:right w:val="single" w:color="auto" w:sz="4" w:space="0"/>
            </w:tcBorders>
            <w:vAlign w:val="center"/>
          </w:tcPr>
          <w:p w14:paraId="7E870F80">
            <w:pPr>
              <w:pStyle w:val="321"/>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eastAsia="宋体"/>
                <w:lang w:val="en-US" w:eastAsia="zh-CN"/>
              </w:rPr>
            </w:pPr>
            <w:r>
              <w:rPr>
                <w:rFonts w:hint="eastAsia"/>
                <w:lang w:val="en-US" w:eastAsia="zh-CN"/>
              </w:rPr>
              <w:t>60</w:t>
            </w:r>
          </w:p>
        </w:tc>
        <w:tc>
          <w:tcPr>
            <w:tcW w:w="839" w:type="pct"/>
            <w:tcBorders>
              <w:top w:val="single" w:color="auto" w:sz="4" w:space="0"/>
              <w:left w:val="single" w:color="auto" w:sz="4" w:space="0"/>
              <w:right w:val="single" w:color="auto" w:sz="4" w:space="0"/>
            </w:tcBorders>
            <w:vAlign w:val="center"/>
          </w:tcPr>
          <w:p w14:paraId="3532274C">
            <w:pPr>
              <w:pStyle w:val="321"/>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eastAsia="宋体"/>
                <w:lang w:val="en-US" w:eastAsia="zh-CN"/>
              </w:rPr>
            </w:pPr>
            <w:r>
              <w:rPr>
                <w:rFonts w:hint="eastAsia"/>
                <w:lang w:val="en-US" w:eastAsia="zh-CN"/>
              </w:rPr>
              <w:t>50</w:t>
            </w:r>
          </w:p>
        </w:tc>
        <w:tc>
          <w:tcPr>
            <w:tcW w:w="1644" w:type="pct"/>
            <w:tcBorders>
              <w:top w:val="single" w:color="auto" w:sz="4" w:space="0"/>
              <w:left w:val="single" w:color="auto" w:sz="4" w:space="0"/>
              <w:bottom w:val="single" w:color="auto" w:sz="12" w:space="0"/>
              <w:right w:val="nil"/>
            </w:tcBorders>
            <w:vAlign w:val="center"/>
          </w:tcPr>
          <w:p w14:paraId="4CDC6A8D">
            <w:pPr>
              <w:pStyle w:val="321"/>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pPr>
            <w:r>
              <w:t>《声环境质量标准》（GB3096-2008）</w:t>
            </w:r>
          </w:p>
        </w:tc>
      </w:tr>
    </w:tbl>
    <w:p w14:paraId="4AEE6797">
      <w:pPr>
        <w:spacing w:line="360" w:lineRule="auto"/>
        <w:ind w:firstLine="480" w:firstLineChars="200"/>
      </w:pPr>
      <w:r>
        <w:t>（5）土壤环境质量标准</w:t>
      </w:r>
    </w:p>
    <w:p w14:paraId="048B8F89">
      <w:pPr>
        <w:spacing w:line="360" w:lineRule="auto"/>
        <w:ind w:firstLine="482"/>
        <w:jc w:val="left"/>
      </w:pPr>
      <w:r>
        <w:t>土壤环境质量执行《土壤环境质量 建设用地土壤污染风险管控标准》(GB36600-2018)中第二类用地筛选值标准。</w:t>
      </w:r>
    </w:p>
    <w:p w14:paraId="53186EAB">
      <w:pPr>
        <w:spacing w:line="480" w:lineRule="exact"/>
        <w:ind w:firstLine="482"/>
        <w:jc w:val="center"/>
        <w:rPr>
          <w:b/>
          <w:sz w:val="21"/>
          <w:szCs w:val="21"/>
        </w:rPr>
      </w:pPr>
      <w:r>
        <w:rPr>
          <w:b/>
          <w:sz w:val="21"/>
          <w:szCs w:val="21"/>
        </w:rPr>
        <w:t>表</w:t>
      </w:r>
      <w:r>
        <w:rPr>
          <w:rFonts w:hint="eastAsia"/>
          <w:b/>
          <w:sz w:val="21"/>
          <w:szCs w:val="21"/>
          <w:lang w:val="en-US" w:eastAsia="zh-CN"/>
        </w:rPr>
        <w:t>2-7</w:t>
      </w:r>
      <w:r>
        <w:rPr>
          <w:b/>
          <w:sz w:val="21"/>
          <w:szCs w:val="21"/>
        </w:rPr>
        <w:t>建设用地土壤污染风险管控标准  mg/kg</w:t>
      </w:r>
    </w:p>
    <w:tbl>
      <w:tblPr>
        <w:tblStyle w:val="52"/>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57" w:type="dxa"/>
          <w:bottom w:w="0" w:type="dxa"/>
          <w:right w:w="57" w:type="dxa"/>
        </w:tblCellMar>
      </w:tblPr>
      <w:tblGrid>
        <w:gridCol w:w="1499"/>
        <w:gridCol w:w="3460"/>
        <w:gridCol w:w="3461"/>
      </w:tblGrid>
      <w:tr w14:paraId="7929DE4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blHeader/>
          <w:jc w:val="center"/>
        </w:trPr>
        <w:tc>
          <w:tcPr>
            <w:tcW w:w="890" w:type="pct"/>
            <w:vAlign w:val="center"/>
          </w:tcPr>
          <w:p w14:paraId="1A58B953">
            <w:pPr>
              <w:pStyle w:val="3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序号</w:t>
            </w:r>
          </w:p>
        </w:tc>
        <w:tc>
          <w:tcPr>
            <w:tcW w:w="2054" w:type="pct"/>
            <w:vAlign w:val="center"/>
          </w:tcPr>
          <w:p w14:paraId="4E35B2C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污染物项目</w:t>
            </w:r>
          </w:p>
        </w:tc>
        <w:tc>
          <w:tcPr>
            <w:tcW w:w="2055" w:type="pct"/>
            <w:tcMar>
              <w:top w:w="28" w:type="dxa"/>
              <w:left w:w="57" w:type="dxa"/>
              <w:bottom w:w="28" w:type="dxa"/>
              <w:right w:w="57" w:type="dxa"/>
            </w:tcMar>
            <w:vAlign w:val="center"/>
          </w:tcPr>
          <w:p w14:paraId="274F91F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第二类用地筛选值</w:t>
            </w:r>
          </w:p>
        </w:tc>
      </w:tr>
      <w:tr w14:paraId="6B957E3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jc w:val="center"/>
        </w:trPr>
        <w:tc>
          <w:tcPr>
            <w:tcW w:w="890" w:type="pct"/>
            <w:vAlign w:val="center"/>
          </w:tcPr>
          <w:p w14:paraId="4996F884">
            <w:pPr>
              <w:pStyle w:val="3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1</w:t>
            </w:r>
          </w:p>
        </w:tc>
        <w:tc>
          <w:tcPr>
            <w:tcW w:w="2054" w:type="pct"/>
            <w:vAlign w:val="center"/>
          </w:tcPr>
          <w:p w14:paraId="06193EA0">
            <w:pPr>
              <w:pStyle w:val="3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砷</w:t>
            </w:r>
          </w:p>
        </w:tc>
        <w:tc>
          <w:tcPr>
            <w:tcW w:w="2055" w:type="pct"/>
            <w:tcMar>
              <w:top w:w="28" w:type="dxa"/>
              <w:left w:w="57" w:type="dxa"/>
              <w:bottom w:w="28" w:type="dxa"/>
              <w:right w:w="57" w:type="dxa"/>
            </w:tcMar>
            <w:vAlign w:val="center"/>
          </w:tcPr>
          <w:p w14:paraId="5D762BD5">
            <w:pPr>
              <w:pStyle w:val="3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60</w:t>
            </w:r>
          </w:p>
        </w:tc>
      </w:tr>
      <w:tr w14:paraId="6488909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jc w:val="center"/>
        </w:trPr>
        <w:tc>
          <w:tcPr>
            <w:tcW w:w="890" w:type="pct"/>
            <w:vAlign w:val="center"/>
          </w:tcPr>
          <w:p w14:paraId="1245EB75">
            <w:pPr>
              <w:pStyle w:val="3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2</w:t>
            </w:r>
          </w:p>
        </w:tc>
        <w:tc>
          <w:tcPr>
            <w:tcW w:w="2054" w:type="pct"/>
            <w:vAlign w:val="center"/>
          </w:tcPr>
          <w:p w14:paraId="50503CBB">
            <w:pPr>
              <w:pStyle w:val="3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镉</w:t>
            </w:r>
          </w:p>
        </w:tc>
        <w:tc>
          <w:tcPr>
            <w:tcW w:w="2055" w:type="pct"/>
            <w:tcMar>
              <w:top w:w="28" w:type="dxa"/>
              <w:left w:w="57" w:type="dxa"/>
              <w:bottom w:w="28" w:type="dxa"/>
              <w:right w:w="57" w:type="dxa"/>
            </w:tcMar>
            <w:vAlign w:val="center"/>
          </w:tcPr>
          <w:p w14:paraId="1D5D9A71">
            <w:pPr>
              <w:pStyle w:val="3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65</w:t>
            </w:r>
          </w:p>
        </w:tc>
      </w:tr>
      <w:tr w14:paraId="1CF83CC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jc w:val="center"/>
        </w:trPr>
        <w:tc>
          <w:tcPr>
            <w:tcW w:w="890" w:type="pct"/>
            <w:vAlign w:val="center"/>
          </w:tcPr>
          <w:p w14:paraId="7C2C4B86">
            <w:pPr>
              <w:pStyle w:val="3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3</w:t>
            </w:r>
          </w:p>
        </w:tc>
        <w:tc>
          <w:tcPr>
            <w:tcW w:w="2054" w:type="pct"/>
            <w:vAlign w:val="center"/>
          </w:tcPr>
          <w:p w14:paraId="77ECEB13">
            <w:pPr>
              <w:pStyle w:val="3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铬（六价）</w:t>
            </w:r>
          </w:p>
        </w:tc>
        <w:tc>
          <w:tcPr>
            <w:tcW w:w="2055" w:type="pct"/>
            <w:tcMar>
              <w:top w:w="28" w:type="dxa"/>
              <w:left w:w="57" w:type="dxa"/>
              <w:bottom w:w="28" w:type="dxa"/>
              <w:right w:w="57" w:type="dxa"/>
            </w:tcMar>
            <w:vAlign w:val="center"/>
          </w:tcPr>
          <w:p w14:paraId="66E4CA85">
            <w:pPr>
              <w:pStyle w:val="3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5.7</w:t>
            </w:r>
          </w:p>
        </w:tc>
      </w:tr>
      <w:tr w14:paraId="49C5C70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jc w:val="center"/>
        </w:trPr>
        <w:tc>
          <w:tcPr>
            <w:tcW w:w="890" w:type="pct"/>
            <w:vAlign w:val="center"/>
          </w:tcPr>
          <w:p w14:paraId="6A84FFCE">
            <w:pPr>
              <w:pStyle w:val="3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4</w:t>
            </w:r>
          </w:p>
        </w:tc>
        <w:tc>
          <w:tcPr>
            <w:tcW w:w="2054" w:type="pct"/>
            <w:vAlign w:val="center"/>
          </w:tcPr>
          <w:p w14:paraId="331D551C">
            <w:pPr>
              <w:pStyle w:val="3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铜</w:t>
            </w:r>
          </w:p>
        </w:tc>
        <w:tc>
          <w:tcPr>
            <w:tcW w:w="2055" w:type="pct"/>
            <w:tcMar>
              <w:top w:w="28" w:type="dxa"/>
              <w:left w:w="57" w:type="dxa"/>
              <w:bottom w:w="28" w:type="dxa"/>
              <w:right w:w="57" w:type="dxa"/>
            </w:tcMar>
            <w:vAlign w:val="center"/>
          </w:tcPr>
          <w:p w14:paraId="3DBEF8D6">
            <w:pPr>
              <w:pStyle w:val="3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18000</w:t>
            </w:r>
          </w:p>
        </w:tc>
      </w:tr>
      <w:tr w14:paraId="56D022A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jc w:val="center"/>
        </w:trPr>
        <w:tc>
          <w:tcPr>
            <w:tcW w:w="890" w:type="pct"/>
            <w:vAlign w:val="center"/>
          </w:tcPr>
          <w:p w14:paraId="58A0BC61">
            <w:pPr>
              <w:pStyle w:val="3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5</w:t>
            </w:r>
          </w:p>
        </w:tc>
        <w:tc>
          <w:tcPr>
            <w:tcW w:w="2054" w:type="pct"/>
            <w:vAlign w:val="center"/>
          </w:tcPr>
          <w:p w14:paraId="6D173456">
            <w:pPr>
              <w:pStyle w:val="3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铅</w:t>
            </w:r>
          </w:p>
        </w:tc>
        <w:tc>
          <w:tcPr>
            <w:tcW w:w="2055" w:type="pct"/>
            <w:tcMar>
              <w:top w:w="28" w:type="dxa"/>
              <w:left w:w="57" w:type="dxa"/>
              <w:bottom w:w="28" w:type="dxa"/>
              <w:right w:w="57" w:type="dxa"/>
            </w:tcMar>
            <w:vAlign w:val="center"/>
          </w:tcPr>
          <w:p w14:paraId="2247C987">
            <w:pPr>
              <w:pStyle w:val="3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800</w:t>
            </w:r>
          </w:p>
        </w:tc>
      </w:tr>
      <w:tr w14:paraId="0064706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jc w:val="center"/>
        </w:trPr>
        <w:tc>
          <w:tcPr>
            <w:tcW w:w="890" w:type="pct"/>
            <w:vAlign w:val="center"/>
          </w:tcPr>
          <w:p w14:paraId="26ECA985">
            <w:pPr>
              <w:pStyle w:val="3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6</w:t>
            </w:r>
          </w:p>
        </w:tc>
        <w:tc>
          <w:tcPr>
            <w:tcW w:w="2054" w:type="pct"/>
            <w:vAlign w:val="center"/>
          </w:tcPr>
          <w:p w14:paraId="50A9D479">
            <w:pPr>
              <w:pStyle w:val="3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汞</w:t>
            </w:r>
          </w:p>
        </w:tc>
        <w:tc>
          <w:tcPr>
            <w:tcW w:w="2055" w:type="pct"/>
            <w:tcMar>
              <w:top w:w="28" w:type="dxa"/>
              <w:left w:w="57" w:type="dxa"/>
              <w:bottom w:w="28" w:type="dxa"/>
              <w:right w:w="57" w:type="dxa"/>
            </w:tcMar>
            <w:vAlign w:val="center"/>
          </w:tcPr>
          <w:p w14:paraId="191F74BB">
            <w:pPr>
              <w:pStyle w:val="3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38</w:t>
            </w:r>
          </w:p>
        </w:tc>
      </w:tr>
      <w:tr w14:paraId="30928F1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jc w:val="center"/>
        </w:trPr>
        <w:tc>
          <w:tcPr>
            <w:tcW w:w="890" w:type="pct"/>
            <w:vAlign w:val="center"/>
          </w:tcPr>
          <w:p w14:paraId="0B83A4B6">
            <w:pPr>
              <w:pStyle w:val="3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7</w:t>
            </w:r>
          </w:p>
        </w:tc>
        <w:tc>
          <w:tcPr>
            <w:tcW w:w="2054" w:type="pct"/>
            <w:vAlign w:val="center"/>
          </w:tcPr>
          <w:p w14:paraId="768B9695">
            <w:pPr>
              <w:pStyle w:val="3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镍</w:t>
            </w:r>
          </w:p>
        </w:tc>
        <w:tc>
          <w:tcPr>
            <w:tcW w:w="2055" w:type="pct"/>
            <w:tcMar>
              <w:top w:w="28" w:type="dxa"/>
              <w:left w:w="57" w:type="dxa"/>
              <w:bottom w:w="28" w:type="dxa"/>
              <w:right w:w="57" w:type="dxa"/>
            </w:tcMar>
            <w:vAlign w:val="center"/>
          </w:tcPr>
          <w:p w14:paraId="52BBB984">
            <w:pPr>
              <w:pStyle w:val="3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900</w:t>
            </w:r>
          </w:p>
        </w:tc>
      </w:tr>
      <w:tr w14:paraId="41A9AB9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jc w:val="center"/>
        </w:trPr>
        <w:tc>
          <w:tcPr>
            <w:tcW w:w="890" w:type="pct"/>
            <w:vAlign w:val="center"/>
          </w:tcPr>
          <w:p w14:paraId="649A98DC">
            <w:pPr>
              <w:pStyle w:val="3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8</w:t>
            </w:r>
          </w:p>
        </w:tc>
        <w:tc>
          <w:tcPr>
            <w:tcW w:w="2054" w:type="pct"/>
            <w:vAlign w:val="center"/>
          </w:tcPr>
          <w:p w14:paraId="78FCAA7B">
            <w:pPr>
              <w:pStyle w:val="3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四氯化碳</w:t>
            </w:r>
          </w:p>
        </w:tc>
        <w:tc>
          <w:tcPr>
            <w:tcW w:w="2055" w:type="pct"/>
            <w:tcMar>
              <w:top w:w="28" w:type="dxa"/>
              <w:left w:w="57" w:type="dxa"/>
              <w:bottom w:w="28" w:type="dxa"/>
              <w:right w:w="57" w:type="dxa"/>
            </w:tcMar>
            <w:vAlign w:val="center"/>
          </w:tcPr>
          <w:p w14:paraId="3B33D47C">
            <w:pPr>
              <w:pStyle w:val="3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2.8</w:t>
            </w:r>
          </w:p>
        </w:tc>
      </w:tr>
      <w:tr w14:paraId="65391A9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jc w:val="center"/>
        </w:trPr>
        <w:tc>
          <w:tcPr>
            <w:tcW w:w="890" w:type="pct"/>
            <w:vAlign w:val="center"/>
          </w:tcPr>
          <w:p w14:paraId="35CDA4A7">
            <w:pPr>
              <w:pStyle w:val="3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9</w:t>
            </w:r>
          </w:p>
        </w:tc>
        <w:tc>
          <w:tcPr>
            <w:tcW w:w="2054" w:type="pct"/>
            <w:vAlign w:val="center"/>
          </w:tcPr>
          <w:p w14:paraId="473AA75C">
            <w:pPr>
              <w:pStyle w:val="3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氯仿</w:t>
            </w:r>
          </w:p>
        </w:tc>
        <w:tc>
          <w:tcPr>
            <w:tcW w:w="2055" w:type="pct"/>
            <w:tcMar>
              <w:top w:w="28" w:type="dxa"/>
              <w:left w:w="57" w:type="dxa"/>
              <w:bottom w:w="28" w:type="dxa"/>
              <w:right w:w="57" w:type="dxa"/>
            </w:tcMar>
            <w:vAlign w:val="center"/>
          </w:tcPr>
          <w:p w14:paraId="4089E43F">
            <w:pPr>
              <w:pStyle w:val="3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0.9</w:t>
            </w:r>
          </w:p>
        </w:tc>
      </w:tr>
      <w:tr w14:paraId="5096E1D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jc w:val="center"/>
        </w:trPr>
        <w:tc>
          <w:tcPr>
            <w:tcW w:w="890" w:type="pct"/>
            <w:vAlign w:val="center"/>
          </w:tcPr>
          <w:p w14:paraId="72FEBE44">
            <w:pPr>
              <w:pStyle w:val="3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10</w:t>
            </w:r>
          </w:p>
        </w:tc>
        <w:tc>
          <w:tcPr>
            <w:tcW w:w="2054" w:type="pct"/>
            <w:vAlign w:val="center"/>
          </w:tcPr>
          <w:p w14:paraId="3F57C1BF">
            <w:pPr>
              <w:pStyle w:val="3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氯甲烷</w:t>
            </w:r>
          </w:p>
        </w:tc>
        <w:tc>
          <w:tcPr>
            <w:tcW w:w="2055" w:type="pct"/>
            <w:tcMar>
              <w:top w:w="28" w:type="dxa"/>
              <w:left w:w="57" w:type="dxa"/>
              <w:bottom w:w="28" w:type="dxa"/>
              <w:right w:w="57" w:type="dxa"/>
            </w:tcMar>
            <w:vAlign w:val="center"/>
          </w:tcPr>
          <w:p w14:paraId="45BDCC74">
            <w:pPr>
              <w:pStyle w:val="3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37</w:t>
            </w:r>
          </w:p>
        </w:tc>
      </w:tr>
      <w:tr w14:paraId="2F09748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jc w:val="center"/>
        </w:trPr>
        <w:tc>
          <w:tcPr>
            <w:tcW w:w="890" w:type="pct"/>
            <w:vAlign w:val="center"/>
          </w:tcPr>
          <w:p w14:paraId="377A5948">
            <w:pPr>
              <w:pStyle w:val="3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eastAsiaTheme="minorEastAsia"/>
                <w:sz w:val="21"/>
                <w:szCs w:val="21"/>
              </w:rPr>
            </w:pPr>
            <w:r>
              <w:rPr>
                <w:rFonts w:eastAsiaTheme="minorEastAsia"/>
                <w:sz w:val="21"/>
                <w:szCs w:val="21"/>
              </w:rPr>
              <w:t>11</w:t>
            </w:r>
          </w:p>
        </w:tc>
        <w:tc>
          <w:tcPr>
            <w:tcW w:w="2054" w:type="pct"/>
            <w:vAlign w:val="center"/>
          </w:tcPr>
          <w:p w14:paraId="4F01BA3F">
            <w:pPr>
              <w:pStyle w:val="3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eastAsia="Times New Roman"/>
                <w:sz w:val="21"/>
                <w:szCs w:val="21"/>
              </w:rPr>
              <w:t>1,1-</w:t>
            </w:r>
            <w:r>
              <w:rPr>
                <w:sz w:val="21"/>
                <w:szCs w:val="21"/>
              </w:rPr>
              <w:t>二氯乙烷</w:t>
            </w:r>
          </w:p>
        </w:tc>
        <w:tc>
          <w:tcPr>
            <w:tcW w:w="2055" w:type="pct"/>
            <w:tcMar>
              <w:top w:w="28" w:type="dxa"/>
              <w:left w:w="57" w:type="dxa"/>
              <w:bottom w:w="28" w:type="dxa"/>
              <w:right w:w="57" w:type="dxa"/>
            </w:tcMar>
            <w:vAlign w:val="center"/>
          </w:tcPr>
          <w:p w14:paraId="43435F33">
            <w:pPr>
              <w:pStyle w:val="3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9</w:t>
            </w:r>
          </w:p>
        </w:tc>
      </w:tr>
      <w:tr w14:paraId="5ED835B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jc w:val="center"/>
        </w:trPr>
        <w:tc>
          <w:tcPr>
            <w:tcW w:w="890" w:type="pct"/>
            <w:vAlign w:val="center"/>
          </w:tcPr>
          <w:p w14:paraId="16CE2EFB">
            <w:pPr>
              <w:pStyle w:val="3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eastAsiaTheme="minorEastAsia"/>
                <w:sz w:val="21"/>
                <w:szCs w:val="21"/>
              </w:rPr>
            </w:pPr>
            <w:r>
              <w:rPr>
                <w:rFonts w:eastAsiaTheme="minorEastAsia"/>
                <w:sz w:val="21"/>
                <w:szCs w:val="21"/>
              </w:rPr>
              <w:t>12</w:t>
            </w:r>
          </w:p>
        </w:tc>
        <w:tc>
          <w:tcPr>
            <w:tcW w:w="2054" w:type="pct"/>
            <w:vAlign w:val="center"/>
          </w:tcPr>
          <w:p w14:paraId="0B4457C4">
            <w:pPr>
              <w:pStyle w:val="3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eastAsia="Times New Roman"/>
                <w:sz w:val="21"/>
                <w:szCs w:val="21"/>
              </w:rPr>
              <w:t>1,2-</w:t>
            </w:r>
            <w:r>
              <w:rPr>
                <w:sz w:val="21"/>
                <w:szCs w:val="21"/>
              </w:rPr>
              <w:t>二氯乙烷</w:t>
            </w:r>
          </w:p>
        </w:tc>
        <w:tc>
          <w:tcPr>
            <w:tcW w:w="2055" w:type="pct"/>
            <w:tcMar>
              <w:top w:w="28" w:type="dxa"/>
              <w:left w:w="57" w:type="dxa"/>
              <w:bottom w:w="28" w:type="dxa"/>
              <w:right w:w="57" w:type="dxa"/>
            </w:tcMar>
            <w:vAlign w:val="center"/>
          </w:tcPr>
          <w:p w14:paraId="006F154C">
            <w:pPr>
              <w:pStyle w:val="3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5</w:t>
            </w:r>
          </w:p>
        </w:tc>
      </w:tr>
      <w:tr w14:paraId="131EFCD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jc w:val="center"/>
        </w:trPr>
        <w:tc>
          <w:tcPr>
            <w:tcW w:w="890" w:type="pct"/>
            <w:vAlign w:val="center"/>
          </w:tcPr>
          <w:p w14:paraId="31D83914">
            <w:pPr>
              <w:pStyle w:val="3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eastAsiaTheme="minorEastAsia"/>
                <w:sz w:val="21"/>
                <w:szCs w:val="21"/>
              </w:rPr>
            </w:pPr>
            <w:r>
              <w:rPr>
                <w:rFonts w:eastAsiaTheme="minorEastAsia"/>
                <w:sz w:val="21"/>
                <w:szCs w:val="21"/>
              </w:rPr>
              <w:t>13</w:t>
            </w:r>
          </w:p>
        </w:tc>
        <w:tc>
          <w:tcPr>
            <w:tcW w:w="2054" w:type="pct"/>
            <w:vAlign w:val="center"/>
          </w:tcPr>
          <w:p w14:paraId="51985D96">
            <w:pPr>
              <w:pStyle w:val="3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eastAsia="Times New Roman"/>
                <w:sz w:val="21"/>
                <w:szCs w:val="21"/>
              </w:rPr>
              <w:t>1,1-</w:t>
            </w:r>
            <w:r>
              <w:rPr>
                <w:sz w:val="21"/>
                <w:szCs w:val="21"/>
              </w:rPr>
              <w:t>二氯乙烯</w:t>
            </w:r>
          </w:p>
        </w:tc>
        <w:tc>
          <w:tcPr>
            <w:tcW w:w="2055" w:type="pct"/>
            <w:tcMar>
              <w:top w:w="28" w:type="dxa"/>
              <w:left w:w="57" w:type="dxa"/>
              <w:bottom w:w="28" w:type="dxa"/>
              <w:right w:w="57" w:type="dxa"/>
            </w:tcMar>
            <w:vAlign w:val="center"/>
          </w:tcPr>
          <w:p w14:paraId="760B8EFB">
            <w:pPr>
              <w:pStyle w:val="3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66</w:t>
            </w:r>
          </w:p>
        </w:tc>
      </w:tr>
      <w:tr w14:paraId="03C5E8F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jc w:val="center"/>
        </w:trPr>
        <w:tc>
          <w:tcPr>
            <w:tcW w:w="890" w:type="pct"/>
            <w:vAlign w:val="center"/>
          </w:tcPr>
          <w:p w14:paraId="25FCE4B7">
            <w:pPr>
              <w:pStyle w:val="3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14</w:t>
            </w:r>
          </w:p>
        </w:tc>
        <w:tc>
          <w:tcPr>
            <w:tcW w:w="2054" w:type="pct"/>
            <w:vAlign w:val="center"/>
          </w:tcPr>
          <w:p w14:paraId="75CABA19">
            <w:pPr>
              <w:pStyle w:val="3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顺</w:t>
            </w:r>
            <w:r>
              <w:rPr>
                <w:rFonts w:eastAsia="Times New Roman"/>
                <w:sz w:val="21"/>
                <w:szCs w:val="21"/>
              </w:rPr>
              <w:t>-1,2-</w:t>
            </w:r>
            <w:r>
              <w:rPr>
                <w:sz w:val="21"/>
                <w:szCs w:val="21"/>
              </w:rPr>
              <w:t>二氯乙烯</w:t>
            </w:r>
          </w:p>
        </w:tc>
        <w:tc>
          <w:tcPr>
            <w:tcW w:w="2055" w:type="pct"/>
            <w:tcMar>
              <w:top w:w="28" w:type="dxa"/>
              <w:left w:w="57" w:type="dxa"/>
              <w:bottom w:w="28" w:type="dxa"/>
              <w:right w:w="57" w:type="dxa"/>
            </w:tcMar>
            <w:vAlign w:val="center"/>
          </w:tcPr>
          <w:p w14:paraId="3BA9E4BB">
            <w:pPr>
              <w:pStyle w:val="3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596</w:t>
            </w:r>
          </w:p>
        </w:tc>
      </w:tr>
      <w:tr w14:paraId="33C9467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jc w:val="center"/>
        </w:trPr>
        <w:tc>
          <w:tcPr>
            <w:tcW w:w="890" w:type="pct"/>
            <w:vAlign w:val="center"/>
          </w:tcPr>
          <w:p w14:paraId="3319F5AA">
            <w:pPr>
              <w:pStyle w:val="3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15</w:t>
            </w:r>
          </w:p>
        </w:tc>
        <w:tc>
          <w:tcPr>
            <w:tcW w:w="2054" w:type="pct"/>
            <w:vAlign w:val="center"/>
          </w:tcPr>
          <w:p w14:paraId="556C9BA9">
            <w:pPr>
              <w:pStyle w:val="3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反</w:t>
            </w:r>
            <w:r>
              <w:rPr>
                <w:rFonts w:eastAsia="Times New Roman"/>
                <w:sz w:val="21"/>
                <w:szCs w:val="21"/>
              </w:rPr>
              <w:t>-1,2-</w:t>
            </w:r>
            <w:r>
              <w:rPr>
                <w:sz w:val="21"/>
                <w:szCs w:val="21"/>
              </w:rPr>
              <w:t>二氯乙烯</w:t>
            </w:r>
          </w:p>
        </w:tc>
        <w:tc>
          <w:tcPr>
            <w:tcW w:w="2055" w:type="pct"/>
            <w:tcMar>
              <w:top w:w="28" w:type="dxa"/>
              <w:left w:w="57" w:type="dxa"/>
              <w:bottom w:w="28" w:type="dxa"/>
              <w:right w:w="57" w:type="dxa"/>
            </w:tcMar>
            <w:vAlign w:val="center"/>
          </w:tcPr>
          <w:p w14:paraId="2B0DC0EF">
            <w:pPr>
              <w:pStyle w:val="3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54</w:t>
            </w:r>
          </w:p>
        </w:tc>
      </w:tr>
      <w:tr w14:paraId="2FD936A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jc w:val="center"/>
        </w:trPr>
        <w:tc>
          <w:tcPr>
            <w:tcW w:w="890" w:type="pct"/>
            <w:vAlign w:val="center"/>
          </w:tcPr>
          <w:p w14:paraId="3CEE3CE2">
            <w:pPr>
              <w:pStyle w:val="3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16</w:t>
            </w:r>
          </w:p>
        </w:tc>
        <w:tc>
          <w:tcPr>
            <w:tcW w:w="2054" w:type="pct"/>
            <w:vAlign w:val="center"/>
          </w:tcPr>
          <w:p w14:paraId="7F3CE0D9">
            <w:pPr>
              <w:pStyle w:val="3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二氯甲烷</w:t>
            </w:r>
          </w:p>
        </w:tc>
        <w:tc>
          <w:tcPr>
            <w:tcW w:w="2055" w:type="pct"/>
            <w:tcMar>
              <w:top w:w="28" w:type="dxa"/>
              <w:left w:w="57" w:type="dxa"/>
              <w:bottom w:w="28" w:type="dxa"/>
              <w:right w:w="57" w:type="dxa"/>
            </w:tcMar>
            <w:vAlign w:val="center"/>
          </w:tcPr>
          <w:p w14:paraId="24750241">
            <w:pPr>
              <w:pStyle w:val="3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616</w:t>
            </w:r>
          </w:p>
        </w:tc>
      </w:tr>
      <w:tr w14:paraId="5CB92D6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jc w:val="center"/>
        </w:trPr>
        <w:tc>
          <w:tcPr>
            <w:tcW w:w="890" w:type="pct"/>
            <w:vAlign w:val="center"/>
          </w:tcPr>
          <w:p w14:paraId="05E69BEC">
            <w:pPr>
              <w:pStyle w:val="3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eastAsiaTheme="minorEastAsia"/>
                <w:sz w:val="21"/>
                <w:szCs w:val="21"/>
              </w:rPr>
            </w:pPr>
            <w:r>
              <w:rPr>
                <w:rFonts w:eastAsiaTheme="minorEastAsia"/>
                <w:sz w:val="21"/>
                <w:szCs w:val="21"/>
              </w:rPr>
              <w:t>17</w:t>
            </w:r>
          </w:p>
        </w:tc>
        <w:tc>
          <w:tcPr>
            <w:tcW w:w="2054" w:type="pct"/>
            <w:vAlign w:val="center"/>
          </w:tcPr>
          <w:p w14:paraId="634645AE">
            <w:pPr>
              <w:pStyle w:val="3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eastAsia="Times New Roman"/>
                <w:sz w:val="21"/>
                <w:szCs w:val="21"/>
              </w:rPr>
              <w:t>1,2-</w:t>
            </w:r>
            <w:r>
              <w:rPr>
                <w:sz w:val="21"/>
                <w:szCs w:val="21"/>
              </w:rPr>
              <w:t>二氯丙烷</w:t>
            </w:r>
          </w:p>
        </w:tc>
        <w:tc>
          <w:tcPr>
            <w:tcW w:w="2055" w:type="pct"/>
            <w:tcMar>
              <w:top w:w="28" w:type="dxa"/>
              <w:left w:w="57" w:type="dxa"/>
              <w:bottom w:w="28" w:type="dxa"/>
              <w:right w:w="57" w:type="dxa"/>
            </w:tcMar>
            <w:vAlign w:val="center"/>
          </w:tcPr>
          <w:p w14:paraId="457733AE">
            <w:pPr>
              <w:pStyle w:val="3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5</w:t>
            </w:r>
          </w:p>
        </w:tc>
      </w:tr>
      <w:tr w14:paraId="6B0E023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jc w:val="center"/>
        </w:trPr>
        <w:tc>
          <w:tcPr>
            <w:tcW w:w="890" w:type="pct"/>
            <w:vAlign w:val="center"/>
          </w:tcPr>
          <w:p w14:paraId="728F37BD">
            <w:pPr>
              <w:pStyle w:val="3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eastAsiaTheme="minorEastAsia"/>
                <w:sz w:val="21"/>
                <w:szCs w:val="21"/>
              </w:rPr>
            </w:pPr>
            <w:r>
              <w:rPr>
                <w:rFonts w:eastAsiaTheme="minorEastAsia"/>
                <w:sz w:val="21"/>
                <w:szCs w:val="21"/>
              </w:rPr>
              <w:t>18</w:t>
            </w:r>
          </w:p>
        </w:tc>
        <w:tc>
          <w:tcPr>
            <w:tcW w:w="2054" w:type="pct"/>
            <w:vAlign w:val="center"/>
          </w:tcPr>
          <w:p w14:paraId="7ACCAE40">
            <w:pPr>
              <w:pStyle w:val="3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eastAsia="Times New Roman"/>
                <w:sz w:val="21"/>
                <w:szCs w:val="21"/>
              </w:rPr>
              <w:t>1,1,1,2-</w:t>
            </w:r>
            <w:r>
              <w:rPr>
                <w:sz w:val="21"/>
                <w:szCs w:val="21"/>
              </w:rPr>
              <w:t>四氯乙烷</w:t>
            </w:r>
          </w:p>
        </w:tc>
        <w:tc>
          <w:tcPr>
            <w:tcW w:w="2055" w:type="pct"/>
            <w:tcMar>
              <w:top w:w="28" w:type="dxa"/>
              <w:left w:w="57" w:type="dxa"/>
              <w:bottom w:w="28" w:type="dxa"/>
              <w:right w:w="57" w:type="dxa"/>
            </w:tcMar>
            <w:vAlign w:val="center"/>
          </w:tcPr>
          <w:p w14:paraId="5FF9A88A">
            <w:pPr>
              <w:pStyle w:val="3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10</w:t>
            </w:r>
          </w:p>
        </w:tc>
      </w:tr>
      <w:tr w14:paraId="4F620AF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jc w:val="center"/>
        </w:trPr>
        <w:tc>
          <w:tcPr>
            <w:tcW w:w="890" w:type="pct"/>
            <w:vAlign w:val="center"/>
          </w:tcPr>
          <w:p w14:paraId="73146DD0">
            <w:pPr>
              <w:pStyle w:val="3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eastAsiaTheme="minorEastAsia"/>
                <w:sz w:val="21"/>
                <w:szCs w:val="21"/>
              </w:rPr>
            </w:pPr>
            <w:r>
              <w:rPr>
                <w:rFonts w:eastAsiaTheme="minorEastAsia"/>
                <w:sz w:val="21"/>
                <w:szCs w:val="21"/>
              </w:rPr>
              <w:t>19</w:t>
            </w:r>
          </w:p>
        </w:tc>
        <w:tc>
          <w:tcPr>
            <w:tcW w:w="2054" w:type="pct"/>
            <w:vAlign w:val="center"/>
          </w:tcPr>
          <w:p w14:paraId="3559AC8D">
            <w:pPr>
              <w:pStyle w:val="3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eastAsia="Times New Roman"/>
                <w:sz w:val="21"/>
                <w:szCs w:val="21"/>
              </w:rPr>
              <w:t>1,1,2,2-</w:t>
            </w:r>
            <w:r>
              <w:rPr>
                <w:sz w:val="21"/>
                <w:szCs w:val="21"/>
              </w:rPr>
              <w:t>四氯乙烷</w:t>
            </w:r>
          </w:p>
        </w:tc>
        <w:tc>
          <w:tcPr>
            <w:tcW w:w="2055" w:type="pct"/>
            <w:tcMar>
              <w:top w:w="28" w:type="dxa"/>
              <w:left w:w="57" w:type="dxa"/>
              <w:bottom w:w="28" w:type="dxa"/>
              <w:right w:w="57" w:type="dxa"/>
            </w:tcMar>
            <w:vAlign w:val="center"/>
          </w:tcPr>
          <w:p w14:paraId="6DEA0B71">
            <w:pPr>
              <w:pStyle w:val="3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6.8</w:t>
            </w:r>
          </w:p>
        </w:tc>
      </w:tr>
      <w:tr w14:paraId="1774B92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jc w:val="center"/>
        </w:trPr>
        <w:tc>
          <w:tcPr>
            <w:tcW w:w="890" w:type="pct"/>
            <w:vAlign w:val="center"/>
          </w:tcPr>
          <w:p w14:paraId="68581D8B">
            <w:pPr>
              <w:pStyle w:val="3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20</w:t>
            </w:r>
          </w:p>
        </w:tc>
        <w:tc>
          <w:tcPr>
            <w:tcW w:w="2054" w:type="pct"/>
            <w:vAlign w:val="center"/>
          </w:tcPr>
          <w:p w14:paraId="5B3E3729">
            <w:pPr>
              <w:pStyle w:val="3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四氯乙烯</w:t>
            </w:r>
          </w:p>
        </w:tc>
        <w:tc>
          <w:tcPr>
            <w:tcW w:w="2055" w:type="pct"/>
            <w:tcMar>
              <w:top w:w="28" w:type="dxa"/>
              <w:left w:w="57" w:type="dxa"/>
              <w:bottom w:w="28" w:type="dxa"/>
              <w:right w:w="57" w:type="dxa"/>
            </w:tcMar>
            <w:vAlign w:val="center"/>
          </w:tcPr>
          <w:p w14:paraId="13D678BF">
            <w:pPr>
              <w:pStyle w:val="3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53</w:t>
            </w:r>
          </w:p>
        </w:tc>
      </w:tr>
      <w:tr w14:paraId="00DB301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jc w:val="center"/>
        </w:trPr>
        <w:tc>
          <w:tcPr>
            <w:tcW w:w="890" w:type="pct"/>
            <w:vAlign w:val="center"/>
          </w:tcPr>
          <w:p w14:paraId="1A4288B5">
            <w:pPr>
              <w:pStyle w:val="3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eastAsiaTheme="minorEastAsia"/>
                <w:sz w:val="21"/>
                <w:szCs w:val="21"/>
              </w:rPr>
            </w:pPr>
            <w:r>
              <w:rPr>
                <w:rFonts w:eastAsiaTheme="minorEastAsia"/>
                <w:sz w:val="21"/>
                <w:szCs w:val="21"/>
              </w:rPr>
              <w:t>21</w:t>
            </w:r>
          </w:p>
        </w:tc>
        <w:tc>
          <w:tcPr>
            <w:tcW w:w="2054" w:type="pct"/>
            <w:vAlign w:val="center"/>
          </w:tcPr>
          <w:p w14:paraId="35A796FF">
            <w:pPr>
              <w:pStyle w:val="3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eastAsia="Times New Roman"/>
                <w:sz w:val="21"/>
                <w:szCs w:val="21"/>
              </w:rPr>
              <w:t>1,1,1-</w:t>
            </w:r>
            <w:r>
              <w:rPr>
                <w:sz w:val="21"/>
                <w:szCs w:val="21"/>
              </w:rPr>
              <w:t>三氯乙烷</w:t>
            </w:r>
          </w:p>
        </w:tc>
        <w:tc>
          <w:tcPr>
            <w:tcW w:w="2055" w:type="pct"/>
            <w:tcMar>
              <w:top w:w="28" w:type="dxa"/>
              <w:left w:w="57" w:type="dxa"/>
              <w:bottom w:w="28" w:type="dxa"/>
              <w:right w:w="57" w:type="dxa"/>
            </w:tcMar>
            <w:vAlign w:val="center"/>
          </w:tcPr>
          <w:p w14:paraId="5B4A7F94">
            <w:pPr>
              <w:pStyle w:val="3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840</w:t>
            </w:r>
          </w:p>
        </w:tc>
      </w:tr>
      <w:tr w14:paraId="37141D4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jc w:val="center"/>
        </w:trPr>
        <w:tc>
          <w:tcPr>
            <w:tcW w:w="890" w:type="pct"/>
            <w:vAlign w:val="center"/>
          </w:tcPr>
          <w:p w14:paraId="2718402B">
            <w:pPr>
              <w:pStyle w:val="3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eastAsiaTheme="minorEastAsia"/>
                <w:sz w:val="21"/>
                <w:szCs w:val="21"/>
              </w:rPr>
            </w:pPr>
            <w:r>
              <w:rPr>
                <w:rFonts w:eastAsiaTheme="minorEastAsia"/>
                <w:sz w:val="21"/>
                <w:szCs w:val="21"/>
              </w:rPr>
              <w:t>22</w:t>
            </w:r>
          </w:p>
        </w:tc>
        <w:tc>
          <w:tcPr>
            <w:tcW w:w="2054" w:type="pct"/>
            <w:vAlign w:val="center"/>
          </w:tcPr>
          <w:p w14:paraId="014C9B90">
            <w:pPr>
              <w:pStyle w:val="3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eastAsia="Times New Roman"/>
                <w:sz w:val="21"/>
                <w:szCs w:val="21"/>
              </w:rPr>
              <w:t>1,1,2-</w:t>
            </w:r>
            <w:r>
              <w:rPr>
                <w:sz w:val="21"/>
                <w:szCs w:val="21"/>
              </w:rPr>
              <w:t>三氯乙烷</w:t>
            </w:r>
          </w:p>
        </w:tc>
        <w:tc>
          <w:tcPr>
            <w:tcW w:w="2055" w:type="pct"/>
            <w:tcMar>
              <w:top w:w="28" w:type="dxa"/>
              <w:left w:w="57" w:type="dxa"/>
              <w:bottom w:w="28" w:type="dxa"/>
              <w:right w:w="57" w:type="dxa"/>
            </w:tcMar>
            <w:vAlign w:val="center"/>
          </w:tcPr>
          <w:p w14:paraId="1CC15D77">
            <w:pPr>
              <w:pStyle w:val="3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2.8</w:t>
            </w:r>
          </w:p>
        </w:tc>
      </w:tr>
      <w:tr w14:paraId="560AD28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jc w:val="center"/>
        </w:trPr>
        <w:tc>
          <w:tcPr>
            <w:tcW w:w="890" w:type="pct"/>
            <w:vAlign w:val="center"/>
          </w:tcPr>
          <w:p w14:paraId="6A491B73">
            <w:pPr>
              <w:pStyle w:val="3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23</w:t>
            </w:r>
          </w:p>
        </w:tc>
        <w:tc>
          <w:tcPr>
            <w:tcW w:w="2054" w:type="pct"/>
            <w:vAlign w:val="center"/>
          </w:tcPr>
          <w:p w14:paraId="61401D62">
            <w:pPr>
              <w:pStyle w:val="3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三氯乙烯</w:t>
            </w:r>
          </w:p>
        </w:tc>
        <w:tc>
          <w:tcPr>
            <w:tcW w:w="2055" w:type="pct"/>
            <w:tcMar>
              <w:top w:w="28" w:type="dxa"/>
              <w:left w:w="57" w:type="dxa"/>
              <w:bottom w:w="28" w:type="dxa"/>
              <w:right w:w="57" w:type="dxa"/>
            </w:tcMar>
            <w:vAlign w:val="center"/>
          </w:tcPr>
          <w:p w14:paraId="276B4E38">
            <w:pPr>
              <w:pStyle w:val="3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2.8</w:t>
            </w:r>
          </w:p>
        </w:tc>
      </w:tr>
      <w:tr w14:paraId="0C6533E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jc w:val="center"/>
        </w:trPr>
        <w:tc>
          <w:tcPr>
            <w:tcW w:w="890" w:type="pct"/>
            <w:vAlign w:val="center"/>
          </w:tcPr>
          <w:p w14:paraId="740CB496">
            <w:pPr>
              <w:pStyle w:val="3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eastAsiaTheme="minorEastAsia"/>
                <w:sz w:val="21"/>
                <w:szCs w:val="21"/>
              </w:rPr>
            </w:pPr>
            <w:r>
              <w:rPr>
                <w:rFonts w:eastAsiaTheme="minorEastAsia"/>
                <w:sz w:val="21"/>
                <w:szCs w:val="21"/>
              </w:rPr>
              <w:t>24</w:t>
            </w:r>
          </w:p>
        </w:tc>
        <w:tc>
          <w:tcPr>
            <w:tcW w:w="2054" w:type="pct"/>
            <w:vAlign w:val="center"/>
          </w:tcPr>
          <w:p w14:paraId="6648A3F2">
            <w:pPr>
              <w:pStyle w:val="3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eastAsia="Times New Roman"/>
                <w:sz w:val="21"/>
                <w:szCs w:val="21"/>
              </w:rPr>
              <w:t>1,2,3-</w:t>
            </w:r>
            <w:r>
              <w:rPr>
                <w:sz w:val="21"/>
                <w:szCs w:val="21"/>
              </w:rPr>
              <w:t>三氯丙烷</w:t>
            </w:r>
          </w:p>
        </w:tc>
        <w:tc>
          <w:tcPr>
            <w:tcW w:w="2055" w:type="pct"/>
            <w:tcMar>
              <w:top w:w="28" w:type="dxa"/>
              <w:left w:w="57" w:type="dxa"/>
              <w:bottom w:w="28" w:type="dxa"/>
              <w:right w:w="57" w:type="dxa"/>
            </w:tcMar>
            <w:vAlign w:val="center"/>
          </w:tcPr>
          <w:p w14:paraId="56A12FC0">
            <w:pPr>
              <w:pStyle w:val="3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0.5</w:t>
            </w:r>
          </w:p>
        </w:tc>
      </w:tr>
      <w:tr w14:paraId="484A13C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jc w:val="center"/>
        </w:trPr>
        <w:tc>
          <w:tcPr>
            <w:tcW w:w="890" w:type="pct"/>
            <w:vAlign w:val="center"/>
          </w:tcPr>
          <w:p w14:paraId="1393FF2D">
            <w:pPr>
              <w:pStyle w:val="3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25</w:t>
            </w:r>
          </w:p>
        </w:tc>
        <w:tc>
          <w:tcPr>
            <w:tcW w:w="2054" w:type="pct"/>
            <w:vAlign w:val="center"/>
          </w:tcPr>
          <w:p w14:paraId="5C31B4B9">
            <w:pPr>
              <w:pStyle w:val="3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氯乙烯</w:t>
            </w:r>
          </w:p>
        </w:tc>
        <w:tc>
          <w:tcPr>
            <w:tcW w:w="2055" w:type="pct"/>
            <w:tcMar>
              <w:top w:w="28" w:type="dxa"/>
              <w:left w:w="57" w:type="dxa"/>
              <w:bottom w:w="28" w:type="dxa"/>
              <w:right w:w="57" w:type="dxa"/>
            </w:tcMar>
            <w:vAlign w:val="center"/>
          </w:tcPr>
          <w:p w14:paraId="786B8D28">
            <w:pPr>
              <w:pStyle w:val="3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0.43</w:t>
            </w:r>
          </w:p>
        </w:tc>
      </w:tr>
      <w:tr w14:paraId="1B7679C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jc w:val="center"/>
        </w:trPr>
        <w:tc>
          <w:tcPr>
            <w:tcW w:w="890" w:type="pct"/>
            <w:vAlign w:val="center"/>
          </w:tcPr>
          <w:p w14:paraId="494EC039">
            <w:pPr>
              <w:pStyle w:val="3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26</w:t>
            </w:r>
          </w:p>
        </w:tc>
        <w:tc>
          <w:tcPr>
            <w:tcW w:w="2054" w:type="pct"/>
            <w:vAlign w:val="center"/>
          </w:tcPr>
          <w:p w14:paraId="43B0CB86">
            <w:pPr>
              <w:pStyle w:val="3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苯</w:t>
            </w:r>
          </w:p>
        </w:tc>
        <w:tc>
          <w:tcPr>
            <w:tcW w:w="2055" w:type="pct"/>
            <w:tcMar>
              <w:top w:w="28" w:type="dxa"/>
              <w:left w:w="57" w:type="dxa"/>
              <w:bottom w:w="28" w:type="dxa"/>
              <w:right w:w="57" w:type="dxa"/>
            </w:tcMar>
            <w:vAlign w:val="center"/>
          </w:tcPr>
          <w:p w14:paraId="5AF07A8A">
            <w:pPr>
              <w:pStyle w:val="3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4</w:t>
            </w:r>
          </w:p>
        </w:tc>
      </w:tr>
      <w:tr w14:paraId="2D387F1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jc w:val="center"/>
        </w:trPr>
        <w:tc>
          <w:tcPr>
            <w:tcW w:w="890" w:type="pct"/>
            <w:vAlign w:val="center"/>
          </w:tcPr>
          <w:p w14:paraId="7765F8DB">
            <w:pPr>
              <w:pStyle w:val="3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27</w:t>
            </w:r>
          </w:p>
        </w:tc>
        <w:tc>
          <w:tcPr>
            <w:tcW w:w="2054" w:type="pct"/>
            <w:vAlign w:val="center"/>
          </w:tcPr>
          <w:p w14:paraId="506F3131">
            <w:pPr>
              <w:pStyle w:val="3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氯苯</w:t>
            </w:r>
          </w:p>
        </w:tc>
        <w:tc>
          <w:tcPr>
            <w:tcW w:w="2055" w:type="pct"/>
            <w:tcMar>
              <w:top w:w="28" w:type="dxa"/>
              <w:left w:w="57" w:type="dxa"/>
              <w:bottom w:w="28" w:type="dxa"/>
              <w:right w:w="57" w:type="dxa"/>
            </w:tcMar>
            <w:vAlign w:val="center"/>
          </w:tcPr>
          <w:p w14:paraId="6FFACAD9">
            <w:pPr>
              <w:pStyle w:val="3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270</w:t>
            </w:r>
          </w:p>
        </w:tc>
      </w:tr>
      <w:tr w14:paraId="77E0292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jc w:val="center"/>
        </w:trPr>
        <w:tc>
          <w:tcPr>
            <w:tcW w:w="890" w:type="pct"/>
            <w:vAlign w:val="center"/>
          </w:tcPr>
          <w:p w14:paraId="7D17E2DC">
            <w:pPr>
              <w:pStyle w:val="3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eastAsiaTheme="minorEastAsia"/>
                <w:sz w:val="21"/>
                <w:szCs w:val="21"/>
              </w:rPr>
            </w:pPr>
            <w:r>
              <w:rPr>
                <w:rFonts w:eastAsiaTheme="minorEastAsia"/>
                <w:sz w:val="21"/>
                <w:szCs w:val="21"/>
              </w:rPr>
              <w:t>28</w:t>
            </w:r>
          </w:p>
        </w:tc>
        <w:tc>
          <w:tcPr>
            <w:tcW w:w="2054" w:type="pct"/>
            <w:vAlign w:val="center"/>
          </w:tcPr>
          <w:p w14:paraId="13DA1760">
            <w:pPr>
              <w:pStyle w:val="3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eastAsia="Times New Roman"/>
                <w:sz w:val="21"/>
                <w:szCs w:val="21"/>
              </w:rPr>
              <w:t>1,2-</w:t>
            </w:r>
            <w:r>
              <w:rPr>
                <w:sz w:val="21"/>
                <w:szCs w:val="21"/>
              </w:rPr>
              <w:t>二氯苯</w:t>
            </w:r>
          </w:p>
        </w:tc>
        <w:tc>
          <w:tcPr>
            <w:tcW w:w="2055" w:type="pct"/>
            <w:tcMar>
              <w:top w:w="28" w:type="dxa"/>
              <w:left w:w="57" w:type="dxa"/>
              <w:bottom w:w="28" w:type="dxa"/>
              <w:right w:w="57" w:type="dxa"/>
            </w:tcMar>
            <w:vAlign w:val="center"/>
          </w:tcPr>
          <w:p w14:paraId="530C3EA1">
            <w:pPr>
              <w:pStyle w:val="3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560</w:t>
            </w:r>
          </w:p>
        </w:tc>
      </w:tr>
      <w:tr w14:paraId="5B2F117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jc w:val="center"/>
        </w:trPr>
        <w:tc>
          <w:tcPr>
            <w:tcW w:w="890" w:type="pct"/>
            <w:vAlign w:val="center"/>
          </w:tcPr>
          <w:p w14:paraId="2E8AF60E">
            <w:pPr>
              <w:pStyle w:val="3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eastAsiaTheme="minorEastAsia"/>
                <w:sz w:val="21"/>
                <w:szCs w:val="21"/>
              </w:rPr>
            </w:pPr>
            <w:r>
              <w:rPr>
                <w:rFonts w:eastAsiaTheme="minorEastAsia"/>
                <w:sz w:val="21"/>
                <w:szCs w:val="21"/>
              </w:rPr>
              <w:t>29</w:t>
            </w:r>
          </w:p>
        </w:tc>
        <w:tc>
          <w:tcPr>
            <w:tcW w:w="2054" w:type="pct"/>
            <w:vAlign w:val="center"/>
          </w:tcPr>
          <w:p w14:paraId="73BEFBAB">
            <w:pPr>
              <w:pStyle w:val="3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eastAsia="Times New Roman"/>
                <w:sz w:val="21"/>
                <w:szCs w:val="21"/>
              </w:rPr>
              <w:t>1,4-</w:t>
            </w:r>
            <w:r>
              <w:rPr>
                <w:sz w:val="21"/>
                <w:szCs w:val="21"/>
              </w:rPr>
              <w:t>二氯苯</w:t>
            </w:r>
          </w:p>
        </w:tc>
        <w:tc>
          <w:tcPr>
            <w:tcW w:w="2055" w:type="pct"/>
            <w:tcMar>
              <w:top w:w="28" w:type="dxa"/>
              <w:left w:w="57" w:type="dxa"/>
              <w:bottom w:w="28" w:type="dxa"/>
              <w:right w:w="57" w:type="dxa"/>
            </w:tcMar>
            <w:vAlign w:val="center"/>
          </w:tcPr>
          <w:p w14:paraId="79C01931">
            <w:pPr>
              <w:pStyle w:val="3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20</w:t>
            </w:r>
          </w:p>
        </w:tc>
      </w:tr>
      <w:tr w14:paraId="0907364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jc w:val="center"/>
        </w:trPr>
        <w:tc>
          <w:tcPr>
            <w:tcW w:w="890" w:type="pct"/>
            <w:vAlign w:val="center"/>
          </w:tcPr>
          <w:p w14:paraId="01CDA576">
            <w:pPr>
              <w:pStyle w:val="3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30</w:t>
            </w:r>
          </w:p>
        </w:tc>
        <w:tc>
          <w:tcPr>
            <w:tcW w:w="2054" w:type="pct"/>
            <w:vAlign w:val="center"/>
          </w:tcPr>
          <w:p w14:paraId="612FEE81">
            <w:pPr>
              <w:pStyle w:val="3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乙苯</w:t>
            </w:r>
          </w:p>
        </w:tc>
        <w:tc>
          <w:tcPr>
            <w:tcW w:w="2055" w:type="pct"/>
            <w:tcMar>
              <w:top w:w="28" w:type="dxa"/>
              <w:left w:w="57" w:type="dxa"/>
              <w:bottom w:w="28" w:type="dxa"/>
              <w:right w:w="57" w:type="dxa"/>
            </w:tcMar>
            <w:vAlign w:val="center"/>
          </w:tcPr>
          <w:p w14:paraId="7E955785">
            <w:pPr>
              <w:pStyle w:val="3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28</w:t>
            </w:r>
          </w:p>
        </w:tc>
      </w:tr>
      <w:tr w14:paraId="26D0E64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jc w:val="center"/>
        </w:trPr>
        <w:tc>
          <w:tcPr>
            <w:tcW w:w="890" w:type="pct"/>
            <w:vAlign w:val="center"/>
          </w:tcPr>
          <w:p w14:paraId="550B8F06">
            <w:pPr>
              <w:pStyle w:val="3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31</w:t>
            </w:r>
          </w:p>
        </w:tc>
        <w:tc>
          <w:tcPr>
            <w:tcW w:w="2054" w:type="pct"/>
            <w:vAlign w:val="center"/>
          </w:tcPr>
          <w:p w14:paraId="58FA58F9">
            <w:pPr>
              <w:pStyle w:val="3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苯乙烯</w:t>
            </w:r>
          </w:p>
        </w:tc>
        <w:tc>
          <w:tcPr>
            <w:tcW w:w="2055" w:type="pct"/>
            <w:tcMar>
              <w:top w:w="28" w:type="dxa"/>
              <w:left w:w="57" w:type="dxa"/>
              <w:bottom w:w="28" w:type="dxa"/>
              <w:right w:w="57" w:type="dxa"/>
            </w:tcMar>
            <w:vAlign w:val="center"/>
          </w:tcPr>
          <w:p w14:paraId="515F426F">
            <w:pPr>
              <w:pStyle w:val="3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1290</w:t>
            </w:r>
          </w:p>
        </w:tc>
      </w:tr>
      <w:tr w14:paraId="7E1A60B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jc w:val="center"/>
        </w:trPr>
        <w:tc>
          <w:tcPr>
            <w:tcW w:w="890" w:type="pct"/>
            <w:vAlign w:val="center"/>
          </w:tcPr>
          <w:p w14:paraId="25A267E3">
            <w:pPr>
              <w:pStyle w:val="3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32</w:t>
            </w:r>
          </w:p>
        </w:tc>
        <w:tc>
          <w:tcPr>
            <w:tcW w:w="2054" w:type="pct"/>
            <w:vAlign w:val="center"/>
          </w:tcPr>
          <w:p w14:paraId="488880F2">
            <w:pPr>
              <w:pStyle w:val="3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甲苯</w:t>
            </w:r>
          </w:p>
        </w:tc>
        <w:tc>
          <w:tcPr>
            <w:tcW w:w="2055" w:type="pct"/>
            <w:tcMar>
              <w:top w:w="28" w:type="dxa"/>
              <w:left w:w="57" w:type="dxa"/>
              <w:bottom w:w="28" w:type="dxa"/>
              <w:right w:w="57" w:type="dxa"/>
            </w:tcMar>
            <w:vAlign w:val="center"/>
          </w:tcPr>
          <w:p w14:paraId="489C73DC">
            <w:pPr>
              <w:pStyle w:val="3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1200</w:t>
            </w:r>
          </w:p>
        </w:tc>
      </w:tr>
      <w:tr w14:paraId="7AECC12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jc w:val="center"/>
        </w:trPr>
        <w:tc>
          <w:tcPr>
            <w:tcW w:w="890" w:type="pct"/>
            <w:vAlign w:val="center"/>
          </w:tcPr>
          <w:p w14:paraId="4CF41D51">
            <w:pPr>
              <w:pStyle w:val="3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33</w:t>
            </w:r>
          </w:p>
        </w:tc>
        <w:tc>
          <w:tcPr>
            <w:tcW w:w="2054" w:type="pct"/>
            <w:vAlign w:val="center"/>
          </w:tcPr>
          <w:p w14:paraId="4F719066">
            <w:pPr>
              <w:pStyle w:val="3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间二甲苯</w:t>
            </w:r>
            <w:r>
              <w:rPr>
                <w:rFonts w:eastAsia="Times New Roman"/>
                <w:sz w:val="21"/>
                <w:szCs w:val="21"/>
              </w:rPr>
              <w:t>+</w:t>
            </w:r>
            <w:r>
              <w:rPr>
                <w:sz w:val="21"/>
                <w:szCs w:val="21"/>
              </w:rPr>
              <w:t>对二甲苯</w:t>
            </w:r>
          </w:p>
        </w:tc>
        <w:tc>
          <w:tcPr>
            <w:tcW w:w="2055" w:type="pct"/>
            <w:tcMar>
              <w:top w:w="28" w:type="dxa"/>
              <w:left w:w="57" w:type="dxa"/>
              <w:bottom w:w="28" w:type="dxa"/>
              <w:right w:w="57" w:type="dxa"/>
            </w:tcMar>
            <w:vAlign w:val="center"/>
          </w:tcPr>
          <w:p w14:paraId="380660AF">
            <w:pPr>
              <w:pStyle w:val="3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570</w:t>
            </w:r>
          </w:p>
        </w:tc>
      </w:tr>
      <w:tr w14:paraId="63F82CD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jc w:val="center"/>
        </w:trPr>
        <w:tc>
          <w:tcPr>
            <w:tcW w:w="890" w:type="pct"/>
            <w:vAlign w:val="center"/>
          </w:tcPr>
          <w:p w14:paraId="57F0FFF9">
            <w:pPr>
              <w:pStyle w:val="3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34</w:t>
            </w:r>
          </w:p>
        </w:tc>
        <w:tc>
          <w:tcPr>
            <w:tcW w:w="2054" w:type="pct"/>
            <w:vAlign w:val="center"/>
          </w:tcPr>
          <w:p w14:paraId="7F4DFCBF">
            <w:pPr>
              <w:pStyle w:val="3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邻二甲苯</w:t>
            </w:r>
          </w:p>
        </w:tc>
        <w:tc>
          <w:tcPr>
            <w:tcW w:w="2055" w:type="pct"/>
            <w:tcMar>
              <w:top w:w="28" w:type="dxa"/>
              <w:left w:w="57" w:type="dxa"/>
              <w:bottom w:w="28" w:type="dxa"/>
              <w:right w:w="57" w:type="dxa"/>
            </w:tcMar>
            <w:vAlign w:val="center"/>
          </w:tcPr>
          <w:p w14:paraId="5594B52F">
            <w:pPr>
              <w:pStyle w:val="3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640</w:t>
            </w:r>
          </w:p>
        </w:tc>
      </w:tr>
      <w:tr w14:paraId="4CB1846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jc w:val="center"/>
        </w:trPr>
        <w:tc>
          <w:tcPr>
            <w:tcW w:w="890" w:type="pct"/>
            <w:vAlign w:val="center"/>
          </w:tcPr>
          <w:p w14:paraId="7FCB4043">
            <w:pPr>
              <w:pStyle w:val="3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35</w:t>
            </w:r>
          </w:p>
        </w:tc>
        <w:tc>
          <w:tcPr>
            <w:tcW w:w="2054" w:type="pct"/>
            <w:vAlign w:val="center"/>
          </w:tcPr>
          <w:p w14:paraId="756D3084">
            <w:pPr>
              <w:pStyle w:val="3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硝基苯</w:t>
            </w:r>
          </w:p>
        </w:tc>
        <w:tc>
          <w:tcPr>
            <w:tcW w:w="2055" w:type="pct"/>
            <w:tcMar>
              <w:top w:w="28" w:type="dxa"/>
              <w:left w:w="57" w:type="dxa"/>
              <w:bottom w:w="28" w:type="dxa"/>
              <w:right w:w="57" w:type="dxa"/>
            </w:tcMar>
            <w:vAlign w:val="center"/>
          </w:tcPr>
          <w:p w14:paraId="74F7ADC9">
            <w:pPr>
              <w:pStyle w:val="3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76</w:t>
            </w:r>
          </w:p>
        </w:tc>
      </w:tr>
      <w:tr w14:paraId="227D324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jc w:val="center"/>
        </w:trPr>
        <w:tc>
          <w:tcPr>
            <w:tcW w:w="890" w:type="pct"/>
            <w:vAlign w:val="center"/>
          </w:tcPr>
          <w:p w14:paraId="56B511C3">
            <w:pPr>
              <w:pStyle w:val="3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36</w:t>
            </w:r>
          </w:p>
        </w:tc>
        <w:tc>
          <w:tcPr>
            <w:tcW w:w="2054" w:type="pct"/>
            <w:vAlign w:val="center"/>
          </w:tcPr>
          <w:p w14:paraId="7E415D8E">
            <w:pPr>
              <w:pStyle w:val="3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苯胺</w:t>
            </w:r>
          </w:p>
        </w:tc>
        <w:tc>
          <w:tcPr>
            <w:tcW w:w="2055" w:type="pct"/>
            <w:tcMar>
              <w:top w:w="28" w:type="dxa"/>
              <w:left w:w="57" w:type="dxa"/>
              <w:bottom w:w="28" w:type="dxa"/>
              <w:right w:w="57" w:type="dxa"/>
            </w:tcMar>
            <w:vAlign w:val="center"/>
          </w:tcPr>
          <w:p w14:paraId="60F1EA89">
            <w:pPr>
              <w:pStyle w:val="3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260</w:t>
            </w:r>
          </w:p>
        </w:tc>
      </w:tr>
      <w:tr w14:paraId="1CA7314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jc w:val="center"/>
        </w:trPr>
        <w:tc>
          <w:tcPr>
            <w:tcW w:w="890" w:type="pct"/>
            <w:vAlign w:val="center"/>
          </w:tcPr>
          <w:p w14:paraId="3A41359E">
            <w:pPr>
              <w:pStyle w:val="3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eastAsiaTheme="minorEastAsia"/>
                <w:sz w:val="21"/>
                <w:szCs w:val="21"/>
              </w:rPr>
            </w:pPr>
            <w:r>
              <w:rPr>
                <w:rFonts w:eastAsiaTheme="minorEastAsia"/>
                <w:sz w:val="21"/>
                <w:szCs w:val="21"/>
              </w:rPr>
              <w:t>37</w:t>
            </w:r>
          </w:p>
        </w:tc>
        <w:tc>
          <w:tcPr>
            <w:tcW w:w="2054" w:type="pct"/>
            <w:vAlign w:val="center"/>
          </w:tcPr>
          <w:p w14:paraId="4E02B43A">
            <w:pPr>
              <w:pStyle w:val="3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eastAsia="Times New Roman"/>
                <w:sz w:val="21"/>
                <w:szCs w:val="21"/>
              </w:rPr>
              <w:t>2-</w:t>
            </w:r>
            <w:r>
              <w:rPr>
                <w:sz w:val="21"/>
                <w:szCs w:val="21"/>
              </w:rPr>
              <w:t>氯酚</w:t>
            </w:r>
          </w:p>
        </w:tc>
        <w:tc>
          <w:tcPr>
            <w:tcW w:w="2055" w:type="pct"/>
            <w:tcMar>
              <w:top w:w="28" w:type="dxa"/>
              <w:left w:w="57" w:type="dxa"/>
              <w:bottom w:w="28" w:type="dxa"/>
              <w:right w:w="57" w:type="dxa"/>
            </w:tcMar>
            <w:vAlign w:val="center"/>
          </w:tcPr>
          <w:p w14:paraId="7D138FE2">
            <w:pPr>
              <w:pStyle w:val="3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2256</w:t>
            </w:r>
          </w:p>
        </w:tc>
      </w:tr>
      <w:tr w14:paraId="44343EE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jc w:val="center"/>
        </w:trPr>
        <w:tc>
          <w:tcPr>
            <w:tcW w:w="890" w:type="pct"/>
            <w:vAlign w:val="center"/>
          </w:tcPr>
          <w:p w14:paraId="3041B178">
            <w:pPr>
              <w:pStyle w:val="3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38</w:t>
            </w:r>
          </w:p>
        </w:tc>
        <w:tc>
          <w:tcPr>
            <w:tcW w:w="2054" w:type="pct"/>
            <w:vAlign w:val="center"/>
          </w:tcPr>
          <w:p w14:paraId="68D225E4">
            <w:pPr>
              <w:pStyle w:val="3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苯并</w:t>
            </w:r>
            <w:r>
              <w:rPr>
                <w:rFonts w:eastAsia="Times New Roman"/>
                <w:sz w:val="21"/>
                <w:szCs w:val="21"/>
              </w:rPr>
              <w:t>[a]</w:t>
            </w:r>
            <w:r>
              <w:rPr>
                <w:sz w:val="21"/>
                <w:szCs w:val="21"/>
              </w:rPr>
              <w:t>蒽</w:t>
            </w:r>
          </w:p>
        </w:tc>
        <w:tc>
          <w:tcPr>
            <w:tcW w:w="2055" w:type="pct"/>
            <w:tcMar>
              <w:top w:w="28" w:type="dxa"/>
              <w:left w:w="57" w:type="dxa"/>
              <w:bottom w:w="28" w:type="dxa"/>
              <w:right w:w="57" w:type="dxa"/>
            </w:tcMar>
            <w:vAlign w:val="center"/>
          </w:tcPr>
          <w:p w14:paraId="0C55C6CC">
            <w:pPr>
              <w:pStyle w:val="3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15</w:t>
            </w:r>
          </w:p>
        </w:tc>
      </w:tr>
      <w:tr w14:paraId="42F3A5B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jc w:val="center"/>
        </w:trPr>
        <w:tc>
          <w:tcPr>
            <w:tcW w:w="890" w:type="pct"/>
            <w:vAlign w:val="center"/>
          </w:tcPr>
          <w:p w14:paraId="79BD7B4A">
            <w:pPr>
              <w:pStyle w:val="3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39</w:t>
            </w:r>
          </w:p>
        </w:tc>
        <w:tc>
          <w:tcPr>
            <w:tcW w:w="2054" w:type="pct"/>
            <w:vAlign w:val="center"/>
          </w:tcPr>
          <w:p w14:paraId="113D9A6A">
            <w:pPr>
              <w:pStyle w:val="3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苯并</w:t>
            </w:r>
            <w:r>
              <w:rPr>
                <w:rFonts w:eastAsia="Times New Roman"/>
                <w:sz w:val="21"/>
                <w:szCs w:val="21"/>
              </w:rPr>
              <w:t>[a]</w:t>
            </w:r>
            <w:r>
              <w:rPr>
                <w:sz w:val="21"/>
                <w:szCs w:val="21"/>
              </w:rPr>
              <w:t>芘</w:t>
            </w:r>
          </w:p>
        </w:tc>
        <w:tc>
          <w:tcPr>
            <w:tcW w:w="2055" w:type="pct"/>
            <w:tcMar>
              <w:top w:w="28" w:type="dxa"/>
              <w:left w:w="57" w:type="dxa"/>
              <w:bottom w:w="28" w:type="dxa"/>
              <w:right w:w="57" w:type="dxa"/>
            </w:tcMar>
            <w:vAlign w:val="center"/>
          </w:tcPr>
          <w:p w14:paraId="0C3140F9">
            <w:pPr>
              <w:pStyle w:val="3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1.5</w:t>
            </w:r>
          </w:p>
        </w:tc>
      </w:tr>
      <w:tr w14:paraId="7ED1736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jc w:val="center"/>
        </w:trPr>
        <w:tc>
          <w:tcPr>
            <w:tcW w:w="890" w:type="pct"/>
            <w:vAlign w:val="center"/>
          </w:tcPr>
          <w:p w14:paraId="4869D5B4">
            <w:pPr>
              <w:pStyle w:val="3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40</w:t>
            </w:r>
          </w:p>
        </w:tc>
        <w:tc>
          <w:tcPr>
            <w:tcW w:w="2054" w:type="pct"/>
            <w:vAlign w:val="center"/>
          </w:tcPr>
          <w:p w14:paraId="5D9E9234">
            <w:pPr>
              <w:pStyle w:val="3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苯并</w:t>
            </w:r>
            <w:r>
              <w:rPr>
                <w:rFonts w:eastAsia="Times New Roman"/>
                <w:sz w:val="21"/>
                <w:szCs w:val="21"/>
              </w:rPr>
              <w:t>[b]</w:t>
            </w:r>
            <w:r>
              <w:rPr>
                <w:sz w:val="21"/>
                <w:szCs w:val="21"/>
              </w:rPr>
              <w:t>荧蒽</w:t>
            </w:r>
          </w:p>
        </w:tc>
        <w:tc>
          <w:tcPr>
            <w:tcW w:w="2055" w:type="pct"/>
            <w:tcMar>
              <w:top w:w="28" w:type="dxa"/>
              <w:left w:w="57" w:type="dxa"/>
              <w:bottom w:w="28" w:type="dxa"/>
              <w:right w:w="57" w:type="dxa"/>
            </w:tcMar>
            <w:vAlign w:val="center"/>
          </w:tcPr>
          <w:p w14:paraId="7A442762">
            <w:pPr>
              <w:pStyle w:val="3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15</w:t>
            </w:r>
          </w:p>
        </w:tc>
      </w:tr>
      <w:tr w14:paraId="4BC26F3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jc w:val="center"/>
        </w:trPr>
        <w:tc>
          <w:tcPr>
            <w:tcW w:w="890" w:type="pct"/>
            <w:vAlign w:val="center"/>
          </w:tcPr>
          <w:p w14:paraId="4C84B480">
            <w:pPr>
              <w:pStyle w:val="3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41</w:t>
            </w:r>
          </w:p>
        </w:tc>
        <w:tc>
          <w:tcPr>
            <w:tcW w:w="2054" w:type="pct"/>
            <w:vAlign w:val="center"/>
          </w:tcPr>
          <w:p w14:paraId="794D1E23">
            <w:pPr>
              <w:pStyle w:val="3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苯并</w:t>
            </w:r>
            <w:r>
              <w:rPr>
                <w:rFonts w:eastAsia="Times New Roman"/>
                <w:sz w:val="21"/>
                <w:szCs w:val="21"/>
              </w:rPr>
              <w:t>[k]</w:t>
            </w:r>
            <w:r>
              <w:rPr>
                <w:sz w:val="21"/>
                <w:szCs w:val="21"/>
              </w:rPr>
              <w:t>荧蒽</w:t>
            </w:r>
          </w:p>
        </w:tc>
        <w:tc>
          <w:tcPr>
            <w:tcW w:w="2055" w:type="pct"/>
            <w:tcMar>
              <w:top w:w="28" w:type="dxa"/>
              <w:left w:w="57" w:type="dxa"/>
              <w:bottom w:w="28" w:type="dxa"/>
              <w:right w:w="57" w:type="dxa"/>
            </w:tcMar>
            <w:vAlign w:val="center"/>
          </w:tcPr>
          <w:p w14:paraId="75CC34C5">
            <w:pPr>
              <w:pStyle w:val="3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151</w:t>
            </w:r>
          </w:p>
        </w:tc>
      </w:tr>
      <w:tr w14:paraId="483D465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jc w:val="center"/>
        </w:trPr>
        <w:tc>
          <w:tcPr>
            <w:tcW w:w="890" w:type="pct"/>
            <w:vAlign w:val="center"/>
          </w:tcPr>
          <w:p w14:paraId="0DE34A2F">
            <w:pPr>
              <w:pStyle w:val="3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42</w:t>
            </w:r>
          </w:p>
        </w:tc>
        <w:tc>
          <w:tcPr>
            <w:tcW w:w="2054" w:type="pct"/>
            <w:vAlign w:val="center"/>
          </w:tcPr>
          <w:p w14:paraId="4C339BDF">
            <w:pPr>
              <w:pStyle w:val="3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䓛</w:t>
            </w:r>
          </w:p>
        </w:tc>
        <w:tc>
          <w:tcPr>
            <w:tcW w:w="2055" w:type="pct"/>
            <w:tcMar>
              <w:top w:w="28" w:type="dxa"/>
              <w:left w:w="57" w:type="dxa"/>
              <w:bottom w:w="28" w:type="dxa"/>
              <w:right w:w="57" w:type="dxa"/>
            </w:tcMar>
            <w:vAlign w:val="center"/>
          </w:tcPr>
          <w:p w14:paraId="1AE048C7">
            <w:pPr>
              <w:pStyle w:val="3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1293</w:t>
            </w:r>
          </w:p>
        </w:tc>
      </w:tr>
      <w:tr w14:paraId="5A8F5DD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jc w:val="center"/>
        </w:trPr>
        <w:tc>
          <w:tcPr>
            <w:tcW w:w="890" w:type="pct"/>
            <w:vAlign w:val="center"/>
          </w:tcPr>
          <w:p w14:paraId="4FC7D755">
            <w:pPr>
              <w:pStyle w:val="3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43</w:t>
            </w:r>
          </w:p>
        </w:tc>
        <w:tc>
          <w:tcPr>
            <w:tcW w:w="2054" w:type="pct"/>
            <w:vAlign w:val="center"/>
          </w:tcPr>
          <w:p w14:paraId="223876BA">
            <w:pPr>
              <w:pStyle w:val="3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二苯并</w:t>
            </w:r>
            <w:r>
              <w:rPr>
                <w:rFonts w:eastAsia="Times New Roman"/>
                <w:sz w:val="21"/>
                <w:szCs w:val="21"/>
              </w:rPr>
              <w:t>[a, h]</w:t>
            </w:r>
            <w:r>
              <w:rPr>
                <w:sz w:val="21"/>
                <w:szCs w:val="21"/>
              </w:rPr>
              <w:t>蒽</w:t>
            </w:r>
          </w:p>
        </w:tc>
        <w:tc>
          <w:tcPr>
            <w:tcW w:w="2055" w:type="pct"/>
            <w:tcMar>
              <w:top w:w="28" w:type="dxa"/>
              <w:left w:w="57" w:type="dxa"/>
              <w:bottom w:w="28" w:type="dxa"/>
              <w:right w:w="57" w:type="dxa"/>
            </w:tcMar>
            <w:vAlign w:val="center"/>
          </w:tcPr>
          <w:p w14:paraId="2BC4222D">
            <w:pPr>
              <w:pStyle w:val="3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1.5</w:t>
            </w:r>
          </w:p>
        </w:tc>
      </w:tr>
      <w:tr w14:paraId="2D7A2A0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jc w:val="center"/>
        </w:trPr>
        <w:tc>
          <w:tcPr>
            <w:tcW w:w="890" w:type="pct"/>
            <w:vAlign w:val="center"/>
          </w:tcPr>
          <w:p w14:paraId="6B7FFF81">
            <w:pPr>
              <w:pStyle w:val="3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44</w:t>
            </w:r>
          </w:p>
        </w:tc>
        <w:tc>
          <w:tcPr>
            <w:tcW w:w="2054" w:type="pct"/>
            <w:vAlign w:val="center"/>
          </w:tcPr>
          <w:p w14:paraId="2F19E09B">
            <w:pPr>
              <w:pStyle w:val="3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茚并</w:t>
            </w:r>
            <w:r>
              <w:rPr>
                <w:rFonts w:eastAsia="Times New Roman"/>
                <w:sz w:val="21"/>
                <w:szCs w:val="21"/>
              </w:rPr>
              <w:t>[1,2,3-cd]</w:t>
            </w:r>
            <w:r>
              <w:rPr>
                <w:sz w:val="21"/>
                <w:szCs w:val="21"/>
              </w:rPr>
              <w:t>芘</w:t>
            </w:r>
          </w:p>
        </w:tc>
        <w:tc>
          <w:tcPr>
            <w:tcW w:w="2055" w:type="pct"/>
            <w:tcMar>
              <w:top w:w="28" w:type="dxa"/>
              <w:left w:w="57" w:type="dxa"/>
              <w:bottom w:w="28" w:type="dxa"/>
              <w:right w:w="57" w:type="dxa"/>
            </w:tcMar>
            <w:vAlign w:val="center"/>
          </w:tcPr>
          <w:p w14:paraId="0C4850A0">
            <w:pPr>
              <w:pStyle w:val="3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15</w:t>
            </w:r>
          </w:p>
        </w:tc>
      </w:tr>
      <w:tr w14:paraId="23B8104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jc w:val="center"/>
        </w:trPr>
        <w:tc>
          <w:tcPr>
            <w:tcW w:w="890" w:type="pct"/>
            <w:vAlign w:val="center"/>
          </w:tcPr>
          <w:p w14:paraId="3EBA0935">
            <w:pPr>
              <w:pStyle w:val="3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45</w:t>
            </w:r>
          </w:p>
        </w:tc>
        <w:tc>
          <w:tcPr>
            <w:tcW w:w="2054" w:type="pct"/>
            <w:vAlign w:val="center"/>
          </w:tcPr>
          <w:p w14:paraId="034CEBD9">
            <w:pPr>
              <w:pStyle w:val="3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萘</w:t>
            </w:r>
          </w:p>
        </w:tc>
        <w:tc>
          <w:tcPr>
            <w:tcW w:w="2055" w:type="pct"/>
            <w:tcMar>
              <w:top w:w="28" w:type="dxa"/>
              <w:left w:w="57" w:type="dxa"/>
              <w:bottom w:w="28" w:type="dxa"/>
              <w:right w:w="57" w:type="dxa"/>
            </w:tcMar>
            <w:vAlign w:val="center"/>
          </w:tcPr>
          <w:p w14:paraId="33221D8A">
            <w:pPr>
              <w:pStyle w:val="3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70</w:t>
            </w:r>
          </w:p>
        </w:tc>
      </w:tr>
    </w:tbl>
    <w:p w14:paraId="0620B2AB">
      <w:pPr>
        <w:pStyle w:val="5"/>
        <w:pageBreakBefore w:val="0"/>
        <w:kinsoku/>
        <w:wordWrap/>
        <w:overflowPunct/>
        <w:topLinePunct w:val="0"/>
        <w:autoSpaceDE/>
        <w:autoSpaceDN/>
        <w:bidi w:val="0"/>
        <w:adjustRightInd/>
        <w:snapToGrid/>
        <w:spacing w:before="0" w:after="0"/>
        <w:textAlignment w:val="auto"/>
      </w:pPr>
      <w:r>
        <w:t>2.5.3污染物排放标准</w:t>
      </w:r>
    </w:p>
    <w:p w14:paraId="107AC985">
      <w:pPr>
        <w:pageBreakBefore w:val="0"/>
        <w:kinsoku/>
        <w:wordWrap/>
        <w:overflowPunct/>
        <w:topLinePunct w:val="0"/>
        <w:autoSpaceDE/>
        <w:autoSpaceDN/>
        <w:bidi w:val="0"/>
        <w:adjustRightInd/>
        <w:snapToGrid/>
        <w:ind w:firstLine="480" w:firstLineChars="200"/>
        <w:textAlignment w:val="auto"/>
      </w:pPr>
      <w:r>
        <w:t>（1）大气污染物排放标准</w:t>
      </w:r>
    </w:p>
    <w:p w14:paraId="69BB2D78">
      <w:pPr>
        <w:pageBreakBefore w:val="0"/>
        <w:kinsoku/>
        <w:wordWrap/>
        <w:overflowPunct/>
        <w:topLinePunct w:val="0"/>
        <w:autoSpaceDE/>
        <w:autoSpaceDN/>
        <w:bidi w:val="0"/>
        <w:adjustRightInd/>
        <w:snapToGrid/>
        <w:ind w:firstLine="480" w:firstLineChars="200"/>
        <w:textAlignment w:val="auto"/>
      </w:pPr>
      <w:r>
        <w:fldChar w:fldCharType="begin"/>
      </w:r>
      <w:r>
        <w:instrText xml:space="preserve"> = 1 \* GB3 </w:instrText>
      </w:r>
      <w:r>
        <w:fldChar w:fldCharType="separate"/>
      </w:r>
      <w:r>
        <w:rPr>
          <w:rFonts w:hint="eastAsia" w:ascii="宋体" w:hAnsi="宋体" w:cs="宋体"/>
        </w:rPr>
        <w:t>①</w:t>
      </w:r>
      <w:r>
        <w:fldChar w:fldCharType="end"/>
      </w:r>
      <w:r>
        <w:t>施工期</w:t>
      </w:r>
    </w:p>
    <w:p w14:paraId="2250F704">
      <w:pPr>
        <w:pageBreakBefore w:val="0"/>
        <w:kinsoku/>
        <w:wordWrap/>
        <w:overflowPunct/>
        <w:topLinePunct w:val="0"/>
        <w:autoSpaceDE/>
        <w:autoSpaceDN/>
        <w:bidi w:val="0"/>
        <w:adjustRightInd/>
        <w:snapToGrid/>
        <w:ind w:firstLine="480" w:firstLineChars="200"/>
        <w:textAlignment w:val="auto"/>
      </w:pPr>
      <w:r>
        <w:t>施工扬尘执行《施工及堆料场地扬尘排放标准》（DB21/2642-2016）中城镇建成区扬尘排放浓度限值要求，标准值详见下表。</w:t>
      </w:r>
    </w:p>
    <w:p w14:paraId="26C9A70A">
      <w:pPr>
        <w:spacing w:line="360" w:lineRule="exact"/>
        <w:ind w:firstLine="103" w:firstLineChars="49"/>
        <w:jc w:val="center"/>
        <w:rPr>
          <w:b/>
          <w:color w:val="000000"/>
          <w:sz w:val="21"/>
          <w:szCs w:val="21"/>
        </w:rPr>
      </w:pPr>
    </w:p>
    <w:p w14:paraId="7D256722">
      <w:pPr>
        <w:spacing w:line="360" w:lineRule="exact"/>
        <w:ind w:firstLine="103" w:firstLineChars="49"/>
        <w:jc w:val="center"/>
        <w:rPr>
          <w:b/>
          <w:color w:val="000000"/>
          <w:sz w:val="21"/>
          <w:szCs w:val="21"/>
        </w:rPr>
      </w:pPr>
      <w:r>
        <w:rPr>
          <w:b/>
          <w:color w:val="000000"/>
          <w:sz w:val="21"/>
          <w:szCs w:val="21"/>
        </w:rPr>
        <w:t>表</w:t>
      </w:r>
      <w:r>
        <w:rPr>
          <w:rFonts w:hint="eastAsia"/>
          <w:b/>
          <w:color w:val="000000"/>
          <w:sz w:val="21"/>
          <w:szCs w:val="21"/>
          <w:lang w:val="en-US" w:eastAsia="zh-CN"/>
        </w:rPr>
        <w:t>2-8</w:t>
      </w:r>
      <w:r>
        <w:rPr>
          <w:b/>
          <w:color w:val="000000"/>
          <w:sz w:val="21"/>
          <w:szCs w:val="21"/>
        </w:rPr>
        <w:t>施工期大气污染物执行排放标准</w:t>
      </w:r>
    </w:p>
    <w:tbl>
      <w:tblPr>
        <w:tblStyle w:val="52"/>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2277"/>
        <w:gridCol w:w="1967"/>
        <w:gridCol w:w="4278"/>
      </w:tblGrid>
      <w:tr w14:paraId="36B0154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36" w:type="pct"/>
            <w:tcBorders>
              <w:top w:val="single" w:color="auto" w:sz="12" w:space="0"/>
              <w:left w:val="nil"/>
              <w:bottom w:val="single" w:color="auto" w:sz="4" w:space="0"/>
              <w:right w:val="single" w:color="auto" w:sz="4" w:space="0"/>
            </w:tcBorders>
            <w:vAlign w:val="center"/>
          </w:tcPr>
          <w:p w14:paraId="0C55758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监测项目</w:t>
            </w:r>
          </w:p>
        </w:tc>
        <w:tc>
          <w:tcPr>
            <w:tcW w:w="1154" w:type="pct"/>
            <w:tcBorders>
              <w:top w:val="single" w:color="auto" w:sz="12" w:space="0"/>
              <w:left w:val="single" w:color="auto" w:sz="4" w:space="0"/>
              <w:bottom w:val="single" w:color="auto" w:sz="4" w:space="0"/>
              <w:right w:val="single" w:color="auto" w:sz="4" w:space="0"/>
            </w:tcBorders>
            <w:vAlign w:val="center"/>
          </w:tcPr>
          <w:p w14:paraId="7183604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区域</w:t>
            </w:r>
          </w:p>
        </w:tc>
        <w:tc>
          <w:tcPr>
            <w:tcW w:w="2510" w:type="pct"/>
            <w:tcBorders>
              <w:top w:val="single" w:color="auto" w:sz="12" w:space="0"/>
              <w:left w:val="single" w:color="auto" w:sz="4" w:space="0"/>
              <w:bottom w:val="single" w:color="auto" w:sz="4" w:space="0"/>
              <w:right w:val="nil"/>
            </w:tcBorders>
            <w:vAlign w:val="center"/>
          </w:tcPr>
          <w:p w14:paraId="0D55A7D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浓度限值（连续5min平均浓度）（mg/m</w:t>
            </w:r>
            <w:r>
              <w:rPr>
                <w:sz w:val="21"/>
                <w:szCs w:val="21"/>
                <w:vertAlign w:val="superscript"/>
              </w:rPr>
              <w:t>3</w:t>
            </w:r>
            <w:r>
              <w:rPr>
                <w:sz w:val="21"/>
                <w:szCs w:val="21"/>
              </w:rPr>
              <w:t>）</w:t>
            </w:r>
          </w:p>
        </w:tc>
      </w:tr>
      <w:tr w14:paraId="0F4B6B1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36" w:type="pct"/>
            <w:tcBorders>
              <w:top w:val="single" w:color="auto" w:sz="4" w:space="0"/>
              <w:left w:val="nil"/>
              <w:bottom w:val="single" w:color="auto" w:sz="12" w:space="0"/>
              <w:right w:val="single" w:color="auto" w:sz="4" w:space="0"/>
            </w:tcBorders>
            <w:vAlign w:val="center"/>
          </w:tcPr>
          <w:p w14:paraId="5A69FE1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颗粒物</w:t>
            </w:r>
          </w:p>
        </w:tc>
        <w:tc>
          <w:tcPr>
            <w:tcW w:w="1154" w:type="pct"/>
            <w:tcBorders>
              <w:top w:val="single" w:color="auto" w:sz="4" w:space="0"/>
              <w:left w:val="single" w:color="auto" w:sz="4" w:space="0"/>
              <w:bottom w:val="single" w:color="auto" w:sz="12" w:space="0"/>
              <w:right w:val="single" w:color="auto" w:sz="4" w:space="0"/>
            </w:tcBorders>
            <w:vAlign w:val="center"/>
          </w:tcPr>
          <w:p w14:paraId="1DE3034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城镇建成区</w:t>
            </w:r>
          </w:p>
        </w:tc>
        <w:tc>
          <w:tcPr>
            <w:tcW w:w="2510" w:type="pct"/>
            <w:tcBorders>
              <w:top w:val="single" w:color="auto" w:sz="4" w:space="0"/>
              <w:left w:val="single" w:color="auto" w:sz="4" w:space="0"/>
              <w:bottom w:val="single" w:color="auto" w:sz="12" w:space="0"/>
              <w:right w:val="nil"/>
            </w:tcBorders>
            <w:vAlign w:val="center"/>
          </w:tcPr>
          <w:p w14:paraId="141B26C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0.8</w:t>
            </w:r>
          </w:p>
        </w:tc>
      </w:tr>
    </w:tbl>
    <w:p w14:paraId="338B394B">
      <w:pPr>
        <w:ind w:firstLine="480" w:firstLineChars="200"/>
      </w:pPr>
      <w:r>
        <w:fldChar w:fldCharType="begin"/>
      </w:r>
      <w:r>
        <w:instrText xml:space="preserve"> = 2 \* GB3 </w:instrText>
      </w:r>
      <w:r>
        <w:fldChar w:fldCharType="separate"/>
      </w:r>
      <w:r>
        <w:rPr>
          <w:rFonts w:hint="eastAsia" w:ascii="宋体" w:hAnsi="宋体" w:cs="宋体"/>
        </w:rPr>
        <w:t>②</w:t>
      </w:r>
      <w:r>
        <w:fldChar w:fldCharType="end"/>
      </w:r>
      <w:r>
        <w:t>营运期</w:t>
      </w:r>
    </w:p>
    <w:p w14:paraId="1273FE97">
      <w:pPr>
        <w:bidi w:val="0"/>
      </w:pPr>
      <w:r>
        <w:rPr>
          <w:rFonts w:hint="eastAsia"/>
          <w:lang w:eastAsia="zh-CN"/>
        </w:rPr>
        <w:t>本项目调度工序排放的大气污染物为镀锡产生的酸性废气</w:t>
      </w:r>
      <w:r>
        <w:t>。</w:t>
      </w:r>
      <w:r>
        <w:rPr>
          <w:rFonts w:hint="eastAsia"/>
          <w:lang w:eastAsia="zh-CN"/>
        </w:rPr>
        <w:t>本项目电镀工序生产用的酸为甲基磺酸，属于有机酸，酸性废气成为甲基磺酸，项目酸性废气排放参照《大气污染物综合排放标准》（</w:t>
      </w:r>
      <w:r>
        <w:rPr>
          <w:rFonts w:hint="eastAsia"/>
          <w:lang w:val="en-US" w:eastAsia="zh-CN"/>
        </w:rPr>
        <w:t>GB16297-1996</w:t>
      </w:r>
      <w:r>
        <w:rPr>
          <w:rFonts w:hint="eastAsia"/>
          <w:lang w:eastAsia="zh-CN"/>
        </w:rPr>
        <w:t>）中表</w:t>
      </w:r>
      <w:r>
        <w:rPr>
          <w:rFonts w:hint="eastAsia"/>
          <w:lang w:val="en-US" w:eastAsia="zh-CN"/>
        </w:rPr>
        <w:t>2非甲烷总烃排放标准；单位产品镀件镀层基准排气量执行《电镀污染物排放标准》（GB21900-2008）表6中标准限值，</w:t>
      </w:r>
      <w:r>
        <w:t>详见下表。</w:t>
      </w:r>
    </w:p>
    <w:p w14:paraId="5D30D3E2">
      <w:pPr>
        <w:pStyle w:val="31"/>
        <w:adjustRightInd w:val="0"/>
        <w:snapToGrid w:val="0"/>
        <w:spacing w:before="120" w:beforeLines="50" w:after="0" w:line="240" w:lineRule="auto"/>
        <w:ind w:leftChars="175"/>
        <w:jc w:val="center"/>
        <w:rPr>
          <w:b/>
          <w:sz w:val="21"/>
          <w:szCs w:val="21"/>
        </w:rPr>
      </w:pPr>
      <w:r>
        <w:rPr>
          <w:b/>
          <w:sz w:val="21"/>
          <w:szCs w:val="21"/>
        </w:rPr>
        <w:t>表</w:t>
      </w:r>
      <w:r>
        <w:rPr>
          <w:rFonts w:hint="eastAsia"/>
          <w:b/>
          <w:sz w:val="21"/>
          <w:szCs w:val="21"/>
          <w:lang w:val="en-US" w:eastAsia="zh-CN"/>
        </w:rPr>
        <w:t>2-9</w:t>
      </w:r>
      <w:r>
        <w:rPr>
          <w:rFonts w:hint="eastAsia"/>
          <w:b/>
          <w:sz w:val="21"/>
          <w:szCs w:val="21"/>
          <w:lang w:eastAsia="zh-CN"/>
        </w:rPr>
        <w:t>本项目废气</w:t>
      </w:r>
      <w:r>
        <w:rPr>
          <w:b/>
          <w:sz w:val="21"/>
          <w:szCs w:val="21"/>
        </w:rPr>
        <w:t>污染物排放标准</w:t>
      </w:r>
    </w:p>
    <w:tbl>
      <w:tblPr>
        <w:tblStyle w:val="53"/>
        <w:tblW w:w="0" w:type="auto"/>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629"/>
        <w:gridCol w:w="1285"/>
        <w:gridCol w:w="1091"/>
        <w:gridCol w:w="1108"/>
        <w:gridCol w:w="775"/>
        <w:gridCol w:w="1444"/>
        <w:gridCol w:w="2190"/>
      </w:tblGrid>
      <w:tr w14:paraId="38AF7AD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5" w:hRule="atLeast"/>
        </w:trPr>
        <w:tc>
          <w:tcPr>
            <w:tcW w:w="629" w:type="dxa"/>
            <w:vMerge w:val="restart"/>
            <w:tcBorders>
              <w:tl2br w:val="nil"/>
              <w:tr2bl w:val="nil"/>
            </w:tcBorders>
            <w:vAlign w:val="center"/>
          </w:tcPr>
          <w:p w14:paraId="6E5A1D9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lang w:eastAsia="zh-CN"/>
              </w:rPr>
            </w:pPr>
            <w:r>
              <w:rPr>
                <w:rFonts w:hint="eastAsia" w:ascii="宋体" w:hAnsi="宋体" w:eastAsia="宋体" w:cs="宋体"/>
                <w:sz w:val="21"/>
                <w:szCs w:val="21"/>
                <w:vertAlign w:val="baseline"/>
                <w:lang w:eastAsia="zh-CN"/>
              </w:rPr>
              <w:t>序号</w:t>
            </w:r>
          </w:p>
        </w:tc>
        <w:tc>
          <w:tcPr>
            <w:tcW w:w="1285" w:type="dxa"/>
            <w:vMerge w:val="restart"/>
            <w:tcBorders>
              <w:tl2br w:val="nil"/>
              <w:tr2bl w:val="nil"/>
            </w:tcBorders>
            <w:vAlign w:val="center"/>
          </w:tcPr>
          <w:p w14:paraId="0CF8B83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lang w:eastAsia="zh-CN"/>
              </w:rPr>
            </w:pPr>
            <w:r>
              <w:rPr>
                <w:rFonts w:hint="eastAsia" w:ascii="宋体" w:hAnsi="宋体" w:eastAsia="宋体" w:cs="宋体"/>
                <w:sz w:val="21"/>
                <w:szCs w:val="21"/>
                <w:vertAlign w:val="baseline"/>
                <w:lang w:eastAsia="zh-CN"/>
              </w:rPr>
              <w:t>污染物项目</w:t>
            </w:r>
          </w:p>
        </w:tc>
        <w:tc>
          <w:tcPr>
            <w:tcW w:w="1091" w:type="dxa"/>
            <w:vMerge w:val="restart"/>
            <w:tcBorders>
              <w:tl2br w:val="nil"/>
              <w:tr2bl w:val="nil"/>
            </w:tcBorders>
            <w:vAlign w:val="center"/>
          </w:tcPr>
          <w:p w14:paraId="2E79406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eastAsia="zh-CN"/>
              </w:rPr>
              <w:t>排放限值</w:t>
            </w:r>
            <w:r>
              <w:rPr>
                <w:rFonts w:hint="eastAsia" w:ascii="宋体" w:hAnsi="宋体" w:eastAsia="宋体" w:cs="宋体"/>
                <w:sz w:val="21"/>
                <w:szCs w:val="21"/>
                <w:vertAlign w:val="baseline"/>
                <w:lang w:val="en-US" w:eastAsia="zh-CN"/>
              </w:rPr>
              <w:t>mg/m</w:t>
            </w:r>
            <w:r>
              <w:rPr>
                <w:rFonts w:hint="eastAsia" w:ascii="宋体" w:hAnsi="宋体" w:eastAsia="宋体" w:cs="宋体"/>
                <w:sz w:val="21"/>
                <w:szCs w:val="21"/>
                <w:vertAlign w:val="superscript"/>
                <w:lang w:val="en-US" w:eastAsia="zh-CN"/>
              </w:rPr>
              <w:t>3</w:t>
            </w:r>
          </w:p>
        </w:tc>
        <w:tc>
          <w:tcPr>
            <w:tcW w:w="1883" w:type="dxa"/>
            <w:gridSpan w:val="2"/>
            <w:tcBorders>
              <w:tl2br w:val="nil"/>
              <w:tr2bl w:val="nil"/>
            </w:tcBorders>
            <w:vAlign w:val="center"/>
          </w:tcPr>
          <w:p w14:paraId="54D1CE3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lang w:eastAsia="zh-CN"/>
              </w:rPr>
            </w:pPr>
            <w:r>
              <w:rPr>
                <w:rFonts w:hint="eastAsia" w:ascii="宋体" w:hAnsi="宋体" w:eastAsia="宋体" w:cs="宋体"/>
                <w:sz w:val="21"/>
                <w:szCs w:val="21"/>
                <w:vertAlign w:val="baseline"/>
                <w:lang w:eastAsia="zh-CN"/>
              </w:rPr>
              <w:t>最高允许排放速率</w:t>
            </w:r>
          </w:p>
        </w:tc>
        <w:tc>
          <w:tcPr>
            <w:tcW w:w="1444" w:type="dxa"/>
            <w:vMerge w:val="restart"/>
            <w:tcBorders>
              <w:tl2br w:val="nil"/>
              <w:tr2bl w:val="nil"/>
            </w:tcBorders>
            <w:vAlign w:val="center"/>
          </w:tcPr>
          <w:p w14:paraId="43036FA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lang w:eastAsia="zh-CN"/>
              </w:rPr>
            </w:pPr>
            <w:r>
              <w:rPr>
                <w:rFonts w:hint="eastAsia" w:ascii="宋体" w:hAnsi="宋体" w:eastAsia="宋体" w:cs="宋体"/>
                <w:sz w:val="21"/>
                <w:szCs w:val="21"/>
                <w:vertAlign w:val="baseline"/>
                <w:lang w:eastAsia="zh-CN"/>
              </w:rPr>
              <w:t>污染物排放监控位置</w:t>
            </w:r>
          </w:p>
        </w:tc>
        <w:tc>
          <w:tcPr>
            <w:tcW w:w="2190" w:type="dxa"/>
            <w:vMerge w:val="restart"/>
            <w:tcBorders>
              <w:tl2br w:val="nil"/>
              <w:tr2bl w:val="nil"/>
            </w:tcBorders>
            <w:vAlign w:val="center"/>
          </w:tcPr>
          <w:p w14:paraId="7E65865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lang w:eastAsia="zh-CN"/>
              </w:rPr>
            </w:pPr>
            <w:r>
              <w:rPr>
                <w:rFonts w:hint="eastAsia" w:ascii="宋体" w:hAnsi="宋体" w:eastAsia="宋体" w:cs="宋体"/>
                <w:sz w:val="21"/>
                <w:szCs w:val="21"/>
                <w:vertAlign w:val="baseline"/>
                <w:lang w:eastAsia="zh-CN"/>
              </w:rPr>
              <w:t>标准来源</w:t>
            </w:r>
          </w:p>
        </w:tc>
      </w:tr>
      <w:tr w14:paraId="4342617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89" w:hRule="atLeast"/>
        </w:trPr>
        <w:tc>
          <w:tcPr>
            <w:tcW w:w="629" w:type="dxa"/>
            <w:vMerge w:val="continue"/>
            <w:tcBorders>
              <w:tl2br w:val="nil"/>
              <w:tr2bl w:val="nil"/>
            </w:tcBorders>
            <w:vAlign w:val="center"/>
          </w:tcPr>
          <w:p w14:paraId="4154597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lang w:eastAsia="zh-CN"/>
              </w:rPr>
            </w:pPr>
          </w:p>
        </w:tc>
        <w:tc>
          <w:tcPr>
            <w:tcW w:w="1285" w:type="dxa"/>
            <w:vMerge w:val="continue"/>
            <w:tcBorders>
              <w:tl2br w:val="nil"/>
              <w:tr2bl w:val="nil"/>
            </w:tcBorders>
            <w:vAlign w:val="center"/>
          </w:tcPr>
          <w:p w14:paraId="7D380EB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lang w:eastAsia="zh-CN"/>
              </w:rPr>
            </w:pPr>
          </w:p>
        </w:tc>
        <w:tc>
          <w:tcPr>
            <w:tcW w:w="1091" w:type="dxa"/>
            <w:vMerge w:val="continue"/>
            <w:tcBorders>
              <w:tl2br w:val="nil"/>
              <w:tr2bl w:val="nil"/>
            </w:tcBorders>
            <w:vAlign w:val="center"/>
          </w:tcPr>
          <w:p w14:paraId="5F64E45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lang w:eastAsia="zh-CN"/>
              </w:rPr>
            </w:pPr>
          </w:p>
        </w:tc>
        <w:tc>
          <w:tcPr>
            <w:tcW w:w="1108" w:type="dxa"/>
            <w:tcBorders>
              <w:tl2br w:val="nil"/>
              <w:tr2bl w:val="nil"/>
            </w:tcBorders>
            <w:vAlign w:val="center"/>
          </w:tcPr>
          <w:p w14:paraId="01002B0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lang w:eastAsia="zh-CN"/>
              </w:rPr>
            </w:pPr>
            <w:r>
              <w:rPr>
                <w:rFonts w:hint="eastAsia" w:ascii="宋体" w:hAnsi="宋体" w:eastAsia="宋体" w:cs="宋体"/>
                <w:sz w:val="21"/>
                <w:szCs w:val="21"/>
                <w:vertAlign w:val="baseline"/>
                <w:lang w:eastAsia="zh-CN"/>
              </w:rPr>
              <w:t>排气筒（</w:t>
            </w:r>
            <w:r>
              <w:rPr>
                <w:rFonts w:hint="eastAsia" w:ascii="宋体" w:hAnsi="宋体" w:eastAsia="宋体" w:cs="宋体"/>
                <w:sz w:val="21"/>
                <w:szCs w:val="21"/>
                <w:vertAlign w:val="baseline"/>
                <w:lang w:val="en-US" w:eastAsia="zh-CN"/>
              </w:rPr>
              <w:t>m</w:t>
            </w:r>
            <w:r>
              <w:rPr>
                <w:rFonts w:hint="eastAsia" w:ascii="宋体" w:hAnsi="宋体" w:eastAsia="宋体" w:cs="宋体"/>
                <w:sz w:val="21"/>
                <w:szCs w:val="21"/>
                <w:vertAlign w:val="baseline"/>
                <w:lang w:eastAsia="zh-CN"/>
              </w:rPr>
              <w:t>）</w:t>
            </w:r>
          </w:p>
        </w:tc>
        <w:tc>
          <w:tcPr>
            <w:tcW w:w="775" w:type="dxa"/>
            <w:tcBorders>
              <w:tl2br w:val="nil"/>
              <w:tr2bl w:val="nil"/>
            </w:tcBorders>
            <w:vAlign w:val="center"/>
          </w:tcPr>
          <w:p w14:paraId="23288A4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eastAsia="zh-CN"/>
              </w:rPr>
              <w:t>二级</w:t>
            </w:r>
            <w:r>
              <w:rPr>
                <w:rFonts w:hint="eastAsia" w:ascii="宋体" w:hAnsi="宋体" w:eastAsia="宋体" w:cs="宋体"/>
                <w:sz w:val="21"/>
                <w:szCs w:val="21"/>
                <w:vertAlign w:val="baseline"/>
                <w:lang w:val="en-US" w:eastAsia="zh-CN"/>
              </w:rPr>
              <w:t>kg/h</w:t>
            </w:r>
          </w:p>
        </w:tc>
        <w:tc>
          <w:tcPr>
            <w:tcW w:w="1444" w:type="dxa"/>
            <w:vMerge w:val="continue"/>
            <w:tcBorders>
              <w:tl2br w:val="nil"/>
              <w:tr2bl w:val="nil"/>
            </w:tcBorders>
            <w:vAlign w:val="center"/>
          </w:tcPr>
          <w:p w14:paraId="0C63C1C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lang w:eastAsia="zh-CN"/>
              </w:rPr>
            </w:pPr>
          </w:p>
        </w:tc>
        <w:tc>
          <w:tcPr>
            <w:tcW w:w="2190" w:type="dxa"/>
            <w:vMerge w:val="continue"/>
            <w:tcBorders>
              <w:tl2br w:val="nil"/>
              <w:tr2bl w:val="nil"/>
            </w:tcBorders>
            <w:vAlign w:val="center"/>
          </w:tcPr>
          <w:p w14:paraId="4821E8D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lang w:eastAsia="zh-CN"/>
              </w:rPr>
            </w:pPr>
          </w:p>
        </w:tc>
      </w:tr>
      <w:tr w14:paraId="5A088CD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29" w:type="dxa"/>
            <w:tcBorders>
              <w:tl2br w:val="nil"/>
              <w:tr2bl w:val="nil"/>
            </w:tcBorders>
            <w:vAlign w:val="center"/>
          </w:tcPr>
          <w:p w14:paraId="02EF29B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w:t>
            </w:r>
          </w:p>
        </w:tc>
        <w:tc>
          <w:tcPr>
            <w:tcW w:w="1285" w:type="dxa"/>
            <w:tcBorders>
              <w:tl2br w:val="nil"/>
              <w:tr2bl w:val="nil"/>
            </w:tcBorders>
            <w:vAlign w:val="center"/>
          </w:tcPr>
          <w:p w14:paraId="022E59F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lang w:eastAsia="zh-CN"/>
              </w:rPr>
            </w:pPr>
            <w:r>
              <w:rPr>
                <w:rFonts w:hint="eastAsia" w:ascii="宋体" w:hAnsi="宋体" w:eastAsia="宋体" w:cs="宋体"/>
                <w:sz w:val="21"/>
                <w:szCs w:val="21"/>
                <w:vertAlign w:val="baseline"/>
                <w:lang w:eastAsia="zh-CN"/>
              </w:rPr>
              <w:t>非甲烷总烃</w:t>
            </w:r>
          </w:p>
        </w:tc>
        <w:tc>
          <w:tcPr>
            <w:tcW w:w="1091" w:type="dxa"/>
            <w:tcBorders>
              <w:tl2br w:val="nil"/>
              <w:tr2bl w:val="nil"/>
            </w:tcBorders>
            <w:vAlign w:val="center"/>
          </w:tcPr>
          <w:p w14:paraId="1B831A5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120</w:t>
            </w:r>
          </w:p>
        </w:tc>
        <w:tc>
          <w:tcPr>
            <w:tcW w:w="1108" w:type="dxa"/>
            <w:tcBorders>
              <w:tl2br w:val="nil"/>
              <w:tr2bl w:val="nil"/>
            </w:tcBorders>
            <w:vAlign w:val="center"/>
          </w:tcPr>
          <w:p w14:paraId="1521321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cs="宋体"/>
                <w:sz w:val="21"/>
                <w:szCs w:val="21"/>
                <w:vertAlign w:val="baseline"/>
                <w:lang w:val="en-US" w:eastAsia="zh-CN"/>
              </w:rPr>
              <w:t>1</w:t>
            </w:r>
            <w:r>
              <w:rPr>
                <w:rFonts w:hint="eastAsia" w:ascii="宋体" w:hAnsi="宋体" w:eastAsia="宋体" w:cs="宋体"/>
                <w:sz w:val="21"/>
                <w:szCs w:val="21"/>
                <w:vertAlign w:val="baseline"/>
                <w:lang w:val="en-US" w:eastAsia="zh-CN"/>
              </w:rPr>
              <w:t>5</w:t>
            </w:r>
          </w:p>
        </w:tc>
        <w:tc>
          <w:tcPr>
            <w:tcW w:w="775" w:type="dxa"/>
            <w:tcBorders>
              <w:tl2br w:val="nil"/>
              <w:tr2bl w:val="nil"/>
            </w:tcBorders>
            <w:vAlign w:val="center"/>
          </w:tcPr>
          <w:p w14:paraId="5569769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sz w:val="21"/>
                <w:szCs w:val="21"/>
                <w:vertAlign w:val="baseline"/>
                <w:lang w:val="en-US" w:eastAsia="zh-CN"/>
              </w:rPr>
            </w:pPr>
            <w:r>
              <w:rPr>
                <w:rFonts w:hint="eastAsia" w:ascii="宋体" w:hAnsi="宋体" w:cs="宋体"/>
                <w:sz w:val="21"/>
                <w:szCs w:val="21"/>
                <w:vertAlign w:val="baseline"/>
                <w:lang w:val="en-US" w:eastAsia="zh-CN"/>
              </w:rPr>
              <w:t>10</w:t>
            </w:r>
          </w:p>
        </w:tc>
        <w:tc>
          <w:tcPr>
            <w:tcW w:w="1444" w:type="dxa"/>
            <w:tcBorders>
              <w:tl2br w:val="nil"/>
              <w:tr2bl w:val="nil"/>
            </w:tcBorders>
            <w:vAlign w:val="center"/>
          </w:tcPr>
          <w:p w14:paraId="48A71AD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lang w:eastAsia="zh-CN"/>
              </w:rPr>
            </w:pPr>
            <w:r>
              <w:rPr>
                <w:rFonts w:hint="eastAsia" w:ascii="宋体" w:hAnsi="宋体" w:eastAsia="宋体" w:cs="宋体"/>
                <w:sz w:val="21"/>
                <w:szCs w:val="21"/>
                <w:vertAlign w:val="baseline"/>
                <w:lang w:eastAsia="zh-CN"/>
              </w:rPr>
              <w:t>车间或生产设施排气筒</w:t>
            </w:r>
          </w:p>
        </w:tc>
        <w:tc>
          <w:tcPr>
            <w:tcW w:w="2190" w:type="dxa"/>
            <w:tcBorders>
              <w:tl2br w:val="nil"/>
              <w:tr2bl w:val="nil"/>
            </w:tcBorders>
            <w:vAlign w:val="center"/>
          </w:tcPr>
          <w:p w14:paraId="300D0C6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lang w:eastAsia="zh-CN"/>
              </w:rPr>
            </w:pPr>
            <w:r>
              <w:rPr>
                <w:rFonts w:hint="eastAsia" w:ascii="宋体" w:hAnsi="宋体" w:eastAsia="宋体" w:cs="宋体"/>
                <w:sz w:val="21"/>
                <w:szCs w:val="21"/>
                <w:lang w:eastAsia="zh-CN"/>
              </w:rPr>
              <w:t>《大气污染物综合排放标准》（</w:t>
            </w:r>
            <w:r>
              <w:rPr>
                <w:rFonts w:hint="eastAsia" w:ascii="宋体" w:hAnsi="宋体" w:eastAsia="宋体" w:cs="宋体"/>
                <w:sz w:val="21"/>
                <w:szCs w:val="21"/>
                <w:lang w:val="en-US" w:eastAsia="zh-CN"/>
              </w:rPr>
              <w:t>GB16297-1996</w:t>
            </w:r>
            <w:r>
              <w:rPr>
                <w:rFonts w:hint="eastAsia" w:ascii="宋体" w:hAnsi="宋体" w:eastAsia="宋体" w:cs="宋体"/>
                <w:sz w:val="21"/>
                <w:szCs w:val="21"/>
                <w:lang w:eastAsia="zh-CN"/>
              </w:rPr>
              <w:t>）</w:t>
            </w:r>
          </w:p>
        </w:tc>
      </w:tr>
    </w:tbl>
    <w:p w14:paraId="46D55D7A">
      <w:pPr>
        <w:spacing w:line="240" w:lineRule="auto"/>
        <w:jc w:val="center"/>
        <w:rPr>
          <w:rFonts w:hint="eastAsia"/>
          <w:b/>
          <w:sz w:val="21"/>
          <w:szCs w:val="21"/>
          <w:lang w:eastAsia="zh-CN"/>
        </w:rPr>
      </w:pPr>
      <w:r>
        <w:rPr>
          <w:b/>
          <w:sz w:val="21"/>
          <w:szCs w:val="21"/>
        </w:rPr>
        <w:t>表</w:t>
      </w:r>
      <w:r>
        <w:rPr>
          <w:rFonts w:hint="eastAsia"/>
          <w:b/>
          <w:sz w:val="21"/>
          <w:szCs w:val="21"/>
          <w:lang w:val="en-US" w:eastAsia="zh-CN"/>
        </w:rPr>
        <w:t>2-10</w:t>
      </w:r>
      <w:r>
        <w:rPr>
          <w:rFonts w:hint="eastAsia"/>
          <w:b/>
          <w:sz w:val="21"/>
          <w:szCs w:val="21"/>
          <w:lang w:eastAsia="zh-CN"/>
        </w:rPr>
        <w:t>单位产品镀件镀层基准排气量（</w:t>
      </w:r>
      <w:r>
        <w:rPr>
          <w:rFonts w:hint="eastAsia"/>
          <w:b/>
          <w:sz w:val="21"/>
          <w:szCs w:val="21"/>
          <w:lang w:val="en-US" w:eastAsia="zh-CN"/>
        </w:rPr>
        <w:t>m3/m2</w:t>
      </w:r>
      <w:r>
        <w:rPr>
          <w:rFonts w:hint="eastAsia"/>
          <w:b/>
          <w:sz w:val="21"/>
          <w:szCs w:val="21"/>
          <w:lang w:eastAsia="zh-CN"/>
        </w:rPr>
        <w:t>）</w:t>
      </w:r>
    </w:p>
    <w:tbl>
      <w:tblPr>
        <w:tblStyle w:val="53"/>
        <w:tblW w:w="0" w:type="auto"/>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555"/>
        <w:gridCol w:w="2757"/>
        <w:gridCol w:w="1518"/>
        <w:gridCol w:w="1796"/>
        <w:gridCol w:w="1896"/>
      </w:tblGrid>
      <w:tr w14:paraId="4338DFE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55" w:type="dxa"/>
            <w:tcBorders>
              <w:tl2br w:val="nil"/>
              <w:tr2bl w:val="nil"/>
            </w:tcBorders>
            <w:vAlign w:val="center"/>
          </w:tcPr>
          <w:p w14:paraId="0B70322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sz w:val="21"/>
                <w:szCs w:val="21"/>
                <w:vertAlign w:val="baseline"/>
                <w:lang w:eastAsia="zh-CN"/>
              </w:rPr>
            </w:pPr>
            <w:r>
              <w:rPr>
                <w:rFonts w:hint="eastAsia" w:ascii="宋体" w:hAnsi="宋体" w:eastAsia="宋体" w:cs="宋体"/>
                <w:b w:val="0"/>
                <w:bCs/>
                <w:sz w:val="21"/>
                <w:szCs w:val="21"/>
                <w:vertAlign w:val="baseline"/>
                <w:lang w:eastAsia="zh-CN"/>
              </w:rPr>
              <w:t>序号</w:t>
            </w:r>
          </w:p>
        </w:tc>
        <w:tc>
          <w:tcPr>
            <w:tcW w:w="2757" w:type="dxa"/>
            <w:tcBorders>
              <w:tl2br w:val="nil"/>
              <w:tr2bl w:val="nil"/>
            </w:tcBorders>
            <w:vAlign w:val="center"/>
          </w:tcPr>
          <w:p w14:paraId="59609CA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sz w:val="21"/>
                <w:szCs w:val="21"/>
                <w:vertAlign w:val="baseline"/>
                <w:lang w:eastAsia="zh-CN"/>
              </w:rPr>
            </w:pPr>
            <w:r>
              <w:rPr>
                <w:rFonts w:hint="eastAsia" w:ascii="宋体" w:hAnsi="宋体" w:cs="宋体"/>
                <w:b w:val="0"/>
                <w:bCs/>
                <w:sz w:val="21"/>
                <w:szCs w:val="21"/>
                <w:vertAlign w:val="baseline"/>
                <w:lang w:eastAsia="zh-CN"/>
              </w:rPr>
              <w:t>工艺种类</w:t>
            </w:r>
          </w:p>
        </w:tc>
        <w:tc>
          <w:tcPr>
            <w:tcW w:w="1518" w:type="dxa"/>
            <w:tcBorders>
              <w:tl2br w:val="nil"/>
              <w:tr2bl w:val="nil"/>
            </w:tcBorders>
            <w:vAlign w:val="center"/>
          </w:tcPr>
          <w:p w14:paraId="38B1ADB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sz w:val="21"/>
                <w:szCs w:val="21"/>
                <w:vertAlign w:val="baseline"/>
                <w:lang w:eastAsia="zh-CN"/>
              </w:rPr>
            </w:pPr>
            <w:r>
              <w:rPr>
                <w:rFonts w:hint="eastAsia" w:ascii="宋体" w:hAnsi="宋体" w:cs="宋体"/>
                <w:b w:val="0"/>
                <w:bCs/>
                <w:sz w:val="21"/>
                <w:szCs w:val="21"/>
                <w:vertAlign w:val="baseline"/>
                <w:lang w:eastAsia="zh-CN"/>
              </w:rPr>
              <w:t>基准排气量</w:t>
            </w:r>
          </w:p>
        </w:tc>
        <w:tc>
          <w:tcPr>
            <w:tcW w:w="1796" w:type="dxa"/>
            <w:tcBorders>
              <w:tl2br w:val="nil"/>
              <w:tr2bl w:val="nil"/>
            </w:tcBorders>
            <w:vAlign w:val="center"/>
          </w:tcPr>
          <w:p w14:paraId="64D79BB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sz w:val="21"/>
                <w:szCs w:val="21"/>
                <w:vertAlign w:val="baseline"/>
                <w:lang w:eastAsia="zh-CN"/>
              </w:rPr>
            </w:pPr>
            <w:r>
              <w:rPr>
                <w:rFonts w:hint="eastAsia" w:ascii="宋体" w:hAnsi="宋体" w:cs="宋体"/>
                <w:b w:val="0"/>
                <w:bCs/>
                <w:sz w:val="21"/>
                <w:szCs w:val="21"/>
                <w:vertAlign w:val="baseline"/>
                <w:lang w:eastAsia="zh-CN"/>
              </w:rPr>
              <w:t>排气量计量位置</w:t>
            </w:r>
          </w:p>
        </w:tc>
        <w:tc>
          <w:tcPr>
            <w:tcW w:w="1896" w:type="dxa"/>
            <w:tcBorders>
              <w:tl2br w:val="nil"/>
              <w:tr2bl w:val="nil"/>
            </w:tcBorders>
            <w:vAlign w:val="center"/>
          </w:tcPr>
          <w:p w14:paraId="20A94FF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sz w:val="21"/>
                <w:szCs w:val="21"/>
                <w:vertAlign w:val="baseline"/>
                <w:lang w:eastAsia="zh-CN"/>
              </w:rPr>
            </w:pPr>
            <w:r>
              <w:rPr>
                <w:rFonts w:hint="eastAsia" w:ascii="宋体" w:hAnsi="宋体" w:cs="宋体"/>
                <w:b w:val="0"/>
                <w:bCs/>
                <w:sz w:val="21"/>
                <w:szCs w:val="21"/>
                <w:vertAlign w:val="baseline"/>
                <w:lang w:eastAsia="zh-CN"/>
              </w:rPr>
              <w:t>标准来源</w:t>
            </w:r>
          </w:p>
        </w:tc>
      </w:tr>
      <w:tr w14:paraId="2E1F9A9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55" w:type="dxa"/>
            <w:tcBorders>
              <w:tl2br w:val="nil"/>
              <w:tr2bl w:val="nil"/>
            </w:tcBorders>
            <w:vAlign w:val="center"/>
          </w:tcPr>
          <w:p w14:paraId="4E3F1CE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sz w:val="21"/>
                <w:szCs w:val="21"/>
                <w:vertAlign w:val="baseline"/>
                <w:lang w:val="en-US" w:eastAsia="zh-CN"/>
              </w:rPr>
            </w:pPr>
            <w:r>
              <w:rPr>
                <w:rFonts w:hint="eastAsia" w:ascii="宋体" w:hAnsi="宋体" w:eastAsia="宋体" w:cs="宋体"/>
                <w:b w:val="0"/>
                <w:bCs/>
                <w:sz w:val="21"/>
                <w:szCs w:val="21"/>
                <w:vertAlign w:val="baseline"/>
                <w:lang w:val="en-US" w:eastAsia="zh-CN"/>
              </w:rPr>
              <w:t>1</w:t>
            </w:r>
          </w:p>
        </w:tc>
        <w:tc>
          <w:tcPr>
            <w:tcW w:w="2757" w:type="dxa"/>
            <w:tcBorders>
              <w:tl2br w:val="nil"/>
              <w:tr2bl w:val="nil"/>
            </w:tcBorders>
            <w:vAlign w:val="center"/>
          </w:tcPr>
          <w:p w14:paraId="5B68D83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sz w:val="21"/>
                <w:szCs w:val="21"/>
                <w:vertAlign w:val="baseline"/>
                <w:lang w:eastAsia="zh-CN"/>
              </w:rPr>
            </w:pPr>
            <w:r>
              <w:rPr>
                <w:rFonts w:hint="eastAsia" w:ascii="宋体" w:hAnsi="宋体" w:cs="宋体"/>
                <w:b w:val="0"/>
                <w:bCs/>
                <w:sz w:val="21"/>
                <w:szCs w:val="21"/>
                <w:vertAlign w:val="baseline"/>
                <w:lang w:eastAsia="zh-CN"/>
              </w:rPr>
              <w:t>其他镀种（镀铜、镍等）</w:t>
            </w:r>
          </w:p>
        </w:tc>
        <w:tc>
          <w:tcPr>
            <w:tcW w:w="1518" w:type="dxa"/>
            <w:tcBorders>
              <w:tl2br w:val="nil"/>
              <w:tr2bl w:val="nil"/>
            </w:tcBorders>
            <w:vAlign w:val="center"/>
          </w:tcPr>
          <w:p w14:paraId="36AD4F7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b w:val="0"/>
                <w:bCs/>
                <w:sz w:val="21"/>
                <w:szCs w:val="21"/>
                <w:vertAlign w:val="baseline"/>
                <w:lang w:val="en-US" w:eastAsia="zh-CN"/>
              </w:rPr>
            </w:pPr>
            <w:r>
              <w:rPr>
                <w:rFonts w:hint="eastAsia" w:ascii="宋体" w:hAnsi="宋体" w:cs="宋体"/>
                <w:b w:val="0"/>
                <w:bCs/>
                <w:sz w:val="21"/>
                <w:szCs w:val="21"/>
                <w:vertAlign w:val="baseline"/>
                <w:lang w:val="en-US" w:eastAsia="zh-CN"/>
              </w:rPr>
              <w:t>37.3</w:t>
            </w:r>
          </w:p>
        </w:tc>
        <w:tc>
          <w:tcPr>
            <w:tcW w:w="1796" w:type="dxa"/>
            <w:tcBorders>
              <w:tl2br w:val="nil"/>
              <w:tr2bl w:val="nil"/>
            </w:tcBorders>
            <w:vAlign w:val="center"/>
          </w:tcPr>
          <w:p w14:paraId="2F7EE14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sz w:val="21"/>
                <w:szCs w:val="21"/>
                <w:vertAlign w:val="baseline"/>
                <w:lang w:eastAsia="zh-CN"/>
              </w:rPr>
            </w:pPr>
            <w:r>
              <w:rPr>
                <w:rFonts w:hint="eastAsia" w:ascii="宋体" w:hAnsi="宋体" w:cs="宋体"/>
                <w:b w:val="0"/>
                <w:bCs/>
                <w:sz w:val="21"/>
                <w:szCs w:val="21"/>
                <w:vertAlign w:val="baseline"/>
                <w:lang w:eastAsia="zh-CN"/>
              </w:rPr>
              <w:t>车间或生产设施排气筒</w:t>
            </w:r>
          </w:p>
        </w:tc>
        <w:tc>
          <w:tcPr>
            <w:tcW w:w="1896" w:type="dxa"/>
            <w:tcBorders>
              <w:tl2br w:val="nil"/>
              <w:tr2bl w:val="nil"/>
            </w:tcBorders>
            <w:vAlign w:val="center"/>
          </w:tcPr>
          <w:p w14:paraId="61533BB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lang w:eastAsia="zh-CN"/>
              </w:rPr>
            </w:pPr>
            <w:r>
              <w:rPr>
                <w:rFonts w:hint="eastAsia" w:ascii="宋体" w:hAnsi="宋体" w:eastAsia="宋体" w:cs="宋体"/>
                <w:sz w:val="21"/>
                <w:szCs w:val="21"/>
                <w:lang w:val="en-US" w:eastAsia="zh-CN"/>
              </w:rPr>
              <w:t>《电镀污染物排放标准》（GB21900-2008）</w:t>
            </w:r>
          </w:p>
        </w:tc>
      </w:tr>
    </w:tbl>
    <w:p w14:paraId="68F13E56">
      <w:pPr>
        <w:bidi w:val="0"/>
        <w:rPr>
          <w:rFonts w:hint="eastAsia"/>
          <w:lang w:eastAsia="zh-CN"/>
        </w:rPr>
      </w:pPr>
      <w:r>
        <w:rPr>
          <w:rFonts w:hint="eastAsia"/>
        </w:rPr>
        <w:t>厂界无组织排放监控浓度执行《</w:t>
      </w:r>
      <w:r>
        <w:rPr>
          <w:rFonts w:hint="eastAsia"/>
          <w:lang w:eastAsia="zh-CN"/>
        </w:rPr>
        <w:t>挥发性有机物无组织排放标准</w:t>
      </w:r>
      <w:r>
        <w:rPr>
          <w:rFonts w:hint="eastAsia"/>
        </w:rPr>
        <w:t>》（</w:t>
      </w:r>
      <w:r>
        <w:rPr>
          <w:rFonts w:hint="default"/>
        </w:rPr>
        <w:t>GB</w:t>
      </w:r>
      <w:r>
        <w:rPr>
          <w:rFonts w:hint="eastAsia"/>
          <w:lang w:val="en-US" w:eastAsia="zh-CN"/>
        </w:rPr>
        <w:t>37822-2019</w:t>
      </w:r>
      <w:r>
        <w:rPr>
          <w:rFonts w:hint="eastAsia"/>
        </w:rPr>
        <w:t>）标准</w:t>
      </w:r>
      <w:r>
        <w:rPr>
          <w:rFonts w:hint="eastAsia"/>
          <w:lang w:eastAsia="zh-CN"/>
        </w:rPr>
        <w:t>中企业厂区内</w:t>
      </w:r>
      <w:r>
        <w:rPr>
          <w:rFonts w:hint="eastAsia"/>
          <w:lang w:val="en-US" w:eastAsia="zh-CN"/>
        </w:rPr>
        <w:t>VOCs无组织排放限值要求</w:t>
      </w:r>
      <w:r>
        <w:rPr>
          <w:rFonts w:hint="eastAsia"/>
          <w:lang w:eastAsia="zh-CN"/>
        </w:rPr>
        <w:t>。</w:t>
      </w:r>
    </w:p>
    <w:p w14:paraId="3E9EFAFE">
      <w:pPr>
        <w:bidi w:val="0"/>
        <w:jc w:val="center"/>
        <w:rPr>
          <w:rFonts w:hint="eastAsia"/>
          <w:b/>
          <w:sz w:val="21"/>
          <w:szCs w:val="21"/>
          <w:lang w:eastAsia="zh-CN"/>
        </w:rPr>
      </w:pPr>
      <w:r>
        <w:rPr>
          <w:b/>
          <w:sz w:val="21"/>
          <w:szCs w:val="21"/>
        </w:rPr>
        <w:t>表</w:t>
      </w:r>
      <w:r>
        <w:rPr>
          <w:rFonts w:hint="eastAsia"/>
          <w:b/>
          <w:sz w:val="21"/>
          <w:szCs w:val="21"/>
          <w:lang w:val="en-US" w:eastAsia="zh-CN"/>
        </w:rPr>
        <w:t>2-11</w:t>
      </w:r>
      <w:r>
        <w:rPr>
          <w:rFonts w:hint="eastAsia"/>
          <w:b/>
          <w:sz w:val="21"/>
          <w:szCs w:val="21"/>
          <w:lang w:eastAsia="zh-CN"/>
        </w:rPr>
        <w:t>厂界无组织排放监控浓度限值（</w:t>
      </w:r>
      <w:r>
        <w:rPr>
          <w:rFonts w:hint="eastAsia"/>
          <w:b/>
          <w:sz w:val="21"/>
          <w:szCs w:val="21"/>
          <w:lang w:val="en-US" w:eastAsia="zh-CN"/>
        </w:rPr>
        <w:t>mg/m3</w:t>
      </w:r>
      <w:r>
        <w:rPr>
          <w:rFonts w:hint="eastAsia"/>
          <w:b/>
          <w:sz w:val="21"/>
          <w:szCs w:val="21"/>
          <w:lang w:eastAsia="zh-CN"/>
        </w:rPr>
        <w:t>）</w:t>
      </w:r>
    </w:p>
    <w:tbl>
      <w:tblPr>
        <w:tblStyle w:val="53"/>
        <w:tblW w:w="0" w:type="auto"/>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757"/>
        <w:gridCol w:w="1364"/>
        <w:gridCol w:w="926"/>
        <w:gridCol w:w="1578"/>
        <w:gridCol w:w="1578"/>
        <w:gridCol w:w="2315"/>
      </w:tblGrid>
      <w:tr w14:paraId="251A5AC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57" w:type="dxa"/>
            <w:tcBorders>
              <w:tl2br w:val="nil"/>
              <w:tr2bl w:val="nil"/>
            </w:tcBorders>
            <w:vAlign w:val="center"/>
          </w:tcPr>
          <w:p w14:paraId="01EA409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sz w:val="21"/>
                <w:szCs w:val="21"/>
                <w:vertAlign w:val="baseline"/>
                <w:lang w:eastAsia="zh-CN"/>
              </w:rPr>
            </w:pPr>
            <w:r>
              <w:rPr>
                <w:rFonts w:hint="eastAsia" w:ascii="宋体" w:hAnsi="宋体" w:eastAsia="宋体" w:cs="宋体"/>
                <w:b w:val="0"/>
                <w:bCs/>
                <w:sz w:val="21"/>
                <w:szCs w:val="21"/>
                <w:vertAlign w:val="baseline"/>
                <w:lang w:eastAsia="zh-CN"/>
              </w:rPr>
              <w:t>序号</w:t>
            </w:r>
          </w:p>
        </w:tc>
        <w:tc>
          <w:tcPr>
            <w:tcW w:w="1364" w:type="dxa"/>
            <w:tcBorders>
              <w:tl2br w:val="nil"/>
              <w:tr2bl w:val="nil"/>
            </w:tcBorders>
            <w:vAlign w:val="center"/>
          </w:tcPr>
          <w:p w14:paraId="7B09D7B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sz w:val="21"/>
                <w:szCs w:val="21"/>
                <w:vertAlign w:val="baseline"/>
                <w:lang w:eastAsia="zh-CN"/>
              </w:rPr>
            </w:pPr>
            <w:r>
              <w:rPr>
                <w:rFonts w:hint="eastAsia" w:ascii="宋体" w:hAnsi="宋体" w:eastAsia="宋体" w:cs="宋体"/>
                <w:b w:val="0"/>
                <w:bCs/>
                <w:sz w:val="21"/>
                <w:szCs w:val="21"/>
                <w:vertAlign w:val="baseline"/>
                <w:lang w:eastAsia="zh-CN"/>
              </w:rPr>
              <w:t>污染物项目</w:t>
            </w:r>
          </w:p>
        </w:tc>
        <w:tc>
          <w:tcPr>
            <w:tcW w:w="926" w:type="dxa"/>
            <w:tcBorders>
              <w:tl2br w:val="nil"/>
              <w:tr2bl w:val="nil"/>
            </w:tcBorders>
            <w:vAlign w:val="center"/>
          </w:tcPr>
          <w:p w14:paraId="7E2FEA0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sz w:val="21"/>
                <w:szCs w:val="21"/>
                <w:vertAlign w:val="baseline"/>
                <w:lang w:eastAsia="zh-CN"/>
              </w:rPr>
            </w:pPr>
            <w:r>
              <w:rPr>
                <w:rFonts w:hint="eastAsia" w:ascii="宋体" w:hAnsi="宋体" w:cs="宋体"/>
                <w:b w:val="0"/>
                <w:bCs/>
                <w:sz w:val="21"/>
                <w:szCs w:val="21"/>
                <w:vertAlign w:val="baseline"/>
                <w:lang w:eastAsia="zh-CN"/>
              </w:rPr>
              <w:t>特别</w:t>
            </w:r>
            <w:r>
              <w:rPr>
                <w:rFonts w:hint="eastAsia" w:ascii="宋体" w:hAnsi="宋体" w:eastAsia="宋体" w:cs="宋体"/>
                <w:b w:val="0"/>
                <w:bCs/>
                <w:sz w:val="21"/>
                <w:szCs w:val="21"/>
                <w:vertAlign w:val="baseline"/>
                <w:lang w:eastAsia="zh-CN"/>
              </w:rPr>
              <w:t>排放限值</w:t>
            </w:r>
          </w:p>
        </w:tc>
        <w:tc>
          <w:tcPr>
            <w:tcW w:w="1578" w:type="dxa"/>
            <w:tcBorders>
              <w:tl2br w:val="nil"/>
              <w:tr2bl w:val="nil"/>
            </w:tcBorders>
            <w:vAlign w:val="center"/>
          </w:tcPr>
          <w:p w14:paraId="5C8A0E3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sz w:val="21"/>
                <w:szCs w:val="21"/>
                <w:vertAlign w:val="baseline"/>
                <w:lang w:eastAsia="zh-CN"/>
              </w:rPr>
            </w:pPr>
            <w:r>
              <w:rPr>
                <w:rFonts w:hint="eastAsia" w:ascii="宋体" w:hAnsi="宋体" w:cs="宋体"/>
                <w:b w:val="0"/>
                <w:bCs/>
                <w:sz w:val="21"/>
                <w:szCs w:val="21"/>
                <w:vertAlign w:val="baseline"/>
                <w:lang w:eastAsia="zh-CN"/>
              </w:rPr>
              <w:t>限值含义</w:t>
            </w:r>
          </w:p>
        </w:tc>
        <w:tc>
          <w:tcPr>
            <w:tcW w:w="1578" w:type="dxa"/>
            <w:tcBorders>
              <w:tl2br w:val="nil"/>
              <w:tr2bl w:val="nil"/>
            </w:tcBorders>
            <w:vAlign w:val="center"/>
          </w:tcPr>
          <w:p w14:paraId="552A34C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sz w:val="21"/>
                <w:szCs w:val="21"/>
                <w:vertAlign w:val="baseline"/>
                <w:lang w:eastAsia="zh-CN"/>
              </w:rPr>
            </w:pPr>
            <w:r>
              <w:rPr>
                <w:rFonts w:hint="eastAsia" w:ascii="宋体" w:hAnsi="宋体" w:eastAsia="宋体" w:cs="宋体"/>
                <w:b w:val="0"/>
                <w:bCs/>
                <w:sz w:val="21"/>
                <w:szCs w:val="21"/>
                <w:vertAlign w:val="baseline"/>
                <w:lang w:eastAsia="zh-CN"/>
              </w:rPr>
              <w:t>监控点</w:t>
            </w:r>
          </w:p>
        </w:tc>
        <w:tc>
          <w:tcPr>
            <w:tcW w:w="2315" w:type="dxa"/>
            <w:tcBorders>
              <w:tl2br w:val="nil"/>
              <w:tr2bl w:val="nil"/>
            </w:tcBorders>
            <w:vAlign w:val="center"/>
          </w:tcPr>
          <w:p w14:paraId="47E2D7F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sz w:val="21"/>
                <w:szCs w:val="21"/>
                <w:vertAlign w:val="baseline"/>
                <w:lang w:eastAsia="zh-CN"/>
              </w:rPr>
            </w:pPr>
            <w:r>
              <w:rPr>
                <w:rFonts w:hint="eastAsia" w:ascii="宋体" w:hAnsi="宋体" w:eastAsia="宋体" w:cs="宋体"/>
                <w:b w:val="0"/>
                <w:bCs/>
                <w:sz w:val="21"/>
                <w:szCs w:val="21"/>
                <w:vertAlign w:val="baseline"/>
                <w:lang w:eastAsia="zh-CN"/>
              </w:rPr>
              <w:t>标准来源</w:t>
            </w:r>
          </w:p>
        </w:tc>
      </w:tr>
      <w:tr w14:paraId="5186B9F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757" w:type="dxa"/>
            <w:vMerge w:val="restart"/>
            <w:tcBorders>
              <w:tl2br w:val="nil"/>
              <w:tr2bl w:val="nil"/>
            </w:tcBorders>
            <w:vAlign w:val="center"/>
          </w:tcPr>
          <w:p w14:paraId="684B7E3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sz w:val="21"/>
                <w:szCs w:val="21"/>
                <w:vertAlign w:val="baseline"/>
                <w:lang w:val="en-US" w:eastAsia="zh-CN"/>
              </w:rPr>
            </w:pPr>
            <w:r>
              <w:rPr>
                <w:rFonts w:hint="eastAsia" w:ascii="宋体" w:hAnsi="宋体" w:eastAsia="宋体" w:cs="宋体"/>
                <w:b w:val="0"/>
                <w:bCs/>
                <w:sz w:val="21"/>
                <w:szCs w:val="21"/>
                <w:vertAlign w:val="baseline"/>
                <w:lang w:val="en-US" w:eastAsia="zh-CN"/>
              </w:rPr>
              <w:t>1</w:t>
            </w:r>
          </w:p>
        </w:tc>
        <w:tc>
          <w:tcPr>
            <w:tcW w:w="1364" w:type="dxa"/>
            <w:vMerge w:val="restart"/>
            <w:tcBorders>
              <w:tl2br w:val="nil"/>
              <w:tr2bl w:val="nil"/>
            </w:tcBorders>
            <w:vAlign w:val="center"/>
          </w:tcPr>
          <w:p w14:paraId="5418FF5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b w:val="0"/>
                <w:bCs/>
                <w:sz w:val="21"/>
                <w:szCs w:val="21"/>
                <w:vertAlign w:val="baseline"/>
                <w:lang w:val="en-US" w:eastAsia="zh-CN"/>
              </w:rPr>
            </w:pPr>
            <w:r>
              <w:rPr>
                <w:rFonts w:hint="eastAsia" w:ascii="宋体" w:hAnsi="宋体" w:cs="宋体"/>
                <w:b w:val="0"/>
                <w:bCs/>
                <w:sz w:val="21"/>
                <w:szCs w:val="21"/>
                <w:vertAlign w:val="baseline"/>
                <w:lang w:val="en-US" w:eastAsia="zh-CN"/>
              </w:rPr>
              <w:t>NMHC</w:t>
            </w:r>
          </w:p>
        </w:tc>
        <w:tc>
          <w:tcPr>
            <w:tcW w:w="926" w:type="dxa"/>
            <w:tcBorders>
              <w:tl2br w:val="nil"/>
              <w:tr2bl w:val="nil"/>
            </w:tcBorders>
            <w:vAlign w:val="center"/>
          </w:tcPr>
          <w:p w14:paraId="4C4D8D2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b w:val="0"/>
                <w:bCs/>
                <w:sz w:val="21"/>
                <w:szCs w:val="21"/>
                <w:vertAlign w:val="baseline"/>
                <w:lang w:val="en-US" w:eastAsia="zh-CN"/>
              </w:rPr>
            </w:pPr>
            <w:r>
              <w:rPr>
                <w:rFonts w:hint="eastAsia" w:ascii="宋体" w:hAnsi="宋体" w:cs="宋体"/>
                <w:b w:val="0"/>
                <w:bCs/>
                <w:sz w:val="21"/>
                <w:szCs w:val="21"/>
                <w:vertAlign w:val="baseline"/>
                <w:lang w:val="en-US" w:eastAsia="zh-CN"/>
              </w:rPr>
              <w:t>6</w:t>
            </w:r>
          </w:p>
        </w:tc>
        <w:tc>
          <w:tcPr>
            <w:tcW w:w="1578" w:type="dxa"/>
            <w:tcBorders>
              <w:tl2br w:val="nil"/>
              <w:tr2bl w:val="nil"/>
            </w:tcBorders>
            <w:vAlign w:val="center"/>
          </w:tcPr>
          <w:p w14:paraId="5A034E1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b w:val="0"/>
                <w:bCs/>
                <w:sz w:val="21"/>
                <w:szCs w:val="21"/>
                <w:vertAlign w:val="baseline"/>
                <w:lang w:val="en-US" w:eastAsia="zh-CN"/>
              </w:rPr>
            </w:pPr>
            <w:r>
              <w:rPr>
                <w:rFonts w:hint="eastAsia" w:ascii="宋体" w:hAnsi="宋体" w:cs="宋体"/>
                <w:b w:val="0"/>
                <w:bCs/>
                <w:sz w:val="21"/>
                <w:szCs w:val="21"/>
                <w:vertAlign w:val="baseline"/>
                <w:lang w:eastAsia="zh-CN"/>
              </w:rPr>
              <w:t>监控点处</w:t>
            </w:r>
            <w:r>
              <w:rPr>
                <w:rFonts w:hint="eastAsia" w:ascii="宋体" w:hAnsi="宋体" w:cs="宋体"/>
                <w:b w:val="0"/>
                <w:bCs/>
                <w:sz w:val="21"/>
                <w:szCs w:val="21"/>
                <w:vertAlign w:val="baseline"/>
                <w:lang w:val="en-US" w:eastAsia="zh-CN"/>
              </w:rPr>
              <w:t>1h平均浓度值</w:t>
            </w:r>
          </w:p>
        </w:tc>
        <w:tc>
          <w:tcPr>
            <w:tcW w:w="1578" w:type="dxa"/>
            <w:vMerge w:val="restart"/>
            <w:tcBorders>
              <w:tl2br w:val="nil"/>
              <w:tr2bl w:val="nil"/>
            </w:tcBorders>
            <w:vAlign w:val="center"/>
          </w:tcPr>
          <w:p w14:paraId="58E78AD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sz w:val="21"/>
                <w:szCs w:val="21"/>
                <w:vertAlign w:val="baseline"/>
                <w:lang w:eastAsia="zh-CN"/>
              </w:rPr>
            </w:pPr>
            <w:r>
              <w:rPr>
                <w:rFonts w:hint="eastAsia" w:ascii="宋体" w:hAnsi="宋体" w:cs="宋体"/>
                <w:b w:val="0"/>
                <w:bCs/>
                <w:sz w:val="21"/>
                <w:szCs w:val="21"/>
                <w:vertAlign w:val="baseline"/>
                <w:lang w:eastAsia="zh-CN"/>
              </w:rPr>
              <w:t>在厂房外设置监控点</w:t>
            </w:r>
          </w:p>
        </w:tc>
        <w:tc>
          <w:tcPr>
            <w:tcW w:w="2315" w:type="dxa"/>
            <w:vMerge w:val="restart"/>
            <w:tcBorders>
              <w:tl2br w:val="nil"/>
              <w:tr2bl w:val="nil"/>
            </w:tcBorders>
            <w:vAlign w:val="center"/>
          </w:tcPr>
          <w:p w14:paraId="5AFBACC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sz w:val="21"/>
                <w:szCs w:val="21"/>
                <w:vertAlign w:val="baseline"/>
                <w:lang w:eastAsia="zh-CN"/>
              </w:rPr>
            </w:pPr>
            <w:r>
              <w:rPr>
                <w:rFonts w:hint="eastAsia" w:ascii="宋体" w:hAnsi="宋体" w:eastAsia="宋体" w:cs="宋体"/>
                <w:b w:val="0"/>
                <w:bCs/>
                <w:sz w:val="21"/>
                <w:szCs w:val="21"/>
                <w:vertAlign w:val="baseline"/>
                <w:lang w:eastAsia="zh-CN"/>
              </w:rPr>
              <w:t>《挥发性有机物无组织排放标准》（</w:t>
            </w:r>
            <w:r>
              <w:rPr>
                <w:rFonts w:hint="default" w:ascii="宋体" w:hAnsi="宋体" w:eastAsia="宋体" w:cs="宋体"/>
                <w:b w:val="0"/>
                <w:bCs/>
                <w:sz w:val="21"/>
                <w:szCs w:val="21"/>
                <w:vertAlign w:val="baseline"/>
                <w:lang w:eastAsia="zh-CN"/>
              </w:rPr>
              <w:t>GB</w:t>
            </w:r>
            <w:r>
              <w:rPr>
                <w:rFonts w:hint="eastAsia" w:ascii="宋体" w:hAnsi="宋体" w:eastAsia="宋体" w:cs="宋体"/>
                <w:b w:val="0"/>
                <w:bCs/>
                <w:sz w:val="21"/>
                <w:szCs w:val="21"/>
                <w:vertAlign w:val="baseline"/>
                <w:lang w:val="en-US" w:eastAsia="zh-CN"/>
              </w:rPr>
              <w:t>37822-2019</w:t>
            </w:r>
            <w:r>
              <w:rPr>
                <w:rFonts w:hint="eastAsia" w:ascii="宋体" w:hAnsi="宋体" w:eastAsia="宋体" w:cs="宋体"/>
                <w:b w:val="0"/>
                <w:bCs/>
                <w:sz w:val="21"/>
                <w:szCs w:val="21"/>
                <w:vertAlign w:val="baseline"/>
                <w:lang w:eastAsia="zh-CN"/>
              </w:rPr>
              <w:t>）</w:t>
            </w:r>
          </w:p>
        </w:tc>
      </w:tr>
      <w:tr w14:paraId="6ADE90D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94" w:hRule="atLeast"/>
        </w:trPr>
        <w:tc>
          <w:tcPr>
            <w:tcW w:w="757" w:type="dxa"/>
            <w:vMerge w:val="continue"/>
            <w:tcBorders>
              <w:tl2br w:val="nil"/>
              <w:tr2bl w:val="nil"/>
            </w:tcBorders>
            <w:vAlign w:val="center"/>
          </w:tcPr>
          <w:p w14:paraId="4A000D9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sz w:val="21"/>
                <w:szCs w:val="21"/>
                <w:vertAlign w:val="baseline"/>
                <w:lang w:val="en-US" w:eastAsia="zh-CN"/>
              </w:rPr>
            </w:pPr>
          </w:p>
        </w:tc>
        <w:tc>
          <w:tcPr>
            <w:tcW w:w="1364" w:type="dxa"/>
            <w:vMerge w:val="continue"/>
            <w:tcBorders>
              <w:tl2br w:val="nil"/>
              <w:tr2bl w:val="nil"/>
            </w:tcBorders>
            <w:vAlign w:val="center"/>
          </w:tcPr>
          <w:p w14:paraId="0E300CE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s="宋体"/>
                <w:b w:val="0"/>
                <w:bCs/>
                <w:sz w:val="21"/>
                <w:szCs w:val="21"/>
                <w:vertAlign w:val="baseline"/>
                <w:lang w:val="en-US" w:eastAsia="zh-CN"/>
              </w:rPr>
            </w:pPr>
          </w:p>
        </w:tc>
        <w:tc>
          <w:tcPr>
            <w:tcW w:w="926" w:type="dxa"/>
            <w:tcBorders>
              <w:tl2br w:val="nil"/>
              <w:tr2bl w:val="nil"/>
            </w:tcBorders>
            <w:vAlign w:val="center"/>
          </w:tcPr>
          <w:p w14:paraId="36F172D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b w:val="0"/>
                <w:bCs/>
                <w:sz w:val="21"/>
                <w:szCs w:val="21"/>
                <w:vertAlign w:val="baseline"/>
                <w:lang w:val="en-US" w:eastAsia="zh-CN"/>
              </w:rPr>
            </w:pPr>
            <w:r>
              <w:rPr>
                <w:rFonts w:hint="eastAsia" w:ascii="宋体" w:hAnsi="宋体" w:cs="宋体"/>
                <w:b w:val="0"/>
                <w:bCs/>
                <w:sz w:val="21"/>
                <w:szCs w:val="21"/>
                <w:vertAlign w:val="baseline"/>
                <w:lang w:val="en-US" w:eastAsia="zh-CN"/>
              </w:rPr>
              <w:t>20</w:t>
            </w:r>
          </w:p>
        </w:tc>
        <w:tc>
          <w:tcPr>
            <w:tcW w:w="1578" w:type="dxa"/>
            <w:tcBorders>
              <w:tl2br w:val="nil"/>
              <w:tr2bl w:val="nil"/>
            </w:tcBorders>
            <w:vAlign w:val="center"/>
          </w:tcPr>
          <w:p w14:paraId="79BC2F6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sz w:val="21"/>
                <w:szCs w:val="21"/>
                <w:vertAlign w:val="baseline"/>
                <w:lang w:eastAsia="zh-CN"/>
              </w:rPr>
            </w:pPr>
            <w:r>
              <w:rPr>
                <w:rFonts w:hint="eastAsia" w:ascii="宋体" w:hAnsi="宋体" w:cs="宋体"/>
                <w:b w:val="0"/>
                <w:bCs/>
                <w:sz w:val="21"/>
                <w:szCs w:val="21"/>
                <w:vertAlign w:val="baseline"/>
                <w:lang w:eastAsia="zh-CN"/>
              </w:rPr>
              <w:t>监控点处任意一次浓度值</w:t>
            </w:r>
          </w:p>
        </w:tc>
        <w:tc>
          <w:tcPr>
            <w:tcW w:w="1578" w:type="dxa"/>
            <w:vMerge w:val="continue"/>
            <w:tcBorders>
              <w:tl2br w:val="nil"/>
              <w:tr2bl w:val="nil"/>
            </w:tcBorders>
            <w:vAlign w:val="center"/>
          </w:tcPr>
          <w:p w14:paraId="4B0B000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sz w:val="21"/>
                <w:szCs w:val="21"/>
                <w:vertAlign w:val="baseline"/>
                <w:lang w:eastAsia="zh-CN"/>
              </w:rPr>
            </w:pPr>
          </w:p>
        </w:tc>
        <w:tc>
          <w:tcPr>
            <w:tcW w:w="2315" w:type="dxa"/>
            <w:vMerge w:val="continue"/>
            <w:tcBorders>
              <w:tl2br w:val="nil"/>
              <w:tr2bl w:val="nil"/>
            </w:tcBorders>
            <w:vAlign w:val="center"/>
          </w:tcPr>
          <w:p w14:paraId="53266B3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sz w:val="21"/>
                <w:szCs w:val="21"/>
                <w:vertAlign w:val="baseline"/>
                <w:lang w:eastAsia="zh-CN"/>
              </w:rPr>
            </w:pPr>
          </w:p>
        </w:tc>
      </w:tr>
    </w:tbl>
    <w:p w14:paraId="1556F28B">
      <w:pPr>
        <w:bidi w:val="0"/>
        <w:rPr>
          <w:rFonts w:hint="eastAsia"/>
          <w:lang w:eastAsia="zh-CN"/>
        </w:rPr>
      </w:pPr>
    </w:p>
    <w:p w14:paraId="3F03FE7F">
      <w:pPr>
        <w:bidi w:val="0"/>
      </w:pPr>
      <w:r>
        <w:t>（2）废水排放标准</w:t>
      </w:r>
    </w:p>
    <w:p w14:paraId="5F01B2E0">
      <w:pPr>
        <w:bidi w:val="0"/>
      </w:pPr>
      <w:r>
        <w:rPr>
          <w:rFonts w:hint="eastAsia"/>
          <w:lang w:eastAsia="zh-CN"/>
        </w:rPr>
        <w:t>本项目生产工序中产生的生产废水经处理后达标回用，不外排。生活污水的排放依托厂区现有生活设施，生活污水排入化粪池定期清掏做农肥</w:t>
      </w:r>
      <w:r>
        <w:t>。</w:t>
      </w:r>
    </w:p>
    <w:p w14:paraId="0ED046C1">
      <w:pPr>
        <w:bidi w:val="0"/>
      </w:pPr>
      <w:r>
        <w:t>（2）噪声排放标准</w:t>
      </w:r>
    </w:p>
    <w:p w14:paraId="630D9E8D">
      <w:pPr>
        <w:bidi w:val="0"/>
      </w:pPr>
      <w:r>
        <w:fldChar w:fldCharType="begin"/>
      </w:r>
      <w:r>
        <w:instrText xml:space="preserve"> = 1 \* GB3 </w:instrText>
      </w:r>
      <w:r>
        <w:fldChar w:fldCharType="separate"/>
      </w:r>
      <w:r>
        <w:rPr>
          <w:rFonts w:hint="eastAsia"/>
        </w:rPr>
        <w:t>①</w:t>
      </w:r>
      <w:r>
        <w:fldChar w:fldCharType="end"/>
      </w:r>
      <w:r>
        <w:t>施工期</w:t>
      </w:r>
    </w:p>
    <w:p w14:paraId="10B4C5B0">
      <w:pPr>
        <w:spacing w:line="480" w:lineRule="exact"/>
        <w:ind w:firstLine="480"/>
      </w:pPr>
      <w:r>
        <w:t>施工期噪声执行《建筑施工场界环境噪声排放标准》（GB12523-2011），见下表。</w:t>
      </w:r>
    </w:p>
    <w:p w14:paraId="0D961D58">
      <w:pPr>
        <w:spacing w:line="360" w:lineRule="exact"/>
        <w:ind w:firstLine="310" w:firstLineChars="147"/>
        <w:jc w:val="center"/>
        <w:rPr>
          <w:b/>
          <w:sz w:val="21"/>
          <w:szCs w:val="21"/>
        </w:rPr>
      </w:pPr>
      <w:r>
        <w:rPr>
          <w:b/>
          <w:sz w:val="21"/>
          <w:szCs w:val="21"/>
        </w:rPr>
        <w:t>表</w:t>
      </w:r>
      <w:r>
        <w:rPr>
          <w:rFonts w:hint="eastAsia"/>
          <w:b/>
          <w:sz w:val="21"/>
          <w:szCs w:val="21"/>
          <w:lang w:val="en-US" w:eastAsia="zh-CN"/>
        </w:rPr>
        <w:t>2-12</w:t>
      </w:r>
      <w:r>
        <w:rPr>
          <w:b/>
          <w:sz w:val="21"/>
          <w:szCs w:val="21"/>
        </w:rPr>
        <w:t>建筑施工场界环境噪声排放标准  单位：dB（A）</w:t>
      </w:r>
    </w:p>
    <w:tbl>
      <w:tblPr>
        <w:tblStyle w:val="52"/>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4646"/>
        <w:gridCol w:w="3876"/>
      </w:tblGrid>
      <w:tr w14:paraId="1312C1F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726" w:type="pct"/>
            <w:vAlign w:val="center"/>
          </w:tcPr>
          <w:p w14:paraId="665599AC">
            <w:pPr>
              <w:pStyle w:val="39"/>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sz w:val="21"/>
                <w:szCs w:val="21"/>
              </w:rPr>
            </w:pPr>
            <w:r>
              <w:rPr>
                <w:sz w:val="21"/>
                <w:szCs w:val="21"/>
              </w:rPr>
              <w:t>昼间</w:t>
            </w:r>
          </w:p>
        </w:tc>
        <w:tc>
          <w:tcPr>
            <w:tcW w:w="2274" w:type="pct"/>
            <w:vAlign w:val="center"/>
          </w:tcPr>
          <w:p w14:paraId="6E2D3A9A">
            <w:pPr>
              <w:pStyle w:val="39"/>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sz w:val="21"/>
                <w:szCs w:val="21"/>
              </w:rPr>
            </w:pPr>
            <w:r>
              <w:rPr>
                <w:sz w:val="21"/>
                <w:szCs w:val="21"/>
              </w:rPr>
              <w:t>夜间</w:t>
            </w:r>
          </w:p>
        </w:tc>
      </w:tr>
      <w:tr w14:paraId="3827B24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726" w:type="pct"/>
            <w:vAlign w:val="center"/>
          </w:tcPr>
          <w:p w14:paraId="40FCC059">
            <w:pPr>
              <w:pStyle w:val="39"/>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sz w:val="21"/>
                <w:szCs w:val="21"/>
              </w:rPr>
            </w:pPr>
            <w:r>
              <w:rPr>
                <w:sz w:val="21"/>
                <w:szCs w:val="21"/>
              </w:rPr>
              <w:t>70</w:t>
            </w:r>
          </w:p>
        </w:tc>
        <w:tc>
          <w:tcPr>
            <w:tcW w:w="2274" w:type="pct"/>
            <w:vAlign w:val="center"/>
          </w:tcPr>
          <w:p w14:paraId="1BD8F2BA">
            <w:pPr>
              <w:pStyle w:val="39"/>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sz w:val="21"/>
                <w:szCs w:val="21"/>
              </w:rPr>
            </w:pPr>
            <w:r>
              <w:rPr>
                <w:sz w:val="21"/>
                <w:szCs w:val="21"/>
              </w:rPr>
              <w:t>55</w:t>
            </w:r>
          </w:p>
        </w:tc>
      </w:tr>
    </w:tbl>
    <w:p w14:paraId="15368AEC">
      <w:pPr>
        <w:spacing w:line="480" w:lineRule="exact"/>
        <w:ind w:firstLine="480" w:firstLineChars="200"/>
      </w:pPr>
      <w:r>
        <w:rPr>
          <w:rFonts w:hint="eastAsia" w:ascii="宋体" w:hAnsi="宋体" w:cs="宋体"/>
        </w:rPr>
        <w:t>②</w:t>
      </w:r>
      <w:r>
        <w:t>营运期</w:t>
      </w:r>
    </w:p>
    <w:p w14:paraId="4C91EE81">
      <w:pPr>
        <w:spacing w:line="480" w:lineRule="exact"/>
        <w:ind w:firstLine="480" w:firstLineChars="200"/>
      </w:pPr>
      <w:r>
        <w:t>项目营运期厂界环境噪声排放执行《工业企业厂界环境噪声排放标准》（GB12348-2008）中</w:t>
      </w:r>
      <w:r>
        <w:rPr>
          <w:rFonts w:hint="eastAsia"/>
          <w:lang w:val="en-US" w:eastAsia="zh-CN"/>
        </w:rPr>
        <w:t>2</w:t>
      </w:r>
      <w:r>
        <w:t>类标准，见下表。</w:t>
      </w:r>
    </w:p>
    <w:p w14:paraId="5F4197DE">
      <w:pPr>
        <w:spacing w:before="120" w:beforeLines="50" w:line="360" w:lineRule="exact"/>
        <w:ind w:firstLine="310" w:firstLineChars="147"/>
        <w:jc w:val="center"/>
        <w:rPr>
          <w:b/>
          <w:sz w:val="21"/>
          <w:szCs w:val="21"/>
        </w:rPr>
      </w:pPr>
      <w:r>
        <w:rPr>
          <w:b/>
          <w:sz w:val="21"/>
          <w:szCs w:val="21"/>
        </w:rPr>
        <w:t>表</w:t>
      </w:r>
      <w:r>
        <w:rPr>
          <w:rFonts w:hint="eastAsia"/>
          <w:b/>
          <w:sz w:val="21"/>
          <w:szCs w:val="21"/>
          <w:lang w:val="en-US" w:eastAsia="zh-CN"/>
        </w:rPr>
        <w:t>2-13</w:t>
      </w:r>
      <w:r>
        <w:rPr>
          <w:b/>
          <w:sz w:val="21"/>
          <w:szCs w:val="21"/>
        </w:rPr>
        <w:t>工业企业厂界环境噪声排放标准  单位：dB（A）</w:t>
      </w:r>
    </w:p>
    <w:tbl>
      <w:tblPr>
        <w:tblStyle w:val="52"/>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2841"/>
      </w:tblGrid>
      <w:tr w14:paraId="4A5FF58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666" w:type="pct"/>
            <w:vAlign w:val="center"/>
          </w:tcPr>
          <w:p w14:paraId="5DD03F1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类别</w:t>
            </w:r>
          </w:p>
        </w:tc>
        <w:tc>
          <w:tcPr>
            <w:tcW w:w="1667" w:type="pct"/>
            <w:vAlign w:val="center"/>
          </w:tcPr>
          <w:p w14:paraId="7F1CA06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昼间</w:t>
            </w:r>
          </w:p>
        </w:tc>
        <w:tc>
          <w:tcPr>
            <w:tcW w:w="1667" w:type="pct"/>
            <w:vAlign w:val="center"/>
          </w:tcPr>
          <w:p w14:paraId="266A679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夜间</w:t>
            </w:r>
          </w:p>
        </w:tc>
      </w:tr>
      <w:tr w14:paraId="6B07C55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666" w:type="pct"/>
            <w:vAlign w:val="center"/>
          </w:tcPr>
          <w:p w14:paraId="47E99F2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lang w:val="en-US" w:eastAsia="zh-CN"/>
              </w:rPr>
              <w:t>2</w:t>
            </w:r>
            <w:r>
              <w:rPr>
                <w:sz w:val="21"/>
                <w:szCs w:val="21"/>
              </w:rPr>
              <w:t>类</w:t>
            </w:r>
          </w:p>
        </w:tc>
        <w:tc>
          <w:tcPr>
            <w:tcW w:w="1667" w:type="pct"/>
            <w:vAlign w:val="center"/>
          </w:tcPr>
          <w:p w14:paraId="7A4A1B7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sz w:val="21"/>
                <w:szCs w:val="21"/>
                <w:lang w:val="en-US" w:eastAsia="zh-CN"/>
              </w:rPr>
            </w:pPr>
            <w:r>
              <w:rPr>
                <w:rFonts w:hint="eastAsia"/>
                <w:sz w:val="21"/>
                <w:szCs w:val="21"/>
                <w:lang w:val="en-US" w:eastAsia="zh-CN"/>
              </w:rPr>
              <w:t>60</w:t>
            </w:r>
          </w:p>
        </w:tc>
        <w:tc>
          <w:tcPr>
            <w:tcW w:w="1667" w:type="pct"/>
            <w:vAlign w:val="center"/>
          </w:tcPr>
          <w:p w14:paraId="3E383DC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sz w:val="21"/>
                <w:szCs w:val="21"/>
                <w:lang w:val="en-US" w:eastAsia="zh-CN"/>
              </w:rPr>
            </w:pPr>
            <w:r>
              <w:rPr>
                <w:rFonts w:hint="eastAsia"/>
                <w:sz w:val="21"/>
                <w:szCs w:val="21"/>
                <w:lang w:val="en-US" w:eastAsia="zh-CN"/>
              </w:rPr>
              <w:t>50</w:t>
            </w:r>
          </w:p>
        </w:tc>
      </w:tr>
    </w:tbl>
    <w:p w14:paraId="0F2AE43D">
      <w:pPr>
        <w:bidi w:val="0"/>
      </w:pPr>
      <w:r>
        <w:t>（4）固体废物控制标准</w:t>
      </w:r>
    </w:p>
    <w:p w14:paraId="740AD7AF">
      <w:pPr>
        <w:bidi w:val="0"/>
      </w:pPr>
      <w:r>
        <w:rPr>
          <w:rFonts w:hint="eastAsia"/>
        </w:rPr>
        <w:t>①</w:t>
      </w:r>
      <w:r>
        <w:t>一般废物执行《一般工业固体废物贮存、处置场污染控制标准》（GB18599-2001）及其修改单（环保部2013年第36号文）中相关要求。</w:t>
      </w:r>
    </w:p>
    <w:p w14:paraId="47F2A646">
      <w:pPr>
        <w:bidi w:val="0"/>
      </w:pPr>
      <w:r>
        <w:rPr>
          <w:rFonts w:hint="eastAsia"/>
        </w:rPr>
        <w:t>②</w:t>
      </w:r>
      <w:r>
        <w:t>危险废物执行《危险废物贮存污染控制标准》（GB18597-2001）及其修改单（环保部2013年第36号文）中相关要求。</w:t>
      </w:r>
    </w:p>
    <w:p w14:paraId="6C581A90">
      <w:pPr>
        <w:pStyle w:val="3"/>
        <w:rPr>
          <w:color w:val="auto"/>
        </w:rPr>
      </w:pPr>
      <w:bookmarkStart w:id="102" w:name="_Toc9348"/>
      <w:r>
        <w:rPr>
          <w:color w:val="auto"/>
        </w:rPr>
        <w:t>2.6评价工作等级和评价范围</w:t>
      </w:r>
      <w:bookmarkEnd w:id="102"/>
    </w:p>
    <w:p w14:paraId="76BE7797">
      <w:pPr>
        <w:pStyle w:val="5"/>
        <w:rPr>
          <w:color w:val="auto"/>
        </w:rPr>
      </w:pPr>
      <w:r>
        <w:rPr>
          <w:color w:val="auto"/>
        </w:rPr>
        <w:t>2.6.1评价工作等级</w:t>
      </w:r>
    </w:p>
    <w:p w14:paraId="4E541345">
      <w:pPr>
        <w:ind w:firstLine="480" w:firstLineChars="200"/>
      </w:pPr>
      <w:r>
        <w:t>根据《环境影响评价技术导则—总纲》（HJ2.1-2016）中关于评价等级划分的规定，大气环境、地表水环境、声环境评价等级的划分如下：</w:t>
      </w:r>
    </w:p>
    <w:p w14:paraId="5960DB3B">
      <w:pPr>
        <w:pStyle w:val="6"/>
        <w:rPr>
          <w:color w:val="auto"/>
        </w:rPr>
      </w:pPr>
      <w:r>
        <w:rPr>
          <w:color w:val="auto"/>
        </w:rPr>
        <w:t>2.6.1.1大气环境影响评价工作等级</w:t>
      </w:r>
    </w:p>
    <w:p w14:paraId="10A14D70">
      <w:pPr>
        <w:numPr>
          <w:ilvl w:val="0"/>
          <w:numId w:val="7"/>
        </w:numPr>
        <w:ind w:firstLine="480" w:firstLineChars="200"/>
      </w:pPr>
      <w:r>
        <w:t>评价等级判定依据</w:t>
      </w:r>
    </w:p>
    <w:p w14:paraId="102747C7">
      <w:pPr>
        <w:ind w:firstLine="240" w:firstLineChars="100"/>
      </w:pPr>
      <w:r>
        <w:t>根据《环境影响评价技术导则－大气环境》（HJ2.2－2018）中大气评价工作分级方法确定评价工作等级，其判据详见表</w:t>
      </w:r>
      <w:r>
        <w:rPr>
          <w:rFonts w:hint="eastAsia"/>
          <w:lang w:val="en-US" w:eastAsia="zh-CN"/>
        </w:rPr>
        <w:t>2-14</w:t>
      </w:r>
      <w:r>
        <w:t>。</w:t>
      </w:r>
    </w:p>
    <w:p w14:paraId="0FE1236C">
      <w:pPr>
        <w:spacing w:line="360" w:lineRule="exact"/>
        <w:ind w:firstLine="207" w:firstLineChars="98"/>
        <w:jc w:val="center"/>
        <w:rPr>
          <w:b/>
          <w:sz w:val="21"/>
          <w:szCs w:val="21"/>
        </w:rPr>
      </w:pPr>
      <w:r>
        <w:rPr>
          <w:b/>
          <w:sz w:val="21"/>
          <w:szCs w:val="21"/>
        </w:rPr>
        <w:t>表</w:t>
      </w:r>
      <w:r>
        <w:rPr>
          <w:rFonts w:hint="eastAsia"/>
          <w:b/>
          <w:sz w:val="21"/>
          <w:szCs w:val="21"/>
          <w:lang w:val="en-US" w:eastAsia="zh-CN"/>
        </w:rPr>
        <w:t>2-14</w:t>
      </w:r>
      <w:r>
        <w:rPr>
          <w:b/>
          <w:sz w:val="21"/>
          <w:szCs w:val="21"/>
        </w:rPr>
        <w:t>大气评价工作等级判据</w:t>
      </w:r>
    </w:p>
    <w:tbl>
      <w:tblPr>
        <w:tblStyle w:val="52"/>
        <w:tblW w:w="8528"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807"/>
        <w:gridCol w:w="5721"/>
      </w:tblGrid>
      <w:tr w14:paraId="447BE31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807" w:type="dxa"/>
            <w:vAlign w:val="center"/>
          </w:tcPr>
          <w:p w14:paraId="2CF3658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评价工作等级</w:t>
            </w:r>
          </w:p>
        </w:tc>
        <w:tc>
          <w:tcPr>
            <w:tcW w:w="5721" w:type="dxa"/>
            <w:vAlign w:val="center"/>
          </w:tcPr>
          <w:p w14:paraId="0EFD8CE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评价工作分级判据</w:t>
            </w:r>
          </w:p>
        </w:tc>
      </w:tr>
      <w:tr w14:paraId="107B683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807" w:type="dxa"/>
            <w:vAlign w:val="center"/>
          </w:tcPr>
          <w:p w14:paraId="589BF84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一级</w:t>
            </w:r>
          </w:p>
        </w:tc>
        <w:tc>
          <w:tcPr>
            <w:tcW w:w="5721" w:type="dxa"/>
            <w:vAlign w:val="center"/>
          </w:tcPr>
          <w:p w14:paraId="469E94A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P</w:t>
            </w:r>
            <w:r>
              <w:rPr>
                <w:sz w:val="21"/>
                <w:szCs w:val="21"/>
                <w:vertAlign w:val="subscript"/>
              </w:rPr>
              <w:t>max</w:t>
            </w:r>
            <w:r>
              <w:rPr>
                <w:sz w:val="21"/>
                <w:szCs w:val="21"/>
              </w:rPr>
              <w:t>≥10%</w:t>
            </w:r>
          </w:p>
        </w:tc>
      </w:tr>
      <w:tr w14:paraId="20B145D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807" w:type="dxa"/>
            <w:vAlign w:val="center"/>
          </w:tcPr>
          <w:p w14:paraId="1747BD2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二级</w:t>
            </w:r>
          </w:p>
        </w:tc>
        <w:tc>
          <w:tcPr>
            <w:tcW w:w="5721" w:type="dxa"/>
            <w:vAlign w:val="center"/>
          </w:tcPr>
          <w:p w14:paraId="45B4C06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1%≤P</w:t>
            </w:r>
            <w:r>
              <w:rPr>
                <w:sz w:val="21"/>
                <w:szCs w:val="21"/>
                <w:vertAlign w:val="subscript"/>
              </w:rPr>
              <w:t>max</w:t>
            </w:r>
            <w:r>
              <w:rPr>
                <w:sz w:val="21"/>
                <w:szCs w:val="21"/>
              </w:rPr>
              <w:t>&lt;10%</w:t>
            </w:r>
          </w:p>
        </w:tc>
      </w:tr>
      <w:tr w14:paraId="1BCF106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807" w:type="dxa"/>
            <w:vAlign w:val="center"/>
          </w:tcPr>
          <w:p w14:paraId="32871AB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三级</w:t>
            </w:r>
          </w:p>
        </w:tc>
        <w:tc>
          <w:tcPr>
            <w:tcW w:w="5721" w:type="dxa"/>
            <w:vAlign w:val="center"/>
          </w:tcPr>
          <w:p w14:paraId="42FB1F1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P</w:t>
            </w:r>
            <w:r>
              <w:rPr>
                <w:sz w:val="21"/>
                <w:szCs w:val="21"/>
                <w:vertAlign w:val="subscript"/>
              </w:rPr>
              <w:t>max</w:t>
            </w:r>
            <w:r>
              <w:rPr>
                <w:sz w:val="21"/>
                <w:szCs w:val="21"/>
              </w:rPr>
              <w:t>&lt;1%</w:t>
            </w:r>
          </w:p>
        </w:tc>
      </w:tr>
    </w:tbl>
    <w:p w14:paraId="280AE100">
      <w:pPr>
        <w:ind w:firstLine="480" w:firstLineChars="200"/>
      </w:pPr>
      <w:r>
        <w:t>其中Pi定义为：</w:t>
      </w:r>
    </w:p>
    <w:p w14:paraId="0F9F6B1D">
      <w:pPr>
        <w:spacing w:line="360" w:lineRule="auto"/>
        <w:ind w:firstLine="480" w:firstLineChars="200"/>
        <w:jc w:val="center"/>
      </w:pPr>
      <w:r>
        <w:rPr>
          <w:position w:val="-30"/>
        </w:rPr>
        <w:object>
          <v:shape id="_x0000_i1025" o:spt="75" type="#_x0000_t75" style="height:37.6pt;width:80.6pt;" o:ole="t" filled="f" o:preferrelative="t" stroked="f" coordsize="21600,21600">
            <v:path/>
            <v:fill on="f" focussize="0,0"/>
            <v:stroke on="f" joinstyle="miter"/>
            <v:imagedata r:id="rId16" o:title=""/>
            <o:lock v:ext="edit" aspectratio="t"/>
            <w10:wrap type="none"/>
            <w10:anchorlock/>
          </v:shape>
          <o:OLEObject Type="Embed" ProgID="Equations" ShapeID="_x0000_i1025" DrawAspect="Content" ObjectID="_1468075725" r:id="rId15">
            <o:LockedField>false</o:LockedField>
          </o:OLEObject>
        </w:object>
      </w:r>
    </w:p>
    <w:p w14:paraId="4EECC371">
      <w:pPr>
        <w:ind w:firstLine="480" w:firstLineChars="200"/>
      </w:pPr>
      <w:r>
        <w:t>式中：Pi—第i个污染物的最大地面浓度占标率，%；</w:t>
      </w:r>
    </w:p>
    <w:p w14:paraId="4EC08072">
      <w:pPr>
        <w:ind w:firstLine="480" w:firstLineChars="200"/>
      </w:pPr>
      <w:r>
        <w:t>Ci—采用估算模式计算出的第i个污染物的最大1h地面空气质量浓度，ug/m</w:t>
      </w:r>
      <w:r>
        <w:rPr>
          <w:vertAlign w:val="superscript"/>
        </w:rPr>
        <w:t>3</w:t>
      </w:r>
      <w:r>
        <w:t>；</w:t>
      </w:r>
    </w:p>
    <w:p w14:paraId="681D8C5F">
      <w:pPr>
        <w:ind w:firstLine="480" w:firstLineChars="200"/>
      </w:pPr>
      <w:r>
        <w:t>C0i—第i个污染物的环境空气质量标准（一般选用GB3095中1小时平均取样时间的二级标准的浓度限值），ug/m</w:t>
      </w:r>
      <w:r>
        <w:rPr>
          <w:vertAlign w:val="superscript"/>
        </w:rPr>
        <w:t>3</w:t>
      </w:r>
      <w:r>
        <w:t>。</w:t>
      </w:r>
    </w:p>
    <w:p w14:paraId="488B1618">
      <w:pPr>
        <w:ind w:firstLine="480" w:firstLineChars="200"/>
      </w:pPr>
      <w:r>
        <w:t>（2）估算参数</w:t>
      </w:r>
    </w:p>
    <w:p w14:paraId="202E1454">
      <w:pPr>
        <w:ind w:firstLine="480" w:firstLineChars="200"/>
      </w:pPr>
      <w:r>
        <w:t>估算模型参数见下表。</w:t>
      </w:r>
    </w:p>
    <w:p w14:paraId="22B3DFFB">
      <w:pPr>
        <w:ind w:left="0" w:leftChars="0" w:firstLine="0" w:firstLineChars="0"/>
        <w:jc w:val="center"/>
        <w:rPr>
          <w:b/>
          <w:bCs/>
          <w:sz w:val="21"/>
          <w:szCs w:val="21"/>
        </w:rPr>
      </w:pPr>
      <w:r>
        <w:rPr>
          <w:b/>
          <w:bCs/>
          <w:sz w:val="21"/>
          <w:szCs w:val="21"/>
        </w:rPr>
        <w:t>表</w:t>
      </w:r>
      <w:r>
        <w:rPr>
          <w:rFonts w:hint="eastAsia"/>
          <w:b/>
          <w:bCs/>
          <w:sz w:val="21"/>
          <w:szCs w:val="21"/>
          <w:lang w:val="en-US" w:eastAsia="zh-CN"/>
        </w:rPr>
        <w:t>2-15</w:t>
      </w:r>
      <w:r>
        <w:rPr>
          <w:b/>
          <w:bCs/>
          <w:sz w:val="21"/>
          <w:szCs w:val="21"/>
        </w:rPr>
        <w:t>估算模型参数表</w:t>
      </w:r>
    </w:p>
    <w:tbl>
      <w:tblPr>
        <w:tblStyle w:val="52"/>
        <w:tblW w:w="8528"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842"/>
        <w:gridCol w:w="2843"/>
        <w:gridCol w:w="2843"/>
      </w:tblGrid>
      <w:tr w14:paraId="4F0D78E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685" w:type="dxa"/>
            <w:gridSpan w:val="2"/>
            <w:vAlign w:val="center"/>
          </w:tcPr>
          <w:p w14:paraId="33F3378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sz w:val="21"/>
                <w:szCs w:val="21"/>
              </w:rPr>
            </w:pPr>
            <w:r>
              <w:rPr>
                <w:sz w:val="21"/>
                <w:szCs w:val="21"/>
              </w:rPr>
              <w:t>参数</w:t>
            </w:r>
          </w:p>
        </w:tc>
        <w:tc>
          <w:tcPr>
            <w:tcW w:w="2843" w:type="dxa"/>
            <w:vAlign w:val="center"/>
          </w:tcPr>
          <w:p w14:paraId="7DF3104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sz w:val="21"/>
                <w:szCs w:val="21"/>
              </w:rPr>
            </w:pPr>
            <w:r>
              <w:rPr>
                <w:sz w:val="21"/>
                <w:szCs w:val="21"/>
              </w:rPr>
              <w:t>取值</w:t>
            </w:r>
          </w:p>
        </w:tc>
      </w:tr>
      <w:tr w14:paraId="7371164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842" w:type="dxa"/>
            <w:vMerge w:val="restart"/>
            <w:vAlign w:val="center"/>
          </w:tcPr>
          <w:p w14:paraId="048CD1E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sz w:val="21"/>
                <w:szCs w:val="21"/>
              </w:rPr>
            </w:pPr>
            <w:r>
              <w:rPr>
                <w:sz w:val="21"/>
                <w:szCs w:val="21"/>
              </w:rPr>
              <w:t>城市/农村选项</w:t>
            </w:r>
          </w:p>
        </w:tc>
        <w:tc>
          <w:tcPr>
            <w:tcW w:w="2843" w:type="dxa"/>
            <w:vAlign w:val="center"/>
          </w:tcPr>
          <w:p w14:paraId="7FE3317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sz w:val="21"/>
                <w:szCs w:val="21"/>
              </w:rPr>
            </w:pPr>
            <w:r>
              <w:rPr>
                <w:sz w:val="21"/>
                <w:szCs w:val="21"/>
              </w:rPr>
              <w:t>城市/农村</w:t>
            </w:r>
          </w:p>
        </w:tc>
        <w:tc>
          <w:tcPr>
            <w:tcW w:w="2843" w:type="dxa"/>
            <w:vAlign w:val="center"/>
          </w:tcPr>
          <w:p w14:paraId="09D8673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eastAsia="宋体"/>
                <w:sz w:val="21"/>
                <w:szCs w:val="21"/>
                <w:lang w:eastAsia="zh-CN"/>
              </w:rPr>
            </w:pPr>
            <w:r>
              <w:rPr>
                <w:rFonts w:hint="eastAsia"/>
                <w:sz w:val="21"/>
                <w:szCs w:val="21"/>
                <w:lang w:eastAsia="zh-CN"/>
              </w:rPr>
              <w:t>城市</w:t>
            </w:r>
          </w:p>
        </w:tc>
      </w:tr>
      <w:tr w14:paraId="0554C5A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842" w:type="dxa"/>
            <w:vMerge w:val="continue"/>
            <w:vAlign w:val="center"/>
          </w:tcPr>
          <w:p w14:paraId="699B367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sz w:val="21"/>
                <w:szCs w:val="21"/>
              </w:rPr>
            </w:pPr>
          </w:p>
        </w:tc>
        <w:tc>
          <w:tcPr>
            <w:tcW w:w="2843" w:type="dxa"/>
            <w:vAlign w:val="center"/>
          </w:tcPr>
          <w:p w14:paraId="69FE329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sz w:val="21"/>
                <w:szCs w:val="21"/>
              </w:rPr>
            </w:pPr>
            <w:r>
              <w:rPr>
                <w:sz w:val="21"/>
                <w:szCs w:val="21"/>
              </w:rPr>
              <w:t>入口数（城市选项时）</w:t>
            </w:r>
          </w:p>
        </w:tc>
        <w:tc>
          <w:tcPr>
            <w:tcW w:w="2843" w:type="dxa"/>
            <w:vAlign w:val="center"/>
          </w:tcPr>
          <w:p w14:paraId="330D3F4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eastAsia="宋体"/>
                <w:sz w:val="21"/>
                <w:szCs w:val="21"/>
                <w:lang w:eastAsia="zh-CN"/>
              </w:rPr>
            </w:pPr>
            <w:r>
              <w:rPr>
                <w:rFonts w:hint="eastAsia"/>
                <w:sz w:val="21"/>
                <w:szCs w:val="21"/>
                <w:lang w:val="en-US" w:eastAsia="zh-CN"/>
              </w:rPr>
              <w:t>5万</w:t>
            </w:r>
          </w:p>
        </w:tc>
      </w:tr>
      <w:tr w14:paraId="11C54DE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685" w:type="dxa"/>
            <w:gridSpan w:val="2"/>
            <w:vAlign w:val="center"/>
          </w:tcPr>
          <w:p w14:paraId="2F9C55C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sz w:val="21"/>
                <w:szCs w:val="21"/>
              </w:rPr>
            </w:pPr>
            <w:r>
              <w:rPr>
                <w:sz w:val="21"/>
                <w:szCs w:val="21"/>
              </w:rPr>
              <w:t>最高环境温度/℃</w:t>
            </w:r>
          </w:p>
        </w:tc>
        <w:tc>
          <w:tcPr>
            <w:tcW w:w="2843" w:type="dxa"/>
            <w:vAlign w:val="center"/>
          </w:tcPr>
          <w:p w14:paraId="5E118C0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sz w:val="21"/>
                <w:szCs w:val="21"/>
              </w:rPr>
            </w:pPr>
            <w:r>
              <w:rPr>
                <w:sz w:val="21"/>
                <w:szCs w:val="21"/>
              </w:rPr>
              <w:t>35</w:t>
            </w:r>
          </w:p>
        </w:tc>
      </w:tr>
      <w:tr w14:paraId="6A8BAD2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685" w:type="dxa"/>
            <w:gridSpan w:val="2"/>
            <w:vAlign w:val="center"/>
          </w:tcPr>
          <w:p w14:paraId="622A4E9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sz w:val="21"/>
                <w:szCs w:val="21"/>
              </w:rPr>
            </w:pPr>
            <w:r>
              <w:rPr>
                <w:sz w:val="21"/>
                <w:szCs w:val="21"/>
              </w:rPr>
              <w:t>最低环境温度/℃</w:t>
            </w:r>
          </w:p>
        </w:tc>
        <w:tc>
          <w:tcPr>
            <w:tcW w:w="2843" w:type="dxa"/>
            <w:vAlign w:val="center"/>
          </w:tcPr>
          <w:p w14:paraId="1D0146C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sz w:val="21"/>
                <w:szCs w:val="21"/>
              </w:rPr>
            </w:pPr>
            <w:r>
              <w:rPr>
                <w:sz w:val="21"/>
                <w:szCs w:val="21"/>
              </w:rPr>
              <w:t>-35</w:t>
            </w:r>
          </w:p>
        </w:tc>
      </w:tr>
      <w:tr w14:paraId="589DFD5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5685" w:type="dxa"/>
            <w:gridSpan w:val="2"/>
            <w:vAlign w:val="center"/>
          </w:tcPr>
          <w:p w14:paraId="6A8FD58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sz w:val="21"/>
                <w:szCs w:val="21"/>
              </w:rPr>
            </w:pPr>
            <w:r>
              <w:rPr>
                <w:sz w:val="21"/>
                <w:szCs w:val="21"/>
              </w:rPr>
              <w:t>土地利用类型</w:t>
            </w:r>
          </w:p>
        </w:tc>
        <w:tc>
          <w:tcPr>
            <w:tcW w:w="2843" w:type="dxa"/>
            <w:vAlign w:val="center"/>
          </w:tcPr>
          <w:p w14:paraId="70C206D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sz w:val="21"/>
                <w:szCs w:val="21"/>
              </w:rPr>
            </w:pPr>
            <w:r>
              <w:rPr>
                <w:rFonts w:hint="eastAsia"/>
                <w:sz w:val="21"/>
                <w:szCs w:val="21"/>
                <w:lang w:eastAsia="zh-CN"/>
              </w:rPr>
              <w:t>工业</w:t>
            </w:r>
            <w:r>
              <w:rPr>
                <w:sz w:val="21"/>
                <w:szCs w:val="21"/>
              </w:rPr>
              <w:t>用地</w:t>
            </w:r>
          </w:p>
        </w:tc>
      </w:tr>
      <w:tr w14:paraId="306BD9A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685" w:type="dxa"/>
            <w:gridSpan w:val="2"/>
            <w:vAlign w:val="center"/>
          </w:tcPr>
          <w:p w14:paraId="16ACD61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sz w:val="21"/>
                <w:szCs w:val="21"/>
              </w:rPr>
            </w:pPr>
            <w:r>
              <w:rPr>
                <w:sz w:val="21"/>
                <w:szCs w:val="21"/>
              </w:rPr>
              <w:t>区域湿度条件</w:t>
            </w:r>
          </w:p>
        </w:tc>
        <w:tc>
          <w:tcPr>
            <w:tcW w:w="2843" w:type="dxa"/>
            <w:vAlign w:val="center"/>
          </w:tcPr>
          <w:p w14:paraId="0A57D81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sz w:val="21"/>
                <w:szCs w:val="21"/>
              </w:rPr>
            </w:pPr>
            <w:r>
              <w:rPr>
                <w:sz w:val="21"/>
                <w:szCs w:val="21"/>
              </w:rPr>
              <w:t>中等湿度</w:t>
            </w:r>
          </w:p>
        </w:tc>
      </w:tr>
      <w:tr w14:paraId="021EBC7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842" w:type="dxa"/>
            <w:vMerge w:val="restart"/>
            <w:vAlign w:val="center"/>
          </w:tcPr>
          <w:p w14:paraId="07C193D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sz w:val="21"/>
                <w:szCs w:val="21"/>
              </w:rPr>
            </w:pPr>
            <w:r>
              <w:rPr>
                <w:sz w:val="21"/>
                <w:szCs w:val="21"/>
              </w:rPr>
              <w:t>是否考虑地形</w:t>
            </w:r>
          </w:p>
        </w:tc>
        <w:tc>
          <w:tcPr>
            <w:tcW w:w="2843" w:type="dxa"/>
            <w:vAlign w:val="center"/>
          </w:tcPr>
          <w:p w14:paraId="6AC556E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sz w:val="21"/>
                <w:szCs w:val="21"/>
              </w:rPr>
            </w:pPr>
            <w:r>
              <w:rPr>
                <w:sz w:val="21"/>
                <w:szCs w:val="21"/>
              </w:rPr>
              <w:t>考虑地形</w:t>
            </w:r>
          </w:p>
        </w:tc>
        <w:tc>
          <w:tcPr>
            <w:tcW w:w="2843" w:type="dxa"/>
            <w:vAlign w:val="center"/>
          </w:tcPr>
          <w:p w14:paraId="2B8AD2B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sz w:val="21"/>
                <w:szCs w:val="21"/>
              </w:rPr>
            </w:pPr>
            <w:r>
              <w:rPr>
                <w:sz w:val="21"/>
                <w:szCs w:val="21"/>
              </w:rPr>
              <w:t>是    √ 否</w:t>
            </w:r>
          </w:p>
        </w:tc>
      </w:tr>
      <w:tr w14:paraId="52503F0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842" w:type="dxa"/>
            <w:vMerge w:val="continue"/>
            <w:vAlign w:val="center"/>
          </w:tcPr>
          <w:p w14:paraId="454C287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sz w:val="21"/>
                <w:szCs w:val="21"/>
              </w:rPr>
            </w:pPr>
          </w:p>
        </w:tc>
        <w:tc>
          <w:tcPr>
            <w:tcW w:w="2843" w:type="dxa"/>
            <w:vAlign w:val="center"/>
          </w:tcPr>
          <w:p w14:paraId="466ABF5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sz w:val="21"/>
                <w:szCs w:val="21"/>
              </w:rPr>
            </w:pPr>
            <w:r>
              <w:rPr>
                <w:sz w:val="21"/>
                <w:szCs w:val="21"/>
              </w:rPr>
              <w:t>地形数据分辨率/m</w:t>
            </w:r>
          </w:p>
        </w:tc>
        <w:tc>
          <w:tcPr>
            <w:tcW w:w="2843" w:type="dxa"/>
            <w:vAlign w:val="center"/>
          </w:tcPr>
          <w:p w14:paraId="3F27A4A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sz w:val="21"/>
                <w:szCs w:val="21"/>
              </w:rPr>
            </w:pPr>
            <w:r>
              <w:rPr>
                <w:sz w:val="21"/>
                <w:szCs w:val="21"/>
              </w:rPr>
              <w:t>--</w:t>
            </w:r>
          </w:p>
        </w:tc>
      </w:tr>
      <w:tr w14:paraId="6AA2CC8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842" w:type="dxa"/>
            <w:vMerge w:val="restart"/>
            <w:vAlign w:val="center"/>
          </w:tcPr>
          <w:p w14:paraId="79E6BD7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sz w:val="21"/>
                <w:szCs w:val="21"/>
              </w:rPr>
            </w:pPr>
            <w:r>
              <w:rPr>
                <w:sz w:val="21"/>
                <w:szCs w:val="21"/>
              </w:rPr>
              <w:t>是否考虑岸线熏烟</w:t>
            </w:r>
          </w:p>
        </w:tc>
        <w:tc>
          <w:tcPr>
            <w:tcW w:w="2843" w:type="dxa"/>
            <w:vAlign w:val="center"/>
          </w:tcPr>
          <w:p w14:paraId="203A098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sz w:val="21"/>
                <w:szCs w:val="21"/>
              </w:rPr>
            </w:pPr>
            <w:r>
              <w:rPr>
                <w:sz w:val="21"/>
                <w:szCs w:val="21"/>
              </w:rPr>
              <w:t>考虑岸线熏烟</w:t>
            </w:r>
          </w:p>
        </w:tc>
        <w:tc>
          <w:tcPr>
            <w:tcW w:w="2843" w:type="dxa"/>
            <w:vAlign w:val="center"/>
          </w:tcPr>
          <w:p w14:paraId="25A24F0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sz w:val="21"/>
                <w:szCs w:val="21"/>
              </w:rPr>
            </w:pPr>
            <w:r>
              <w:rPr>
                <w:sz w:val="21"/>
                <w:szCs w:val="21"/>
              </w:rPr>
              <w:t>是     √ 否</w:t>
            </w:r>
          </w:p>
        </w:tc>
      </w:tr>
      <w:tr w14:paraId="0CC258B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842" w:type="dxa"/>
            <w:vMerge w:val="continue"/>
            <w:vAlign w:val="center"/>
          </w:tcPr>
          <w:p w14:paraId="22D3A6E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sz w:val="21"/>
                <w:szCs w:val="21"/>
              </w:rPr>
            </w:pPr>
          </w:p>
        </w:tc>
        <w:tc>
          <w:tcPr>
            <w:tcW w:w="2843" w:type="dxa"/>
            <w:vAlign w:val="center"/>
          </w:tcPr>
          <w:p w14:paraId="23A6D00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sz w:val="21"/>
                <w:szCs w:val="21"/>
              </w:rPr>
            </w:pPr>
            <w:r>
              <w:rPr>
                <w:sz w:val="21"/>
                <w:szCs w:val="21"/>
              </w:rPr>
              <w:t>岸线距离/km</w:t>
            </w:r>
          </w:p>
        </w:tc>
        <w:tc>
          <w:tcPr>
            <w:tcW w:w="2843" w:type="dxa"/>
            <w:vAlign w:val="center"/>
          </w:tcPr>
          <w:p w14:paraId="7F04AD5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sz w:val="21"/>
                <w:szCs w:val="21"/>
              </w:rPr>
            </w:pPr>
            <w:r>
              <w:rPr>
                <w:sz w:val="21"/>
                <w:szCs w:val="21"/>
              </w:rPr>
              <w:t>--</w:t>
            </w:r>
          </w:p>
        </w:tc>
      </w:tr>
      <w:tr w14:paraId="643ED70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842" w:type="dxa"/>
            <w:vMerge w:val="continue"/>
            <w:vAlign w:val="center"/>
          </w:tcPr>
          <w:p w14:paraId="400FCC9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sz w:val="21"/>
                <w:szCs w:val="21"/>
              </w:rPr>
            </w:pPr>
          </w:p>
        </w:tc>
        <w:tc>
          <w:tcPr>
            <w:tcW w:w="2843" w:type="dxa"/>
            <w:vAlign w:val="center"/>
          </w:tcPr>
          <w:p w14:paraId="397E887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sz w:val="21"/>
                <w:szCs w:val="21"/>
                <w:vertAlign w:val="superscript"/>
              </w:rPr>
            </w:pPr>
            <w:r>
              <w:rPr>
                <w:sz w:val="21"/>
                <w:szCs w:val="21"/>
              </w:rPr>
              <w:t>岸线方向/</w:t>
            </w:r>
            <w:r>
              <w:rPr>
                <w:sz w:val="21"/>
                <w:szCs w:val="21"/>
                <w:vertAlign w:val="superscript"/>
              </w:rPr>
              <w:t>0</w:t>
            </w:r>
          </w:p>
        </w:tc>
        <w:tc>
          <w:tcPr>
            <w:tcW w:w="2843" w:type="dxa"/>
            <w:vAlign w:val="center"/>
          </w:tcPr>
          <w:p w14:paraId="48DB67D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sz w:val="21"/>
                <w:szCs w:val="21"/>
              </w:rPr>
            </w:pPr>
            <w:r>
              <w:rPr>
                <w:sz w:val="21"/>
                <w:szCs w:val="21"/>
              </w:rPr>
              <w:t>--</w:t>
            </w:r>
          </w:p>
        </w:tc>
      </w:tr>
    </w:tbl>
    <w:p w14:paraId="11ADDDF5">
      <w:pPr>
        <w:ind w:firstLine="480" w:firstLineChars="200"/>
        <w:rPr>
          <w:color w:val="000000"/>
        </w:rPr>
      </w:pPr>
      <w:r>
        <w:rPr>
          <w:color w:val="000000"/>
        </w:rPr>
        <w:t>污染源参数</w:t>
      </w:r>
      <w:r>
        <w:rPr>
          <w:rFonts w:hint="eastAsia"/>
          <w:color w:val="000000"/>
          <w:lang w:eastAsia="zh-CN"/>
        </w:rPr>
        <w:t>见下表</w:t>
      </w:r>
      <w:r>
        <w:rPr>
          <w:color w:val="000000"/>
        </w:rPr>
        <w:t>。</w:t>
      </w:r>
    </w:p>
    <w:p w14:paraId="0D833609">
      <w:pPr>
        <w:pStyle w:val="14"/>
        <w:jc w:val="center"/>
        <w:rPr>
          <w:rFonts w:ascii="Times New Roman" w:hAnsi="Times New Roman" w:eastAsia="宋体" w:cs="Times New Roman"/>
          <w:b/>
          <w:bCs/>
          <w:kern w:val="2"/>
          <w:sz w:val="21"/>
          <w:szCs w:val="21"/>
          <w:lang w:val="en-US" w:eastAsia="zh-CN" w:bidi="ar-SA"/>
        </w:rPr>
      </w:pPr>
      <w:r>
        <w:rPr>
          <w:rFonts w:hint="eastAsia" w:ascii="Times New Roman" w:hAnsi="Times New Roman" w:eastAsia="宋体" w:cs="Times New Roman"/>
          <w:b/>
          <w:bCs/>
          <w:kern w:val="2"/>
          <w:sz w:val="21"/>
          <w:szCs w:val="21"/>
          <w:lang w:val="en-US" w:eastAsia="zh-CN" w:bidi="ar-SA"/>
        </w:rPr>
        <w:t>表2-16有组织废气排放情况</w:t>
      </w:r>
    </w:p>
    <w:tbl>
      <w:tblPr>
        <w:tblStyle w:val="52"/>
        <w:tblW w:w="4999" w:type="pct"/>
        <w:tblInd w:w="0" w:type="dxa"/>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813"/>
        <w:gridCol w:w="702"/>
        <w:gridCol w:w="1682"/>
        <w:gridCol w:w="769"/>
        <w:gridCol w:w="770"/>
        <w:gridCol w:w="1134"/>
        <w:gridCol w:w="882"/>
        <w:gridCol w:w="951"/>
        <w:gridCol w:w="818"/>
      </w:tblGrid>
      <w:tr w14:paraId="30598974">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477" w:type="pct"/>
            <w:vMerge w:val="restart"/>
            <w:shd w:val="clear" w:color="auto" w:fill="auto"/>
            <w:vAlign w:val="center"/>
          </w:tcPr>
          <w:p w14:paraId="43749865">
            <w:pPr>
              <w:keepNext w:val="0"/>
              <w:keepLines w:val="0"/>
              <w:pageBreakBefore w:val="0"/>
              <w:kinsoku/>
              <w:wordWrap/>
              <w:overflowPunct/>
              <w:topLinePunct w:val="0"/>
              <w:autoSpaceDE/>
              <w:autoSpaceDN/>
              <w:bidi w:val="0"/>
              <w:spacing w:line="240" w:lineRule="auto"/>
              <w:ind w:firstLine="0" w:firstLineChars="0"/>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产污 环节</w:t>
            </w:r>
          </w:p>
        </w:tc>
        <w:tc>
          <w:tcPr>
            <w:tcW w:w="411" w:type="pct"/>
            <w:vMerge w:val="restart"/>
            <w:shd w:val="clear" w:color="auto" w:fill="auto"/>
            <w:vAlign w:val="center"/>
          </w:tcPr>
          <w:p w14:paraId="51168ED8">
            <w:pPr>
              <w:keepNext w:val="0"/>
              <w:keepLines w:val="0"/>
              <w:pageBreakBefore w:val="0"/>
              <w:kinsoku/>
              <w:wordWrap/>
              <w:overflowPunct/>
              <w:topLinePunct w:val="0"/>
              <w:autoSpaceDE/>
              <w:autoSpaceDN/>
              <w:bidi w:val="0"/>
              <w:spacing w:line="240" w:lineRule="auto"/>
              <w:ind w:firstLine="0" w:firstLineChars="0"/>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污染物</w:t>
            </w:r>
          </w:p>
        </w:tc>
        <w:tc>
          <w:tcPr>
            <w:tcW w:w="986" w:type="pct"/>
            <w:vMerge w:val="restart"/>
            <w:shd w:val="clear" w:color="auto" w:fill="auto"/>
            <w:vAlign w:val="center"/>
          </w:tcPr>
          <w:p w14:paraId="147A2142">
            <w:pPr>
              <w:keepNext w:val="0"/>
              <w:keepLines w:val="0"/>
              <w:pageBreakBefore w:val="0"/>
              <w:kinsoku/>
              <w:wordWrap/>
              <w:overflowPunct/>
              <w:topLinePunct w:val="0"/>
              <w:autoSpaceDE/>
              <w:autoSpaceDN/>
              <w:bidi w:val="0"/>
              <w:spacing w:line="240" w:lineRule="auto"/>
              <w:ind w:firstLine="0" w:firstLineChars="0"/>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治理 措施</w:t>
            </w:r>
          </w:p>
        </w:tc>
        <w:tc>
          <w:tcPr>
            <w:tcW w:w="903" w:type="pct"/>
            <w:gridSpan w:val="2"/>
            <w:shd w:val="clear" w:color="auto" w:fill="auto"/>
            <w:vAlign w:val="center"/>
          </w:tcPr>
          <w:p w14:paraId="74ADEDC4">
            <w:pPr>
              <w:keepNext w:val="0"/>
              <w:keepLines w:val="0"/>
              <w:pageBreakBefore w:val="0"/>
              <w:widowControl/>
              <w:kinsoku/>
              <w:wordWrap/>
              <w:overflowPunct/>
              <w:topLinePunct w:val="0"/>
              <w:autoSpaceDE/>
              <w:autoSpaceDN/>
              <w:bidi w:val="0"/>
              <w:spacing w:line="240" w:lineRule="auto"/>
              <w:ind w:firstLine="0" w:firstLineChars="0"/>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排气筒</w:t>
            </w:r>
          </w:p>
        </w:tc>
        <w:tc>
          <w:tcPr>
            <w:tcW w:w="665" w:type="pct"/>
            <w:shd w:val="clear" w:color="auto" w:fill="auto"/>
            <w:vAlign w:val="center"/>
          </w:tcPr>
          <w:p w14:paraId="297E84AC">
            <w:pPr>
              <w:keepNext w:val="0"/>
              <w:keepLines w:val="0"/>
              <w:pageBreakBefore w:val="0"/>
              <w:widowControl/>
              <w:kinsoku/>
              <w:wordWrap/>
              <w:overflowPunct/>
              <w:topLinePunct w:val="0"/>
              <w:autoSpaceDE/>
              <w:autoSpaceDN/>
              <w:bidi w:val="0"/>
              <w:spacing w:line="240" w:lineRule="auto"/>
              <w:ind w:firstLine="0" w:firstLineChars="0"/>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排放速率</w:t>
            </w:r>
          </w:p>
        </w:tc>
        <w:tc>
          <w:tcPr>
            <w:tcW w:w="517" w:type="pct"/>
            <w:shd w:val="clear" w:color="auto" w:fill="auto"/>
            <w:vAlign w:val="center"/>
          </w:tcPr>
          <w:p w14:paraId="41E4CB2E">
            <w:pPr>
              <w:keepNext w:val="0"/>
              <w:keepLines w:val="0"/>
              <w:pageBreakBefore w:val="0"/>
              <w:widowControl/>
              <w:kinsoku/>
              <w:wordWrap/>
              <w:overflowPunct/>
              <w:topLinePunct w:val="0"/>
              <w:autoSpaceDE/>
              <w:autoSpaceDN/>
              <w:bidi w:val="0"/>
              <w:spacing w:line="240" w:lineRule="auto"/>
              <w:ind w:firstLine="0" w:firstLineChars="0"/>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排放 浓度</w:t>
            </w:r>
          </w:p>
        </w:tc>
        <w:tc>
          <w:tcPr>
            <w:tcW w:w="558" w:type="pct"/>
            <w:vMerge w:val="restart"/>
            <w:shd w:val="clear" w:color="auto" w:fill="auto"/>
            <w:vAlign w:val="center"/>
          </w:tcPr>
          <w:p w14:paraId="347102D2">
            <w:pPr>
              <w:keepNext w:val="0"/>
              <w:keepLines w:val="0"/>
              <w:pageBreakBefore w:val="0"/>
              <w:kinsoku/>
              <w:wordWrap/>
              <w:overflowPunct/>
              <w:topLinePunct w:val="0"/>
              <w:autoSpaceDE/>
              <w:autoSpaceDN/>
              <w:bidi w:val="0"/>
              <w:spacing w:line="240" w:lineRule="auto"/>
              <w:ind w:firstLine="0" w:firstLineChars="0"/>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排放标准</w:t>
            </w:r>
          </w:p>
        </w:tc>
        <w:tc>
          <w:tcPr>
            <w:tcW w:w="479" w:type="pct"/>
            <w:vMerge w:val="restart"/>
            <w:shd w:val="clear" w:color="auto" w:fill="auto"/>
            <w:vAlign w:val="center"/>
          </w:tcPr>
          <w:p w14:paraId="025ADC1F">
            <w:pPr>
              <w:keepNext w:val="0"/>
              <w:keepLines w:val="0"/>
              <w:pageBreakBefore w:val="0"/>
              <w:kinsoku/>
              <w:wordWrap/>
              <w:overflowPunct/>
              <w:topLinePunct w:val="0"/>
              <w:autoSpaceDE/>
              <w:autoSpaceDN/>
              <w:bidi w:val="0"/>
              <w:spacing w:line="240" w:lineRule="auto"/>
              <w:ind w:firstLine="0" w:firstLineChars="0"/>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达标情况</w:t>
            </w:r>
          </w:p>
        </w:tc>
      </w:tr>
      <w:tr w14:paraId="5267627D">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477" w:type="pct"/>
            <w:vMerge w:val="continue"/>
            <w:shd w:val="clear" w:color="auto" w:fill="auto"/>
            <w:vAlign w:val="center"/>
          </w:tcPr>
          <w:p w14:paraId="2E7DF60A">
            <w:pPr>
              <w:keepNext w:val="0"/>
              <w:keepLines w:val="0"/>
              <w:pageBreakBefore w:val="0"/>
              <w:widowControl/>
              <w:kinsoku/>
              <w:wordWrap/>
              <w:overflowPunct/>
              <w:topLinePunct w:val="0"/>
              <w:autoSpaceDE/>
              <w:autoSpaceDN/>
              <w:bidi w:val="0"/>
              <w:spacing w:line="240" w:lineRule="auto"/>
              <w:ind w:firstLine="0" w:firstLineChars="0"/>
              <w:jc w:val="center"/>
              <w:textAlignment w:val="auto"/>
              <w:rPr>
                <w:rFonts w:hint="eastAsia" w:ascii="宋体" w:hAnsi="宋体" w:eastAsia="宋体" w:cs="宋体"/>
                <w:kern w:val="0"/>
                <w:sz w:val="21"/>
                <w:szCs w:val="21"/>
              </w:rPr>
            </w:pPr>
          </w:p>
        </w:tc>
        <w:tc>
          <w:tcPr>
            <w:tcW w:w="411" w:type="pct"/>
            <w:vMerge w:val="continue"/>
            <w:shd w:val="clear" w:color="auto" w:fill="auto"/>
            <w:vAlign w:val="center"/>
          </w:tcPr>
          <w:p w14:paraId="2CFB394B">
            <w:pPr>
              <w:keepNext w:val="0"/>
              <w:keepLines w:val="0"/>
              <w:pageBreakBefore w:val="0"/>
              <w:widowControl/>
              <w:kinsoku/>
              <w:wordWrap/>
              <w:overflowPunct/>
              <w:topLinePunct w:val="0"/>
              <w:autoSpaceDE/>
              <w:autoSpaceDN/>
              <w:bidi w:val="0"/>
              <w:spacing w:line="240" w:lineRule="auto"/>
              <w:ind w:firstLine="0" w:firstLineChars="0"/>
              <w:jc w:val="center"/>
              <w:textAlignment w:val="auto"/>
              <w:rPr>
                <w:rFonts w:hint="eastAsia" w:ascii="宋体" w:hAnsi="宋体" w:eastAsia="宋体" w:cs="宋体"/>
                <w:kern w:val="0"/>
                <w:sz w:val="21"/>
                <w:szCs w:val="21"/>
              </w:rPr>
            </w:pPr>
          </w:p>
        </w:tc>
        <w:tc>
          <w:tcPr>
            <w:tcW w:w="986" w:type="pct"/>
            <w:vMerge w:val="continue"/>
            <w:shd w:val="clear" w:color="auto" w:fill="auto"/>
            <w:vAlign w:val="center"/>
          </w:tcPr>
          <w:p w14:paraId="2CA2D19A">
            <w:pPr>
              <w:keepNext w:val="0"/>
              <w:keepLines w:val="0"/>
              <w:pageBreakBefore w:val="0"/>
              <w:widowControl/>
              <w:kinsoku/>
              <w:wordWrap/>
              <w:overflowPunct/>
              <w:topLinePunct w:val="0"/>
              <w:autoSpaceDE/>
              <w:autoSpaceDN/>
              <w:bidi w:val="0"/>
              <w:spacing w:line="240" w:lineRule="auto"/>
              <w:ind w:firstLine="0" w:firstLineChars="0"/>
              <w:jc w:val="center"/>
              <w:textAlignment w:val="auto"/>
              <w:rPr>
                <w:rFonts w:hint="eastAsia" w:ascii="宋体" w:hAnsi="宋体" w:eastAsia="宋体" w:cs="宋体"/>
                <w:kern w:val="0"/>
                <w:sz w:val="21"/>
                <w:szCs w:val="21"/>
              </w:rPr>
            </w:pPr>
          </w:p>
        </w:tc>
        <w:tc>
          <w:tcPr>
            <w:tcW w:w="451" w:type="pct"/>
            <w:shd w:val="clear" w:color="auto" w:fill="auto"/>
            <w:vAlign w:val="center"/>
          </w:tcPr>
          <w:p w14:paraId="5868EBAB">
            <w:pPr>
              <w:keepNext w:val="0"/>
              <w:keepLines w:val="0"/>
              <w:pageBreakBefore w:val="0"/>
              <w:widowControl/>
              <w:kinsoku/>
              <w:wordWrap/>
              <w:overflowPunct/>
              <w:topLinePunct w:val="0"/>
              <w:autoSpaceDE/>
              <w:autoSpaceDN/>
              <w:bidi w:val="0"/>
              <w:spacing w:line="240" w:lineRule="auto"/>
              <w:ind w:firstLine="0" w:firstLineChars="0"/>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高度（m）</w:t>
            </w:r>
          </w:p>
        </w:tc>
        <w:tc>
          <w:tcPr>
            <w:tcW w:w="451" w:type="pct"/>
            <w:shd w:val="clear" w:color="auto" w:fill="auto"/>
            <w:vAlign w:val="center"/>
          </w:tcPr>
          <w:p w14:paraId="54621FCD">
            <w:pPr>
              <w:keepNext w:val="0"/>
              <w:keepLines w:val="0"/>
              <w:pageBreakBefore w:val="0"/>
              <w:widowControl/>
              <w:kinsoku/>
              <w:wordWrap/>
              <w:overflowPunct/>
              <w:topLinePunct w:val="0"/>
              <w:autoSpaceDE/>
              <w:autoSpaceDN/>
              <w:bidi w:val="0"/>
              <w:spacing w:line="240" w:lineRule="auto"/>
              <w:ind w:firstLine="0" w:firstLineChars="0"/>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数量（个）</w:t>
            </w:r>
          </w:p>
        </w:tc>
        <w:tc>
          <w:tcPr>
            <w:tcW w:w="665" w:type="pct"/>
            <w:shd w:val="clear" w:color="auto" w:fill="auto"/>
            <w:vAlign w:val="center"/>
          </w:tcPr>
          <w:p w14:paraId="209DE388">
            <w:pPr>
              <w:keepNext w:val="0"/>
              <w:keepLines w:val="0"/>
              <w:pageBreakBefore w:val="0"/>
              <w:widowControl/>
              <w:kinsoku/>
              <w:wordWrap/>
              <w:overflowPunct/>
              <w:topLinePunct w:val="0"/>
              <w:autoSpaceDE/>
              <w:autoSpaceDN/>
              <w:bidi w:val="0"/>
              <w:spacing w:line="240" w:lineRule="auto"/>
              <w:ind w:firstLine="0" w:firstLineChars="0"/>
              <w:jc w:val="center"/>
              <w:textAlignment w:val="auto"/>
              <w:rPr>
                <w:rFonts w:hint="eastAsia" w:ascii="宋体" w:hAnsi="宋体" w:eastAsia="宋体" w:cs="宋体"/>
                <w:bCs/>
                <w:kern w:val="0"/>
                <w:sz w:val="21"/>
                <w:szCs w:val="21"/>
              </w:rPr>
            </w:pPr>
            <w:r>
              <w:rPr>
                <w:rFonts w:hint="eastAsia" w:ascii="宋体" w:hAnsi="宋体" w:eastAsia="宋体" w:cs="宋体"/>
                <w:bCs/>
                <w:kern w:val="0"/>
                <w:sz w:val="21"/>
                <w:szCs w:val="21"/>
              </w:rPr>
              <w:t>kg/h</w:t>
            </w:r>
          </w:p>
        </w:tc>
        <w:tc>
          <w:tcPr>
            <w:tcW w:w="517" w:type="pct"/>
            <w:tcBorders>
              <w:bottom w:val="single" w:color="auto" w:sz="4" w:space="0"/>
            </w:tcBorders>
            <w:shd w:val="clear" w:color="auto" w:fill="auto"/>
            <w:vAlign w:val="center"/>
          </w:tcPr>
          <w:p w14:paraId="69494595">
            <w:pPr>
              <w:keepNext w:val="0"/>
              <w:keepLines w:val="0"/>
              <w:pageBreakBefore w:val="0"/>
              <w:widowControl/>
              <w:kinsoku/>
              <w:wordWrap/>
              <w:overflowPunct/>
              <w:topLinePunct w:val="0"/>
              <w:autoSpaceDE/>
              <w:autoSpaceDN/>
              <w:bidi w:val="0"/>
              <w:spacing w:line="240" w:lineRule="auto"/>
              <w:ind w:firstLine="0" w:firstLineChars="0"/>
              <w:jc w:val="center"/>
              <w:textAlignment w:val="auto"/>
              <w:rPr>
                <w:rFonts w:hint="eastAsia" w:ascii="宋体" w:hAnsi="宋体" w:eastAsia="宋体" w:cs="宋体"/>
                <w:bCs/>
                <w:kern w:val="0"/>
                <w:sz w:val="21"/>
                <w:szCs w:val="21"/>
              </w:rPr>
            </w:pPr>
            <w:r>
              <w:rPr>
                <w:rFonts w:hint="eastAsia" w:ascii="宋体" w:hAnsi="宋体" w:eastAsia="宋体" w:cs="宋体"/>
                <w:bCs/>
                <w:kern w:val="0"/>
                <w:sz w:val="21"/>
                <w:szCs w:val="21"/>
              </w:rPr>
              <w:t>mg/m</w:t>
            </w:r>
            <w:r>
              <w:rPr>
                <w:rFonts w:hint="eastAsia" w:ascii="宋体" w:hAnsi="宋体" w:eastAsia="宋体" w:cs="宋体"/>
                <w:bCs/>
                <w:kern w:val="0"/>
                <w:sz w:val="21"/>
                <w:szCs w:val="21"/>
                <w:vertAlign w:val="superscript"/>
              </w:rPr>
              <w:t>3</w:t>
            </w:r>
          </w:p>
        </w:tc>
        <w:tc>
          <w:tcPr>
            <w:tcW w:w="558" w:type="pct"/>
            <w:vMerge w:val="continue"/>
            <w:tcBorders>
              <w:bottom w:val="single" w:color="auto" w:sz="4" w:space="0"/>
            </w:tcBorders>
            <w:shd w:val="clear" w:color="auto" w:fill="auto"/>
            <w:vAlign w:val="center"/>
          </w:tcPr>
          <w:p w14:paraId="6EA1BA5C">
            <w:pPr>
              <w:keepNext w:val="0"/>
              <w:keepLines w:val="0"/>
              <w:pageBreakBefore w:val="0"/>
              <w:widowControl/>
              <w:kinsoku/>
              <w:wordWrap/>
              <w:overflowPunct/>
              <w:topLinePunct w:val="0"/>
              <w:autoSpaceDE/>
              <w:autoSpaceDN/>
              <w:bidi w:val="0"/>
              <w:spacing w:line="240" w:lineRule="auto"/>
              <w:ind w:firstLine="0" w:firstLineChars="0"/>
              <w:jc w:val="center"/>
              <w:textAlignment w:val="auto"/>
              <w:rPr>
                <w:rFonts w:hint="eastAsia" w:ascii="宋体" w:hAnsi="宋体" w:eastAsia="宋体" w:cs="宋体"/>
                <w:kern w:val="0"/>
                <w:sz w:val="21"/>
                <w:szCs w:val="21"/>
              </w:rPr>
            </w:pPr>
          </w:p>
        </w:tc>
        <w:tc>
          <w:tcPr>
            <w:tcW w:w="479" w:type="pct"/>
            <w:vMerge w:val="continue"/>
            <w:tcBorders>
              <w:bottom w:val="single" w:color="auto" w:sz="4" w:space="0"/>
            </w:tcBorders>
            <w:shd w:val="clear" w:color="auto" w:fill="auto"/>
            <w:vAlign w:val="center"/>
          </w:tcPr>
          <w:p w14:paraId="0DB08C75">
            <w:pPr>
              <w:keepNext w:val="0"/>
              <w:keepLines w:val="0"/>
              <w:pageBreakBefore w:val="0"/>
              <w:widowControl/>
              <w:kinsoku/>
              <w:wordWrap/>
              <w:overflowPunct/>
              <w:topLinePunct w:val="0"/>
              <w:autoSpaceDE/>
              <w:autoSpaceDN/>
              <w:bidi w:val="0"/>
              <w:spacing w:line="240" w:lineRule="auto"/>
              <w:ind w:firstLine="0" w:firstLineChars="0"/>
              <w:jc w:val="center"/>
              <w:textAlignment w:val="auto"/>
              <w:rPr>
                <w:rFonts w:hint="eastAsia" w:ascii="宋体" w:hAnsi="宋体" w:eastAsia="宋体" w:cs="宋体"/>
                <w:kern w:val="0"/>
                <w:sz w:val="21"/>
                <w:szCs w:val="21"/>
              </w:rPr>
            </w:pPr>
          </w:p>
        </w:tc>
      </w:tr>
      <w:tr w14:paraId="54B39FF8">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21" w:hRule="atLeast"/>
        </w:trPr>
        <w:tc>
          <w:tcPr>
            <w:tcW w:w="477" w:type="pct"/>
            <w:tcBorders>
              <w:bottom w:val="single" w:color="auto" w:sz="4" w:space="0"/>
            </w:tcBorders>
            <w:shd w:val="clear" w:color="auto" w:fill="auto"/>
            <w:vAlign w:val="center"/>
          </w:tcPr>
          <w:p w14:paraId="755E3913">
            <w:pPr>
              <w:keepNext w:val="0"/>
              <w:keepLines w:val="0"/>
              <w:pageBreakBefore w:val="0"/>
              <w:kinsoku/>
              <w:wordWrap/>
              <w:overflowPunct/>
              <w:topLinePunct w:val="0"/>
              <w:autoSpaceDE/>
              <w:autoSpaceDN/>
              <w:bidi w:val="0"/>
              <w:spacing w:line="240" w:lineRule="auto"/>
              <w:ind w:firstLine="0" w:firstLineChars="0"/>
              <w:jc w:val="center"/>
              <w:textAlignment w:val="auto"/>
              <w:rPr>
                <w:rFonts w:hint="eastAsia" w:ascii="宋体" w:hAnsi="宋体" w:eastAsia="宋体" w:cs="宋体"/>
                <w:kern w:val="0"/>
                <w:sz w:val="21"/>
                <w:szCs w:val="21"/>
              </w:rPr>
            </w:pPr>
            <w:r>
              <w:rPr>
                <w:rFonts w:hint="eastAsia" w:ascii="宋体" w:hAnsi="宋体" w:eastAsia="宋体" w:cs="宋体"/>
                <w:sz w:val="21"/>
                <w:szCs w:val="21"/>
                <w:vertAlign w:val="baseline"/>
                <w:lang w:val="en-US" w:eastAsia="zh-CN"/>
              </w:rPr>
              <w:t>电镀车间废气排气筒</w:t>
            </w:r>
          </w:p>
        </w:tc>
        <w:tc>
          <w:tcPr>
            <w:tcW w:w="411" w:type="pct"/>
            <w:tcBorders>
              <w:bottom w:val="single" w:color="auto" w:sz="4" w:space="0"/>
            </w:tcBorders>
            <w:shd w:val="clear" w:color="auto" w:fill="auto"/>
            <w:vAlign w:val="center"/>
          </w:tcPr>
          <w:p w14:paraId="7036D99C">
            <w:pPr>
              <w:keepNext w:val="0"/>
              <w:keepLines w:val="0"/>
              <w:pageBreakBefore w:val="0"/>
              <w:widowControl/>
              <w:kinsoku/>
              <w:wordWrap/>
              <w:overflowPunct/>
              <w:topLinePunct w:val="0"/>
              <w:autoSpaceDE/>
              <w:autoSpaceDN/>
              <w:bidi w:val="0"/>
              <w:spacing w:line="240" w:lineRule="auto"/>
              <w:ind w:firstLine="0" w:firstLineChars="0"/>
              <w:jc w:val="center"/>
              <w:textAlignment w:val="auto"/>
              <w:rPr>
                <w:rFonts w:hint="eastAsia" w:ascii="宋体" w:hAnsi="宋体" w:eastAsia="宋体" w:cs="宋体"/>
                <w:kern w:val="0"/>
                <w:sz w:val="21"/>
                <w:szCs w:val="21"/>
              </w:rPr>
            </w:pPr>
            <w:r>
              <w:rPr>
                <w:rFonts w:hint="eastAsia" w:ascii="宋体" w:hAnsi="宋体" w:eastAsia="宋体" w:cs="宋体"/>
                <w:sz w:val="21"/>
                <w:szCs w:val="21"/>
                <w:vertAlign w:val="baseline"/>
                <w:lang w:val="en-US" w:eastAsia="zh-CN"/>
              </w:rPr>
              <w:t>甲基磺酸</w:t>
            </w:r>
          </w:p>
        </w:tc>
        <w:tc>
          <w:tcPr>
            <w:tcW w:w="986" w:type="pct"/>
            <w:tcBorders>
              <w:bottom w:val="single" w:color="auto" w:sz="4" w:space="0"/>
            </w:tcBorders>
            <w:shd w:val="clear" w:color="auto" w:fill="auto"/>
            <w:vAlign w:val="center"/>
          </w:tcPr>
          <w:p w14:paraId="1620760B">
            <w:pPr>
              <w:pStyle w:val="72"/>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废气通过槽边抽风收集后进入酸雾喷淋净化塔吸收净化后经位于</w:t>
            </w:r>
          </w:p>
          <w:p w14:paraId="7D2BBAE5">
            <w:pPr>
              <w:keepNext w:val="0"/>
              <w:keepLines w:val="0"/>
              <w:pageBreakBefore w:val="0"/>
              <w:kinsoku/>
              <w:wordWrap/>
              <w:overflowPunct/>
              <w:topLinePunct w:val="0"/>
              <w:autoSpaceDE/>
              <w:autoSpaceDN/>
              <w:bidi w:val="0"/>
              <w:spacing w:line="240" w:lineRule="auto"/>
              <w:ind w:firstLine="0" w:firstLineChars="0"/>
              <w:jc w:val="center"/>
              <w:textAlignment w:val="auto"/>
              <w:rPr>
                <w:rFonts w:hint="eastAsia" w:ascii="宋体" w:hAnsi="宋体" w:eastAsia="宋体" w:cs="宋体"/>
                <w:kern w:val="0"/>
                <w:sz w:val="21"/>
                <w:szCs w:val="21"/>
              </w:rPr>
            </w:pPr>
            <w:r>
              <w:rPr>
                <w:rFonts w:hint="eastAsia" w:ascii="宋体" w:hAnsi="宋体" w:eastAsia="宋体" w:cs="宋体"/>
                <w:sz w:val="21"/>
                <w:szCs w:val="21"/>
                <w:vertAlign w:val="baseline"/>
                <w:lang w:val="en-US" w:eastAsia="zh-CN"/>
              </w:rPr>
              <w:t>厂房楼顶的15m高排气筒高空排放。</w:t>
            </w:r>
          </w:p>
        </w:tc>
        <w:tc>
          <w:tcPr>
            <w:tcW w:w="451" w:type="pct"/>
            <w:tcBorders>
              <w:bottom w:val="single" w:color="auto" w:sz="4" w:space="0"/>
            </w:tcBorders>
            <w:shd w:val="clear" w:color="auto" w:fill="auto"/>
            <w:vAlign w:val="center"/>
          </w:tcPr>
          <w:p w14:paraId="0106BDE7">
            <w:pPr>
              <w:keepNext w:val="0"/>
              <w:keepLines w:val="0"/>
              <w:pageBreakBefore w:val="0"/>
              <w:kinsoku/>
              <w:wordWrap/>
              <w:overflowPunct/>
              <w:topLinePunct w:val="0"/>
              <w:autoSpaceDE/>
              <w:autoSpaceDN/>
              <w:bidi w:val="0"/>
              <w:spacing w:line="240" w:lineRule="auto"/>
              <w:ind w:firstLine="0" w:firstLineChars="0"/>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15</w:t>
            </w:r>
          </w:p>
        </w:tc>
        <w:tc>
          <w:tcPr>
            <w:tcW w:w="451" w:type="pct"/>
            <w:tcBorders>
              <w:bottom w:val="single" w:color="auto" w:sz="4" w:space="0"/>
            </w:tcBorders>
            <w:shd w:val="clear" w:color="auto" w:fill="auto"/>
            <w:vAlign w:val="center"/>
          </w:tcPr>
          <w:p w14:paraId="5240281C">
            <w:pPr>
              <w:keepNext w:val="0"/>
              <w:keepLines w:val="0"/>
              <w:pageBreakBefore w:val="0"/>
              <w:kinsoku/>
              <w:wordWrap/>
              <w:overflowPunct/>
              <w:topLinePunct w:val="0"/>
              <w:autoSpaceDE/>
              <w:autoSpaceDN/>
              <w:bidi w:val="0"/>
              <w:spacing w:line="240" w:lineRule="auto"/>
              <w:ind w:firstLine="0" w:firstLineChars="0"/>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1</w:t>
            </w:r>
          </w:p>
        </w:tc>
        <w:tc>
          <w:tcPr>
            <w:tcW w:w="665" w:type="pct"/>
            <w:tcBorders>
              <w:bottom w:val="single" w:color="auto" w:sz="4" w:space="0"/>
            </w:tcBorders>
            <w:shd w:val="clear" w:color="auto" w:fill="auto"/>
            <w:vAlign w:val="center"/>
          </w:tcPr>
          <w:p w14:paraId="326F1514">
            <w:pPr>
              <w:keepNext w:val="0"/>
              <w:keepLines w:val="0"/>
              <w:pageBreakBefore w:val="0"/>
              <w:kinsoku/>
              <w:wordWrap/>
              <w:overflowPunct/>
              <w:topLinePunct w:val="0"/>
              <w:autoSpaceDE/>
              <w:autoSpaceDN/>
              <w:bidi w:val="0"/>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vertAlign w:val="baseline"/>
                <w:lang w:val="en-US" w:eastAsia="zh-CN"/>
              </w:rPr>
              <w:t>0.000137</w:t>
            </w:r>
          </w:p>
        </w:tc>
        <w:tc>
          <w:tcPr>
            <w:tcW w:w="517" w:type="pct"/>
            <w:tcBorders>
              <w:bottom w:val="single" w:color="auto" w:sz="4" w:space="0"/>
            </w:tcBorders>
            <w:shd w:val="clear" w:color="auto" w:fill="auto"/>
            <w:vAlign w:val="center"/>
          </w:tcPr>
          <w:p w14:paraId="1CB71885">
            <w:pPr>
              <w:keepNext w:val="0"/>
              <w:keepLines w:val="0"/>
              <w:pageBreakBefore w:val="0"/>
              <w:kinsoku/>
              <w:wordWrap/>
              <w:overflowPunct/>
              <w:topLinePunct w:val="0"/>
              <w:autoSpaceDE/>
              <w:autoSpaceDN/>
              <w:bidi w:val="0"/>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vertAlign w:val="baseline"/>
                <w:lang w:val="en-US" w:eastAsia="zh-CN"/>
              </w:rPr>
              <w:t>0.0137</w:t>
            </w:r>
          </w:p>
        </w:tc>
        <w:tc>
          <w:tcPr>
            <w:tcW w:w="558" w:type="pct"/>
            <w:tcBorders>
              <w:bottom w:val="single" w:color="auto" w:sz="4" w:space="0"/>
            </w:tcBorders>
            <w:shd w:val="clear" w:color="auto" w:fill="auto"/>
            <w:vAlign w:val="center"/>
          </w:tcPr>
          <w:p w14:paraId="59304CBD">
            <w:pPr>
              <w:pStyle w:val="72"/>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120mg/m</w:t>
            </w:r>
            <w:r>
              <w:rPr>
                <w:rFonts w:hint="eastAsia" w:ascii="宋体" w:hAnsi="宋体" w:eastAsia="宋体" w:cs="宋体"/>
                <w:sz w:val="21"/>
                <w:szCs w:val="21"/>
                <w:vertAlign w:val="superscript"/>
                <w:lang w:val="en-US" w:eastAsia="zh-CN"/>
              </w:rPr>
              <w:t>3</w:t>
            </w:r>
          </w:p>
          <w:p w14:paraId="515C0820">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bCs/>
                <w:sz w:val="21"/>
                <w:szCs w:val="21"/>
              </w:rPr>
            </w:pPr>
            <w:r>
              <w:rPr>
                <w:rFonts w:hint="eastAsia" w:ascii="宋体" w:hAnsi="宋体" w:eastAsia="宋体" w:cs="宋体"/>
                <w:sz w:val="21"/>
                <w:szCs w:val="21"/>
                <w:vertAlign w:val="baseline"/>
                <w:lang w:val="en-US" w:eastAsia="zh-CN"/>
              </w:rPr>
              <w:t>10kg/h</w:t>
            </w:r>
          </w:p>
        </w:tc>
        <w:tc>
          <w:tcPr>
            <w:tcW w:w="479" w:type="pct"/>
            <w:tcBorders>
              <w:bottom w:val="single" w:color="auto" w:sz="4" w:space="0"/>
            </w:tcBorders>
            <w:shd w:val="clear" w:color="auto" w:fill="auto"/>
            <w:vAlign w:val="center"/>
          </w:tcPr>
          <w:p w14:paraId="4AB3A5D3">
            <w:pPr>
              <w:keepNext w:val="0"/>
              <w:keepLines w:val="0"/>
              <w:pageBreakBefore w:val="0"/>
              <w:widowControl/>
              <w:kinsoku/>
              <w:wordWrap/>
              <w:overflowPunct/>
              <w:topLinePunct w:val="0"/>
              <w:autoSpaceDE/>
              <w:autoSpaceDN/>
              <w:bidi w:val="0"/>
              <w:spacing w:line="240" w:lineRule="auto"/>
              <w:ind w:firstLine="0" w:firstLineChars="0"/>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达标</w:t>
            </w:r>
          </w:p>
        </w:tc>
      </w:tr>
    </w:tbl>
    <w:p w14:paraId="2465FEFB">
      <w:pPr>
        <w:pStyle w:val="14"/>
        <w:spacing w:before="120" w:beforeLines="50"/>
        <w:jc w:val="center"/>
        <w:rPr>
          <w:b/>
          <w:sz w:val="21"/>
          <w:szCs w:val="21"/>
        </w:rPr>
      </w:pPr>
      <w:r>
        <w:rPr>
          <w:b/>
          <w:sz w:val="21"/>
          <w:szCs w:val="21"/>
        </w:rPr>
        <w:t>表</w:t>
      </w:r>
      <w:r>
        <w:rPr>
          <w:rFonts w:hint="eastAsia"/>
          <w:b/>
          <w:sz w:val="21"/>
          <w:szCs w:val="21"/>
          <w:lang w:val="en-US" w:eastAsia="zh-CN"/>
        </w:rPr>
        <w:t>2-17</w:t>
      </w:r>
      <w:r>
        <w:rPr>
          <w:b/>
          <w:sz w:val="21"/>
          <w:szCs w:val="21"/>
        </w:rPr>
        <w:t>项目无组织面源参数表</w:t>
      </w:r>
    </w:p>
    <w:tbl>
      <w:tblPr>
        <w:tblStyle w:val="52"/>
        <w:tblW w:w="4997"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autofit"/>
        <w:tblCellMar>
          <w:top w:w="0" w:type="dxa"/>
          <w:left w:w="108" w:type="dxa"/>
          <w:bottom w:w="0" w:type="dxa"/>
          <w:right w:w="108" w:type="dxa"/>
        </w:tblCellMar>
      </w:tblPr>
      <w:tblGrid>
        <w:gridCol w:w="1103"/>
        <w:gridCol w:w="579"/>
        <w:gridCol w:w="545"/>
        <w:gridCol w:w="615"/>
        <w:gridCol w:w="1326"/>
        <w:gridCol w:w="1633"/>
        <w:gridCol w:w="1077"/>
        <w:gridCol w:w="1639"/>
      </w:tblGrid>
      <w:tr w14:paraId="63F1A0F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58" w:hRule="atLeast"/>
        </w:trPr>
        <w:tc>
          <w:tcPr>
            <w:tcW w:w="647" w:type="pct"/>
            <w:vMerge w:val="restart"/>
            <w:tcBorders>
              <w:tl2br w:val="nil"/>
              <w:tr2bl w:val="nil"/>
            </w:tcBorders>
            <w:shd w:val="clear" w:color="auto" w:fill="auto"/>
            <w:vAlign w:val="center"/>
          </w:tcPr>
          <w:p w14:paraId="1024D672">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排放源</w:t>
            </w:r>
          </w:p>
        </w:tc>
        <w:tc>
          <w:tcPr>
            <w:tcW w:w="1021" w:type="pct"/>
            <w:gridSpan w:val="3"/>
            <w:tcBorders>
              <w:tl2br w:val="nil"/>
              <w:tr2bl w:val="nil"/>
            </w:tcBorders>
            <w:shd w:val="clear" w:color="auto" w:fill="auto"/>
            <w:vAlign w:val="center"/>
          </w:tcPr>
          <w:p w14:paraId="785B58A7">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面源参数</w:t>
            </w:r>
            <w:r>
              <w:rPr>
                <w:rFonts w:hint="eastAsia" w:ascii="宋体" w:hAnsi="宋体" w:eastAsia="宋体" w:cs="宋体"/>
                <w:bCs/>
                <w:kern w:val="0"/>
                <w:sz w:val="21"/>
                <w:szCs w:val="21"/>
              </w:rPr>
              <w:t>(m)</w:t>
            </w:r>
          </w:p>
        </w:tc>
        <w:tc>
          <w:tcPr>
            <w:tcW w:w="778" w:type="pct"/>
            <w:vMerge w:val="restart"/>
            <w:tcBorders>
              <w:tl2br w:val="nil"/>
              <w:tr2bl w:val="nil"/>
            </w:tcBorders>
            <w:shd w:val="clear" w:color="auto" w:fill="auto"/>
            <w:vAlign w:val="center"/>
          </w:tcPr>
          <w:p w14:paraId="5EA664B9">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年工作时间</w:t>
            </w:r>
            <w:r>
              <w:rPr>
                <w:rFonts w:hint="eastAsia" w:ascii="宋体" w:hAnsi="宋体" w:eastAsia="宋体" w:cs="宋体"/>
                <w:bCs/>
                <w:kern w:val="0"/>
                <w:sz w:val="21"/>
                <w:szCs w:val="21"/>
              </w:rPr>
              <w:t>(h)</w:t>
            </w:r>
          </w:p>
        </w:tc>
        <w:tc>
          <w:tcPr>
            <w:tcW w:w="958" w:type="pct"/>
            <w:vMerge w:val="restart"/>
            <w:tcBorders>
              <w:tl2br w:val="nil"/>
              <w:tr2bl w:val="nil"/>
            </w:tcBorders>
            <w:shd w:val="clear" w:color="auto" w:fill="auto"/>
            <w:vAlign w:val="center"/>
          </w:tcPr>
          <w:p w14:paraId="66A26281">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kern w:val="0"/>
                <w:sz w:val="21"/>
                <w:szCs w:val="21"/>
              </w:rPr>
            </w:pPr>
            <w:r>
              <w:rPr>
                <w:rFonts w:hint="eastAsia" w:ascii="宋体" w:hAnsi="宋体" w:eastAsia="宋体" w:cs="宋体"/>
                <w:kern w:val="2"/>
                <w:sz w:val="21"/>
                <w:szCs w:val="21"/>
                <w:vertAlign w:val="baseline"/>
                <w:lang w:val="en-US" w:eastAsia="zh-CN" w:bidi="ar-SA"/>
              </w:rPr>
              <w:t>拟采取的污染治理措施</w:t>
            </w:r>
          </w:p>
        </w:tc>
        <w:tc>
          <w:tcPr>
            <w:tcW w:w="632" w:type="pct"/>
            <w:vMerge w:val="restart"/>
            <w:tcBorders>
              <w:tl2br w:val="nil"/>
              <w:tr2bl w:val="nil"/>
            </w:tcBorders>
            <w:shd w:val="clear" w:color="auto" w:fill="auto"/>
            <w:vAlign w:val="center"/>
          </w:tcPr>
          <w:p w14:paraId="401D45BE">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污染物</w:t>
            </w:r>
          </w:p>
        </w:tc>
        <w:tc>
          <w:tcPr>
            <w:tcW w:w="961" w:type="pct"/>
            <w:vMerge w:val="restart"/>
            <w:tcBorders>
              <w:tl2br w:val="nil"/>
              <w:tr2bl w:val="nil"/>
            </w:tcBorders>
            <w:shd w:val="clear" w:color="auto" w:fill="auto"/>
            <w:vAlign w:val="center"/>
          </w:tcPr>
          <w:p w14:paraId="24310D7B">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排放源强</w:t>
            </w:r>
            <w:r>
              <w:rPr>
                <w:rFonts w:hint="eastAsia" w:ascii="宋体" w:hAnsi="宋体" w:eastAsia="宋体" w:cs="宋体"/>
                <w:color w:val="000000"/>
                <w:kern w:val="0"/>
                <w:sz w:val="21"/>
                <w:szCs w:val="21"/>
              </w:rPr>
              <w:t>（</w:t>
            </w:r>
            <w:r>
              <w:rPr>
                <w:rFonts w:hint="eastAsia" w:ascii="宋体" w:hAnsi="宋体" w:eastAsia="宋体" w:cs="宋体"/>
                <w:kern w:val="2"/>
                <w:sz w:val="21"/>
                <w:szCs w:val="21"/>
                <w:vertAlign w:val="baseline"/>
                <w:lang w:val="en-US" w:eastAsia="zh-CN" w:bidi="ar-SA"/>
              </w:rPr>
              <w:t>kg/h</w:t>
            </w:r>
            <w:r>
              <w:rPr>
                <w:rFonts w:hint="eastAsia" w:ascii="宋体" w:hAnsi="宋体" w:eastAsia="宋体" w:cs="宋体"/>
                <w:color w:val="000000"/>
                <w:kern w:val="0"/>
                <w:sz w:val="21"/>
                <w:szCs w:val="21"/>
              </w:rPr>
              <w:t>）</w:t>
            </w:r>
          </w:p>
        </w:tc>
      </w:tr>
      <w:tr w14:paraId="5F5F376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58" w:hRule="atLeast"/>
        </w:trPr>
        <w:tc>
          <w:tcPr>
            <w:tcW w:w="647" w:type="pct"/>
            <w:vMerge w:val="continue"/>
            <w:tcBorders>
              <w:tl2br w:val="nil"/>
              <w:tr2bl w:val="nil"/>
            </w:tcBorders>
            <w:shd w:val="clear" w:color="auto" w:fill="auto"/>
            <w:vAlign w:val="center"/>
          </w:tcPr>
          <w:p w14:paraId="51ABF52E">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kern w:val="0"/>
                <w:sz w:val="21"/>
                <w:szCs w:val="21"/>
              </w:rPr>
            </w:pPr>
          </w:p>
        </w:tc>
        <w:tc>
          <w:tcPr>
            <w:tcW w:w="340" w:type="pct"/>
            <w:tcBorders>
              <w:tl2br w:val="nil"/>
              <w:tr2bl w:val="nil"/>
            </w:tcBorders>
            <w:shd w:val="clear" w:color="auto" w:fill="auto"/>
            <w:vAlign w:val="center"/>
          </w:tcPr>
          <w:p w14:paraId="39C164F9">
            <w:pPr>
              <w:pStyle w:val="72"/>
              <w:keepNext w:val="0"/>
              <w:keepLines w:val="0"/>
              <w:pageBreakBefore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1"/>
                <w:szCs w:val="21"/>
              </w:rPr>
            </w:pPr>
            <w:r>
              <w:rPr>
                <w:rFonts w:hint="eastAsia" w:ascii="宋体" w:hAnsi="宋体" w:eastAsia="宋体" w:cs="宋体"/>
                <w:kern w:val="2"/>
                <w:sz w:val="21"/>
                <w:szCs w:val="21"/>
                <w:vertAlign w:val="baseline"/>
                <w:lang w:val="en-US" w:eastAsia="zh-CN" w:bidi="ar-SA"/>
              </w:rPr>
              <w:t>长</w:t>
            </w:r>
          </w:p>
        </w:tc>
        <w:tc>
          <w:tcPr>
            <w:tcW w:w="320" w:type="pct"/>
            <w:tcBorders>
              <w:tl2br w:val="nil"/>
              <w:tr2bl w:val="nil"/>
            </w:tcBorders>
            <w:shd w:val="clear" w:color="auto" w:fill="auto"/>
            <w:vAlign w:val="center"/>
          </w:tcPr>
          <w:p w14:paraId="2A4B4095">
            <w:pPr>
              <w:pStyle w:val="72"/>
              <w:keepNext w:val="0"/>
              <w:keepLines w:val="0"/>
              <w:pageBreakBefore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1"/>
                <w:szCs w:val="21"/>
              </w:rPr>
            </w:pPr>
            <w:r>
              <w:rPr>
                <w:rFonts w:hint="eastAsia" w:ascii="宋体" w:hAnsi="宋体" w:eastAsia="宋体" w:cs="宋体"/>
                <w:kern w:val="2"/>
                <w:sz w:val="21"/>
                <w:szCs w:val="21"/>
                <w:vertAlign w:val="baseline"/>
                <w:lang w:val="en-US" w:eastAsia="zh-CN" w:bidi="ar-SA"/>
              </w:rPr>
              <w:t>宽</w:t>
            </w:r>
          </w:p>
        </w:tc>
        <w:tc>
          <w:tcPr>
            <w:tcW w:w="361" w:type="pct"/>
            <w:tcBorders>
              <w:tl2br w:val="nil"/>
              <w:tr2bl w:val="nil"/>
            </w:tcBorders>
            <w:shd w:val="clear" w:color="auto" w:fill="auto"/>
            <w:vAlign w:val="center"/>
          </w:tcPr>
          <w:p w14:paraId="37CF7A22">
            <w:pPr>
              <w:pStyle w:val="72"/>
              <w:keepNext w:val="0"/>
              <w:keepLines w:val="0"/>
              <w:pageBreakBefore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1"/>
                <w:szCs w:val="21"/>
              </w:rPr>
            </w:pPr>
            <w:r>
              <w:rPr>
                <w:rFonts w:hint="eastAsia" w:ascii="宋体" w:hAnsi="宋体" w:eastAsia="宋体" w:cs="宋体"/>
                <w:kern w:val="2"/>
                <w:sz w:val="21"/>
                <w:szCs w:val="21"/>
                <w:vertAlign w:val="baseline"/>
                <w:lang w:val="en-US" w:eastAsia="zh-CN" w:bidi="ar-SA"/>
              </w:rPr>
              <w:t>高</w:t>
            </w:r>
          </w:p>
        </w:tc>
        <w:tc>
          <w:tcPr>
            <w:tcW w:w="778" w:type="pct"/>
            <w:vMerge w:val="continue"/>
            <w:tcBorders>
              <w:tl2br w:val="nil"/>
              <w:tr2bl w:val="nil"/>
            </w:tcBorders>
            <w:shd w:val="clear" w:color="auto" w:fill="auto"/>
            <w:vAlign w:val="center"/>
          </w:tcPr>
          <w:p w14:paraId="0E2DC3B5">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kern w:val="0"/>
                <w:sz w:val="21"/>
                <w:szCs w:val="21"/>
              </w:rPr>
            </w:pPr>
          </w:p>
        </w:tc>
        <w:tc>
          <w:tcPr>
            <w:tcW w:w="958" w:type="pct"/>
            <w:vMerge w:val="continue"/>
            <w:tcBorders>
              <w:tl2br w:val="nil"/>
              <w:tr2bl w:val="nil"/>
            </w:tcBorders>
            <w:shd w:val="clear" w:color="auto" w:fill="auto"/>
            <w:vAlign w:val="center"/>
          </w:tcPr>
          <w:p w14:paraId="72B0BE38">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kern w:val="0"/>
                <w:sz w:val="21"/>
                <w:szCs w:val="21"/>
              </w:rPr>
            </w:pPr>
          </w:p>
        </w:tc>
        <w:tc>
          <w:tcPr>
            <w:tcW w:w="632" w:type="pct"/>
            <w:vMerge w:val="continue"/>
            <w:tcBorders>
              <w:tl2br w:val="nil"/>
              <w:tr2bl w:val="nil"/>
            </w:tcBorders>
            <w:shd w:val="clear" w:color="auto" w:fill="auto"/>
            <w:vAlign w:val="center"/>
          </w:tcPr>
          <w:p w14:paraId="31D23C4D">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kern w:val="0"/>
                <w:sz w:val="21"/>
                <w:szCs w:val="21"/>
              </w:rPr>
            </w:pPr>
          </w:p>
        </w:tc>
        <w:tc>
          <w:tcPr>
            <w:tcW w:w="961" w:type="pct"/>
            <w:vMerge w:val="continue"/>
            <w:tcBorders>
              <w:tl2br w:val="nil"/>
              <w:tr2bl w:val="nil"/>
            </w:tcBorders>
            <w:shd w:val="clear" w:color="auto" w:fill="auto"/>
            <w:vAlign w:val="center"/>
          </w:tcPr>
          <w:p w14:paraId="71BAE37C">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kern w:val="0"/>
                <w:sz w:val="21"/>
                <w:szCs w:val="21"/>
              </w:rPr>
            </w:pPr>
          </w:p>
        </w:tc>
      </w:tr>
      <w:tr w14:paraId="0758E8F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653" w:hRule="atLeast"/>
        </w:trPr>
        <w:tc>
          <w:tcPr>
            <w:tcW w:w="647" w:type="pct"/>
            <w:tcBorders>
              <w:tl2br w:val="nil"/>
              <w:tr2bl w:val="nil"/>
            </w:tcBorders>
            <w:shd w:val="clear" w:color="auto" w:fill="auto"/>
            <w:vAlign w:val="center"/>
          </w:tcPr>
          <w:p w14:paraId="717040FB">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kern w:val="0"/>
                <w:sz w:val="21"/>
                <w:szCs w:val="21"/>
              </w:rPr>
            </w:pPr>
            <w:r>
              <w:rPr>
                <w:rFonts w:hint="eastAsia" w:ascii="宋体" w:hAnsi="宋体" w:eastAsia="宋体" w:cs="宋体"/>
                <w:sz w:val="21"/>
                <w:szCs w:val="21"/>
                <w:vertAlign w:val="baseline"/>
                <w:lang w:val="en-US" w:eastAsia="zh-CN"/>
              </w:rPr>
              <w:t>电镀车间</w:t>
            </w:r>
          </w:p>
        </w:tc>
        <w:tc>
          <w:tcPr>
            <w:tcW w:w="340" w:type="pct"/>
            <w:tcBorders>
              <w:tl2br w:val="nil"/>
              <w:tr2bl w:val="nil"/>
            </w:tcBorders>
            <w:shd w:val="clear" w:color="auto" w:fill="auto"/>
            <w:vAlign w:val="center"/>
          </w:tcPr>
          <w:p w14:paraId="32EA32D5">
            <w:pPr>
              <w:pStyle w:val="72"/>
              <w:keepNext w:val="0"/>
              <w:keepLines w:val="0"/>
              <w:pageBreakBefore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1"/>
                <w:szCs w:val="21"/>
              </w:rPr>
            </w:pPr>
            <w:r>
              <w:rPr>
                <w:rFonts w:hint="eastAsia" w:ascii="宋体" w:hAnsi="宋体" w:eastAsia="宋体" w:cs="宋体"/>
                <w:kern w:val="2"/>
                <w:sz w:val="21"/>
                <w:szCs w:val="21"/>
                <w:vertAlign w:val="baseline"/>
                <w:lang w:val="en-US" w:eastAsia="zh-CN" w:bidi="ar-SA"/>
              </w:rPr>
              <w:t>97</w:t>
            </w:r>
          </w:p>
        </w:tc>
        <w:tc>
          <w:tcPr>
            <w:tcW w:w="320" w:type="pct"/>
            <w:tcBorders>
              <w:tl2br w:val="nil"/>
              <w:tr2bl w:val="nil"/>
            </w:tcBorders>
            <w:shd w:val="clear" w:color="auto" w:fill="auto"/>
            <w:vAlign w:val="center"/>
          </w:tcPr>
          <w:p w14:paraId="18EA241D">
            <w:pPr>
              <w:pStyle w:val="72"/>
              <w:keepNext w:val="0"/>
              <w:keepLines w:val="0"/>
              <w:pageBreakBefore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1"/>
                <w:szCs w:val="21"/>
              </w:rPr>
            </w:pPr>
            <w:r>
              <w:rPr>
                <w:rFonts w:hint="eastAsia" w:ascii="宋体" w:hAnsi="宋体" w:eastAsia="宋体" w:cs="宋体"/>
                <w:kern w:val="2"/>
                <w:sz w:val="21"/>
                <w:szCs w:val="21"/>
                <w:vertAlign w:val="baseline"/>
                <w:lang w:val="en-US" w:eastAsia="zh-CN" w:bidi="ar-SA"/>
              </w:rPr>
              <w:t>40</w:t>
            </w:r>
          </w:p>
        </w:tc>
        <w:tc>
          <w:tcPr>
            <w:tcW w:w="361" w:type="pct"/>
            <w:tcBorders>
              <w:tl2br w:val="nil"/>
              <w:tr2bl w:val="nil"/>
            </w:tcBorders>
            <w:shd w:val="clear" w:color="auto" w:fill="auto"/>
            <w:vAlign w:val="center"/>
          </w:tcPr>
          <w:p w14:paraId="75812694">
            <w:pPr>
              <w:pStyle w:val="72"/>
              <w:keepNext w:val="0"/>
              <w:keepLines w:val="0"/>
              <w:pageBreakBefore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1"/>
                <w:szCs w:val="21"/>
              </w:rPr>
            </w:pPr>
            <w:r>
              <w:rPr>
                <w:rFonts w:hint="eastAsia" w:ascii="宋体" w:hAnsi="宋体" w:eastAsia="宋体" w:cs="宋体"/>
                <w:kern w:val="2"/>
                <w:sz w:val="21"/>
                <w:szCs w:val="21"/>
                <w:vertAlign w:val="baseline"/>
                <w:lang w:val="en-US" w:eastAsia="zh-CN" w:bidi="ar-SA"/>
              </w:rPr>
              <w:t>5</w:t>
            </w:r>
          </w:p>
        </w:tc>
        <w:tc>
          <w:tcPr>
            <w:tcW w:w="778" w:type="pct"/>
            <w:tcBorders>
              <w:tl2br w:val="nil"/>
              <w:tr2bl w:val="nil"/>
            </w:tcBorders>
            <w:shd w:val="clear" w:color="auto" w:fill="auto"/>
            <w:vAlign w:val="center"/>
          </w:tcPr>
          <w:p w14:paraId="34840176">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2400</w:t>
            </w:r>
          </w:p>
        </w:tc>
        <w:tc>
          <w:tcPr>
            <w:tcW w:w="958" w:type="pct"/>
            <w:tcBorders>
              <w:tl2br w:val="nil"/>
              <w:tr2bl w:val="nil"/>
            </w:tcBorders>
            <w:shd w:val="clear" w:color="auto" w:fill="auto"/>
            <w:vAlign w:val="center"/>
          </w:tcPr>
          <w:p w14:paraId="1C8E98BB">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kern w:val="0"/>
                <w:sz w:val="21"/>
                <w:szCs w:val="21"/>
              </w:rPr>
            </w:pPr>
            <w:r>
              <w:rPr>
                <w:rFonts w:hint="eastAsia" w:ascii="宋体" w:hAnsi="宋体" w:eastAsia="宋体" w:cs="宋体"/>
                <w:kern w:val="2"/>
                <w:sz w:val="21"/>
                <w:szCs w:val="21"/>
                <w:vertAlign w:val="baseline"/>
                <w:lang w:val="en-US" w:eastAsia="zh-CN" w:bidi="ar-SA"/>
              </w:rPr>
              <w:t>加强车间通风</w:t>
            </w:r>
          </w:p>
        </w:tc>
        <w:tc>
          <w:tcPr>
            <w:tcW w:w="632" w:type="pct"/>
            <w:tcBorders>
              <w:tl2br w:val="nil"/>
              <w:tr2bl w:val="nil"/>
            </w:tcBorders>
            <w:shd w:val="clear" w:color="auto" w:fill="auto"/>
            <w:vAlign w:val="center"/>
          </w:tcPr>
          <w:p w14:paraId="5A1E4576">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kern w:val="0"/>
                <w:sz w:val="21"/>
                <w:szCs w:val="21"/>
              </w:rPr>
            </w:pPr>
            <w:r>
              <w:rPr>
                <w:rFonts w:hint="eastAsia" w:ascii="宋体" w:hAnsi="宋体" w:eastAsia="宋体" w:cs="宋体"/>
                <w:kern w:val="2"/>
                <w:sz w:val="21"/>
                <w:szCs w:val="21"/>
                <w:vertAlign w:val="baseline"/>
                <w:lang w:val="en-US" w:eastAsia="zh-CN" w:bidi="ar-SA"/>
              </w:rPr>
              <w:t>甲基磺酸</w:t>
            </w:r>
          </w:p>
        </w:tc>
        <w:tc>
          <w:tcPr>
            <w:tcW w:w="961" w:type="pct"/>
            <w:tcBorders>
              <w:tl2br w:val="nil"/>
              <w:tr2bl w:val="nil"/>
            </w:tcBorders>
            <w:shd w:val="clear" w:color="auto" w:fill="auto"/>
            <w:vAlign w:val="center"/>
          </w:tcPr>
          <w:p w14:paraId="0604A4FF">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kern w:val="0"/>
                <w:sz w:val="21"/>
                <w:szCs w:val="21"/>
              </w:rPr>
            </w:pPr>
            <w:r>
              <w:rPr>
                <w:rFonts w:hint="eastAsia" w:ascii="宋体" w:hAnsi="宋体" w:eastAsia="宋体" w:cs="宋体"/>
                <w:kern w:val="2"/>
                <w:sz w:val="21"/>
                <w:szCs w:val="21"/>
                <w:vertAlign w:val="baseline"/>
                <w:lang w:val="en-US" w:eastAsia="zh-CN" w:bidi="ar-SA"/>
              </w:rPr>
              <w:t>0.0003</w:t>
            </w:r>
          </w:p>
        </w:tc>
      </w:tr>
    </w:tbl>
    <w:p w14:paraId="2FCEDF68">
      <w:pPr>
        <w:bidi w:val="0"/>
      </w:pPr>
      <w:r>
        <w:t>本项目所有预测因子Pmax&lt;1%，根据等级划分原则，本项目大气环境评价工作等级为</w:t>
      </w:r>
      <w:r>
        <w:rPr>
          <w:rFonts w:hint="eastAsia"/>
          <w:lang w:eastAsia="zh-CN"/>
        </w:rPr>
        <w:t>三</w:t>
      </w:r>
      <w:r>
        <w:t>级，重点进行废气排放的达标性分析。</w:t>
      </w:r>
    </w:p>
    <w:p w14:paraId="115A675A">
      <w:pPr>
        <w:pStyle w:val="6"/>
        <w:rPr>
          <w:color w:val="auto"/>
        </w:rPr>
      </w:pPr>
      <w:r>
        <w:rPr>
          <w:color w:val="auto"/>
        </w:rPr>
        <w:t>2.6.1.2地表水环境影响评价工作等级</w:t>
      </w:r>
    </w:p>
    <w:p w14:paraId="70A28F95">
      <w:pPr>
        <w:ind w:firstLine="480" w:firstLineChars="200"/>
      </w:pPr>
      <w:r>
        <w:rPr>
          <w:color w:val="000000"/>
        </w:rPr>
        <w:t>根据《环境影响评价技术导则-地表水环境》（HJ2.3-2018），地表水</w:t>
      </w:r>
      <w:r>
        <w:t>评价等级依据下表划分。</w:t>
      </w:r>
    </w:p>
    <w:p w14:paraId="2BFF6D08">
      <w:pPr>
        <w:spacing w:line="440" w:lineRule="atLeast"/>
        <w:ind w:firstLine="103" w:firstLineChars="49"/>
        <w:jc w:val="center"/>
        <w:rPr>
          <w:b/>
          <w:sz w:val="21"/>
          <w:szCs w:val="21"/>
        </w:rPr>
      </w:pPr>
      <w:r>
        <w:rPr>
          <w:b/>
          <w:sz w:val="21"/>
          <w:szCs w:val="21"/>
        </w:rPr>
        <w:t>表</w:t>
      </w:r>
      <w:r>
        <w:rPr>
          <w:rFonts w:hint="eastAsia"/>
          <w:b/>
          <w:sz w:val="21"/>
          <w:szCs w:val="21"/>
          <w:lang w:val="en-US" w:eastAsia="zh-CN"/>
        </w:rPr>
        <w:t>2-18</w:t>
      </w:r>
      <w:r>
        <w:rPr>
          <w:b/>
          <w:sz w:val="21"/>
          <w:szCs w:val="21"/>
        </w:rPr>
        <w:t>水污染影响型建设项目评价等级判定</w:t>
      </w:r>
    </w:p>
    <w:tbl>
      <w:tblPr>
        <w:tblStyle w:val="52"/>
        <w:tblW w:w="4850"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autofit"/>
        <w:tblCellMar>
          <w:top w:w="0" w:type="dxa"/>
          <w:left w:w="108" w:type="dxa"/>
          <w:bottom w:w="0" w:type="dxa"/>
          <w:right w:w="108" w:type="dxa"/>
        </w:tblCellMar>
      </w:tblPr>
      <w:tblGrid>
        <w:gridCol w:w="1086"/>
        <w:gridCol w:w="3589"/>
        <w:gridCol w:w="3591"/>
      </w:tblGrid>
      <w:tr w14:paraId="608C801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jc w:val="center"/>
        </w:trPr>
        <w:tc>
          <w:tcPr>
            <w:tcW w:w="657" w:type="pct"/>
            <w:vMerge w:val="restart"/>
            <w:tcBorders>
              <w:top w:val="single" w:color="000000" w:sz="12" w:space="0"/>
              <w:left w:val="nil"/>
              <w:bottom w:val="single" w:color="000000" w:sz="4" w:space="0"/>
              <w:right w:val="single" w:color="000000" w:sz="4" w:space="0"/>
            </w:tcBorders>
            <w:vAlign w:val="center"/>
          </w:tcPr>
          <w:p w14:paraId="1AAF7E9B">
            <w:pPr>
              <w:pStyle w:val="370"/>
              <w:keepNext w:val="0"/>
              <w:keepLines w:val="0"/>
              <w:pageBreakBefore w:val="0"/>
              <w:kinsoku/>
              <w:wordWrap/>
              <w:overflowPunct/>
              <w:topLinePunct w:val="0"/>
              <w:bidi w:val="0"/>
              <w:spacing w:line="240" w:lineRule="auto"/>
              <w:ind w:firstLine="0" w:firstLineChars="0"/>
              <w:jc w:val="center"/>
              <w:textAlignment w:val="auto"/>
              <w:rPr>
                <w:rFonts w:ascii="Times New Roman" w:hAnsi="Times New Roman" w:eastAsiaTheme="minorEastAsia"/>
                <w:color w:val="auto"/>
                <w:sz w:val="21"/>
                <w:szCs w:val="21"/>
              </w:rPr>
            </w:pPr>
            <w:r>
              <w:rPr>
                <w:rFonts w:ascii="Times New Roman" w:hAnsi="Times New Roman" w:eastAsiaTheme="minorEastAsia"/>
                <w:color w:val="auto"/>
                <w:sz w:val="21"/>
                <w:szCs w:val="21"/>
              </w:rPr>
              <w:t>敏感程度</w:t>
            </w:r>
          </w:p>
        </w:tc>
        <w:tc>
          <w:tcPr>
            <w:tcW w:w="4343" w:type="pct"/>
            <w:gridSpan w:val="2"/>
            <w:tcBorders>
              <w:top w:val="single" w:color="000000" w:sz="12" w:space="0"/>
              <w:left w:val="single" w:color="000000" w:sz="4" w:space="0"/>
              <w:bottom w:val="single" w:color="000000" w:sz="4" w:space="0"/>
              <w:right w:val="nil"/>
            </w:tcBorders>
            <w:vAlign w:val="center"/>
          </w:tcPr>
          <w:p w14:paraId="3BF8CB32">
            <w:pPr>
              <w:pStyle w:val="370"/>
              <w:keepNext w:val="0"/>
              <w:keepLines w:val="0"/>
              <w:pageBreakBefore w:val="0"/>
              <w:kinsoku/>
              <w:wordWrap/>
              <w:overflowPunct/>
              <w:topLinePunct w:val="0"/>
              <w:bidi w:val="0"/>
              <w:spacing w:line="240" w:lineRule="auto"/>
              <w:ind w:firstLine="0" w:firstLineChars="0"/>
              <w:jc w:val="center"/>
              <w:textAlignment w:val="auto"/>
              <w:rPr>
                <w:rFonts w:ascii="Times New Roman" w:hAnsi="Times New Roman" w:eastAsiaTheme="minorEastAsia"/>
                <w:color w:val="auto"/>
                <w:sz w:val="21"/>
                <w:szCs w:val="21"/>
              </w:rPr>
            </w:pPr>
            <w:r>
              <w:rPr>
                <w:rFonts w:ascii="Times New Roman" w:hAnsi="Times New Roman" w:eastAsiaTheme="minorEastAsia"/>
                <w:color w:val="auto"/>
                <w:sz w:val="21"/>
                <w:szCs w:val="21"/>
              </w:rPr>
              <w:t>判定依据</w:t>
            </w:r>
          </w:p>
        </w:tc>
      </w:tr>
      <w:tr w14:paraId="2E40784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jc w:val="center"/>
        </w:trPr>
        <w:tc>
          <w:tcPr>
            <w:tcW w:w="0" w:type="auto"/>
            <w:vMerge w:val="continue"/>
            <w:tcBorders>
              <w:top w:val="single" w:color="000000" w:sz="12" w:space="0"/>
              <w:left w:val="nil"/>
              <w:bottom w:val="single" w:color="000000" w:sz="4" w:space="0"/>
              <w:right w:val="single" w:color="000000" w:sz="4" w:space="0"/>
            </w:tcBorders>
            <w:vAlign w:val="center"/>
          </w:tcPr>
          <w:p w14:paraId="29897FAF">
            <w:pPr>
              <w:keepNext w:val="0"/>
              <w:keepLines w:val="0"/>
              <w:pageBreakBefore w:val="0"/>
              <w:widowControl/>
              <w:kinsoku/>
              <w:wordWrap/>
              <w:overflowPunct/>
              <w:topLinePunct w:val="0"/>
              <w:bidi w:val="0"/>
              <w:spacing w:line="240" w:lineRule="auto"/>
              <w:ind w:firstLine="0" w:firstLineChars="0"/>
              <w:jc w:val="left"/>
              <w:textAlignment w:val="auto"/>
              <w:rPr>
                <w:rFonts w:eastAsiaTheme="minorEastAsia"/>
                <w:sz w:val="21"/>
                <w:szCs w:val="21"/>
              </w:rPr>
            </w:pPr>
          </w:p>
        </w:tc>
        <w:tc>
          <w:tcPr>
            <w:tcW w:w="2171" w:type="pct"/>
            <w:tcBorders>
              <w:top w:val="single" w:color="000000" w:sz="4" w:space="0"/>
              <w:left w:val="single" w:color="000000" w:sz="4" w:space="0"/>
              <w:bottom w:val="single" w:color="000000" w:sz="4" w:space="0"/>
              <w:right w:val="single" w:color="000000" w:sz="4" w:space="0"/>
            </w:tcBorders>
            <w:vAlign w:val="center"/>
          </w:tcPr>
          <w:p w14:paraId="4C5BF155">
            <w:pPr>
              <w:pStyle w:val="370"/>
              <w:keepNext w:val="0"/>
              <w:keepLines w:val="0"/>
              <w:pageBreakBefore w:val="0"/>
              <w:kinsoku/>
              <w:wordWrap/>
              <w:overflowPunct/>
              <w:topLinePunct w:val="0"/>
              <w:bidi w:val="0"/>
              <w:spacing w:line="240" w:lineRule="auto"/>
              <w:ind w:firstLine="0" w:firstLineChars="0"/>
              <w:jc w:val="center"/>
              <w:textAlignment w:val="auto"/>
              <w:rPr>
                <w:rFonts w:ascii="Times New Roman" w:hAnsi="Times New Roman" w:eastAsiaTheme="minorEastAsia"/>
                <w:color w:val="auto"/>
                <w:sz w:val="21"/>
                <w:szCs w:val="21"/>
              </w:rPr>
            </w:pPr>
            <w:r>
              <w:rPr>
                <w:rFonts w:ascii="Times New Roman" w:hAnsi="Times New Roman" w:eastAsiaTheme="minorEastAsia"/>
                <w:color w:val="auto"/>
                <w:sz w:val="21"/>
                <w:szCs w:val="21"/>
              </w:rPr>
              <w:t>排放方式</w:t>
            </w:r>
          </w:p>
        </w:tc>
        <w:tc>
          <w:tcPr>
            <w:tcW w:w="2172" w:type="pct"/>
            <w:tcBorders>
              <w:top w:val="single" w:color="000000" w:sz="4" w:space="0"/>
              <w:left w:val="single" w:color="000000" w:sz="4" w:space="0"/>
              <w:bottom w:val="single" w:color="000000" w:sz="4" w:space="0"/>
              <w:right w:val="nil"/>
            </w:tcBorders>
            <w:vAlign w:val="center"/>
          </w:tcPr>
          <w:p w14:paraId="321BADAE">
            <w:pPr>
              <w:pStyle w:val="190"/>
              <w:keepNext w:val="0"/>
              <w:keepLines w:val="0"/>
              <w:pageBreakBefore w:val="0"/>
              <w:kinsoku/>
              <w:wordWrap/>
              <w:overflowPunct/>
              <w:topLinePunct w:val="0"/>
              <w:bidi w:val="0"/>
              <w:spacing w:line="240" w:lineRule="auto"/>
              <w:ind w:firstLine="0" w:firstLineChars="0"/>
              <w:jc w:val="center"/>
              <w:textAlignment w:val="auto"/>
              <w:rPr>
                <w:rFonts w:ascii="Times New Roman" w:cs="Times New Roman" w:eastAsiaTheme="minorEastAsia"/>
                <w:color w:val="auto"/>
                <w:kern w:val="2"/>
                <w:sz w:val="21"/>
                <w:szCs w:val="21"/>
              </w:rPr>
            </w:pPr>
            <w:r>
              <w:rPr>
                <w:rFonts w:ascii="Times New Roman" w:cs="Times New Roman" w:eastAsiaTheme="minorEastAsia"/>
                <w:color w:val="auto"/>
                <w:kern w:val="2"/>
                <w:sz w:val="21"/>
                <w:szCs w:val="21"/>
              </w:rPr>
              <w:t>废水排放量</w:t>
            </w:r>
            <w:r>
              <w:rPr>
                <w:rFonts w:ascii="Times New Roman" w:cs="Times New Roman" w:eastAsiaTheme="minorEastAsia"/>
                <w:i/>
                <w:iCs/>
                <w:color w:val="auto"/>
                <w:kern w:val="2"/>
                <w:sz w:val="21"/>
                <w:szCs w:val="21"/>
              </w:rPr>
              <w:t>Q</w:t>
            </w:r>
            <w:r>
              <w:rPr>
                <w:rFonts w:ascii="Times New Roman" w:cs="Times New Roman" w:eastAsiaTheme="minorEastAsia"/>
                <w:color w:val="auto"/>
                <w:kern w:val="2"/>
                <w:sz w:val="21"/>
                <w:szCs w:val="21"/>
              </w:rPr>
              <w:t>/（m</w:t>
            </w:r>
            <w:r>
              <w:rPr>
                <w:rFonts w:ascii="Times New Roman" w:cs="Times New Roman" w:eastAsiaTheme="minorEastAsia"/>
                <w:color w:val="auto"/>
                <w:kern w:val="2"/>
                <w:sz w:val="21"/>
                <w:szCs w:val="21"/>
                <w:vertAlign w:val="superscript"/>
              </w:rPr>
              <w:t>3</w:t>
            </w:r>
            <w:r>
              <w:rPr>
                <w:rFonts w:ascii="Times New Roman" w:cs="Times New Roman" w:eastAsiaTheme="minorEastAsia"/>
                <w:color w:val="auto"/>
                <w:kern w:val="2"/>
                <w:sz w:val="21"/>
                <w:szCs w:val="21"/>
              </w:rPr>
              <w:t>/d）；</w:t>
            </w:r>
          </w:p>
          <w:p w14:paraId="6434732D">
            <w:pPr>
              <w:pStyle w:val="370"/>
              <w:keepNext w:val="0"/>
              <w:keepLines w:val="0"/>
              <w:pageBreakBefore w:val="0"/>
              <w:kinsoku/>
              <w:wordWrap/>
              <w:overflowPunct/>
              <w:topLinePunct w:val="0"/>
              <w:bidi w:val="0"/>
              <w:spacing w:line="240" w:lineRule="auto"/>
              <w:ind w:firstLine="0" w:firstLineChars="0"/>
              <w:jc w:val="center"/>
              <w:textAlignment w:val="auto"/>
              <w:rPr>
                <w:rFonts w:ascii="Times New Roman" w:hAnsi="Times New Roman" w:eastAsiaTheme="minorEastAsia"/>
                <w:color w:val="auto"/>
                <w:sz w:val="21"/>
                <w:szCs w:val="21"/>
              </w:rPr>
            </w:pPr>
            <w:r>
              <w:rPr>
                <w:rFonts w:ascii="Times New Roman" w:hAnsi="Times New Roman" w:eastAsiaTheme="minorEastAsia"/>
                <w:color w:val="auto"/>
                <w:sz w:val="21"/>
                <w:szCs w:val="21"/>
              </w:rPr>
              <w:t>水污染物当量数</w:t>
            </w:r>
            <w:r>
              <w:rPr>
                <w:rFonts w:ascii="Times New Roman" w:hAnsi="Times New Roman" w:eastAsiaTheme="minorEastAsia"/>
                <w:i/>
                <w:iCs/>
                <w:color w:val="auto"/>
                <w:sz w:val="21"/>
                <w:szCs w:val="21"/>
              </w:rPr>
              <w:t>W</w:t>
            </w:r>
            <w:r>
              <w:rPr>
                <w:rFonts w:ascii="Times New Roman" w:hAnsi="Times New Roman" w:eastAsiaTheme="minorEastAsia"/>
                <w:color w:val="auto"/>
                <w:sz w:val="21"/>
                <w:szCs w:val="21"/>
              </w:rPr>
              <w:t>/（无量纲）</w:t>
            </w:r>
          </w:p>
        </w:tc>
      </w:tr>
      <w:tr w14:paraId="284017B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jc w:val="center"/>
        </w:trPr>
        <w:tc>
          <w:tcPr>
            <w:tcW w:w="657" w:type="pct"/>
            <w:tcBorders>
              <w:top w:val="single" w:color="000000" w:sz="4" w:space="0"/>
              <w:left w:val="nil"/>
              <w:bottom w:val="single" w:color="000000" w:sz="4" w:space="0"/>
              <w:right w:val="single" w:color="000000" w:sz="4" w:space="0"/>
            </w:tcBorders>
          </w:tcPr>
          <w:p w14:paraId="7E439F19">
            <w:pPr>
              <w:pStyle w:val="190"/>
              <w:keepNext w:val="0"/>
              <w:keepLines w:val="0"/>
              <w:pageBreakBefore w:val="0"/>
              <w:kinsoku/>
              <w:wordWrap/>
              <w:overflowPunct/>
              <w:topLinePunct w:val="0"/>
              <w:bidi w:val="0"/>
              <w:spacing w:line="240" w:lineRule="auto"/>
              <w:ind w:firstLine="0" w:firstLineChars="0"/>
              <w:jc w:val="center"/>
              <w:textAlignment w:val="auto"/>
              <w:rPr>
                <w:rFonts w:ascii="Times New Roman" w:cs="Times New Roman" w:eastAsiaTheme="minorEastAsia"/>
                <w:color w:val="auto"/>
                <w:kern w:val="2"/>
                <w:sz w:val="21"/>
                <w:szCs w:val="21"/>
              </w:rPr>
            </w:pPr>
            <w:r>
              <w:rPr>
                <w:rFonts w:ascii="Times New Roman" w:cs="Times New Roman" w:eastAsiaTheme="minorEastAsia"/>
                <w:color w:val="auto"/>
                <w:kern w:val="2"/>
                <w:sz w:val="21"/>
                <w:szCs w:val="21"/>
              </w:rPr>
              <w:t>一级</w:t>
            </w:r>
          </w:p>
        </w:tc>
        <w:tc>
          <w:tcPr>
            <w:tcW w:w="2171" w:type="pct"/>
            <w:tcBorders>
              <w:top w:val="single" w:color="000000" w:sz="4" w:space="0"/>
              <w:left w:val="single" w:color="000000" w:sz="4" w:space="0"/>
              <w:bottom w:val="single" w:color="000000" w:sz="4" w:space="0"/>
              <w:right w:val="single" w:color="000000" w:sz="4" w:space="0"/>
            </w:tcBorders>
          </w:tcPr>
          <w:p w14:paraId="5908E9BA">
            <w:pPr>
              <w:pStyle w:val="190"/>
              <w:keepNext w:val="0"/>
              <w:keepLines w:val="0"/>
              <w:pageBreakBefore w:val="0"/>
              <w:kinsoku/>
              <w:wordWrap/>
              <w:overflowPunct/>
              <w:topLinePunct w:val="0"/>
              <w:bidi w:val="0"/>
              <w:spacing w:line="240" w:lineRule="auto"/>
              <w:ind w:firstLine="0" w:firstLineChars="0"/>
              <w:jc w:val="center"/>
              <w:textAlignment w:val="auto"/>
              <w:rPr>
                <w:rFonts w:ascii="Times New Roman" w:cs="Times New Roman" w:eastAsiaTheme="minorEastAsia"/>
                <w:color w:val="auto"/>
                <w:kern w:val="2"/>
                <w:sz w:val="21"/>
                <w:szCs w:val="21"/>
              </w:rPr>
            </w:pPr>
            <w:r>
              <w:rPr>
                <w:rFonts w:ascii="Times New Roman" w:cs="Times New Roman" w:eastAsiaTheme="minorEastAsia"/>
                <w:color w:val="auto"/>
                <w:kern w:val="2"/>
                <w:sz w:val="21"/>
                <w:szCs w:val="21"/>
              </w:rPr>
              <w:t>直接排放</w:t>
            </w:r>
          </w:p>
        </w:tc>
        <w:tc>
          <w:tcPr>
            <w:tcW w:w="2172" w:type="pct"/>
            <w:tcBorders>
              <w:top w:val="single" w:color="000000" w:sz="4" w:space="0"/>
              <w:left w:val="single" w:color="000000" w:sz="4" w:space="0"/>
              <w:bottom w:val="single" w:color="000000" w:sz="4" w:space="0"/>
              <w:right w:val="nil"/>
            </w:tcBorders>
          </w:tcPr>
          <w:p w14:paraId="7ABFEAA9">
            <w:pPr>
              <w:pStyle w:val="190"/>
              <w:keepNext w:val="0"/>
              <w:keepLines w:val="0"/>
              <w:pageBreakBefore w:val="0"/>
              <w:kinsoku/>
              <w:wordWrap/>
              <w:overflowPunct/>
              <w:topLinePunct w:val="0"/>
              <w:bidi w:val="0"/>
              <w:spacing w:line="240" w:lineRule="auto"/>
              <w:ind w:firstLine="0" w:firstLineChars="0"/>
              <w:jc w:val="center"/>
              <w:textAlignment w:val="auto"/>
              <w:rPr>
                <w:rFonts w:ascii="Times New Roman" w:cs="Times New Roman" w:eastAsiaTheme="minorEastAsia"/>
                <w:color w:val="auto"/>
                <w:kern w:val="2"/>
                <w:sz w:val="21"/>
                <w:szCs w:val="21"/>
              </w:rPr>
            </w:pPr>
            <w:r>
              <w:rPr>
                <w:rFonts w:ascii="Times New Roman" w:cs="Times New Roman" w:eastAsiaTheme="minorEastAsia"/>
                <w:i/>
                <w:iCs/>
                <w:color w:val="auto"/>
                <w:kern w:val="2"/>
                <w:sz w:val="21"/>
                <w:szCs w:val="21"/>
              </w:rPr>
              <w:t>Q</w:t>
            </w:r>
            <w:r>
              <w:rPr>
                <w:rFonts w:ascii="Times New Roman" w:cs="Times New Roman" w:eastAsiaTheme="minorEastAsia"/>
                <w:color w:val="auto"/>
                <w:kern w:val="2"/>
                <w:sz w:val="21"/>
                <w:szCs w:val="21"/>
              </w:rPr>
              <w:t>≥20000或</w:t>
            </w:r>
            <w:r>
              <w:rPr>
                <w:rFonts w:ascii="Times New Roman" w:cs="Times New Roman" w:eastAsiaTheme="minorEastAsia"/>
                <w:i/>
                <w:iCs/>
                <w:color w:val="auto"/>
                <w:kern w:val="2"/>
                <w:sz w:val="21"/>
                <w:szCs w:val="21"/>
              </w:rPr>
              <w:t>W</w:t>
            </w:r>
            <w:r>
              <w:rPr>
                <w:rFonts w:ascii="Times New Roman" w:cs="Times New Roman" w:eastAsiaTheme="minorEastAsia"/>
                <w:color w:val="auto"/>
                <w:kern w:val="2"/>
                <w:sz w:val="21"/>
                <w:szCs w:val="21"/>
              </w:rPr>
              <w:t>≥600000</w:t>
            </w:r>
          </w:p>
        </w:tc>
      </w:tr>
      <w:tr w14:paraId="178233A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jc w:val="center"/>
        </w:trPr>
        <w:tc>
          <w:tcPr>
            <w:tcW w:w="657" w:type="pct"/>
            <w:tcBorders>
              <w:top w:val="single" w:color="000000" w:sz="4" w:space="0"/>
              <w:left w:val="nil"/>
              <w:bottom w:val="single" w:color="000000" w:sz="4" w:space="0"/>
              <w:right w:val="single" w:color="000000" w:sz="4" w:space="0"/>
            </w:tcBorders>
          </w:tcPr>
          <w:p w14:paraId="79AA6DD9">
            <w:pPr>
              <w:pStyle w:val="190"/>
              <w:keepNext w:val="0"/>
              <w:keepLines w:val="0"/>
              <w:pageBreakBefore w:val="0"/>
              <w:kinsoku/>
              <w:wordWrap/>
              <w:overflowPunct/>
              <w:topLinePunct w:val="0"/>
              <w:bidi w:val="0"/>
              <w:spacing w:line="240" w:lineRule="auto"/>
              <w:ind w:firstLine="0" w:firstLineChars="0"/>
              <w:jc w:val="center"/>
              <w:textAlignment w:val="auto"/>
              <w:rPr>
                <w:rFonts w:ascii="Times New Roman" w:cs="Times New Roman" w:eastAsiaTheme="minorEastAsia"/>
                <w:color w:val="auto"/>
                <w:kern w:val="2"/>
                <w:sz w:val="21"/>
                <w:szCs w:val="21"/>
              </w:rPr>
            </w:pPr>
            <w:r>
              <w:rPr>
                <w:rFonts w:ascii="Times New Roman" w:cs="Times New Roman" w:eastAsiaTheme="minorEastAsia"/>
                <w:color w:val="auto"/>
                <w:kern w:val="2"/>
                <w:sz w:val="21"/>
                <w:szCs w:val="21"/>
              </w:rPr>
              <w:t>二级</w:t>
            </w:r>
          </w:p>
        </w:tc>
        <w:tc>
          <w:tcPr>
            <w:tcW w:w="2171" w:type="pct"/>
            <w:tcBorders>
              <w:top w:val="single" w:color="000000" w:sz="4" w:space="0"/>
              <w:left w:val="single" w:color="000000" w:sz="4" w:space="0"/>
              <w:bottom w:val="single" w:color="000000" w:sz="4" w:space="0"/>
              <w:right w:val="single" w:color="000000" w:sz="4" w:space="0"/>
            </w:tcBorders>
          </w:tcPr>
          <w:p w14:paraId="31C8B6F3">
            <w:pPr>
              <w:pStyle w:val="190"/>
              <w:keepNext w:val="0"/>
              <w:keepLines w:val="0"/>
              <w:pageBreakBefore w:val="0"/>
              <w:kinsoku/>
              <w:wordWrap/>
              <w:overflowPunct/>
              <w:topLinePunct w:val="0"/>
              <w:bidi w:val="0"/>
              <w:spacing w:line="240" w:lineRule="auto"/>
              <w:ind w:firstLine="0" w:firstLineChars="0"/>
              <w:jc w:val="center"/>
              <w:textAlignment w:val="auto"/>
              <w:rPr>
                <w:rFonts w:ascii="Times New Roman" w:cs="Times New Roman" w:eastAsiaTheme="minorEastAsia"/>
                <w:color w:val="auto"/>
                <w:kern w:val="2"/>
                <w:sz w:val="21"/>
                <w:szCs w:val="21"/>
              </w:rPr>
            </w:pPr>
            <w:r>
              <w:rPr>
                <w:rFonts w:ascii="Times New Roman" w:cs="Times New Roman" w:eastAsiaTheme="minorEastAsia"/>
                <w:color w:val="auto"/>
                <w:kern w:val="2"/>
                <w:sz w:val="21"/>
                <w:szCs w:val="21"/>
              </w:rPr>
              <w:t>直接排放</w:t>
            </w:r>
          </w:p>
        </w:tc>
        <w:tc>
          <w:tcPr>
            <w:tcW w:w="2172" w:type="pct"/>
            <w:tcBorders>
              <w:top w:val="single" w:color="000000" w:sz="4" w:space="0"/>
              <w:left w:val="single" w:color="000000" w:sz="4" w:space="0"/>
              <w:bottom w:val="single" w:color="000000" w:sz="4" w:space="0"/>
              <w:right w:val="nil"/>
            </w:tcBorders>
          </w:tcPr>
          <w:p w14:paraId="16ECFFD7">
            <w:pPr>
              <w:pStyle w:val="190"/>
              <w:keepNext w:val="0"/>
              <w:keepLines w:val="0"/>
              <w:pageBreakBefore w:val="0"/>
              <w:kinsoku/>
              <w:wordWrap/>
              <w:overflowPunct/>
              <w:topLinePunct w:val="0"/>
              <w:bidi w:val="0"/>
              <w:spacing w:line="240" w:lineRule="auto"/>
              <w:ind w:firstLine="0" w:firstLineChars="0"/>
              <w:jc w:val="center"/>
              <w:textAlignment w:val="auto"/>
              <w:rPr>
                <w:rFonts w:ascii="Times New Roman" w:cs="Times New Roman" w:eastAsiaTheme="minorEastAsia"/>
                <w:color w:val="auto"/>
                <w:kern w:val="2"/>
                <w:sz w:val="21"/>
                <w:szCs w:val="21"/>
              </w:rPr>
            </w:pPr>
            <w:r>
              <w:rPr>
                <w:rFonts w:ascii="Times New Roman" w:cs="Times New Roman" w:eastAsiaTheme="minorEastAsia"/>
                <w:color w:val="auto"/>
                <w:kern w:val="2"/>
                <w:sz w:val="21"/>
                <w:szCs w:val="21"/>
              </w:rPr>
              <w:t>其他</w:t>
            </w:r>
          </w:p>
        </w:tc>
      </w:tr>
      <w:tr w14:paraId="2A5C344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jc w:val="center"/>
        </w:trPr>
        <w:tc>
          <w:tcPr>
            <w:tcW w:w="657" w:type="pct"/>
            <w:tcBorders>
              <w:top w:val="single" w:color="000000" w:sz="4" w:space="0"/>
              <w:left w:val="nil"/>
              <w:bottom w:val="single" w:color="000000" w:sz="4" w:space="0"/>
              <w:right w:val="single" w:color="000000" w:sz="4" w:space="0"/>
            </w:tcBorders>
          </w:tcPr>
          <w:p w14:paraId="2F0A9120">
            <w:pPr>
              <w:pStyle w:val="190"/>
              <w:keepNext w:val="0"/>
              <w:keepLines w:val="0"/>
              <w:pageBreakBefore w:val="0"/>
              <w:kinsoku/>
              <w:wordWrap/>
              <w:overflowPunct/>
              <w:topLinePunct w:val="0"/>
              <w:bidi w:val="0"/>
              <w:spacing w:line="240" w:lineRule="auto"/>
              <w:ind w:firstLine="0" w:firstLineChars="0"/>
              <w:jc w:val="center"/>
              <w:textAlignment w:val="auto"/>
              <w:rPr>
                <w:rFonts w:ascii="Times New Roman" w:cs="Times New Roman" w:eastAsiaTheme="minorEastAsia"/>
                <w:color w:val="auto"/>
                <w:kern w:val="2"/>
                <w:sz w:val="21"/>
                <w:szCs w:val="21"/>
              </w:rPr>
            </w:pPr>
            <w:r>
              <w:rPr>
                <w:rFonts w:ascii="Times New Roman" w:cs="Times New Roman" w:eastAsiaTheme="minorEastAsia"/>
                <w:color w:val="auto"/>
                <w:kern w:val="2"/>
                <w:sz w:val="21"/>
                <w:szCs w:val="21"/>
              </w:rPr>
              <w:t>三级A</w:t>
            </w:r>
          </w:p>
        </w:tc>
        <w:tc>
          <w:tcPr>
            <w:tcW w:w="2171" w:type="pct"/>
            <w:tcBorders>
              <w:top w:val="single" w:color="000000" w:sz="4" w:space="0"/>
              <w:left w:val="single" w:color="000000" w:sz="4" w:space="0"/>
              <w:bottom w:val="single" w:color="000000" w:sz="4" w:space="0"/>
              <w:right w:val="single" w:color="000000" w:sz="4" w:space="0"/>
            </w:tcBorders>
          </w:tcPr>
          <w:p w14:paraId="34937F0A">
            <w:pPr>
              <w:pStyle w:val="190"/>
              <w:keepNext w:val="0"/>
              <w:keepLines w:val="0"/>
              <w:pageBreakBefore w:val="0"/>
              <w:kinsoku/>
              <w:wordWrap/>
              <w:overflowPunct/>
              <w:topLinePunct w:val="0"/>
              <w:bidi w:val="0"/>
              <w:spacing w:line="240" w:lineRule="auto"/>
              <w:ind w:firstLine="0" w:firstLineChars="0"/>
              <w:jc w:val="center"/>
              <w:textAlignment w:val="auto"/>
              <w:rPr>
                <w:rFonts w:ascii="Times New Roman" w:cs="Times New Roman" w:eastAsiaTheme="minorEastAsia"/>
                <w:color w:val="auto"/>
                <w:kern w:val="2"/>
                <w:sz w:val="21"/>
                <w:szCs w:val="21"/>
              </w:rPr>
            </w:pPr>
            <w:r>
              <w:rPr>
                <w:rFonts w:ascii="Times New Roman" w:cs="Times New Roman" w:eastAsiaTheme="minorEastAsia"/>
                <w:color w:val="auto"/>
                <w:kern w:val="2"/>
                <w:sz w:val="21"/>
                <w:szCs w:val="21"/>
              </w:rPr>
              <w:t>直接排放</w:t>
            </w:r>
          </w:p>
        </w:tc>
        <w:tc>
          <w:tcPr>
            <w:tcW w:w="2172" w:type="pct"/>
            <w:tcBorders>
              <w:top w:val="single" w:color="000000" w:sz="4" w:space="0"/>
              <w:left w:val="single" w:color="000000" w:sz="4" w:space="0"/>
              <w:bottom w:val="single" w:color="000000" w:sz="4" w:space="0"/>
              <w:right w:val="nil"/>
            </w:tcBorders>
          </w:tcPr>
          <w:p w14:paraId="58B00956">
            <w:pPr>
              <w:pStyle w:val="190"/>
              <w:keepNext w:val="0"/>
              <w:keepLines w:val="0"/>
              <w:pageBreakBefore w:val="0"/>
              <w:kinsoku/>
              <w:wordWrap/>
              <w:overflowPunct/>
              <w:topLinePunct w:val="0"/>
              <w:bidi w:val="0"/>
              <w:spacing w:line="240" w:lineRule="auto"/>
              <w:ind w:firstLine="0" w:firstLineChars="0"/>
              <w:jc w:val="center"/>
              <w:textAlignment w:val="auto"/>
              <w:rPr>
                <w:rFonts w:ascii="Times New Roman" w:cs="Times New Roman" w:eastAsiaTheme="minorEastAsia"/>
                <w:color w:val="auto"/>
                <w:kern w:val="2"/>
                <w:sz w:val="21"/>
                <w:szCs w:val="21"/>
              </w:rPr>
            </w:pPr>
            <w:r>
              <w:rPr>
                <w:rFonts w:ascii="Times New Roman" w:cs="Times New Roman" w:eastAsiaTheme="minorEastAsia"/>
                <w:i/>
                <w:iCs/>
                <w:color w:val="auto"/>
                <w:kern w:val="2"/>
                <w:sz w:val="21"/>
                <w:szCs w:val="21"/>
              </w:rPr>
              <w:t>Q</w:t>
            </w:r>
            <w:r>
              <w:rPr>
                <w:rFonts w:ascii="Times New Roman" w:cs="Times New Roman" w:eastAsiaTheme="minorEastAsia"/>
                <w:color w:val="auto"/>
                <w:kern w:val="2"/>
                <w:sz w:val="21"/>
                <w:szCs w:val="21"/>
              </w:rPr>
              <w:t>＜200且</w:t>
            </w:r>
            <w:r>
              <w:rPr>
                <w:rFonts w:ascii="Times New Roman" w:cs="Times New Roman" w:eastAsiaTheme="minorEastAsia"/>
                <w:i/>
                <w:iCs/>
                <w:color w:val="auto"/>
                <w:kern w:val="2"/>
                <w:sz w:val="21"/>
                <w:szCs w:val="21"/>
              </w:rPr>
              <w:t>W</w:t>
            </w:r>
            <w:r>
              <w:rPr>
                <w:rFonts w:ascii="Times New Roman" w:cs="Times New Roman" w:eastAsiaTheme="minorEastAsia"/>
                <w:color w:val="auto"/>
                <w:kern w:val="2"/>
                <w:sz w:val="21"/>
                <w:szCs w:val="21"/>
              </w:rPr>
              <w:t>＜6000</w:t>
            </w:r>
          </w:p>
        </w:tc>
      </w:tr>
      <w:tr w14:paraId="56A48DD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jc w:val="center"/>
        </w:trPr>
        <w:tc>
          <w:tcPr>
            <w:tcW w:w="657" w:type="pct"/>
            <w:tcBorders>
              <w:top w:val="single" w:color="000000" w:sz="4" w:space="0"/>
              <w:left w:val="nil"/>
              <w:bottom w:val="single" w:color="000000" w:sz="12" w:space="0"/>
              <w:right w:val="single" w:color="000000" w:sz="4" w:space="0"/>
            </w:tcBorders>
          </w:tcPr>
          <w:p w14:paraId="37EE0134">
            <w:pPr>
              <w:pStyle w:val="190"/>
              <w:keepNext w:val="0"/>
              <w:keepLines w:val="0"/>
              <w:pageBreakBefore w:val="0"/>
              <w:kinsoku/>
              <w:wordWrap/>
              <w:overflowPunct/>
              <w:topLinePunct w:val="0"/>
              <w:bidi w:val="0"/>
              <w:spacing w:line="240" w:lineRule="auto"/>
              <w:ind w:firstLine="0" w:firstLineChars="0"/>
              <w:jc w:val="center"/>
              <w:textAlignment w:val="auto"/>
              <w:rPr>
                <w:rFonts w:ascii="Times New Roman" w:cs="Times New Roman" w:eastAsiaTheme="minorEastAsia"/>
                <w:color w:val="auto"/>
                <w:kern w:val="2"/>
                <w:sz w:val="21"/>
                <w:szCs w:val="21"/>
              </w:rPr>
            </w:pPr>
            <w:r>
              <w:rPr>
                <w:rFonts w:ascii="Times New Roman" w:cs="Times New Roman" w:eastAsiaTheme="minorEastAsia"/>
                <w:color w:val="auto"/>
                <w:kern w:val="2"/>
                <w:sz w:val="21"/>
                <w:szCs w:val="21"/>
              </w:rPr>
              <w:t>三级B</w:t>
            </w:r>
          </w:p>
        </w:tc>
        <w:tc>
          <w:tcPr>
            <w:tcW w:w="2171" w:type="pct"/>
            <w:tcBorders>
              <w:top w:val="single" w:color="000000" w:sz="4" w:space="0"/>
              <w:left w:val="single" w:color="000000" w:sz="4" w:space="0"/>
              <w:bottom w:val="single" w:color="000000" w:sz="12" w:space="0"/>
              <w:right w:val="single" w:color="000000" w:sz="4" w:space="0"/>
            </w:tcBorders>
          </w:tcPr>
          <w:p w14:paraId="41FABAC0">
            <w:pPr>
              <w:pStyle w:val="190"/>
              <w:keepNext w:val="0"/>
              <w:keepLines w:val="0"/>
              <w:pageBreakBefore w:val="0"/>
              <w:kinsoku/>
              <w:wordWrap/>
              <w:overflowPunct/>
              <w:topLinePunct w:val="0"/>
              <w:bidi w:val="0"/>
              <w:spacing w:line="240" w:lineRule="auto"/>
              <w:ind w:firstLine="0" w:firstLineChars="0"/>
              <w:jc w:val="center"/>
              <w:textAlignment w:val="auto"/>
              <w:rPr>
                <w:rFonts w:ascii="Times New Roman" w:cs="Times New Roman" w:eastAsiaTheme="minorEastAsia"/>
                <w:color w:val="auto"/>
                <w:kern w:val="2"/>
                <w:sz w:val="21"/>
                <w:szCs w:val="21"/>
              </w:rPr>
            </w:pPr>
            <w:r>
              <w:rPr>
                <w:rFonts w:ascii="Times New Roman" w:cs="Times New Roman" w:eastAsiaTheme="minorEastAsia"/>
                <w:color w:val="auto"/>
                <w:kern w:val="2"/>
                <w:sz w:val="21"/>
                <w:szCs w:val="21"/>
              </w:rPr>
              <w:t>间接排放</w:t>
            </w:r>
          </w:p>
        </w:tc>
        <w:tc>
          <w:tcPr>
            <w:tcW w:w="2172" w:type="pct"/>
            <w:tcBorders>
              <w:top w:val="single" w:color="000000" w:sz="4" w:space="0"/>
              <w:left w:val="single" w:color="000000" w:sz="4" w:space="0"/>
              <w:bottom w:val="single" w:color="000000" w:sz="12" w:space="0"/>
              <w:right w:val="nil"/>
            </w:tcBorders>
          </w:tcPr>
          <w:p w14:paraId="4D437D3B">
            <w:pPr>
              <w:pStyle w:val="190"/>
              <w:keepNext w:val="0"/>
              <w:keepLines w:val="0"/>
              <w:pageBreakBefore w:val="0"/>
              <w:kinsoku/>
              <w:wordWrap/>
              <w:overflowPunct/>
              <w:topLinePunct w:val="0"/>
              <w:bidi w:val="0"/>
              <w:spacing w:line="240" w:lineRule="auto"/>
              <w:ind w:firstLine="0" w:firstLineChars="0"/>
              <w:jc w:val="center"/>
              <w:textAlignment w:val="auto"/>
              <w:rPr>
                <w:rFonts w:ascii="Times New Roman" w:cs="Times New Roman" w:eastAsiaTheme="minorEastAsia"/>
                <w:color w:val="auto"/>
                <w:kern w:val="2"/>
                <w:sz w:val="21"/>
                <w:szCs w:val="21"/>
              </w:rPr>
            </w:pPr>
            <w:r>
              <w:rPr>
                <w:rFonts w:ascii="Times New Roman" w:cs="Times New Roman" w:eastAsiaTheme="minorEastAsia"/>
                <w:color w:val="auto"/>
                <w:kern w:val="2"/>
                <w:sz w:val="21"/>
                <w:szCs w:val="21"/>
              </w:rPr>
              <w:t>—</w:t>
            </w:r>
          </w:p>
        </w:tc>
      </w:tr>
    </w:tbl>
    <w:p w14:paraId="04AB870B">
      <w:pPr>
        <w:ind w:firstLine="480" w:firstLineChars="200"/>
        <w:rPr>
          <w:color w:val="000000"/>
        </w:rPr>
      </w:pPr>
      <w:r>
        <w:rPr>
          <w:rFonts w:hint="eastAsia"/>
          <w:lang w:eastAsia="zh-CN"/>
        </w:rPr>
        <w:t>本项目生产工序中产生的生产废水经处理后达标回用，不外排。生活污水的排放依托厂区现有生活设施，生活污水排入化粪池定期清掏做农肥</w:t>
      </w:r>
      <w:r>
        <w:rPr>
          <w:color w:val="000000"/>
        </w:rPr>
        <w:t>，根据《环境影响评价技术导则 地表水环境》(HJ/T2.3-2018)中地表水环境影响评价分级原则，项目地表水环境影响评价工作等</w:t>
      </w:r>
      <w:r>
        <w:rPr>
          <w:rFonts w:ascii="Times New Roman" w:hAnsi="Times New Roman"/>
          <w:color w:val="000000"/>
        </w:rPr>
        <w:t>级为三级B。</w:t>
      </w:r>
    </w:p>
    <w:p w14:paraId="2AA90114">
      <w:pPr>
        <w:pStyle w:val="6"/>
        <w:rPr>
          <w:color w:val="auto"/>
        </w:rPr>
      </w:pPr>
      <w:r>
        <w:rPr>
          <w:color w:val="auto"/>
        </w:rPr>
        <w:t>2.6.1.3地下水环境影响评价工作等级</w:t>
      </w:r>
    </w:p>
    <w:p w14:paraId="78BD2EE8">
      <w:pPr>
        <w:ind w:firstLine="480" w:firstLineChars="200"/>
      </w:pPr>
      <w:r>
        <w:t>项目</w:t>
      </w:r>
      <w:r>
        <w:rPr>
          <w:rFonts w:hint="eastAsia"/>
          <w:lang w:eastAsia="zh-CN"/>
        </w:rPr>
        <w:t>位于辽宁（本溪湖）再生资源产业园区，</w:t>
      </w:r>
      <w:r>
        <w:rPr>
          <w:snapToGrid w:val="0"/>
          <w:color w:val="000000"/>
          <w:spacing w:val="0"/>
          <w:szCs w:val="24"/>
          <w:highlight w:val="none"/>
        </w:rPr>
        <w:t>本项目所在区域不属于集中式饮用水水源保护区及补给径流区，项目周围主要为园区工业企业，</w:t>
      </w:r>
      <w:r>
        <w:rPr>
          <w:rFonts w:hint="eastAsia"/>
          <w:snapToGrid w:val="0"/>
          <w:color w:val="000000"/>
          <w:spacing w:val="0"/>
          <w:szCs w:val="24"/>
          <w:highlight w:val="none"/>
          <w:lang w:eastAsia="zh-CN"/>
        </w:rPr>
        <w:t>敏感目标生活用水均为市政管网供水，</w:t>
      </w:r>
      <w:r>
        <w:rPr>
          <w:snapToGrid w:val="0"/>
          <w:color w:val="000000"/>
          <w:spacing w:val="0"/>
          <w:szCs w:val="24"/>
          <w:highlight w:val="none"/>
        </w:rPr>
        <w:t>不属于分散式饮用水水源地，本项目为地下水环境不敏感区</w:t>
      </w:r>
      <w:r>
        <w:t>，按照《环境影响评价技术导则地下水环境》（HJ610-2016）要求，工业废水集中处理项目地下水环境评价为</w:t>
      </w:r>
      <w:r>
        <w:rPr>
          <w:rFonts w:hint="eastAsia" w:ascii="仿宋" w:hAnsi="仿宋" w:eastAsia="仿宋" w:cs="仿宋"/>
        </w:rPr>
        <w:t>Ⅲ</w:t>
      </w:r>
      <w:r>
        <w:t>类，确定地下水评价等级为</w:t>
      </w:r>
      <w:r>
        <w:rPr>
          <w:rFonts w:hint="eastAsia"/>
          <w:lang w:eastAsia="zh-CN"/>
        </w:rPr>
        <w:t>三</w:t>
      </w:r>
      <w:r>
        <w:t>级。</w:t>
      </w:r>
    </w:p>
    <w:p w14:paraId="64BBF3B8">
      <w:pPr>
        <w:pStyle w:val="6"/>
        <w:rPr>
          <w:color w:val="auto"/>
        </w:rPr>
      </w:pPr>
      <w:r>
        <w:rPr>
          <w:color w:val="auto"/>
        </w:rPr>
        <w:t>2.6.1.4声环境影响评价工作等级</w:t>
      </w:r>
    </w:p>
    <w:p w14:paraId="75B924AE">
      <w:pPr>
        <w:ind w:firstLine="480" w:firstLineChars="200"/>
      </w:pPr>
      <w:r>
        <w:fldChar w:fldCharType="begin"/>
      </w:r>
      <w:r>
        <w:instrText xml:space="preserve"> = 1 \* GB3 </w:instrText>
      </w:r>
      <w:r>
        <w:fldChar w:fldCharType="separate"/>
      </w:r>
      <w:r>
        <w:rPr>
          <w:rFonts w:hint="eastAsia" w:ascii="宋体" w:hAnsi="宋体" w:cs="宋体"/>
        </w:rPr>
        <w:t>①</w:t>
      </w:r>
      <w:r>
        <w:fldChar w:fldCharType="end"/>
      </w:r>
      <w:r>
        <w:t>所在功能区：本项目所在区域声环境功能属《声环境质量标准》（GB3096-2008）规定的</w:t>
      </w:r>
      <w:r>
        <w:rPr>
          <w:rFonts w:hint="eastAsia"/>
          <w:lang w:val="en-US" w:eastAsia="zh-CN"/>
        </w:rPr>
        <w:t>2</w:t>
      </w:r>
      <w:r>
        <w:t>类区；</w:t>
      </w:r>
    </w:p>
    <w:p w14:paraId="1306D608">
      <w:pPr>
        <w:ind w:firstLine="480" w:firstLineChars="200"/>
      </w:pPr>
      <w:r>
        <w:fldChar w:fldCharType="begin"/>
      </w:r>
      <w:r>
        <w:instrText xml:space="preserve"> = 2 \* GB3 </w:instrText>
      </w:r>
      <w:r>
        <w:fldChar w:fldCharType="separate"/>
      </w:r>
      <w:r>
        <w:rPr>
          <w:rFonts w:hint="eastAsia" w:ascii="宋体" w:hAnsi="宋体" w:cs="宋体"/>
        </w:rPr>
        <w:t>②</w:t>
      </w:r>
      <w:r>
        <w:fldChar w:fldCharType="end"/>
      </w:r>
      <w:r>
        <w:t>噪声级增加量：本项目建成后敏感点噪声增加值低于3dB（A）；</w:t>
      </w:r>
    </w:p>
    <w:p w14:paraId="795268B1">
      <w:pPr>
        <w:ind w:firstLine="480" w:firstLineChars="200"/>
      </w:pPr>
      <w:r>
        <w:fldChar w:fldCharType="begin"/>
      </w:r>
      <w:r>
        <w:instrText xml:space="preserve"> = 3 \* GB3 </w:instrText>
      </w:r>
      <w:r>
        <w:fldChar w:fldCharType="separate"/>
      </w:r>
      <w:r>
        <w:rPr>
          <w:rFonts w:hint="eastAsia" w:ascii="宋体" w:hAnsi="宋体" w:cs="宋体"/>
        </w:rPr>
        <w:t>③</w:t>
      </w:r>
      <w:r>
        <w:fldChar w:fldCharType="end"/>
      </w:r>
      <w:r>
        <w:t>受影响人口数量变化：本项目建成后受影响人口数量变化不大。</w:t>
      </w:r>
    </w:p>
    <w:p w14:paraId="34D13427">
      <w:pPr>
        <w:ind w:firstLine="480" w:firstLineChars="200"/>
      </w:pPr>
      <w:r>
        <w:t>根据以上分析和《环境影响评价技术导则－声环境》(HJ2.4-2009)声环境影响评价工作级别的划分规定，确定本项目声环境影响评价等级为</w:t>
      </w:r>
      <w:r>
        <w:rPr>
          <w:rFonts w:hint="eastAsia"/>
          <w:lang w:eastAsia="zh-CN"/>
        </w:rPr>
        <w:t>二</w:t>
      </w:r>
      <w:r>
        <w:t>级。</w:t>
      </w:r>
    </w:p>
    <w:p w14:paraId="620433D6">
      <w:pPr>
        <w:pStyle w:val="6"/>
        <w:rPr>
          <w:color w:val="auto"/>
        </w:rPr>
      </w:pPr>
      <w:r>
        <w:rPr>
          <w:color w:val="auto"/>
        </w:rPr>
        <w:t>2.6.1.5风险评价工作等级</w:t>
      </w:r>
    </w:p>
    <w:p w14:paraId="03DA4117">
      <w:pPr>
        <w:bidi w:val="0"/>
        <w:rPr>
          <w:rFonts w:hint="eastAsia"/>
          <w:lang w:eastAsia="zh-CN"/>
        </w:rPr>
      </w:pPr>
      <w:r>
        <w:rPr>
          <w:rFonts w:hint="eastAsia"/>
          <w:lang w:eastAsia="zh-CN"/>
        </w:rPr>
        <w:t>本项目生产过程中涉及的环境风险物质主要为甲基磺酸，该物质毒性如下表所示。</w:t>
      </w:r>
    </w:p>
    <w:p w14:paraId="6316B3AF">
      <w:pPr>
        <w:spacing w:line="440" w:lineRule="atLeast"/>
        <w:ind w:firstLine="103" w:firstLineChars="49"/>
        <w:jc w:val="center"/>
        <w:rPr>
          <w:b/>
          <w:sz w:val="21"/>
          <w:szCs w:val="21"/>
        </w:rPr>
      </w:pPr>
    </w:p>
    <w:p w14:paraId="6C1CC850">
      <w:pPr>
        <w:spacing w:line="440" w:lineRule="atLeast"/>
        <w:ind w:firstLine="103" w:firstLineChars="49"/>
        <w:jc w:val="center"/>
        <w:rPr>
          <w:rFonts w:hint="eastAsia" w:eastAsia="宋体"/>
          <w:b/>
          <w:sz w:val="21"/>
          <w:szCs w:val="21"/>
          <w:lang w:eastAsia="zh-CN"/>
        </w:rPr>
      </w:pPr>
      <w:r>
        <w:rPr>
          <w:b/>
          <w:sz w:val="21"/>
          <w:szCs w:val="21"/>
        </w:rPr>
        <w:t>表</w:t>
      </w:r>
      <w:r>
        <w:rPr>
          <w:rFonts w:hint="eastAsia"/>
          <w:b/>
          <w:sz w:val="21"/>
          <w:szCs w:val="21"/>
          <w:lang w:val="en-US" w:eastAsia="zh-CN"/>
        </w:rPr>
        <w:t>2-19</w:t>
      </w:r>
      <w:r>
        <w:rPr>
          <w:rFonts w:hint="eastAsia"/>
          <w:b/>
          <w:sz w:val="21"/>
          <w:szCs w:val="21"/>
          <w:lang w:eastAsia="zh-CN"/>
        </w:rPr>
        <w:t>环境风险物质毒性表</w:t>
      </w:r>
    </w:p>
    <w:tbl>
      <w:tblPr>
        <w:tblStyle w:val="52"/>
        <w:tblW w:w="4997"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681"/>
        <w:gridCol w:w="1727"/>
        <w:gridCol w:w="1192"/>
        <w:gridCol w:w="1266"/>
        <w:gridCol w:w="1192"/>
        <w:gridCol w:w="1266"/>
        <w:gridCol w:w="1193"/>
      </w:tblGrid>
      <w:tr w14:paraId="49A3E30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13" w:hRule="atLeast"/>
          <w:tblHeader/>
          <w:jc w:val="center"/>
        </w:trPr>
        <w:tc>
          <w:tcPr>
            <w:tcW w:w="412" w:type="pct"/>
            <w:tcBorders>
              <w:tl2br w:val="nil"/>
              <w:tr2bl w:val="nil"/>
            </w:tcBorders>
            <w:noWrap w:val="0"/>
            <w:vAlign w:val="center"/>
          </w:tcPr>
          <w:p w14:paraId="793A11E3">
            <w:pPr>
              <w:pStyle w:val="22"/>
              <w:keepNext w:val="0"/>
              <w:keepLines w:val="0"/>
              <w:pageBreakBefore w:val="0"/>
              <w:widowControl w:val="0"/>
              <w:kinsoku/>
              <w:wordWrap/>
              <w:overflowPunct/>
              <w:topLinePunct w:val="0"/>
              <w:bidi w:val="0"/>
              <w:adjustRightInd/>
              <w:snapToGrid/>
              <w:spacing w:after="0"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序号</w:t>
            </w:r>
          </w:p>
        </w:tc>
        <w:tc>
          <w:tcPr>
            <w:tcW w:w="1026" w:type="pct"/>
            <w:tcBorders>
              <w:tl2br w:val="nil"/>
              <w:tr2bl w:val="nil"/>
            </w:tcBorders>
            <w:noWrap w:val="0"/>
            <w:vAlign w:val="center"/>
          </w:tcPr>
          <w:p w14:paraId="5458A69E">
            <w:pPr>
              <w:pStyle w:val="22"/>
              <w:keepNext w:val="0"/>
              <w:keepLines w:val="0"/>
              <w:pageBreakBefore w:val="0"/>
              <w:widowControl w:val="0"/>
              <w:kinsoku/>
              <w:wordWrap/>
              <w:overflowPunct/>
              <w:topLinePunct w:val="0"/>
              <w:bidi w:val="0"/>
              <w:adjustRightInd/>
              <w:snapToGrid/>
              <w:spacing w:after="0"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物质名称</w:t>
            </w:r>
          </w:p>
        </w:tc>
        <w:tc>
          <w:tcPr>
            <w:tcW w:w="712" w:type="pct"/>
            <w:tcBorders>
              <w:tl2br w:val="nil"/>
              <w:tr2bl w:val="nil"/>
            </w:tcBorders>
            <w:noWrap w:val="0"/>
            <w:vAlign w:val="center"/>
          </w:tcPr>
          <w:p w14:paraId="0AE2B9E9">
            <w:pPr>
              <w:pStyle w:val="22"/>
              <w:keepNext w:val="0"/>
              <w:keepLines w:val="0"/>
              <w:pageBreakBefore w:val="0"/>
              <w:widowControl w:val="0"/>
              <w:kinsoku/>
              <w:wordWrap/>
              <w:overflowPunct/>
              <w:topLinePunct w:val="0"/>
              <w:bidi w:val="0"/>
              <w:adjustRightInd/>
              <w:snapToGrid/>
              <w:spacing w:after="0"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kern w:val="0"/>
                <w:sz w:val="21"/>
                <w:szCs w:val="21"/>
                <w:lang w:val="en-US" w:eastAsia="zh-CN"/>
              </w:rPr>
              <w:t>LD50</w:t>
            </w:r>
            <w:r>
              <w:rPr>
                <w:rFonts w:hint="eastAsia" w:ascii="宋体" w:hAnsi="宋体" w:eastAsia="宋体" w:cs="宋体"/>
                <w:sz w:val="21"/>
                <w:szCs w:val="21"/>
                <w:lang w:val="en-US" w:eastAsia="zh-CN"/>
              </w:rPr>
              <w:t>mg/kg</w:t>
            </w:r>
          </w:p>
        </w:tc>
        <w:tc>
          <w:tcPr>
            <w:tcW w:w="712" w:type="pct"/>
            <w:tcBorders>
              <w:tl2br w:val="nil"/>
              <w:tr2bl w:val="nil"/>
            </w:tcBorders>
            <w:noWrap w:val="0"/>
            <w:vAlign w:val="center"/>
          </w:tcPr>
          <w:p w14:paraId="329B30DA">
            <w:pPr>
              <w:pStyle w:val="22"/>
              <w:keepNext w:val="0"/>
              <w:keepLines w:val="0"/>
              <w:pageBreakBefore w:val="0"/>
              <w:widowControl w:val="0"/>
              <w:kinsoku/>
              <w:wordWrap/>
              <w:overflowPunct/>
              <w:topLinePunct w:val="0"/>
              <w:bidi w:val="0"/>
              <w:adjustRightInd/>
              <w:snapToGrid/>
              <w:spacing w:after="0" w:line="240" w:lineRule="auto"/>
              <w:ind w:firstLine="0" w:firstLineChars="0"/>
              <w:jc w:val="center"/>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对应</w:t>
            </w:r>
            <w:r>
              <w:rPr>
                <w:rFonts w:hint="eastAsia" w:ascii="宋体" w:hAnsi="宋体" w:eastAsia="宋体" w:cs="宋体"/>
                <w:sz w:val="21"/>
                <w:szCs w:val="21"/>
                <w:lang w:val="en-US" w:eastAsia="zh-CN"/>
              </w:rPr>
              <w:t>GB30000.18类别</w:t>
            </w:r>
          </w:p>
        </w:tc>
        <w:tc>
          <w:tcPr>
            <w:tcW w:w="712" w:type="pct"/>
            <w:tcBorders>
              <w:tl2br w:val="nil"/>
              <w:tr2bl w:val="nil"/>
            </w:tcBorders>
            <w:noWrap w:val="0"/>
            <w:vAlign w:val="center"/>
          </w:tcPr>
          <w:p w14:paraId="3A7A817A">
            <w:pPr>
              <w:pStyle w:val="22"/>
              <w:keepNext w:val="0"/>
              <w:keepLines w:val="0"/>
              <w:pageBreakBefore w:val="0"/>
              <w:widowControl w:val="0"/>
              <w:kinsoku/>
              <w:wordWrap/>
              <w:overflowPunct/>
              <w:topLinePunct w:val="0"/>
              <w:bidi w:val="0"/>
              <w:adjustRightInd/>
              <w:snapToGrid/>
              <w:spacing w:after="0"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LC50mg/L</w:t>
            </w:r>
          </w:p>
        </w:tc>
        <w:tc>
          <w:tcPr>
            <w:tcW w:w="712" w:type="pct"/>
            <w:tcBorders>
              <w:tl2br w:val="nil"/>
              <w:tr2bl w:val="nil"/>
            </w:tcBorders>
            <w:noWrap w:val="0"/>
            <w:vAlign w:val="center"/>
          </w:tcPr>
          <w:p w14:paraId="7E4A6E25">
            <w:pPr>
              <w:pStyle w:val="22"/>
              <w:keepNext w:val="0"/>
              <w:keepLines w:val="0"/>
              <w:pageBreakBefore w:val="0"/>
              <w:widowControl w:val="0"/>
              <w:kinsoku/>
              <w:wordWrap/>
              <w:overflowPunct/>
              <w:topLinePunct w:val="0"/>
              <w:bidi w:val="0"/>
              <w:adjustRightInd/>
              <w:snapToGrid/>
              <w:spacing w:after="0" w:line="240" w:lineRule="auto"/>
              <w:ind w:firstLine="0" w:firstLineChars="0"/>
              <w:jc w:val="center"/>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对应</w:t>
            </w:r>
            <w:r>
              <w:rPr>
                <w:rFonts w:hint="eastAsia" w:ascii="宋体" w:hAnsi="宋体" w:eastAsia="宋体" w:cs="宋体"/>
                <w:sz w:val="21"/>
                <w:szCs w:val="21"/>
                <w:lang w:val="en-US" w:eastAsia="zh-CN"/>
              </w:rPr>
              <w:t>GB30000.28类别</w:t>
            </w:r>
          </w:p>
        </w:tc>
        <w:tc>
          <w:tcPr>
            <w:tcW w:w="712" w:type="pct"/>
            <w:tcBorders>
              <w:tl2br w:val="nil"/>
              <w:tr2bl w:val="nil"/>
            </w:tcBorders>
            <w:noWrap w:val="0"/>
            <w:vAlign w:val="center"/>
          </w:tcPr>
          <w:p w14:paraId="1B49A116">
            <w:pPr>
              <w:pStyle w:val="22"/>
              <w:keepNext w:val="0"/>
              <w:keepLines w:val="0"/>
              <w:pageBreakBefore w:val="0"/>
              <w:widowControl w:val="0"/>
              <w:kinsoku/>
              <w:wordWrap/>
              <w:overflowPunct/>
              <w:topLinePunct w:val="0"/>
              <w:bidi w:val="0"/>
              <w:adjustRightInd/>
              <w:snapToGrid/>
              <w:spacing w:after="0" w:line="240" w:lineRule="auto"/>
              <w:ind w:firstLine="0" w:firstLineChars="0"/>
              <w:jc w:val="center"/>
              <w:textAlignment w:val="auto"/>
              <w:rPr>
                <w:rFonts w:hint="eastAsia" w:ascii="宋体" w:hAnsi="宋体" w:eastAsia="宋体" w:cs="宋体"/>
                <w:sz w:val="21"/>
                <w:szCs w:val="21"/>
                <w:highlight w:val="none"/>
                <w:lang w:val="en-US"/>
              </w:rPr>
            </w:pPr>
            <w:r>
              <w:rPr>
                <w:rFonts w:hint="eastAsia" w:ascii="宋体" w:hAnsi="宋体" w:eastAsia="宋体" w:cs="宋体"/>
                <w:sz w:val="21"/>
                <w:szCs w:val="21"/>
                <w:highlight w:val="none"/>
                <w:lang w:eastAsia="zh-CN"/>
              </w:rPr>
              <w:t>日常最大贮存量</w:t>
            </w:r>
            <w:r>
              <w:rPr>
                <w:rFonts w:hint="eastAsia" w:ascii="宋体" w:hAnsi="宋体" w:eastAsia="宋体" w:cs="宋体"/>
                <w:sz w:val="21"/>
                <w:szCs w:val="21"/>
                <w:highlight w:val="none"/>
                <w:lang w:val="en-US" w:eastAsia="zh-CN"/>
              </w:rPr>
              <w:t>t</w:t>
            </w:r>
          </w:p>
        </w:tc>
      </w:tr>
      <w:tr w14:paraId="12C2751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12" w:type="pct"/>
            <w:tcBorders>
              <w:tl2br w:val="nil"/>
              <w:tr2bl w:val="nil"/>
            </w:tcBorders>
            <w:noWrap w:val="0"/>
            <w:vAlign w:val="center"/>
          </w:tcPr>
          <w:p w14:paraId="40219B7D">
            <w:pPr>
              <w:pStyle w:val="22"/>
              <w:keepNext w:val="0"/>
              <w:keepLines w:val="0"/>
              <w:pageBreakBefore w:val="0"/>
              <w:widowControl w:val="0"/>
              <w:kinsoku/>
              <w:wordWrap/>
              <w:overflowPunct/>
              <w:topLinePunct w:val="0"/>
              <w:bidi w:val="0"/>
              <w:adjustRightInd/>
              <w:snapToGrid/>
              <w:spacing w:after="0"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1</w:t>
            </w:r>
          </w:p>
        </w:tc>
        <w:tc>
          <w:tcPr>
            <w:tcW w:w="1026" w:type="pct"/>
            <w:tcBorders>
              <w:tl2br w:val="nil"/>
              <w:tr2bl w:val="nil"/>
            </w:tcBorders>
            <w:noWrap w:val="0"/>
            <w:vAlign w:val="center"/>
          </w:tcPr>
          <w:p w14:paraId="510398D2">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eastAsia" w:ascii="宋体" w:hAnsi="宋体" w:eastAsia="宋体" w:cs="宋体"/>
                <w:kern w:val="0"/>
                <w:sz w:val="21"/>
                <w:szCs w:val="21"/>
                <w:lang w:eastAsia="zh-CN"/>
              </w:rPr>
            </w:pPr>
            <w:r>
              <w:rPr>
                <w:rFonts w:hint="eastAsia" w:ascii="宋体" w:hAnsi="宋体" w:cs="宋体"/>
                <w:kern w:val="0"/>
                <w:sz w:val="21"/>
                <w:szCs w:val="21"/>
                <w:lang w:eastAsia="zh-CN"/>
              </w:rPr>
              <w:t>甲基磺酸</w:t>
            </w:r>
          </w:p>
        </w:tc>
        <w:tc>
          <w:tcPr>
            <w:tcW w:w="712" w:type="pct"/>
            <w:tcBorders>
              <w:tl2br w:val="nil"/>
              <w:tr2bl w:val="nil"/>
            </w:tcBorders>
            <w:noWrap w:val="0"/>
            <w:vAlign w:val="center"/>
          </w:tcPr>
          <w:p w14:paraId="6AC05413">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宋体" w:hAnsi="宋体" w:eastAsia="宋体" w:cs="宋体"/>
                <w:kern w:val="0"/>
                <w:sz w:val="21"/>
                <w:szCs w:val="21"/>
                <w:lang w:val="en-US" w:eastAsia="zh-CN"/>
              </w:rPr>
            </w:pPr>
            <w:r>
              <w:rPr>
                <w:rFonts w:hint="eastAsia" w:ascii="宋体" w:hAnsi="宋体" w:cs="宋体"/>
                <w:kern w:val="0"/>
                <w:sz w:val="21"/>
                <w:szCs w:val="21"/>
                <w:lang w:val="en-US" w:eastAsia="zh-CN"/>
              </w:rPr>
              <w:t>200</w:t>
            </w:r>
          </w:p>
        </w:tc>
        <w:tc>
          <w:tcPr>
            <w:tcW w:w="712" w:type="pct"/>
            <w:tcBorders>
              <w:tl2br w:val="nil"/>
              <w:tr2bl w:val="nil"/>
            </w:tcBorders>
            <w:noWrap w:val="0"/>
            <w:vAlign w:val="center"/>
          </w:tcPr>
          <w:p w14:paraId="53FC34F8">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宋体" w:hAnsi="宋体" w:eastAsia="宋体" w:cs="宋体"/>
                <w:kern w:val="0"/>
                <w:sz w:val="21"/>
                <w:szCs w:val="21"/>
                <w:lang w:val="en-US" w:eastAsia="zh-CN"/>
              </w:rPr>
            </w:pPr>
            <w:r>
              <w:rPr>
                <w:rFonts w:hint="eastAsia" w:ascii="宋体" w:hAnsi="宋体" w:cs="宋体"/>
                <w:kern w:val="0"/>
                <w:sz w:val="21"/>
                <w:szCs w:val="21"/>
                <w:lang w:eastAsia="zh-CN"/>
              </w:rPr>
              <w:t>类别</w:t>
            </w:r>
            <w:r>
              <w:rPr>
                <w:rFonts w:hint="eastAsia" w:ascii="宋体" w:hAnsi="宋体" w:cs="宋体"/>
                <w:kern w:val="0"/>
                <w:sz w:val="21"/>
                <w:szCs w:val="21"/>
                <w:lang w:val="en-US" w:eastAsia="zh-CN"/>
              </w:rPr>
              <w:t>3</w:t>
            </w:r>
          </w:p>
        </w:tc>
        <w:tc>
          <w:tcPr>
            <w:tcW w:w="712" w:type="pct"/>
            <w:tcBorders>
              <w:tl2br w:val="nil"/>
              <w:tr2bl w:val="nil"/>
            </w:tcBorders>
            <w:noWrap w:val="0"/>
            <w:vAlign w:val="center"/>
          </w:tcPr>
          <w:p w14:paraId="46D144F3">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宋体" w:hAnsi="宋体" w:eastAsia="宋体" w:cs="宋体"/>
                <w:sz w:val="21"/>
                <w:szCs w:val="21"/>
                <w:lang w:val="en-US" w:eastAsia="zh-CN"/>
              </w:rPr>
            </w:pPr>
            <w:r>
              <w:rPr>
                <w:rFonts w:hint="eastAsia" w:ascii="宋体" w:hAnsi="宋体" w:cs="宋体"/>
                <w:sz w:val="21"/>
                <w:szCs w:val="21"/>
                <w:lang w:val="en-US" w:eastAsia="zh-CN"/>
              </w:rPr>
              <w:t>300</w:t>
            </w:r>
          </w:p>
        </w:tc>
        <w:tc>
          <w:tcPr>
            <w:tcW w:w="712" w:type="pct"/>
            <w:tcBorders>
              <w:tl2br w:val="nil"/>
              <w:tr2bl w:val="nil"/>
            </w:tcBorders>
            <w:noWrap w:val="0"/>
            <w:vAlign w:val="center"/>
          </w:tcPr>
          <w:p w14:paraId="2F056A13">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w:t>
            </w:r>
          </w:p>
        </w:tc>
        <w:tc>
          <w:tcPr>
            <w:tcW w:w="712" w:type="pct"/>
            <w:tcBorders>
              <w:tl2br w:val="nil"/>
              <w:tr2bl w:val="nil"/>
            </w:tcBorders>
            <w:noWrap w:val="0"/>
            <w:vAlign w:val="center"/>
          </w:tcPr>
          <w:p w14:paraId="7EE63371">
            <w:pPr>
              <w:keepNext w:val="0"/>
              <w:keepLines w:val="0"/>
              <w:pageBreakBefore w:val="0"/>
              <w:kinsoku/>
              <w:wordWrap/>
              <w:overflowPunct/>
              <w:topLinePunct w:val="0"/>
              <w:bidi w:val="0"/>
              <w:adjustRightInd/>
              <w:snapToGrid/>
              <w:spacing w:line="240" w:lineRule="auto"/>
              <w:ind w:firstLine="0" w:firstLineChars="0"/>
              <w:jc w:val="center"/>
              <w:textAlignment w:val="auto"/>
              <w:rPr>
                <w:rFonts w:hint="default" w:ascii="宋体" w:hAnsi="宋体" w:eastAsia="宋体" w:cs="宋体"/>
                <w:kern w:val="0"/>
                <w:sz w:val="21"/>
                <w:szCs w:val="21"/>
                <w:highlight w:val="none"/>
                <w:lang w:val="en-US" w:eastAsia="zh-CN"/>
              </w:rPr>
            </w:pPr>
            <w:r>
              <w:rPr>
                <w:rFonts w:hint="eastAsia" w:ascii="宋体" w:hAnsi="宋体" w:cs="宋体"/>
                <w:sz w:val="21"/>
                <w:szCs w:val="21"/>
                <w:highlight w:val="none"/>
                <w:lang w:val="en-US" w:eastAsia="zh-CN"/>
              </w:rPr>
              <w:t>0.2</w:t>
            </w:r>
          </w:p>
        </w:tc>
      </w:tr>
    </w:tbl>
    <w:p w14:paraId="108C46EA">
      <w:pPr>
        <w:pStyle w:val="72"/>
        <w:rPr>
          <w:rFonts w:hint="eastAsia"/>
          <w:lang w:eastAsia="zh-CN"/>
        </w:rPr>
      </w:pPr>
    </w:p>
    <w:p w14:paraId="168FCB9C">
      <w:pPr>
        <w:bidi w:val="0"/>
        <w:rPr>
          <w:rFonts w:hint="eastAsia"/>
          <w:lang w:val="en-US" w:eastAsia="zh-CN"/>
        </w:rPr>
      </w:pPr>
      <w:r>
        <w:rPr>
          <w:rFonts w:hint="eastAsia"/>
          <w:lang w:eastAsia="zh-CN"/>
        </w:rPr>
        <w:t>根据《建设项目环境风险评价导则》（</w:t>
      </w:r>
      <w:r>
        <w:rPr>
          <w:rFonts w:hint="eastAsia"/>
          <w:lang w:val="en-US" w:eastAsia="zh-CN"/>
        </w:rPr>
        <w:t>HJ169-2018</w:t>
      </w:r>
      <w:r>
        <w:rPr>
          <w:rFonts w:hint="eastAsia"/>
          <w:lang w:eastAsia="zh-CN"/>
        </w:rPr>
        <w:t>），本项目生产过程中使用的甲基磺酸不属于导则附录</w:t>
      </w:r>
      <w:r>
        <w:rPr>
          <w:rFonts w:hint="eastAsia"/>
          <w:lang w:val="en-US" w:eastAsia="zh-CN"/>
        </w:rPr>
        <w:t>B中环境风险物质，甲基磺酸属于《</w:t>
      </w:r>
      <w:r>
        <w:rPr>
          <w:lang w:val="en-US" w:eastAsia="zh-CN"/>
        </w:rPr>
        <w:t>化</w:t>
      </w:r>
      <w:r>
        <w:rPr>
          <w:rFonts w:hint="default"/>
          <w:lang w:val="en-US" w:eastAsia="zh-CN"/>
        </w:rPr>
        <w:t>学品类和标签规范第</w:t>
      </w:r>
      <w:r>
        <w:rPr>
          <w:lang w:val="en-US" w:eastAsia="zh-CN"/>
        </w:rPr>
        <w:t>1</w:t>
      </w:r>
      <w:r>
        <w:rPr>
          <w:rFonts w:hint="default"/>
          <w:lang w:val="en-US" w:eastAsia="zh-CN"/>
        </w:rPr>
        <w:t>8部分</w:t>
      </w:r>
      <w:r>
        <w:rPr>
          <w:lang w:val="en-US" w:eastAsia="zh-CN"/>
        </w:rPr>
        <w:t>:</w:t>
      </w:r>
      <w:r>
        <w:rPr>
          <w:rFonts w:hint="default"/>
          <w:lang w:val="en-US" w:eastAsia="zh-CN"/>
        </w:rPr>
        <w:t>急性毒性</w:t>
      </w:r>
      <w:r>
        <w:rPr>
          <w:rFonts w:hint="eastAsia"/>
          <w:lang w:val="en-US" w:eastAsia="zh-CN"/>
        </w:rPr>
        <w:t>》中类别3物质，根据附录B.2属于健康危险急性毒性物质，其临界量及最大贮存量如下表所示。</w:t>
      </w:r>
    </w:p>
    <w:p w14:paraId="370084A8">
      <w:pPr>
        <w:pStyle w:val="73"/>
        <w:spacing w:line="240" w:lineRule="auto"/>
        <w:ind w:left="0" w:leftChars="0" w:firstLine="0" w:firstLineChars="0"/>
        <w:jc w:val="center"/>
        <w:rPr>
          <w:rFonts w:hint="default"/>
          <w:lang w:val="en-US" w:eastAsia="zh-CN"/>
        </w:rPr>
      </w:pPr>
      <w:r>
        <w:rPr>
          <w:rFonts w:hint="eastAsia" w:ascii="黑体" w:hAnsi="黑体" w:eastAsia="黑体" w:cs="黑体"/>
          <w:sz w:val="21"/>
          <w:szCs w:val="21"/>
          <w:lang w:val="en-US" w:eastAsia="zh-CN"/>
        </w:rPr>
        <w:t>表2-20环境风险物质临界量及最大贮存量表</w:t>
      </w:r>
    </w:p>
    <w:tbl>
      <w:tblPr>
        <w:tblStyle w:val="52"/>
        <w:tblW w:w="4999"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701"/>
        <w:gridCol w:w="1705"/>
        <w:gridCol w:w="1705"/>
        <w:gridCol w:w="1705"/>
        <w:gridCol w:w="1705"/>
      </w:tblGrid>
      <w:tr w14:paraId="07B1878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98" w:type="pct"/>
            <w:tcBorders>
              <w:tl2br w:val="nil"/>
              <w:tr2bl w:val="nil"/>
            </w:tcBorders>
            <w:noWrap w:val="0"/>
            <w:vAlign w:val="center"/>
          </w:tcPr>
          <w:p w14:paraId="70A5D82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lang w:eastAsia="zh-CN"/>
              </w:rPr>
            </w:pPr>
            <w:r>
              <w:rPr>
                <w:rFonts w:hint="eastAsia" w:ascii="宋体" w:hAnsi="宋体" w:cs="宋体"/>
                <w:sz w:val="21"/>
                <w:szCs w:val="21"/>
                <w:lang w:eastAsia="zh-CN"/>
              </w:rPr>
              <w:t>风险物质名称</w:t>
            </w:r>
          </w:p>
        </w:tc>
        <w:tc>
          <w:tcPr>
            <w:tcW w:w="1000" w:type="pct"/>
            <w:tcBorders>
              <w:tl2br w:val="nil"/>
              <w:tr2bl w:val="nil"/>
            </w:tcBorders>
            <w:noWrap w:val="0"/>
            <w:vAlign w:val="center"/>
          </w:tcPr>
          <w:p w14:paraId="7270DD8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cs="宋体"/>
                <w:sz w:val="21"/>
                <w:szCs w:val="21"/>
                <w:lang w:val="en-US" w:eastAsia="zh-CN"/>
              </w:rPr>
            </w:pPr>
            <w:r>
              <w:rPr>
                <w:rFonts w:hint="eastAsia" w:ascii="宋体" w:hAnsi="宋体" w:cs="宋体"/>
                <w:sz w:val="21"/>
                <w:szCs w:val="21"/>
                <w:lang w:val="en-US" w:eastAsia="zh-CN"/>
              </w:rPr>
              <w:t>CAS号</w:t>
            </w:r>
          </w:p>
        </w:tc>
        <w:tc>
          <w:tcPr>
            <w:tcW w:w="1000" w:type="pct"/>
            <w:tcBorders>
              <w:tl2br w:val="nil"/>
              <w:tr2bl w:val="nil"/>
            </w:tcBorders>
            <w:noWrap w:val="0"/>
            <w:vAlign w:val="center"/>
          </w:tcPr>
          <w:p w14:paraId="5AD9853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lang w:eastAsia="zh-CN"/>
              </w:rPr>
            </w:pPr>
            <w:r>
              <w:rPr>
                <w:rFonts w:hint="eastAsia" w:ascii="宋体" w:hAnsi="宋体" w:cs="宋体"/>
                <w:sz w:val="21"/>
                <w:szCs w:val="21"/>
                <w:lang w:eastAsia="zh-CN"/>
              </w:rPr>
              <w:t>厂区最大贮存量</w:t>
            </w:r>
          </w:p>
        </w:tc>
        <w:tc>
          <w:tcPr>
            <w:tcW w:w="1000" w:type="pct"/>
            <w:tcBorders>
              <w:tl2br w:val="nil"/>
              <w:tr2bl w:val="nil"/>
            </w:tcBorders>
            <w:noWrap w:val="0"/>
            <w:vAlign w:val="center"/>
          </w:tcPr>
          <w:p w14:paraId="57F5016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sz w:val="21"/>
                <w:szCs w:val="21"/>
                <w:lang w:val="en-US" w:eastAsia="zh-CN"/>
              </w:rPr>
            </w:pPr>
            <w:r>
              <w:rPr>
                <w:rFonts w:hint="eastAsia" w:ascii="宋体" w:hAnsi="宋体" w:cs="宋体"/>
                <w:sz w:val="21"/>
                <w:szCs w:val="21"/>
                <w:lang w:eastAsia="zh-CN"/>
              </w:rPr>
              <w:t>附录</w:t>
            </w:r>
            <w:r>
              <w:rPr>
                <w:rFonts w:hint="eastAsia" w:ascii="宋体" w:hAnsi="宋体" w:cs="宋体"/>
                <w:sz w:val="21"/>
                <w:szCs w:val="21"/>
                <w:lang w:val="en-US" w:eastAsia="zh-CN"/>
              </w:rPr>
              <w:t>B.2推荐临界储量</w:t>
            </w:r>
          </w:p>
        </w:tc>
        <w:tc>
          <w:tcPr>
            <w:tcW w:w="1000" w:type="pct"/>
            <w:tcBorders>
              <w:tl2br w:val="nil"/>
              <w:tr2bl w:val="nil"/>
            </w:tcBorders>
            <w:noWrap w:val="0"/>
            <w:vAlign w:val="center"/>
          </w:tcPr>
          <w:p w14:paraId="7EBB0FE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lang w:eastAsia="zh-CN"/>
              </w:rPr>
            </w:pPr>
            <w:r>
              <w:rPr>
                <w:rFonts w:hint="eastAsia" w:ascii="宋体" w:hAnsi="宋体" w:cs="宋体"/>
                <w:sz w:val="21"/>
                <w:szCs w:val="21"/>
                <w:lang w:val="en-US" w:eastAsia="zh-CN"/>
              </w:rPr>
              <w:t>Q值计算</w:t>
            </w:r>
          </w:p>
        </w:tc>
      </w:tr>
      <w:tr w14:paraId="676F334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98" w:type="pct"/>
            <w:tcBorders>
              <w:tl2br w:val="nil"/>
              <w:tr2bl w:val="nil"/>
            </w:tcBorders>
            <w:noWrap w:val="0"/>
            <w:vAlign w:val="center"/>
          </w:tcPr>
          <w:p w14:paraId="137685A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lang w:eastAsia="zh-CN"/>
              </w:rPr>
            </w:pPr>
            <w:r>
              <w:rPr>
                <w:rFonts w:hint="eastAsia" w:ascii="宋体" w:hAnsi="宋体" w:cs="宋体"/>
                <w:kern w:val="0"/>
                <w:sz w:val="21"/>
                <w:szCs w:val="21"/>
                <w:lang w:eastAsia="zh-CN"/>
              </w:rPr>
              <w:t>甲基磺酸</w:t>
            </w:r>
          </w:p>
        </w:tc>
        <w:tc>
          <w:tcPr>
            <w:tcW w:w="1000" w:type="pct"/>
            <w:tcBorders>
              <w:tl2br w:val="nil"/>
              <w:tr2bl w:val="nil"/>
            </w:tcBorders>
            <w:noWrap w:val="0"/>
            <w:vAlign w:val="center"/>
          </w:tcPr>
          <w:p w14:paraId="5826C58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cs="宋体"/>
                <w:sz w:val="21"/>
                <w:szCs w:val="21"/>
                <w:lang w:val="en-US" w:eastAsia="zh-CN"/>
              </w:rPr>
            </w:pPr>
            <w:r>
              <w:rPr>
                <w:rFonts w:hint="eastAsia" w:ascii="宋体" w:hAnsi="宋体" w:cs="宋体"/>
                <w:sz w:val="21"/>
                <w:szCs w:val="21"/>
                <w:lang w:val="en-US" w:eastAsia="zh-CN"/>
              </w:rPr>
              <w:t>75-75-2</w:t>
            </w:r>
          </w:p>
        </w:tc>
        <w:tc>
          <w:tcPr>
            <w:tcW w:w="1000" w:type="pct"/>
            <w:tcBorders>
              <w:tl2br w:val="nil"/>
              <w:tr2bl w:val="nil"/>
            </w:tcBorders>
            <w:noWrap w:val="0"/>
            <w:vAlign w:val="center"/>
          </w:tcPr>
          <w:p w14:paraId="22565FB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cs="宋体"/>
                <w:sz w:val="21"/>
                <w:szCs w:val="21"/>
                <w:lang w:val="en-US" w:eastAsia="zh-CN"/>
              </w:rPr>
            </w:pPr>
            <w:r>
              <w:rPr>
                <w:rFonts w:hint="eastAsia" w:ascii="宋体" w:hAnsi="宋体" w:cs="宋体"/>
                <w:sz w:val="21"/>
                <w:szCs w:val="21"/>
                <w:lang w:val="en-US" w:eastAsia="zh-CN"/>
              </w:rPr>
              <w:t>0.2t</w:t>
            </w:r>
          </w:p>
        </w:tc>
        <w:tc>
          <w:tcPr>
            <w:tcW w:w="1000" w:type="pct"/>
            <w:tcBorders>
              <w:tl2br w:val="nil"/>
              <w:tr2bl w:val="nil"/>
            </w:tcBorders>
            <w:noWrap w:val="0"/>
            <w:vAlign w:val="center"/>
          </w:tcPr>
          <w:p w14:paraId="33A96E3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cs="宋体"/>
                <w:sz w:val="21"/>
                <w:szCs w:val="21"/>
                <w:lang w:val="en-US" w:eastAsia="zh-CN"/>
              </w:rPr>
            </w:pPr>
            <w:r>
              <w:rPr>
                <w:rFonts w:hint="eastAsia" w:ascii="宋体" w:hAnsi="宋体" w:cs="宋体"/>
                <w:sz w:val="21"/>
                <w:szCs w:val="21"/>
                <w:lang w:val="en-US" w:eastAsia="zh-CN"/>
              </w:rPr>
              <w:t>50t</w:t>
            </w:r>
          </w:p>
        </w:tc>
        <w:tc>
          <w:tcPr>
            <w:tcW w:w="1000" w:type="pct"/>
            <w:tcBorders>
              <w:tl2br w:val="nil"/>
              <w:tr2bl w:val="nil"/>
            </w:tcBorders>
            <w:noWrap w:val="0"/>
            <w:vAlign w:val="center"/>
          </w:tcPr>
          <w:p w14:paraId="169F7AA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cs="宋体"/>
                <w:sz w:val="21"/>
                <w:szCs w:val="21"/>
                <w:lang w:val="en-US" w:eastAsia="zh-CN"/>
              </w:rPr>
            </w:pPr>
            <w:r>
              <w:rPr>
                <w:rFonts w:hint="eastAsia" w:ascii="宋体" w:hAnsi="宋体" w:cs="宋体"/>
                <w:sz w:val="21"/>
                <w:szCs w:val="21"/>
                <w:lang w:val="en-US" w:eastAsia="zh-CN"/>
              </w:rPr>
              <w:t>0.004</w:t>
            </w:r>
          </w:p>
        </w:tc>
      </w:tr>
      <w:tr w14:paraId="4644CB2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98" w:type="pct"/>
            <w:tcBorders>
              <w:tl2br w:val="nil"/>
              <w:tr2bl w:val="nil"/>
            </w:tcBorders>
            <w:noWrap w:val="0"/>
            <w:vAlign w:val="center"/>
          </w:tcPr>
          <w:p w14:paraId="62087E8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s="宋体"/>
                <w:sz w:val="21"/>
                <w:szCs w:val="21"/>
                <w:lang w:eastAsia="zh-CN"/>
              </w:rPr>
            </w:pPr>
            <w:r>
              <w:rPr>
                <w:rFonts w:hint="eastAsia" w:ascii="宋体" w:hAnsi="宋体" w:cs="宋体"/>
                <w:sz w:val="21"/>
                <w:szCs w:val="21"/>
                <w:lang w:eastAsia="zh-CN"/>
              </w:rPr>
              <w:t>合计</w:t>
            </w:r>
          </w:p>
        </w:tc>
        <w:tc>
          <w:tcPr>
            <w:tcW w:w="1000" w:type="pct"/>
            <w:tcBorders>
              <w:tl2br w:val="nil"/>
              <w:tr2bl w:val="nil"/>
            </w:tcBorders>
            <w:noWrap w:val="0"/>
            <w:vAlign w:val="center"/>
          </w:tcPr>
          <w:p w14:paraId="49E25E6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cs="宋体"/>
                <w:sz w:val="21"/>
                <w:szCs w:val="21"/>
                <w:lang w:val="en-US" w:eastAsia="zh-CN"/>
              </w:rPr>
            </w:pPr>
            <w:r>
              <w:rPr>
                <w:rFonts w:hint="eastAsia" w:ascii="宋体" w:hAnsi="宋体" w:cs="宋体"/>
                <w:sz w:val="21"/>
                <w:szCs w:val="21"/>
                <w:lang w:val="en-US" w:eastAsia="zh-CN"/>
              </w:rPr>
              <w:t>/</w:t>
            </w:r>
          </w:p>
        </w:tc>
        <w:tc>
          <w:tcPr>
            <w:tcW w:w="1000" w:type="pct"/>
            <w:tcBorders>
              <w:tl2br w:val="nil"/>
              <w:tr2bl w:val="nil"/>
            </w:tcBorders>
            <w:noWrap w:val="0"/>
            <w:vAlign w:val="center"/>
          </w:tcPr>
          <w:p w14:paraId="1043AC6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s="宋体"/>
                <w:sz w:val="21"/>
                <w:szCs w:val="21"/>
                <w:lang w:val="en-US" w:eastAsia="zh-CN"/>
              </w:rPr>
            </w:pPr>
            <w:r>
              <w:rPr>
                <w:rFonts w:hint="eastAsia" w:ascii="宋体" w:hAnsi="宋体" w:cs="宋体"/>
                <w:sz w:val="21"/>
                <w:szCs w:val="21"/>
                <w:lang w:val="en-US" w:eastAsia="zh-CN"/>
              </w:rPr>
              <w:t>/</w:t>
            </w:r>
          </w:p>
        </w:tc>
        <w:tc>
          <w:tcPr>
            <w:tcW w:w="1000" w:type="pct"/>
            <w:tcBorders>
              <w:tl2br w:val="nil"/>
              <w:tr2bl w:val="nil"/>
            </w:tcBorders>
            <w:noWrap w:val="0"/>
            <w:vAlign w:val="center"/>
          </w:tcPr>
          <w:p w14:paraId="7D899D7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s="宋体"/>
                <w:sz w:val="21"/>
                <w:szCs w:val="21"/>
                <w:lang w:val="en-US" w:eastAsia="zh-CN"/>
              </w:rPr>
            </w:pPr>
            <w:r>
              <w:rPr>
                <w:rFonts w:hint="eastAsia" w:ascii="宋体" w:hAnsi="宋体" w:cs="宋体"/>
                <w:sz w:val="21"/>
                <w:szCs w:val="21"/>
                <w:lang w:val="en-US" w:eastAsia="zh-CN"/>
              </w:rPr>
              <w:t>/</w:t>
            </w:r>
          </w:p>
        </w:tc>
        <w:tc>
          <w:tcPr>
            <w:tcW w:w="1000" w:type="pct"/>
            <w:tcBorders>
              <w:tl2br w:val="nil"/>
              <w:tr2bl w:val="nil"/>
            </w:tcBorders>
            <w:noWrap w:val="0"/>
            <w:vAlign w:val="center"/>
          </w:tcPr>
          <w:p w14:paraId="4B50605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cs="宋体"/>
                <w:sz w:val="21"/>
                <w:szCs w:val="21"/>
                <w:lang w:val="en-US" w:eastAsia="zh-CN"/>
              </w:rPr>
            </w:pPr>
            <w:r>
              <w:rPr>
                <w:rFonts w:hint="eastAsia" w:ascii="宋体" w:hAnsi="宋体" w:cs="宋体"/>
                <w:sz w:val="21"/>
                <w:szCs w:val="21"/>
                <w:lang w:val="en-US" w:eastAsia="zh-CN"/>
              </w:rPr>
              <w:t>0.004</w:t>
            </w:r>
          </w:p>
        </w:tc>
      </w:tr>
    </w:tbl>
    <w:p w14:paraId="446B5F26">
      <w:pPr>
        <w:pageBreakBefore w:val="0"/>
        <w:kinsoku/>
        <w:wordWrap/>
        <w:overflowPunct/>
        <w:topLinePunct w:val="0"/>
        <w:autoSpaceDE/>
        <w:autoSpaceDN/>
        <w:bidi w:val="0"/>
        <w:adjustRightInd/>
        <w:snapToGrid/>
        <w:textAlignment w:val="auto"/>
        <w:rPr>
          <w:rFonts w:hint="default"/>
          <w:lang w:val="en-US" w:eastAsia="zh-CN"/>
        </w:rPr>
      </w:pPr>
      <w:r>
        <w:rPr>
          <w:rFonts w:hint="eastAsia"/>
          <w:lang w:val="en-US" w:eastAsia="zh-CN"/>
        </w:rPr>
        <w:t>本项目危险物质Q=0.004＜1。</w:t>
      </w:r>
    </w:p>
    <w:p w14:paraId="001E0F7E">
      <w:pPr>
        <w:pageBreakBefore w:val="0"/>
        <w:kinsoku/>
        <w:wordWrap/>
        <w:overflowPunct/>
        <w:topLinePunct w:val="0"/>
        <w:autoSpaceDE/>
        <w:autoSpaceDN/>
        <w:bidi w:val="0"/>
        <w:adjustRightInd/>
        <w:snapToGrid/>
        <w:textAlignment w:val="auto"/>
        <w:rPr>
          <w:rFonts w:hint="eastAsia"/>
          <w:lang w:val="en-US" w:eastAsia="zh-CN"/>
        </w:rPr>
      </w:pPr>
      <w:r>
        <w:t>根据《建设项目环境风险评价技术导则》(HJ169-2018)要求，本项目风险潜势为Ⅰ，按照环境风险评价工作等级划分表判定本项目评价等级为简单分析。</w:t>
      </w:r>
      <w:r>
        <w:rPr>
          <w:rFonts w:hint="eastAsia"/>
          <w:lang w:val="en-US" w:eastAsia="zh-CN"/>
        </w:rPr>
        <w:t xml:space="preserve"> </w:t>
      </w:r>
    </w:p>
    <w:p w14:paraId="317A0ED8">
      <w:pPr>
        <w:pStyle w:val="6"/>
        <w:pageBreakBefore w:val="0"/>
        <w:kinsoku/>
        <w:wordWrap/>
        <w:overflowPunct/>
        <w:topLinePunct w:val="0"/>
        <w:autoSpaceDE/>
        <w:autoSpaceDN/>
        <w:bidi w:val="0"/>
        <w:adjustRightInd/>
        <w:snapToGrid/>
        <w:textAlignment w:val="auto"/>
      </w:pPr>
      <w:r>
        <w:t>2.6.1.6 生态环境评价等级</w:t>
      </w:r>
    </w:p>
    <w:p w14:paraId="5E253726">
      <w:pPr>
        <w:keepNext w:val="0"/>
        <w:keepLines w:val="0"/>
        <w:pageBreakBefore w:val="0"/>
        <w:widowControl/>
        <w:suppressLineNumbers w:val="0"/>
        <w:kinsoku/>
        <w:wordWrap/>
        <w:overflowPunct/>
        <w:topLinePunct w:val="0"/>
        <w:autoSpaceDE/>
        <w:autoSpaceDN/>
        <w:bidi w:val="0"/>
        <w:adjustRightInd/>
        <w:snapToGrid/>
        <w:ind w:firstLine="602"/>
        <w:jc w:val="left"/>
        <w:textAlignment w:val="auto"/>
        <w:rPr>
          <w:rFonts w:hint="eastAsia" w:ascii="Times New Roman" w:hAnsi="Times New Roman" w:eastAsia="宋体"/>
          <w:lang w:eastAsia="zh-CN"/>
        </w:rPr>
      </w:pPr>
      <w:r>
        <w:t>本项目位于</w:t>
      </w:r>
      <w:r>
        <w:rPr>
          <w:rFonts w:hint="eastAsia"/>
          <w:lang w:eastAsia="zh-CN"/>
        </w:rPr>
        <w:t>本溪市溪湖区东风街道办事处新合村，项目厂房位于佰汇铜业现有厂区内，为扩建项目，无新增建设用地</w:t>
      </w:r>
      <w:r>
        <w:rPr>
          <w:rFonts w:eastAsiaTheme="minorEastAsia"/>
        </w:rPr>
        <w:t>。根据《环境影响评价技术导则—生态影响》（HJ19-2011），</w:t>
      </w:r>
      <w:r>
        <w:rPr>
          <w:rFonts w:hint="eastAsia" w:ascii="Times New Roman" w:hAnsi="Times New Roman" w:eastAsia="宋体"/>
          <w:lang w:val="en-US" w:eastAsia="zh-CN"/>
        </w:rPr>
        <w:t>位于原厂界（或永久用地）范围内的工业类改扩建项目，可做生态影响分析。因此本项目生态环境影响评价不定级，仅做生态影响分析</w:t>
      </w:r>
      <w:r>
        <w:rPr>
          <w:rFonts w:hint="eastAsia" w:ascii="Times New Roman" w:hAnsi="Times New Roman" w:eastAsia="宋体"/>
          <w:lang w:eastAsia="zh-CN"/>
        </w:rPr>
        <w:t>。</w:t>
      </w:r>
    </w:p>
    <w:p w14:paraId="7F3D707C">
      <w:pPr>
        <w:pStyle w:val="6"/>
        <w:pageBreakBefore w:val="0"/>
        <w:kinsoku/>
        <w:wordWrap/>
        <w:overflowPunct/>
        <w:topLinePunct w:val="0"/>
        <w:autoSpaceDE/>
        <w:autoSpaceDN/>
        <w:bidi w:val="0"/>
        <w:adjustRightInd/>
        <w:snapToGrid/>
        <w:spacing w:line="360" w:lineRule="auto"/>
        <w:textAlignment w:val="auto"/>
        <w:rPr>
          <w:color w:val="auto"/>
        </w:rPr>
      </w:pPr>
      <w:r>
        <w:rPr>
          <w:color w:val="auto"/>
        </w:rPr>
        <w:t xml:space="preserve">2.6.1.7 </w:t>
      </w:r>
      <w:r>
        <w:rPr>
          <w:rFonts w:hint="eastAsia"/>
          <w:color w:val="auto"/>
        </w:rPr>
        <w:t>土壤</w:t>
      </w:r>
      <w:r>
        <w:rPr>
          <w:color w:val="auto"/>
        </w:rPr>
        <w:t>环境评价等级</w:t>
      </w:r>
    </w:p>
    <w:p w14:paraId="751E735F">
      <w:pPr>
        <w:pageBreakBefore w:val="0"/>
        <w:kinsoku/>
        <w:wordWrap/>
        <w:overflowPunct/>
        <w:topLinePunct w:val="0"/>
        <w:autoSpaceDE/>
        <w:autoSpaceDN/>
        <w:bidi w:val="0"/>
        <w:adjustRightInd/>
        <w:snapToGrid/>
        <w:spacing w:line="360" w:lineRule="auto"/>
        <w:ind w:firstLine="493"/>
        <w:textAlignment w:val="auto"/>
        <w:rPr>
          <w:color w:val="000000"/>
        </w:rPr>
      </w:pPr>
      <w:r>
        <w:rPr>
          <w:rFonts w:hint="eastAsia"/>
          <w:color w:val="000000"/>
        </w:rPr>
        <w:t>根据《环境影响评价技术导则  土壤环境（试行）》（HJ964-2018）评价工作等级的划分应依据建设项目行业分类和建设项目所在地土壤环境敏感程度分级进行判定。本项目为污染影响型建设项目，将永久占地规模划分大型（≥50hm</w:t>
      </w:r>
      <w:r>
        <w:rPr>
          <w:rFonts w:hint="eastAsia"/>
          <w:color w:val="000000"/>
          <w:vertAlign w:val="superscript"/>
        </w:rPr>
        <w:t>2</w:t>
      </w:r>
      <w:r>
        <w:rPr>
          <w:rFonts w:hint="eastAsia"/>
          <w:color w:val="000000"/>
        </w:rPr>
        <w:t>）、中型（5-50hm</w:t>
      </w:r>
      <w:r>
        <w:rPr>
          <w:rFonts w:hint="eastAsia"/>
          <w:color w:val="000000"/>
          <w:vertAlign w:val="superscript"/>
        </w:rPr>
        <w:t>2</w:t>
      </w:r>
      <w:r>
        <w:rPr>
          <w:rFonts w:hint="eastAsia"/>
          <w:color w:val="000000"/>
        </w:rPr>
        <w:t>）、小型（≤5hm</w:t>
      </w:r>
      <w:r>
        <w:rPr>
          <w:rFonts w:hint="eastAsia"/>
          <w:color w:val="000000"/>
          <w:vertAlign w:val="superscript"/>
        </w:rPr>
        <w:t>2</w:t>
      </w:r>
      <w:r>
        <w:rPr>
          <w:rFonts w:hint="eastAsia"/>
          <w:color w:val="000000"/>
        </w:rPr>
        <w:t>）。建设项目所在地周围的土壤环境敏感程度分为敏感、较敏感、不敏感，判别依据见表</w:t>
      </w:r>
      <w:r>
        <w:rPr>
          <w:color w:val="000000"/>
        </w:rPr>
        <w:t>2.6.9</w:t>
      </w:r>
      <w:r>
        <w:rPr>
          <w:rFonts w:hint="eastAsia"/>
          <w:color w:val="000000"/>
        </w:rPr>
        <w:t>。污染影响型评价工作等级划分表见</w:t>
      </w:r>
      <w:r>
        <w:rPr>
          <w:rFonts w:hint="eastAsia"/>
          <w:color w:val="000000"/>
          <w:lang w:eastAsia="zh-CN"/>
        </w:rPr>
        <w:t>下表</w:t>
      </w:r>
      <w:r>
        <w:rPr>
          <w:rFonts w:hint="eastAsia"/>
          <w:color w:val="000000"/>
        </w:rPr>
        <w:t>。</w:t>
      </w:r>
    </w:p>
    <w:p w14:paraId="51492087">
      <w:pPr>
        <w:pStyle w:val="298"/>
        <w:ind w:firstLine="103" w:firstLineChars="49"/>
        <w:rPr>
          <w:rFonts w:eastAsiaTheme="minorEastAsia"/>
          <w:bCs w:val="0"/>
          <w:sz w:val="21"/>
          <w:szCs w:val="21"/>
        </w:rPr>
      </w:pPr>
    </w:p>
    <w:p w14:paraId="16F5DF10">
      <w:pPr>
        <w:pStyle w:val="298"/>
        <w:ind w:firstLine="103" w:firstLineChars="49"/>
        <w:rPr>
          <w:rFonts w:eastAsiaTheme="minorEastAsia"/>
          <w:bCs w:val="0"/>
          <w:sz w:val="21"/>
          <w:szCs w:val="21"/>
        </w:rPr>
      </w:pPr>
    </w:p>
    <w:p w14:paraId="09D8BD50">
      <w:pPr>
        <w:pStyle w:val="298"/>
        <w:ind w:firstLine="103" w:firstLineChars="49"/>
        <w:rPr>
          <w:rFonts w:eastAsiaTheme="minorEastAsia"/>
          <w:bCs w:val="0"/>
          <w:sz w:val="21"/>
          <w:szCs w:val="21"/>
        </w:rPr>
      </w:pPr>
    </w:p>
    <w:p w14:paraId="0E87AF25">
      <w:pPr>
        <w:pStyle w:val="298"/>
        <w:ind w:firstLine="103" w:firstLineChars="49"/>
        <w:rPr>
          <w:rFonts w:eastAsiaTheme="minorEastAsia"/>
          <w:bCs w:val="0"/>
          <w:sz w:val="21"/>
          <w:szCs w:val="21"/>
        </w:rPr>
      </w:pPr>
    </w:p>
    <w:p w14:paraId="700A1AAE">
      <w:pPr>
        <w:pStyle w:val="298"/>
        <w:ind w:firstLine="103" w:firstLineChars="49"/>
        <w:rPr>
          <w:rFonts w:eastAsiaTheme="minorEastAsia"/>
          <w:bCs w:val="0"/>
          <w:sz w:val="21"/>
          <w:szCs w:val="21"/>
        </w:rPr>
      </w:pPr>
    </w:p>
    <w:p w14:paraId="2981B2F3">
      <w:pPr>
        <w:pStyle w:val="298"/>
        <w:ind w:firstLine="103" w:firstLineChars="49"/>
        <w:rPr>
          <w:rFonts w:eastAsiaTheme="minorEastAsia"/>
          <w:bCs w:val="0"/>
          <w:sz w:val="21"/>
          <w:szCs w:val="21"/>
        </w:rPr>
      </w:pPr>
    </w:p>
    <w:p w14:paraId="788C2749">
      <w:pPr>
        <w:pStyle w:val="298"/>
        <w:ind w:firstLine="103" w:firstLineChars="49"/>
        <w:rPr>
          <w:rFonts w:eastAsiaTheme="minorEastAsia"/>
          <w:bCs w:val="0"/>
          <w:sz w:val="21"/>
          <w:szCs w:val="21"/>
        </w:rPr>
      </w:pPr>
      <w:r>
        <w:rPr>
          <w:rFonts w:eastAsiaTheme="minorEastAsia"/>
          <w:bCs w:val="0"/>
          <w:sz w:val="21"/>
          <w:szCs w:val="21"/>
        </w:rPr>
        <w:t>表</w:t>
      </w:r>
      <w:r>
        <w:rPr>
          <w:rFonts w:hint="eastAsia" w:eastAsiaTheme="minorEastAsia"/>
          <w:bCs w:val="0"/>
          <w:sz w:val="21"/>
          <w:szCs w:val="21"/>
          <w:lang w:val="en-US" w:eastAsia="zh-CN"/>
        </w:rPr>
        <w:t>2-21</w:t>
      </w:r>
      <w:r>
        <w:rPr>
          <w:rFonts w:hint="eastAsia" w:eastAsiaTheme="minorEastAsia"/>
          <w:bCs w:val="0"/>
          <w:sz w:val="21"/>
          <w:szCs w:val="21"/>
        </w:rPr>
        <w:t>污染影响型</w:t>
      </w:r>
      <w:r>
        <w:rPr>
          <w:rFonts w:eastAsiaTheme="minorEastAsia"/>
          <w:bCs w:val="0"/>
          <w:sz w:val="21"/>
          <w:szCs w:val="21"/>
        </w:rPr>
        <w:t>敏感程度分级</w:t>
      </w:r>
    </w:p>
    <w:tbl>
      <w:tblPr>
        <w:tblStyle w:val="52"/>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099"/>
        <w:gridCol w:w="7423"/>
      </w:tblGrid>
      <w:tr w14:paraId="08D0139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645" w:type="pct"/>
            <w:vAlign w:val="center"/>
          </w:tcPr>
          <w:p w14:paraId="6048102F">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bCs/>
                <w:color w:val="000000"/>
                <w:spacing w:val="6"/>
                <w:kern w:val="0"/>
                <w:sz w:val="21"/>
                <w:szCs w:val="21"/>
              </w:rPr>
            </w:pPr>
            <w:r>
              <w:rPr>
                <w:bCs/>
                <w:color w:val="000000"/>
                <w:spacing w:val="6"/>
                <w:kern w:val="0"/>
                <w:sz w:val="21"/>
                <w:szCs w:val="21"/>
              </w:rPr>
              <w:t>分级</w:t>
            </w:r>
          </w:p>
        </w:tc>
        <w:tc>
          <w:tcPr>
            <w:tcW w:w="4355" w:type="pct"/>
            <w:vAlign w:val="center"/>
          </w:tcPr>
          <w:p w14:paraId="50EE8002">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bCs/>
                <w:color w:val="000000"/>
                <w:spacing w:val="6"/>
                <w:kern w:val="0"/>
                <w:sz w:val="21"/>
                <w:szCs w:val="21"/>
              </w:rPr>
            </w:pPr>
            <w:r>
              <w:rPr>
                <w:bCs/>
                <w:color w:val="000000"/>
                <w:spacing w:val="6"/>
                <w:kern w:val="0"/>
                <w:sz w:val="21"/>
                <w:szCs w:val="21"/>
              </w:rPr>
              <w:t>项目场地的地下水环境敏感特征</w:t>
            </w:r>
          </w:p>
        </w:tc>
      </w:tr>
      <w:tr w14:paraId="2C7132B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45" w:hRule="exact"/>
          <w:jc w:val="center"/>
        </w:trPr>
        <w:tc>
          <w:tcPr>
            <w:tcW w:w="645" w:type="pct"/>
            <w:vAlign w:val="center"/>
          </w:tcPr>
          <w:p w14:paraId="1313ABB6">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bCs/>
                <w:color w:val="000000"/>
                <w:spacing w:val="6"/>
                <w:kern w:val="0"/>
                <w:sz w:val="21"/>
                <w:szCs w:val="21"/>
              </w:rPr>
            </w:pPr>
            <w:r>
              <w:rPr>
                <w:bCs/>
                <w:color w:val="000000"/>
                <w:spacing w:val="6"/>
                <w:kern w:val="0"/>
                <w:sz w:val="21"/>
                <w:szCs w:val="21"/>
              </w:rPr>
              <w:t>敏感</w:t>
            </w:r>
          </w:p>
        </w:tc>
        <w:tc>
          <w:tcPr>
            <w:tcW w:w="4355" w:type="pct"/>
            <w:vAlign w:val="center"/>
          </w:tcPr>
          <w:p w14:paraId="663C2AB0">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textAlignment w:val="auto"/>
              <w:rPr>
                <w:bCs/>
                <w:color w:val="000000"/>
                <w:spacing w:val="6"/>
                <w:kern w:val="0"/>
                <w:sz w:val="21"/>
                <w:szCs w:val="21"/>
              </w:rPr>
            </w:pPr>
            <w:r>
              <w:rPr>
                <w:rFonts w:hint="eastAsia"/>
                <w:bCs/>
                <w:color w:val="000000"/>
                <w:spacing w:val="6"/>
                <w:kern w:val="0"/>
                <w:sz w:val="21"/>
                <w:szCs w:val="21"/>
              </w:rPr>
              <w:t>建设项目周边存在耕地、园地、牧草地、饮用水水源地或居民区、学校、医院、疗养院、养老院等土壤环境敏感目标的</w:t>
            </w:r>
          </w:p>
        </w:tc>
      </w:tr>
      <w:tr w14:paraId="1B90676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57" w:hRule="exact"/>
          <w:jc w:val="center"/>
        </w:trPr>
        <w:tc>
          <w:tcPr>
            <w:tcW w:w="645" w:type="pct"/>
            <w:vAlign w:val="center"/>
          </w:tcPr>
          <w:p w14:paraId="1AC49AEE">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bCs/>
                <w:color w:val="000000"/>
                <w:spacing w:val="6"/>
                <w:kern w:val="0"/>
                <w:sz w:val="21"/>
                <w:szCs w:val="21"/>
              </w:rPr>
            </w:pPr>
            <w:r>
              <w:rPr>
                <w:bCs/>
                <w:color w:val="000000"/>
                <w:spacing w:val="6"/>
                <w:kern w:val="0"/>
                <w:sz w:val="21"/>
                <w:szCs w:val="21"/>
              </w:rPr>
              <w:t>较敏感</w:t>
            </w:r>
          </w:p>
        </w:tc>
        <w:tc>
          <w:tcPr>
            <w:tcW w:w="4355" w:type="pct"/>
            <w:vAlign w:val="center"/>
          </w:tcPr>
          <w:p w14:paraId="33FB6EBC">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textAlignment w:val="auto"/>
              <w:rPr>
                <w:bCs/>
                <w:color w:val="000000"/>
                <w:spacing w:val="6"/>
                <w:kern w:val="0"/>
                <w:sz w:val="21"/>
                <w:szCs w:val="21"/>
              </w:rPr>
            </w:pPr>
            <w:r>
              <w:rPr>
                <w:rFonts w:hint="eastAsia"/>
                <w:bCs/>
                <w:color w:val="000000"/>
                <w:spacing w:val="6"/>
                <w:kern w:val="0"/>
                <w:sz w:val="21"/>
                <w:szCs w:val="21"/>
              </w:rPr>
              <w:t>建设项目周边存在其他土壤环境敏感目标的</w:t>
            </w:r>
          </w:p>
        </w:tc>
      </w:tr>
      <w:tr w14:paraId="526841C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64" w:hRule="exact"/>
          <w:jc w:val="center"/>
        </w:trPr>
        <w:tc>
          <w:tcPr>
            <w:tcW w:w="645" w:type="pct"/>
            <w:vAlign w:val="center"/>
          </w:tcPr>
          <w:p w14:paraId="12767267">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bCs/>
                <w:color w:val="000000"/>
                <w:spacing w:val="6"/>
                <w:kern w:val="0"/>
                <w:sz w:val="21"/>
                <w:szCs w:val="21"/>
              </w:rPr>
            </w:pPr>
            <w:r>
              <w:rPr>
                <w:bCs/>
                <w:color w:val="000000"/>
                <w:spacing w:val="6"/>
                <w:kern w:val="0"/>
                <w:sz w:val="21"/>
                <w:szCs w:val="21"/>
              </w:rPr>
              <w:t>不敏感</w:t>
            </w:r>
          </w:p>
        </w:tc>
        <w:tc>
          <w:tcPr>
            <w:tcW w:w="4355" w:type="pct"/>
            <w:vAlign w:val="center"/>
          </w:tcPr>
          <w:p w14:paraId="5BCC8FD5">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textAlignment w:val="auto"/>
              <w:rPr>
                <w:bCs/>
                <w:color w:val="000000"/>
                <w:spacing w:val="6"/>
                <w:kern w:val="0"/>
                <w:sz w:val="21"/>
                <w:szCs w:val="21"/>
              </w:rPr>
            </w:pPr>
            <w:r>
              <w:rPr>
                <w:rFonts w:hint="eastAsia"/>
                <w:bCs/>
                <w:color w:val="000000"/>
                <w:spacing w:val="6"/>
                <w:kern w:val="0"/>
                <w:sz w:val="21"/>
                <w:szCs w:val="21"/>
              </w:rPr>
              <w:t>其他情况</w:t>
            </w:r>
          </w:p>
        </w:tc>
      </w:tr>
    </w:tbl>
    <w:p w14:paraId="55831049">
      <w:pPr>
        <w:pStyle w:val="298"/>
        <w:spacing w:before="120" w:beforeLines="50"/>
        <w:ind w:firstLine="103" w:firstLineChars="49"/>
        <w:rPr>
          <w:rFonts w:eastAsiaTheme="minorEastAsia"/>
          <w:bCs w:val="0"/>
          <w:sz w:val="21"/>
          <w:szCs w:val="21"/>
        </w:rPr>
      </w:pPr>
      <w:r>
        <w:rPr>
          <w:rFonts w:eastAsiaTheme="minorEastAsia"/>
          <w:bCs w:val="0"/>
          <w:sz w:val="21"/>
          <w:szCs w:val="21"/>
        </w:rPr>
        <w:t>表</w:t>
      </w:r>
      <w:r>
        <w:rPr>
          <w:rFonts w:hint="eastAsia" w:eastAsiaTheme="minorEastAsia"/>
          <w:bCs w:val="0"/>
          <w:sz w:val="21"/>
          <w:szCs w:val="21"/>
          <w:lang w:val="en-US" w:eastAsia="zh-CN"/>
        </w:rPr>
        <w:t>2-22</w:t>
      </w:r>
      <w:r>
        <w:rPr>
          <w:rFonts w:hint="eastAsia" w:eastAsiaTheme="minorEastAsia"/>
          <w:bCs w:val="0"/>
          <w:sz w:val="21"/>
          <w:szCs w:val="21"/>
        </w:rPr>
        <w:t>土壤</w:t>
      </w:r>
      <w:r>
        <w:rPr>
          <w:rFonts w:eastAsiaTheme="minorEastAsia"/>
          <w:bCs w:val="0"/>
          <w:sz w:val="21"/>
          <w:szCs w:val="21"/>
        </w:rPr>
        <w:t>评价工作等级划分表</w:t>
      </w:r>
    </w:p>
    <w:tbl>
      <w:tblPr>
        <w:tblStyle w:val="52"/>
        <w:tblW w:w="5000" w:type="pct"/>
        <w:jc w:val="center"/>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tblLayout w:type="autofit"/>
        <w:tblCellMar>
          <w:top w:w="0" w:type="dxa"/>
          <w:left w:w="108" w:type="dxa"/>
          <w:bottom w:w="0" w:type="dxa"/>
          <w:right w:w="108" w:type="dxa"/>
        </w:tblCellMar>
      </w:tblPr>
      <w:tblGrid>
        <w:gridCol w:w="1696"/>
        <w:gridCol w:w="680"/>
        <w:gridCol w:w="709"/>
        <w:gridCol w:w="709"/>
        <w:gridCol w:w="992"/>
        <w:gridCol w:w="850"/>
        <w:gridCol w:w="850"/>
        <w:gridCol w:w="678"/>
        <w:gridCol w:w="679"/>
        <w:gridCol w:w="679"/>
      </w:tblGrid>
      <w:tr w14:paraId="4587A1BC">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15" w:hRule="exact"/>
          <w:jc w:val="center"/>
        </w:trPr>
        <w:tc>
          <w:tcPr>
            <w:tcW w:w="995" w:type="pct"/>
            <w:vMerge w:val="restart"/>
            <w:vAlign w:val="center"/>
          </w:tcPr>
          <w:p w14:paraId="483E240E">
            <w:pPr>
              <w:keepNext w:val="0"/>
              <w:keepLines w:val="0"/>
              <w:pageBreakBefore w:val="0"/>
              <w:tabs>
                <w:tab w:val="left" w:leader="middleDot" w:pos="0"/>
              </w:tabs>
              <w:kinsoku/>
              <w:wordWrap/>
              <w:overflowPunct/>
              <w:topLinePunct w:val="0"/>
              <w:autoSpaceDE/>
              <w:autoSpaceDN/>
              <w:bidi w:val="0"/>
              <w:adjustRightInd/>
              <w:snapToGrid/>
              <w:spacing w:line="240" w:lineRule="auto"/>
              <w:ind w:firstLine="0" w:firstLineChars="0"/>
              <w:jc w:val="center"/>
              <w:textAlignment w:val="auto"/>
              <w:rPr>
                <w:color w:val="000000"/>
                <w:spacing w:val="6"/>
                <w:sz w:val="21"/>
                <w:szCs w:val="21"/>
              </w:rPr>
            </w:pPr>
            <w:r>
              <w:rPr>
                <w:rFonts w:hint="eastAsia"/>
                <w:color w:val="000000"/>
                <w:sz w:val="21"/>
                <w:szCs w:val="21"/>
              </w:rPr>
              <mc:AlternateContent>
                <mc:Choice Requires="wps">
                  <w:drawing>
                    <wp:anchor distT="0" distB="0" distL="114300" distR="114300" simplePos="0" relativeHeight="251664384" behindDoc="0" locked="0" layoutInCell="1" allowOverlap="1">
                      <wp:simplePos x="0" y="0"/>
                      <wp:positionH relativeFrom="column">
                        <wp:posOffset>-65405</wp:posOffset>
                      </wp:positionH>
                      <wp:positionV relativeFrom="paragraph">
                        <wp:posOffset>-5715</wp:posOffset>
                      </wp:positionV>
                      <wp:extent cx="1038225" cy="805180"/>
                      <wp:effectExtent l="0" t="0" r="28575" b="33020"/>
                      <wp:wrapNone/>
                      <wp:docPr id="150" name="直接箭头连接符 150"/>
                      <wp:cNvGraphicFramePr/>
                      <a:graphic xmlns:a="http://schemas.openxmlformats.org/drawingml/2006/main">
                        <a:graphicData uri="http://schemas.microsoft.com/office/word/2010/wordprocessingShape">
                          <wps:wsp>
                            <wps:cNvCnPr>
                              <a:cxnSpLocks noChangeShapeType="1"/>
                            </wps:cNvCnPr>
                            <wps:spPr bwMode="auto">
                              <a:xfrm>
                                <a:off x="0" y="0"/>
                                <a:ext cx="1038225" cy="805180"/>
                              </a:xfrm>
                              <a:prstGeom prst="straightConnector1">
                                <a:avLst/>
                              </a:prstGeom>
                              <a:noFill/>
                              <a:ln w="3175">
                                <a:solidFill>
                                  <a:srgbClr val="000000"/>
                                </a:solidFill>
                                <a:round/>
                              </a:ln>
                            </wps:spPr>
                            <wps:bodyPr/>
                          </wps:wsp>
                        </a:graphicData>
                      </a:graphic>
                    </wp:anchor>
                  </w:drawing>
                </mc:Choice>
                <mc:Fallback>
                  <w:pict>
                    <v:shape id="_x0000_s1026" o:spid="_x0000_s1026" o:spt="32" type="#_x0000_t32" style="position:absolute;left:0pt;margin-left:-5.15pt;margin-top:-0.45pt;height:63.4pt;width:81.75pt;z-index:251664384;mso-width-relative:page;mso-height-relative:page;" filled="f" stroked="t" coordsize="21600,21600" o:gfxdata="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DdFE0K1gAAAAkBAAAPAAAAAAAAAAEAIAAAACIAAABkcnMvZG93bnJldi54&#10;bWxQSwECFAAUAAAACACHTuJAPAKhq/wBAADHAwAADgAAAAAAAAABACAAAAAlAQAAZHJzL2Uyb0Rv&#10;Yy54bWxQSwUGAAAAAAYABgBZAQAAkwUAAAAA&#10;">
                      <v:fill on="f" focussize="0,0"/>
                      <v:stroke weight="0.25pt" color="#000000" joinstyle="round"/>
                      <v:imagedata o:title=""/>
                      <o:lock v:ext="edit" aspectratio="f"/>
                    </v:shape>
                  </w:pict>
                </mc:Fallback>
              </mc:AlternateContent>
            </w:r>
            <w:r>
              <w:rPr>
                <w:rFonts w:hint="eastAsia"/>
                <w:color w:val="000000"/>
                <w:spacing w:val="6"/>
                <w:sz w:val="21"/>
                <w:szCs w:val="21"/>
              </w:rPr>
              <w:t xml:space="preserve">    占地</w:t>
            </w:r>
            <w:r>
              <w:rPr>
                <w:color w:val="000000"/>
                <w:spacing w:val="6"/>
                <w:sz w:val="21"/>
                <w:szCs w:val="21"/>
              </w:rPr>
              <w:t>规模</w:t>
            </w:r>
          </w:p>
          <w:p w14:paraId="4A881945">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color w:val="000000"/>
                <w:kern w:val="0"/>
                <w:sz w:val="21"/>
                <w:szCs w:val="21"/>
              </w:rPr>
            </w:pPr>
          </w:p>
          <w:p w14:paraId="129F5D45">
            <w:pPr>
              <w:keepNext w:val="0"/>
              <w:keepLines w:val="0"/>
              <w:pageBreakBefore w:val="0"/>
              <w:kinsoku/>
              <w:wordWrap/>
              <w:overflowPunct/>
              <w:topLinePunct w:val="0"/>
              <w:autoSpaceDE/>
              <w:autoSpaceDN/>
              <w:bidi w:val="0"/>
              <w:adjustRightInd/>
              <w:snapToGrid/>
              <w:spacing w:line="240" w:lineRule="auto"/>
              <w:ind w:firstLine="0" w:firstLineChars="0"/>
              <w:textAlignment w:val="auto"/>
              <w:rPr>
                <w:color w:val="000000"/>
                <w:sz w:val="21"/>
                <w:szCs w:val="21"/>
              </w:rPr>
            </w:pPr>
            <w:r>
              <w:rPr>
                <w:color w:val="000000"/>
                <w:kern w:val="0"/>
                <w:sz w:val="21"/>
                <w:szCs w:val="21"/>
              </w:rPr>
              <w:t>等级</w:t>
            </w:r>
            <w:r>
              <w:rPr>
                <w:color w:val="000000"/>
                <w:kern w:val="0"/>
                <w:sz w:val="21"/>
                <w:szCs w:val="21"/>
              </w:rPr>
              <mc:AlternateContent>
                <mc:Choice Requires="wps">
                  <w:drawing>
                    <wp:anchor distT="0" distB="0" distL="114300" distR="114300" simplePos="0" relativeHeight="251665408" behindDoc="0" locked="0" layoutInCell="1" allowOverlap="1">
                      <wp:simplePos x="0" y="0"/>
                      <wp:positionH relativeFrom="column">
                        <wp:posOffset>-76835</wp:posOffset>
                      </wp:positionH>
                      <wp:positionV relativeFrom="paragraph">
                        <wp:posOffset>111125</wp:posOffset>
                      </wp:positionV>
                      <wp:extent cx="1049020" cy="347980"/>
                      <wp:effectExtent l="0" t="0" r="17780" b="33020"/>
                      <wp:wrapNone/>
                      <wp:docPr id="149" name="直接箭头连接符 149"/>
                      <wp:cNvGraphicFramePr/>
                      <a:graphic xmlns:a="http://schemas.openxmlformats.org/drawingml/2006/main">
                        <a:graphicData uri="http://schemas.microsoft.com/office/word/2010/wordprocessingShape">
                          <wps:wsp>
                            <wps:cNvCnPr>
                              <a:cxnSpLocks noChangeShapeType="1"/>
                            </wps:cNvCnPr>
                            <wps:spPr bwMode="auto">
                              <a:xfrm flipH="1" flipV="1">
                                <a:off x="0" y="0"/>
                                <a:ext cx="1049020" cy="347980"/>
                              </a:xfrm>
                              <a:prstGeom prst="straightConnector1">
                                <a:avLst/>
                              </a:prstGeom>
                              <a:noFill/>
                              <a:ln w="3175">
                                <a:solidFill>
                                  <a:srgbClr val="000000"/>
                                </a:solidFill>
                                <a:round/>
                              </a:ln>
                            </wps:spPr>
                            <wps:bodyPr/>
                          </wps:wsp>
                        </a:graphicData>
                      </a:graphic>
                    </wp:anchor>
                  </w:drawing>
                </mc:Choice>
                <mc:Fallback>
                  <w:pict>
                    <v:shape id="_x0000_s1026" o:spid="_x0000_s1026" o:spt="32" type="#_x0000_t32" style="position:absolute;left:0pt;flip:x y;margin-left:-6.05pt;margin-top:8.75pt;height:27.4pt;width:82.6pt;z-index:251665408;mso-width-relative:page;mso-height-relative:page;" filled="f" stroked="t" coordsize="21600,21600" o:gfxdata="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PQ8c1LZAAAACQEAAA8AAAAAAAAAAQAgAAAAIgAA&#10;AGRycy9kb3ducmV2LnhtbFBLAQIUABQAAAAIAIdO4kABMeSSBwIAANsDAAAOAAAAAAAAAAEAIAAA&#10;ACgBAABkcnMvZTJvRG9jLnhtbFBLBQYAAAAABgAGAFkBAAChBQAAAAA=&#10;">
                      <v:fill on="f" focussize="0,0"/>
                      <v:stroke weight="0.25pt" color="#000000" joinstyle="round"/>
                      <v:imagedata o:title=""/>
                      <o:lock v:ext="edit" aspectratio="f"/>
                    </v:shape>
                  </w:pict>
                </mc:Fallback>
              </mc:AlternateContent>
            </w:r>
          </w:p>
          <w:p w14:paraId="7BEEFE53">
            <w:pPr>
              <w:keepNext w:val="0"/>
              <w:keepLines w:val="0"/>
              <w:pageBreakBefore w:val="0"/>
              <w:kinsoku/>
              <w:wordWrap/>
              <w:overflowPunct/>
              <w:topLinePunct w:val="0"/>
              <w:autoSpaceDE/>
              <w:autoSpaceDN/>
              <w:bidi w:val="0"/>
              <w:adjustRightInd/>
              <w:snapToGrid/>
              <w:spacing w:line="240" w:lineRule="auto"/>
              <w:ind w:firstLine="0" w:firstLineChars="0"/>
              <w:textAlignment w:val="auto"/>
              <w:rPr>
                <w:color w:val="000000"/>
                <w:sz w:val="21"/>
                <w:szCs w:val="21"/>
              </w:rPr>
            </w:pPr>
          </w:p>
          <w:p w14:paraId="0337513E">
            <w:pPr>
              <w:keepNext w:val="0"/>
              <w:keepLines w:val="0"/>
              <w:pageBreakBefore w:val="0"/>
              <w:kinsoku/>
              <w:wordWrap/>
              <w:overflowPunct/>
              <w:topLinePunct w:val="0"/>
              <w:autoSpaceDE/>
              <w:autoSpaceDN/>
              <w:bidi w:val="0"/>
              <w:adjustRightInd/>
              <w:snapToGrid/>
              <w:spacing w:line="240" w:lineRule="auto"/>
              <w:ind w:firstLine="0" w:firstLineChars="0"/>
              <w:textAlignment w:val="auto"/>
              <w:rPr>
                <w:color w:val="000000"/>
                <w:sz w:val="21"/>
                <w:szCs w:val="21"/>
              </w:rPr>
            </w:pPr>
            <w:r>
              <w:rPr>
                <w:color w:val="000000"/>
                <w:sz w:val="21"/>
                <w:szCs w:val="21"/>
              </w:rPr>
              <w:t>敏感程度</w:t>
            </w:r>
          </w:p>
        </w:tc>
        <w:tc>
          <w:tcPr>
            <w:tcW w:w="1231" w:type="pct"/>
            <w:gridSpan w:val="3"/>
            <w:vAlign w:val="center"/>
          </w:tcPr>
          <w:p w14:paraId="530B0E7B">
            <w:pPr>
              <w:keepNext w:val="0"/>
              <w:keepLines w:val="0"/>
              <w:pageBreakBefore w:val="0"/>
              <w:tabs>
                <w:tab w:val="left" w:leader="middleDot" w:pos="0"/>
              </w:tabs>
              <w:kinsoku/>
              <w:wordWrap/>
              <w:overflowPunct/>
              <w:topLinePunct w:val="0"/>
              <w:autoSpaceDE/>
              <w:autoSpaceDN/>
              <w:bidi w:val="0"/>
              <w:adjustRightInd/>
              <w:snapToGrid/>
              <w:spacing w:line="240" w:lineRule="auto"/>
              <w:ind w:firstLine="0" w:firstLineChars="0"/>
              <w:jc w:val="center"/>
              <w:textAlignment w:val="auto"/>
              <w:rPr>
                <w:color w:val="000000"/>
                <w:spacing w:val="6"/>
                <w:sz w:val="21"/>
                <w:szCs w:val="21"/>
              </w:rPr>
            </w:pPr>
            <w:r>
              <w:rPr>
                <w:color w:val="000000"/>
                <w:spacing w:val="6"/>
                <w:sz w:val="21"/>
                <w:szCs w:val="21"/>
              </w:rPr>
              <w:fldChar w:fldCharType="begin"/>
            </w:r>
            <w:r>
              <w:rPr>
                <w:color w:val="000000"/>
                <w:spacing w:val="6"/>
                <w:sz w:val="21"/>
                <w:szCs w:val="21"/>
              </w:rPr>
              <w:instrText xml:space="preserve"> = 1 \* ROMAN </w:instrText>
            </w:r>
            <w:r>
              <w:rPr>
                <w:color w:val="000000"/>
                <w:spacing w:val="6"/>
                <w:sz w:val="21"/>
                <w:szCs w:val="21"/>
              </w:rPr>
              <w:fldChar w:fldCharType="separate"/>
            </w:r>
            <w:r>
              <w:rPr>
                <w:color w:val="000000"/>
                <w:spacing w:val="6"/>
                <w:sz w:val="21"/>
                <w:szCs w:val="21"/>
              </w:rPr>
              <w:t>I</w:t>
            </w:r>
            <w:r>
              <w:rPr>
                <w:color w:val="000000"/>
                <w:spacing w:val="6"/>
                <w:sz w:val="21"/>
                <w:szCs w:val="21"/>
              </w:rPr>
              <w:fldChar w:fldCharType="end"/>
            </w:r>
            <w:r>
              <w:rPr>
                <w:color w:val="000000"/>
                <w:spacing w:val="6"/>
                <w:sz w:val="21"/>
                <w:szCs w:val="21"/>
              </w:rPr>
              <w:t>类</w:t>
            </w:r>
          </w:p>
        </w:tc>
        <w:tc>
          <w:tcPr>
            <w:tcW w:w="1579" w:type="pct"/>
            <w:gridSpan w:val="3"/>
            <w:vAlign w:val="center"/>
          </w:tcPr>
          <w:p w14:paraId="50417C34">
            <w:pPr>
              <w:keepNext w:val="0"/>
              <w:keepLines w:val="0"/>
              <w:pageBreakBefore w:val="0"/>
              <w:tabs>
                <w:tab w:val="left" w:leader="middleDot" w:pos="0"/>
              </w:tabs>
              <w:kinsoku/>
              <w:wordWrap/>
              <w:overflowPunct/>
              <w:topLinePunct w:val="0"/>
              <w:autoSpaceDE/>
              <w:autoSpaceDN/>
              <w:bidi w:val="0"/>
              <w:adjustRightInd/>
              <w:snapToGrid/>
              <w:spacing w:line="240" w:lineRule="auto"/>
              <w:ind w:firstLine="0" w:firstLineChars="0"/>
              <w:jc w:val="center"/>
              <w:textAlignment w:val="auto"/>
              <w:rPr>
                <w:color w:val="000000"/>
                <w:spacing w:val="6"/>
                <w:sz w:val="21"/>
                <w:szCs w:val="21"/>
              </w:rPr>
            </w:pPr>
            <w:r>
              <w:rPr>
                <w:color w:val="000000"/>
                <w:spacing w:val="6"/>
                <w:sz w:val="21"/>
                <w:szCs w:val="21"/>
              </w:rPr>
              <w:fldChar w:fldCharType="begin"/>
            </w:r>
            <w:r>
              <w:rPr>
                <w:color w:val="000000"/>
                <w:spacing w:val="6"/>
                <w:sz w:val="21"/>
                <w:szCs w:val="21"/>
              </w:rPr>
              <w:instrText xml:space="preserve"> = 2 \* ROMAN </w:instrText>
            </w:r>
            <w:r>
              <w:rPr>
                <w:color w:val="000000"/>
                <w:spacing w:val="6"/>
                <w:sz w:val="21"/>
                <w:szCs w:val="21"/>
              </w:rPr>
              <w:fldChar w:fldCharType="separate"/>
            </w:r>
            <w:r>
              <w:rPr>
                <w:color w:val="000000"/>
                <w:spacing w:val="6"/>
                <w:sz w:val="21"/>
                <w:szCs w:val="21"/>
              </w:rPr>
              <w:t>II</w:t>
            </w:r>
            <w:r>
              <w:rPr>
                <w:color w:val="000000"/>
                <w:spacing w:val="6"/>
                <w:sz w:val="21"/>
                <w:szCs w:val="21"/>
              </w:rPr>
              <w:fldChar w:fldCharType="end"/>
            </w:r>
            <w:r>
              <w:rPr>
                <w:color w:val="000000"/>
                <w:spacing w:val="6"/>
                <w:sz w:val="21"/>
                <w:szCs w:val="21"/>
              </w:rPr>
              <w:t>类</w:t>
            </w:r>
          </w:p>
        </w:tc>
        <w:tc>
          <w:tcPr>
            <w:tcW w:w="1194" w:type="pct"/>
            <w:gridSpan w:val="3"/>
            <w:vAlign w:val="center"/>
          </w:tcPr>
          <w:p w14:paraId="6E86E76F">
            <w:pPr>
              <w:keepNext w:val="0"/>
              <w:keepLines w:val="0"/>
              <w:pageBreakBefore w:val="0"/>
              <w:tabs>
                <w:tab w:val="left" w:leader="middleDot" w:pos="0"/>
              </w:tabs>
              <w:kinsoku/>
              <w:wordWrap/>
              <w:overflowPunct/>
              <w:topLinePunct w:val="0"/>
              <w:autoSpaceDE/>
              <w:autoSpaceDN/>
              <w:bidi w:val="0"/>
              <w:adjustRightInd/>
              <w:snapToGrid/>
              <w:spacing w:line="240" w:lineRule="auto"/>
              <w:ind w:firstLine="0" w:firstLineChars="0"/>
              <w:jc w:val="center"/>
              <w:textAlignment w:val="auto"/>
              <w:rPr>
                <w:color w:val="000000"/>
                <w:spacing w:val="6"/>
                <w:sz w:val="21"/>
                <w:szCs w:val="21"/>
              </w:rPr>
            </w:pPr>
            <w:r>
              <w:rPr>
                <w:color w:val="000000"/>
                <w:spacing w:val="6"/>
                <w:sz w:val="21"/>
                <w:szCs w:val="21"/>
              </w:rPr>
              <w:fldChar w:fldCharType="begin"/>
            </w:r>
            <w:r>
              <w:rPr>
                <w:color w:val="000000"/>
                <w:spacing w:val="6"/>
                <w:sz w:val="21"/>
                <w:szCs w:val="21"/>
              </w:rPr>
              <w:instrText xml:space="preserve"> = 3 \* ROMAN </w:instrText>
            </w:r>
            <w:r>
              <w:rPr>
                <w:color w:val="000000"/>
                <w:spacing w:val="6"/>
                <w:sz w:val="21"/>
                <w:szCs w:val="21"/>
              </w:rPr>
              <w:fldChar w:fldCharType="separate"/>
            </w:r>
            <w:r>
              <w:rPr>
                <w:color w:val="000000"/>
                <w:spacing w:val="6"/>
                <w:sz w:val="21"/>
                <w:szCs w:val="21"/>
              </w:rPr>
              <w:t>III</w:t>
            </w:r>
            <w:r>
              <w:rPr>
                <w:color w:val="000000"/>
                <w:spacing w:val="6"/>
                <w:sz w:val="21"/>
                <w:szCs w:val="21"/>
              </w:rPr>
              <w:fldChar w:fldCharType="end"/>
            </w:r>
            <w:r>
              <w:rPr>
                <w:color w:val="000000"/>
                <w:spacing w:val="6"/>
                <w:sz w:val="21"/>
                <w:szCs w:val="21"/>
              </w:rPr>
              <w:t>类</w:t>
            </w:r>
          </w:p>
        </w:tc>
      </w:tr>
      <w:tr w14:paraId="7B5D8667">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94" w:hRule="atLeast"/>
          <w:jc w:val="center"/>
        </w:trPr>
        <w:tc>
          <w:tcPr>
            <w:tcW w:w="995" w:type="pct"/>
            <w:vMerge w:val="continue"/>
            <w:vAlign w:val="center"/>
          </w:tcPr>
          <w:p w14:paraId="23FDADDE">
            <w:pPr>
              <w:keepNext w:val="0"/>
              <w:keepLines w:val="0"/>
              <w:pageBreakBefore w:val="0"/>
              <w:tabs>
                <w:tab w:val="left" w:leader="middleDot" w:pos="0"/>
              </w:tabs>
              <w:kinsoku/>
              <w:wordWrap/>
              <w:overflowPunct/>
              <w:topLinePunct w:val="0"/>
              <w:autoSpaceDE/>
              <w:autoSpaceDN/>
              <w:bidi w:val="0"/>
              <w:adjustRightInd/>
              <w:snapToGrid/>
              <w:spacing w:line="240" w:lineRule="auto"/>
              <w:ind w:firstLine="0" w:firstLineChars="0"/>
              <w:jc w:val="center"/>
              <w:textAlignment w:val="auto"/>
              <w:rPr>
                <w:color w:val="000000"/>
                <w:spacing w:val="6"/>
                <w:sz w:val="21"/>
                <w:szCs w:val="21"/>
              </w:rPr>
            </w:pPr>
          </w:p>
        </w:tc>
        <w:tc>
          <w:tcPr>
            <w:tcW w:w="399" w:type="pct"/>
            <w:vAlign w:val="center"/>
          </w:tcPr>
          <w:p w14:paraId="3B90C0F5">
            <w:pPr>
              <w:keepNext w:val="0"/>
              <w:keepLines w:val="0"/>
              <w:pageBreakBefore w:val="0"/>
              <w:tabs>
                <w:tab w:val="left" w:leader="middleDot" w:pos="0"/>
              </w:tabs>
              <w:kinsoku/>
              <w:wordWrap/>
              <w:overflowPunct/>
              <w:topLinePunct w:val="0"/>
              <w:autoSpaceDE/>
              <w:autoSpaceDN/>
              <w:bidi w:val="0"/>
              <w:adjustRightInd/>
              <w:snapToGrid/>
              <w:spacing w:line="240" w:lineRule="auto"/>
              <w:ind w:firstLine="0" w:firstLineChars="0"/>
              <w:jc w:val="center"/>
              <w:textAlignment w:val="auto"/>
              <w:rPr>
                <w:color w:val="000000"/>
                <w:spacing w:val="6"/>
                <w:sz w:val="21"/>
                <w:szCs w:val="21"/>
              </w:rPr>
            </w:pPr>
            <w:r>
              <w:rPr>
                <w:color w:val="000000"/>
                <w:spacing w:val="6"/>
                <w:sz w:val="21"/>
                <w:szCs w:val="21"/>
              </w:rPr>
              <w:t>大</w:t>
            </w:r>
          </w:p>
        </w:tc>
        <w:tc>
          <w:tcPr>
            <w:tcW w:w="416" w:type="pct"/>
            <w:vAlign w:val="center"/>
          </w:tcPr>
          <w:p w14:paraId="4292E6F1">
            <w:pPr>
              <w:keepNext w:val="0"/>
              <w:keepLines w:val="0"/>
              <w:pageBreakBefore w:val="0"/>
              <w:tabs>
                <w:tab w:val="left" w:leader="middleDot" w:pos="0"/>
              </w:tabs>
              <w:kinsoku/>
              <w:wordWrap/>
              <w:overflowPunct/>
              <w:topLinePunct w:val="0"/>
              <w:autoSpaceDE/>
              <w:autoSpaceDN/>
              <w:bidi w:val="0"/>
              <w:adjustRightInd/>
              <w:snapToGrid/>
              <w:spacing w:line="240" w:lineRule="auto"/>
              <w:ind w:firstLine="0" w:firstLineChars="0"/>
              <w:jc w:val="center"/>
              <w:textAlignment w:val="auto"/>
              <w:rPr>
                <w:color w:val="000000"/>
                <w:spacing w:val="6"/>
                <w:sz w:val="21"/>
                <w:szCs w:val="21"/>
              </w:rPr>
            </w:pPr>
            <w:r>
              <w:rPr>
                <w:color w:val="000000"/>
                <w:spacing w:val="6"/>
                <w:sz w:val="21"/>
                <w:szCs w:val="21"/>
              </w:rPr>
              <w:t>中</w:t>
            </w:r>
          </w:p>
        </w:tc>
        <w:tc>
          <w:tcPr>
            <w:tcW w:w="416" w:type="pct"/>
            <w:vAlign w:val="center"/>
          </w:tcPr>
          <w:p w14:paraId="597B796B">
            <w:pPr>
              <w:keepNext w:val="0"/>
              <w:keepLines w:val="0"/>
              <w:pageBreakBefore w:val="0"/>
              <w:tabs>
                <w:tab w:val="left" w:leader="middleDot" w:pos="0"/>
              </w:tabs>
              <w:kinsoku/>
              <w:wordWrap/>
              <w:overflowPunct/>
              <w:topLinePunct w:val="0"/>
              <w:autoSpaceDE/>
              <w:autoSpaceDN/>
              <w:bidi w:val="0"/>
              <w:adjustRightInd/>
              <w:snapToGrid/>
              <w:spacing w:line="240" w:lineRule="auto"/>
              <w:ind w:firstLine="0" w:firstLineChars="0"/>
              <w:jc w:val="center"/>
              <w:textAlignment w:val="auto"/>
              <w:rPr>
                <w:color w:val="000000"/>
                <w:spacing w:val="6"/>
                <w:sz w:val="21"/>
                <w:szCs w:val="21"/>
              </w:rPr>
            </w:pPr>
            <w:r>
              <w:rPr>
                <w:color w:val="000000"/>
                <w:spacing w:val="6"/>
                <w:sz w:val="21"/>
                <w:szCs w:val="21"/>
              </w:rPr>
              <w:t>小</w:t>
            </w:r>
          </w:p>
        </w:tc>
        <w:tc>
          <w:tcPr>
            <w:tcW w:w="582" w:type="pct"/>
            <w:vAlign w:val="center"/>
          </w:tcPr>
          <w:p w14:paraId="7AF0C01E">
            <w:pPr>
              <w:keepNext w:val="0"/>
              <w:keepLines w:val="0"/>
              <w:pageBreakBefore w:val="0"/>
              <w:tabs>
                <w:tab w:val="left" w:leader="middleDot" w:pos="0"/>
              </w:tabs>
              <w:kinsoku/>
              <w:wordWrap/>
              <w:overflowPunct/>
              <w:topLinePunct w:val="0"/>
              <w:autoSpaceDE/>
              <w:autoSpaceDN/>
              <w:bidi w:val="0"/>
              <w:adjustRightInd/>
              <w:snapToGrid/>
              <w:spacing w:line="240" w:lineRule="auto"/>
              <w:ind w:firstLine="0" w:firstLineChars="0"/>
              <w:jc w:val="center"/>
              <w:textAlignment w:val="auto"/>
              <w:rPr>
                <w:color w:val="000000"/>
                <w:spacing w:val="6"/>
                <w:sz w:val="21"/>
                <w:szCs w:val="21"/>
              </w:rPr>
            </w:pPr>
            <w:r>
              <w:rPr>
                <w:color w:val="000000"/>
                <w:spacing w:val="6"/>
                <w:sz w:val="21"/>
                <w:szCs w:val="21"/>
              </w:rPr>
              <w:t>大</w:t>
            </w:r>
          </w:p>
        </w:tc>
        <w:tc>
          <w:tcPr>
            <w:tcW w:w="499" w:type="pct"/>
            <w:vAlign w:val="center"/>
          </w:tcPr>
          <w:p w14:paraId="48A49977">
            <w:pPr>
              <w:keepNext w:val="0"/>
              <w:keepLines w:val="0"/>
              <w:pageBreakBefore w:val="0"/>
              <w:tabs>
                <w:tab w:val="left" w:leader="middleDot" w:pos="0"/>
              </w:tabs>
              <w:kinsoku/>
              <w:wordWrap/>
              <w:overflowPunct/>
              <w:topLinePunct w:val="0"/>
              <w:autoSpaceDE/>
              <w:autoSpaceDN/>
              <w:bidi w:val="0"/>
              <w:adjustRightInd/>
              <w:snapToGrid/>
              <w:spacing w:line="240" w:lineRule="auto"/>
              <w:ind w:firstLine="0" w:firstLineChars="0"/>
              <w:jc w:val="center"/>
              <w:textAlignment w:val="auto"/>
              <w:rPr>
                <w:color w:val="000000"/>
                <w:spacing w:val="6"/>
                <w:sz w:val="21"/>
                <w:szCs w:val="21"/>
              </w:rPr>
            </w:pPr>
            <w:r>
              <w:rPr>
                <w:color w:val="000000"/>
                <w:spacing w:val="6"/>
                <w:sz w:val="21"/>
                <w:szCs w:val="21"/>
              </w:rPr>
              <w:t>中</w:t>
            </w:r>
          </w:p>
        </w:tc>
        <w:tc>
          <w:tcPr>
            <w:tcW w:w="499" w:type="pct"/>
            <w:vAlign w:val="center"/>
          </w:tcPr>
          <w:p w14:paraId="547073CA">
            <w:pPr>
              <w:keepNext w:val="0"/>
              <w:keepLines w:val="0"/>
              <w:pageBreakBefore w:val="0"/>
              <w:tabs>
                <w:tab w:val="left" w:leader="middleDot" w:pos="0"/>
              </w:tabs>
              <w:kinsoku/>
              <w:wordWrap/>
              <w:overflowPunct/>
              <w:topLinePunct w:val="0"/>
              <w:autoSpaceDE/>
              <w:autoSpaceDN/>
              <w:bidi w:val="0"/>
              <w:adjustRightInd/>
              <w:snapToGrid/>
              <w:spacing w:line="240" w:lineRule="auto"/>
              <w:ind w:firstLine="0" w:firstLineChars="0"/>
              <w:jc w:val="center"/>
              <w:textAlignment w:val="auto"/>
              <w:rPr>
                <w:color w:val="000000"/>
                <w:spacing w:val="6"/>
                <w:sz w:val="21"/>
                <w:szCs w:val="21"/>
              </w:rPr>
            </w:pPr>
            <w:r>
              <w:rPr>
                <w:color w:val="000000"/>
                <w:spacing w:val="6"/>
                <w:sz w:val="21"/>
                <w:szCs w:val="21"/>
              </w:rPr>
              <w:t>小</w:t>
            </w:r>
          </w:p>
        </w:tc>
        <w:tc>
          <w:tcPr>
            <w:tcW w:w="398" w:type="pct"/>
            <w:vAlign w:val="center"/>
          </w:tcPr>
          <w:p w14:paraId="54F542BA">
            <w:pPr>
              <w:keepNext w:val="0"/>
              <w:keepLines w:val="0"/>
              <w:pageBreakBefore w:val="0"/>
              <w:tabs>
                <w:tab w:val="left" w:leader="middleDot" w:pos="0"/>
              </w:tabs>
              <w:kinsoku/>
              <w:wordWrap/>
              <w:overflowPunct/>
              <w:topLinePunct w:val="0"/>
              <w:autoSpaceDE/>
              <w:autoSpaceDN/>
              <w:bidi w:val="0"/>
              <w:adjustRightInd/>
              <w:snapToGrid/>
              <w:spacing w:line="240" w:lineRule="auto"/>
              <w:ind w:firstLine="0" w:firstLineChars="0"/>
              <w:jc w:val="center"/>
              <w:textAlignment w:val="auto"/>
              <w:rPr>
                <w:color w:val="000000"/>
                <w:spacing w:val="6"/>
                <w:sz w:val="21"/>
                <w:szCs w:val="21"/>
              </w:rPr>
            </w:pPr>
            <w:r>
              <w:rPr>
                <w:color w:val="000000"/>
                <w:spacing w:val="6"/>
                <w:sz w:val="21"/>
                <w:szCs w:val="21"/>
              </w:rPr>
              <w:t>大</w:t>
            </w:r>
          </w:p>
        </w:tc>
        <w:tc>
          <w:tcPr>
            <w:tcW w:w="398" w:type="pct"/>
            <w:vAlign w:val="center"/>
          </w:tcPr>
          <w:p w14:paraId="3B94D48D">
            <w:pPr>
              <w:keepNext w:val="0"/>
              <w:keepLines w:val="0"/>
              <w:pageBreakBefore w:val="0"/>
              <w:tabs>
                <w:tab w:val="left" w:leader="middleDot" w:pos="0"/>
              </w:tabs>
              <w:kinsoku/>
              <w:wordWrap/>
              <w:overflowPunct/>
              <w:topLinePunct w:val="0"/>
              <w:autoSpaceDE/>
              <w:autoSpaceDN/>
              <w:bidi w:val="0"/>
              <w:adjustRightInd/>
              <w:snapToGrid/>
              <w:spacing w:line="240" w:lineRule="auto"/>
              <w:ind w:firstLine="0" w:firstLineChars="0"/>
              <w:jc w:val="center"/>
              <w:textAlignment w:val="auto"/>
              <w:rPr>
                <w:color w:val="000000"/>
                <w:spacing w:val="6"/>
                <w:sz w:val="21"/>
                <w:szCs w:val="21"/>
              </w:rPr>
            </w:pPr>
            <w:r>
              <w:rPr>
                <w:color w:val="000000"/>
                <w:spacing w:val="6"/>
                <w:sz w:val="21"/>
                <w:szCs w:val="21"/>
              </w:rPr>
              <w:t>中</w:t>
            </w:r>
          </w:p>
        </w:tc>
        <w:tc>
          <w:tcPr>
            <w:tcW w:w="398" w:type="pct"/>
            <w:vAlign w:val="center"/>
          </w:tcPr>
          <w:p w14:paraId="4A777503">
            <w:pPr>
              <w:keepNext w:val="0"/>
              <w:keepLines w:val="0"/>
              <w:pageBreakBefore w:val="0"/>
              <w:tabs>
                <w:tab w:val="left" w:leader="middleDot" w:pos="0"/>
              </w:tabs>
              <w:kinsoku/>
              <w:wordWrap/>
              <w:overflowPunct/>
              <w:topLinePunct w:val="0"/>
              <w:autoSpaceDE/>
              <w:autoSpaceDN/>
              <w:bidi w:val="0"/>
              <w:adjustRightInd/>
              <w:snapToGrid/>
              <w:spacing w:line="240" w:lineRule="auto"/>
              <w:ind w:firstLine="0" w:firstLineChars="0"/>
              <w:jc w:val="center"/>
              <w:textAlignment w:val="auto"/>
              <w:rPr>
                <w:color w:val="000000"/>
                <w:spacing w:val="6"/>
                <w:sz w:val="21"/>
                <w:szCs w:val="21"/>
              </w:rPr>
            </w:pPr>
            <w:r>
              <w:rPr>
                <w:color w:val="000000"/>
                <w:spacing w:val="6"/>
                <w:sz w:val="21"/>
                <w:szCs w:val="21"/>
              </w:rPr>
              <w:t>小</w:t>
            </w:r>
          </w:p>
        </w:tc>
      </w:tr>
      <w:tr w14:paraId="09AAA812">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91" w:hRule="atLeast"/>
          <w:jc w:val="center"/>
        </w:trPr>
        <w:tc>
          <w:tcPr>
            <w:tcW w:w="995" w:type="pct"/>
            <w:vAlign w:val="center"/>
          </w:tcPr>
          <w:p w14:paraId="257CDFAA">
            <w:pPr>
              <w:keepNext w:val="0"/>
              <w:keepLines w:val="0"/>
              <w:pageBreakBefore w:val="0"/>
              <w:tabs>
                <w:tab w:val="left" w:leader="middleDot" w:pos="0"/>
              </w:tabs>
              <w:kinsoku/>
              <w:wordWrap/>
              <w:overflowPunct/>
              <w:topLinePunct w:val="0"/>
              <w:autoSpaceDE/>
              <w:autoSpaceDN/>
              <w:bidi w:val="0"/>
              <w:adjustRightInd/>
              <w:snapToGrid/>
              <w:spacing w:line="240" w:lineRule="auto"/>
              <w:ind w:firstLine="0" w:firstLineChars="0"/>
              <w:jc w:val="center"/>
              <w:textAlignment w:val="auto"/>
              <w:rPr>
                <w:color w:val="000000"/>
                <w:spacing w:val="6"/>
                <w:sz w:val="21"/>
                <w:szCs w:val="21"/>
              </w:rPr>
            </w:pPr>
            <w:r>
              <w:rPr>
                <w:color w:val="000000"/>
                <w:spacing w:val="6"/>
                <w:sz w:val="21"/>
                <w:szCs w:val="21"/>
              </w:rPr>
              <w:t>敏感</w:t>
            </w:r>
          </w:p>
        </w:tc>
        <w:tc>
          <w:tcPr>
            <w:tcW w:w="399" w:type="pct"/>
            <w:vAlign w:val="center"/>
          </w:tcPr>
          <w:p w14:paraId="694A5CCD">
            <w:pPr>
              <w:keepNext w:val="0"/>
              <w:keepLines w:val="0"/>
              <w:pageBreakBefore w:val="0"/>
              <w:tabs>
                <w:tab w:val="left" w:leader="middleDot" w:pos="0"/>
              </w:tabs>
              <w:kinsoku/>
              <w:wordWrap/>
              <w:overflowPunct/>
              <w:topLinePunct w:val="0"/>
              <w:autoSpaceDE/>
              <w:autoSpaceDN/>
              <w:bidi w:val="0"/>
              <w:adjustRightInd/>
              <w:snapToGrid/>
              <w:spacing w:line="240" w:lineRule="auto"/>
              <w:ind w:firstLine="0" w:firstLineChars="0"/>
              <w:jc w:val="center"/>
              <w:textAlignment w:val="auto"/>
              <w:rPr>
                <w:color w:val="000000"/>
                <w:spacing w:val="6"/>
                <w:sz w:val="21"/>
                <w:szCs w:val="21"/>
              </w:rPr>
            </w:pPr>
            <w:r>
              <w:rPr>
                <w:color w:val="000000"/>
                <w:spacing w:val="6"/>
                <w:sz w:val="21"/>
                <w:szCs w:val="21"/>
              </w:rPr>
              <w:t>一级</w:t>
            </w:r>
          </w:p>
        </w:tc>
        <w:tc>
          <w:tcPr>
            <w:tcW w:w="416" w:type="pct"/>
            <w:vAlign w:val="center"/>
          </w:tcPr>
          <w:p w14:paraId="391CD4A1">
            <w:pPr>
              <w:keepNext w:val="0"/>
              <w:keepLines w:val="0"/>
              <w:pageBreakBefore w:val="0"/>
              <w:tabs>
                <w:tab w:val="left" w:leader="middleDot" w:pos="0"/>
              </w:tabs>
              <w:kinsoku/>
              <w:wordWrap/>
              <w:overflowPunct/>
              <w:topLinePunct w:val="0"/>
              <w:autoSpaceDE/>
              <w:autoSpaceDN/>
              <w:bidi w:val="0"/>
              <w:adjustRightInd/>
              <w:snapToGrid/>
              <w:spacing w:line="240" w:lineRule="auto"/>
              <w:ind w:firstLine="0" w:firstLineChars="0"/>
              <w:jc w:val="center"/>
              <w:textAlignment w:val="auto"/>
              <w:rPr>
                <w:color w:val="000000"/>
                <w:spacing w:val="6"/>
                <w:sz w:val="21"/>
                <w:szCs w:val="21"/>
              </w:rPr>
            </w:pPr>
            <w:r>
              <w:rPr>
                <w:color w:val="000000"/>
                <w:spacing w:val="6"/>
                <w:sz w:val="21"/>
                <w:szCs w:val="21"/>
              </w:rPr>
              <w:t>一级</w:t>
            </w:r>
          </w:p>
        </w:tc>
        <w:tc>
          <w:tcPr>
            <w:tcW w:w="416" w:type="pct"/>
            <w:vAlign w:val="center"/>
          </w:tcPr>
          <w:p w14:paraId="09468B10">
            <w:pPr>
              <w:keepNext w:val="0"/>
              <w:keepLines w:val="0"/>
              <w:pageBreakBefore w:val="0"/>
              <w:tabs>
                <w:tab w:val="left" w:leader="middleDot" w:pos="0"/>
              </w:tabs>
              <w:kinsoku/>
              <w:wordWrap/>
              <w:overflowPunct/>
              <w:topLinePunct w:val="0"/>
              <w:autoSpaceDE/>
              <w:autoSpaceDN/>
              <w:bidi w:val="0"/>
              <w:adjustRightInd/>
              <w:snapToGrid/>
              <w:spacing w:line="240" w:lineRule="auto"/>
              <w:ind w:firstLine="0" w:firstLineChars="0"/>
              <w:jc w:val="center"/>
              <w:textAlignment w:val="auto"/>
              <w:rPr>
                <w:color w:val="000000"/>
                <w:spacing w:val="6"/>
                <w:sz w:val="21"/>
                <w:szCs w:val="21"/>
              </w:rPr>
            </w:pPr>
            <w:r>
              <w:rPr>
                <w:color w:val="000000"/>
                <w:spacing w:val="6"/>
                <w:sz w:val="21"/>
                <w:szCs w:val="21"/>
              </w:rPr>
              <w:t>一级</w:t>
            </w:r>
          </w:p>
        </w:tc>
        <w:tc>
          <w:tcPr>
            <w:tcW w:w="582" w:type="pct"/>
            <w:vAlign w:val="center"/>
          </w:tcPr>
          <w:p w14:paraId="46AE8064">
            <w:pPr>
              <w:keepNext w:val="0"/>
              <w:keepLines w:val="0"/>
              <w:pageBreakBefore w:val="0"/>
              <w:tabs>
                <w:tab w:val="left" w:leader="middleDot" w:pos="0"/>
              </w:tabs>
              <w:kinsoku/>
              <w:wordWrap/>
              <w:overflowPunct/>
              <w:topLinePunct w:val="0"/>
              <w:autoSpaceDE/>
              <w:autoSpaceDN/>
              <w:bidi w:val="0"/>
              <w:adjustRightInd/>
              <w:snapToGrid/>
              <w:spacing w:line="240" w:lineRule="auto"/>
              <w:ind w:firstLine="0" w:firstLineChars="0"/>
              <w:jc w:val="center"/>
              <w:textAlignment w:val="auto"/>
              <w:rPr>
                <w:color w:val="000000"/>
                <w:spacing w:val="6"/>
                <w:sz w:val="21"/>
                <w:szCs w:val="21"/>
              </w:rPr>
            </w:pPr>
            <w:r>
              <w:rPr>
                <w:color w:val="000000"/>
                <w:spacing w:val="6"/>
                <w:sz w:val="21"/>
                <w:szCs w:val="21"/>
              </w:rPr>
              <w:t>二级</w:t>
            </w:r>
          </w:p>
        </w:tc>
        <w:tc>
          <w:tcPr>
            <w:tcW w:w="499" w:type="pct"/>
            <w:vAlign w:val="center"/>
          </w:tcPr>
          <w:p w14:paraId="0C7729C1">
            <w:pPr>
              <w:keepNext w:val="0"/>
              <w:keepLines w:val="0"/>
              <w:pageBreakBefore w:val="0"/>
              <w:tabs>
                <w:tab w:val="left" w:leader="middleDot" w:pos="0"/>
              </w:tabs>
              <w:kinsoku/>
              <w:wordWrap/>
              <w:overflowPunct/>
              <w:topLinePunct w:val="0"/>
              <w:autoSpaceDE/>
              <w:autoSpaceDN/>
              <w:bidi w:val="0"/>
              <w:adjustRightInd/>
              <w:snapToGrid/>
              <w:spacing w:line="240" w:lineRule="auto"/>
              <w:ind w:firstLine="0" w:firstLineChars="0"/>
              <w:jc w:val="center"/>
              <w:textAlignment w:val="auto"/>
              <w:rPr>
                <w:color w:val="000000"/>
                <w:spacing w:val="6"/>
                <w:sz w:val="21"/>
                <w:szCs w:val="21"/>
              </w:rPr>
            </w:pPr>
            <w:r>
              <w:rPr>
                <w:color w:val="000000"/>
                <w:spacing w:val="6"/>
                <w:sz w:val="21"/>
                <w:szCs w:val="21"/>
              </w:rPr>
              <w:t>二级</w:t>
            </w:r>
          </w:p>
        </w:tc>
        <w:tc>
          <w:tcPr>
            <w:tcW w:w="499" w:type="pct"/>
            <w:vAlign w:val="center"/>
          </w:tcPr>
          <w:p w14:paraId="73E0C450">
            <w:pPr>
              <w:keepNext w:val="0"/>
              <w:keepLines w:val="0"/>
              <w:pageBreakBefore w:val="0"/>
              <w:tabs>
                <w:tab w:val="left" w:leader="middleDot" w:pos="0"/>
              </w:tabs>
              <w:kinsoku/>
              <w:wordWrap/>
              <w:overflowPunct/>
              <w:topLinePunct w:val="0"/>
              <w:autoSpaceDE/>
              <w:autoSpaceDN/>
              <w:bidi w:val="0"/>
              <w:adjustRightInd/>
              <w:snapToGrid/>
              <w:spacing w:line="240" w:lineRule="auto"/>
              <w:ind w:firstLine="0" w:firstLineChars="0"/>
              <w:jc w:val="center"/>
              <w:textAlignment w:val="auto"/>
              <w:rPr>
                <w:color w:val="000000"/>
                <w:spacing w:val="6"/>
                <w:sz w:val="21"/>
                <w:szCs w:val="21"/>
              </w:rPr>
            </w:pPr>
            <w:r>
              <w:rPr>
                <w:color w:val="000000"/>
                <w:spacing w:val="6"/>
                <w:sz w:val="21"/>
                <w:szCs w:val="21"/>
              </w:rPr>
              <w:t>二级</w:t>
            </w:r>
          </w:p>
        </w:tc>
        <w:tc>
          <w:tcPr>
            <w:tcW w:w="398" w:type="pct"/>
            <w:vAlign w:val="center"/>
          </w:tcPr>
          <w:p w14:paraId="3DFAB89E">
            <w:pPr>
              <w:keepNext w:val="0"/>
              <w:keepLines w:val="0"/>
              <w:pageBreakBefore w:val="0"/>
              <w:tabs>
                <w:tab w:val="left" w:leader="middleDot" w:pos="0"/>
              </w:tabs>
              <w:kinsoku/>
              <w:wordWrap/>
              <w:overflowPunct/>
              <w:topLinePunct w:val="0"/>
              <w:autoSpaceDE/>
              <w:autoSpaceDN/>
              <w:bidi w:val="0"/>
              <w:adjustRightInd/>
              <w:snapToGrid/>
              <w:spacing w:line="240" w:lineRule="auto"/>
              <w:ind w:firstLine="0" w:firstLineChars="0"/>
              <w:jc w:val="center"/>
              <w:textAlignment w:val="auto"/>
              <w:rPr>
                <w:color w:val="000000"/>
                <w:spacing w:val="6"/>
                <w:sz w:val="21"/>
                <w:szCs w:val="21"/>
              </w:rPr>
            </w:pPr>
            <w:r>
              <w:rPr>
                <w:color w:val="000000"/>
                <w:spacing w:val="6"/>
                <w:sz w:val="21"/>
                <w:szCs w:val="21"/>
              </w:rPr>
              <w:t>三级</w:t>
            </w:r>
          </w:p>
        </w:tc>
        <w:tc>
          <w:tcPr>
            <w:tcW w:w="398" w:type="pct"/>
            <w:vAlign w:val="center"/>
          </w:tcPr>
          <w:p w14:paraId="4735253F">
            <w:pPr>
              <w:keepNext w:val="0"/>
              <w:keepLines w:val="0"/>
              <w:pageBreakBefore w:val="0"/>
              <w:tabs>
                <w:tab w:val="left" w:leader="middleDot" w:pos="0"/>
              </w:tabs>
              <w:kinsoku/>
              <w:wordWrap/>
              <w:overflowPunct/>
              <w:topLinePunct w:val="0"/>
              <w:autoSpaceDE/>
              <w:autoSpaceDN/>
              <w:bidi w:val="0"/>
              <w:adjustRightInd/>
              <w:snapToGrid/>
              <w:spacing w:line="240" w:lineRule="auto"/>
              <w:ind w:firstLine="0" w:firstLineChars="0"/>
              <w:jc w:val="center"/>
              <w:textAlignment w:val="auto"/>
              <w:rPr>
                <w:color w:val="000000"/>
                <w:spacing w:val="6"/>
                <w:sz w:val="21"/>
                <w:szCs w:val="21"/>
              </w:rPr>
            </w:pPr>
            <w:r>
              <w:rPr>
                <w:color w:val="000000"/>
                <w:spacing w:val="6"/>
                <w:sz w:val="21"/>
                <w:szCs w:val="21"/>
              </w:rPr>
              <w:t>三级</w:t>
            </w:r>
          </w:p>
        </w:tc>
        <w:tc>
          <w:tcPr>
            <w:tcW w:w="398" w:type="pct"/>
            <w:vAlign w:val="center"/>
          </w:tcPr>
          <w:p w14:paraId="7CBA73C0">
            <w:pPr>
              <w:keepNext w:val="0"/>
              <w:keepLines w:val="0"/>
              <w:pageBreakBefore w:val="0"/>
              <w:tabs>
                <w:tab w:val="left" w:leader="middleDot" w:pos="0"/>
              </w:tabs>
              <w:kinsoku/>
              <w:wordWrap/>
              <w:overflowPunct/>
              <w:topLinePunct w:val="0"/>
              <w:autoSpaceDE/>
              <w:autoSpaceDN/>
              <w:bidi w:val="0"/>
              <w:adjustRightInd/>
              <w:snapToGrid/>
              <w:spacing w:line="240" w:lineRule="auto"/>
              <w:ind w:firstLine="0" w:firstLineChars="0"/>
              <w:jc w:val="center"/>
              <w:textAlignment w:val="auto"/>
              <w:rPr>
                <w:color w:val="000000"/>
                <w:spacing w:val="6"/>
                <w:sz w:val="21"/>
                <w:szCs w:val="21"/>
              </w:rPr>
            </w:pPr>
            <w:r>
              <w:rPr>
                <w:color w:val="000000"/>
                <w:spacing w:val="6"/>
                <w:sz w:val="21"/>
                <w:szCs w:val="21"/>
              </w:rPr>
              <w:t>三级</w:t>
            </w:r>
          </w:p>
        </w:tc>
      </w:tr>
      <w:tr w14:paraId="36C04E69">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91" w:hRule="atLeast"/>
          <w:jc w:val="center"/>
        </w:trPr>
        <w:tc>
          <w:tcPr>
            <w:tcW w:w="995" w:type="pct"/>
            <w:vAlign w:val="center"/>
          </w:tcPr>
          <w:p w14:paraId="029FEAC7">
            <w:pPr>
              <w:keepNext w:val="0"/>
              <w:keepLines w:val="0"/>
              <w:pageBreakBefore w:val="0"/>
              <w:tabs>
                <w:tab w:val="left" w:leader="middleDot" w:pos="0"/>
              </w:tabs>
              <w:kinsoku/>
              <w:wordWrap/>
              <w:overflowPunct/>
              <w:topLinePunct w:val="0"/>
              <w:autoSpaceDE/>
              <w:autoSpaceDN/>
              <w:bidi w:val="0"/>
              <w:adjustRightInd/>
              <w:snapToGrid/>
              <w:spacing w:line="240" w:lineRule="auto"/>
              <w:ind w:firstLine="0" w:firstLineChars="0"/>
              <w:jc w:val="center"/>
              <w:textAlignment w:val="auto"/>
              <w:rPr>
                <w:color w:val="000000"/>
                <w:spacing w:val="6"/>
                <w:sz w:val="21"/>
                <w:szCs w:val="21"/>
              </w:rPr>
            </w:pPr>
            <w:r>
              <w:rPr>
                <w:color w:val="000000"/>
                <w:spacing w:val="6"/>
                <w:sz w:val="21"/>
                <w:szCs w:val="21"/>
              </w:rPr>
              <w:t>较敏感</w:t>
            </w:r>
          </w:p>
        </w:tc>
        <w:tc>
          <w:tcPr>
            <w:tcW w:w="399" w:type="pct"/>
            <w:vAlign w:val="center"/>
          </w:tcPr>
          <w:p w14:paraId="318D94E5">
            <w:pPr>
              <w:keepNext w:val="0"/>
              <w:keepLines w:val="0"/>
              <w:pageBreakBefore w:val="0"/>
              <w:tabs>
                <w:tab w:val="left" w:leader="middleDot" w:pos="0"/>
              </w:tabs>
              <w:kinsoku/>
              <w:wordWrap/>
              <w:overflowPunct/>
              <w:topLinePunct w:val="0"/>
              <w:autoSpaceDE/>
              <w:autoSpaceDN/>
              <w:bidi w:val="0"/>
              <w:adjustRightInd/>
              <w:snapToGrid/>
              <w:spacing w:line="240" w:lineRule="auto"/>
              <w:ind w:firstLine="0" w:firstLineChars="0"/>
              <w:jc w:val="center"/>
              <w:textAlignment w:val="auto"/>
              <w:rPr>
                <w:color w:val="000000"/>
                <w:spacing w:val="6"/>
                <w:sz w:val="21"/>
                <w:szCs w:val="21"/>
              </w:rPr>
            </w:pPr>
            <w:r>
              <w:rPr>
                <w:color w:val="000000"/>
                <w:spacing w:val="6"/>
                <w:sz w:val="21"/>
                <w:szCs w:val="21"/>
              </w:rPr>
              <w:t>一级</w:t>
            </w:r>
          </w:p>
        </w:tc>
        <w:tc>
          <w:tcPr>
            <w:tcW w:w="416" w:type="pct"/>
            <w:vAlign w:val="center"/>
          </w:tcPr>
          <w:p w14:paraId="383D9265">
            <w:pPr>
              <w:keepNext w:val="0"/>
              <w:keepLines w:val="0"/>
              <w:pageBreakBefore w:val="0"/>
              <w:tabs>
                <w:tab w:val="left" w:leader="middleDot" w:pos="0"/>
              </w:tabs>
              <w:kinsoku/>
              <w:wordWrap/>
              <w:overflowPunct/>
              <w:topLinePunct w:val="0"/>
              <w:autoSpaceDE/>
              <w:autoSpaceDN/>
              <w:bidi w:val="0"/>
              <w:adjustRightInd/>
              <w:snapToGrid/>
              <w:spacing w:line="240" w:lineRule="auto"/>
              <w:ind w:firstLine="0" w:firstLineChars="0"/>
              <w:jc w:val="center"/>
              <w:textAlignment w:val="auto"/>
              <w:rPr>
                <w:color w:val="000000"/>
                <w:spacing w:val="6"/>
                <w:sz w:val="21"/>
                <w:szCs w:val="21"/>
              </w:rPr>
            </w:pPr>
            <w:r>
              <w:rPr>
                <w:color w:val="000000"/>
                <w:spacing w:val="6"/>
                <w:sz w:val="21"/>
                <w:szCs w:val="21"/>
              </w:rPr>
              <w:t>一级</w:t>
            </w:r>
          </w:p>
        </w:tc>
        <w:tc>
          <w:tcPr>
            <w:tcW w:w="416" w:type="pct"/>
            <w:vAlign w:val="center"/>
          </w:tcPr>
          <w:p w14:paraId="602F7A23">
            <w:pPr>
              <w:keepNext w:val="0"/>
              <w:keepLines w:val="0"/>
              <w:pageBreakBefore w:val="0"/>
              <w:tabs>
                <w:tab w:val="left" w:leader="middleDot" w:pos="0"/>
              </w:tabs>
              <w:kinsoku/>
              <w:wordWrap/>
              <w:overflowPunct/>
              <w:topLinePunct w:val="0"/>
              <w:autoSpaceDE/>
              <w:autoSpaceDN/>
              <w:bidi w:val="0"/>
              <w:adjustRightInd/>
              <w:snapToGrid/>
              <w:spacing w:line="240" w:lineRule="auto"/>
              <w:ind w:firstLine="0" w:firstLineChars="0"/>
              <w:jc w:val="center"/>
              <w:textAlignment w:val="auto"/>
              <w:rPr>
                <w:color w:val="000000"/>
                <w:spacing w:val="6"/>
                <w:sz w:val="21"/>
                <w:szCs w:val="21"/>
              </w:rPr>
            </w:pPr>
            <w:r>
              <w:rPr>
                <w:color w:val="000000"/>
                <w:spacing w:val="6"/>
                <w:sz w:val="21"/>
                <w:szCs w:val="21"/>
              </w:rPr>
              <w:t>二级</w:t>
            </w:r>
          </w:p>
        </w:tc>
        <w:tc>
          <w:tcPr>
            <w:tcW w:w="582" w:type="pct"/>
            <w:vAlign w:val="center"/>
          </w:tcPr>
          <w:p w14:paraId="43697A6D">
            <w:pPr>
              <w:keepNext w:val="0"/>
              <w:keepLines w:val="0"/>
              <w:pageBreakBefore w:val="0"/>
              <w:tabs>
                <w:tab w:val="left" w:leader="middleDot" w:pos="0"/>
              </w:tabs>
              <w:kinsoku/>
              <w:wordWrap/>
              <w:overflowPunct/>
              <w:topLinePunct w:val="0"/>
              <w:autoSpaceDE/>
              <w:autoSpaceDN/>
              <w:bidi w:val="0"/>
              <w:adjustRightInd/>
              <w:snapToGrid/>
              <w:spacing w:line="240" w:lineRule="auto"/>
              <w:ind w:firstLine="0" w:firstLineChars="0"/>
              <w:jc w:val="center"/>
              <w:textAlignment w:val="auto"/>
              <w:rPr>
                <w:color w:val="000000"/>
                <w:spacing w:val="6"/>
                <w:sz w:val="21"/>
                <w:szCs w:val="21"/>
              </w:rPr>
            </w:pPr>
            <w:r>
              <w:rPr>
                <w:color w:val="000000"/>
                <w:spacing w:val="6"/>
                <w:sz w:val="21"/>
                <w:szCs w:val="21"/>
              </w:rPr>
              <w:t>二级</w:t>
            </w:r>
          </w:p>
        </w:tc>
        <w:tc>
          <w:tcPr>
            <w:tcW w:w="499" w:type="pct"/>
            <w:vAlign w:val="center"/>
          </w:tcPr>
          <w:p w14:paraId="44B1E4B6">
            <w:pPr>
              <w:keepNext w:val="0"/>
              <w:keepLines w:val="0"/>
              <w:pageBreakBefore w:val="0"/>
              <w:tabs>
                <w:tab w:val="left" w:leader="middleDot" w:pos="0"/>
              </w:tabs>
              <w:kinsoku/>
              <w:wordWrap/>
              <w:overflowPunct/>
              <w:topLinePunct w:val="0"/>
              <w:autoSpaceDE/>
              <w:autoSpaceDN/>
              <w:bidi w:val="0"/>
              <w:adjustRightInd/>
              <w:snapToGrid/>
              <w:spacing w:line="240" w:lineRule="auto"/>
              <w:ind w:firstLine="0" w:firstLineChars="0"/>
              <w:jc w:val="center"/>
              <w:textAlignment w:val="auto"/>
              <w:rPr>
                <w:color w:val="000000"/>
                <w:spacing w:val="6"/>
                <w:sz w:val="21"/>
                <w:szCs w:val="21"/>
              </w:rPr>
            </w:pPr>
            <w:r>
              <w:rPr>
                <w:color w:val="000000"/>
                <w:spacing w:val="6"/>
                <w:sz w:val="21"/>
                <w:szCs w:val="21"/>
              </w:rPr>
              <w:t>二级</w:t>
            </w:r>
          </w:p>
        </w:tc>
        <w:tc>
          <w:tcPr>
            <w:tcW w:w="499" w:type="pct"/>
            <w:vAlign w:val="center"/>
          </w:tcPr>
          <w:p w14:paraId="500622D7">
            <w:pPr>
              <w:keepNext w:val="0"/>
              <w:keepLines w:val="0"/>
              <w:pageBreakBefore w:val="0"/>
              <w:tabs>
                <w:tab w:val="left" w:leader="middleDot" w:pos="0"/>
              </w:tabs>
              <w:kinsoku/>
              <w:wordWrap/>
              <w:overflowPunct/>
              <w:topLinePunct w:val="0"/>
              <w:autoSpaceDE/>
              <w:autoSpaceDN/>
              <w:bidi w:val="0"/>
              <w:adjustRightInd/>
              <w:snapToGrid/>
              <w:spacing w:line="240" w:lineRule="auto"/>
              <w:ind w:firstLine="0" w:firstLineChars="0"/>
              <w:jc w:val="center"/>
              <w:textAlignment w:val="auto"/>
              <w:rPr>
                <w:color w:val="000000"/>
                <w:spacing w:val="6"/>
                <w:sz w:val="21"/>
                <w:szCs w:val="21"/>
              </w:rPr>
            </w:pPr>
            <w:r>
              <w:rPr>
                <w:color w:val="000000"/>
                <w:spacing w:val="6"/>
                <w:sz w:val="21"/>
                <w:szCs w:val="21"/>
              </w:rPr>
              <w:t>三级</w:t>
            </w:r>
          </w:p>
        </w:tc>
        <w:tc>
          <w:tcPr>
            <w:tcW w:w="398" w:type="pct"/>
            <w:vAlign w:val="center"/>
          </w:tcPr>
          <w:p w14:paraId="16DFDBDA">
            <w:pPr>
              <w:keepNext w:val="0"/>
              <w:keepLines w:val="0"/>
              <w:pageBreakBefore w:val="0"/>
              <w:tabs>
                <w:tab w:val="left" w:leader="middleDot" w:pos="0"/>
              </w:tabs>
              <w:kinsoku/>
              <w:wordWrap/>
              <w:overflowPunct/>
              <w:topLinePunct w:val="0"/>
              <w:autoSpaceDE/>
              <w:autoSpaceDN/>
              <w:bidi w:val="0"/>
              <w:adjustRightInd/>
              <w:snapToGrid/>
              <w:spacing w:line="240" w:lineRule="auto"/>
              <w:ind w:firstLine="0" w:firstLineChars="0"/>
              <w:jc w:val="center"/>
              <w:textAlignment w:val="auto"/>
              <w:rPr>
                <w:color w:val="000000"/>
                <w:spacing w:val="6"/>
                <w:sz w:val="21"/>
                <w:szCs w:val="21"/>
              </w:rPr>
            </w:pPr>
            <w:r>
              <w:rPr>
                <w:color w:val="000000"/>
                <w:spacing w:val="6"/>
                <w:sz w:val="21"/>
                <w:szCs w:val="21"/>
              </w:rPr>
              <w:t>三级</w:t>
            </w:r>
          </w:p>
        </w:tc>
        <w:tc>
          <w:tcPr>
            <w:tcW w:w="398" w:type="pct"/>
            <w:vAlign w:val="center"/>
          </w:tcPr>
          <w:p w14:paraId="3ADF7393">
            <w:pPr>
              <w:keepNext w:val="0"/>
              <w:keepLines w:val="0"/>
              <w:pageBreakBefore w:val="0"/>
              <w:tabs>
                <w:tab w:val="left" w:leader="middleDot" w:pos="0"/>
              </w:tabs>
              <w:kinsoku/>
              <w:wordWrap/>
              <w:overflowPunct/>
              <w:topLinePunct w:val="0"/>
              <w:autoSpaceDE/>
              <w:autoSpaceDN/>
              <w:bidi w:val="0"/>
              <w:adjustRightInd/>
              <w:snapToGrid/>
              <w:spacing w:line="240" w:lineRule="auto"/>
              <w:ind w:firstLine="0" w:firstLineChars="0"/>
              <w:jc w:val="center"/>
              <w:textAlignment w:val="auto"/>
              <w:rPr>
                <w:color w:val="000000"/>
                <w:spacing w:val="6"/>
                <w:sz w:val="21"/>
                <w:szCs w:val="21"/>
              </w:rPr>
            </w:pPr>
            <w:r>
              <w:rPr>
                <w:color w:val="000000"/>
                <w:spacing w:val="6"/>
                <w:sz w:val="21"/>
                <w:szCs w:val="21"/>
              </w:rPr>
              <w:t>三级</w:t>
            </w:r>
          </w:p>
        </w:tc>
        <w:tc>
          <w:tcPr>
            <w:tcW w:w="398" w:type="pct"/>
            <w:vAlign w:val="center"/>
          </w:tcPr>
          <w:p w14:paraId="105BCE66">
            <w:pPr>
              <w:keepNext w:val="0"/>
              <w:keepLines w:val="0"/>
              <w:pageBreakBefore w:val="0"/>
              <w:tabs>
                <w:tab w:val="left" w:leader="middleDot" w:pos="0"/>
              </w:tabs>
              <w:kinsoku/>
              <w:wordWrap/>
              <w:overflowPunct/>
              <w:topLinePunct w:val="0"/>
              <w:autoSpaceDE/>
              <w:autoSpaceDN/>
              <w:bidi w:val="0"/>
              <w:adjustRightInd/>
              <w:snapToGrid/>
              <w:spacing w:line="240" w:lineRule="auto"/>
              <w:ind w:firstLine="0" w:firstLineChars="0"/>
              <w:jc w:val="center"/>
              <w:textAlignment w:val="auto"/>
              <w:rPr>
                <w:color w:val="000000"/>
                <w:spacing w:val="6"/>
                <w:sz w:val="21"/>
                <w:szCs w:val="21"/>
              </w:rPr>
            </w:pPr>
            <w:r>
              <w:rPr>
                <w:color w:val="000000"/>
                <w:spacing w:val="6"/>
                <w:sz w:val="21"/>
                <w:szCs w:val="21"/>
              </w:rPr>
              <w:t>--</w:t>
            </w:r>
          </w:p>
        </w:tc>
      </w:tr>
      <w:tr w14:paraId="7D1A260A">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91" w:hRule="atLeast"/>
          <w:jc w:val="center"/>
        </w:trPr>
        <w:tc>
          <w:tcPr>
            <w:tcW w:w="995" w:type="pct"/>
            <w:vAlign w:val="center"/>
          </w:tcPr>
          <w:p w14:paraId="3B014E05">
            <w:pPr>
              <w:keepNext w:val="0"/>
              <w:keepLines w:val="0"/>
              <w:pageBreakBefore w:val="0"/>
              <w:tabs>
                <w:tab w:val="left" w:leader="middleDot" w:pos="0"/>
              </w:tabs>
              <w:kinsoku/>
              <w:wordWrap/>
              <w:overflowPunct/>
              <w:topLinePunct w:val="0"/>
              <w:autoSpaceDE/>
              <w:autoSpaceDN/>
              <w:bidi w:val="0"/>
              <w:adjustRightInd/>
              <w:snapToGrid/>
              <w:spacing w:line="240" w:lineRule="auto"/>
              <w:ind w:firstLine="0" w:firstLineChars="0"/>
              <w:jc w:val="center"/>
              <w:textAlignment w:val="auto"/>
              <w:rPr>
                <w:color w:val="000000"/>
                <w:spacing w:val="6"/>
                <w:sz w:val="21"/>
                <w:szCs w:val="21"/>
              </w:rPr>
            </w:pPr>
            <w:r>
              <w:rPr>
                <w:color w:val="000000"/>
                <w:spacing w:val="6"/>
                <w:sz w:val="21"/>
                <w:szCs w:val="21"/>
              </w:rPr>
              <w:t>不敏感</w:t>
            </w:r>
          </w:p>
        </w:tc>
        <w:tc>
          <w:tcPr>
            <w:tcW w:w="399" w:type="pct"/>
            <w:vAlign w:val="center"/>
          </w:tcPr>
          <w:p w14:paraId="1B4C00EF">
            <w:pPr>
              <w:keepNext w:val="0"/>
              <w:keepLines w:val="0"/>
              <w:pageBreakBefore w:val="0"/>
              <w:tabs>
                <w:tab w:val="left" w:leader="middleDot" w:pos="0"/>
              </w:tabs>
              <w:kinsoku/>
              <w:wordWrap/>
              <w:overflowPunct/>
              <w:topLinePunct w:val="0"/>
              <w:autoSpaceDE/>
              <w:autoSpaceDN/>
              <w:bidi w:val="0"/>
              <w:adjustRightInd/>
              <w:snapToGrid/>
              <w:spacing w:line="240" w:lineRule="auto"/>
              <w:ind w:firstLine="0" w:firstLineChars="0"/>
              <w:jc w:val="center"/>
              <w:textAlignment w:val="auto"/>
              <w:rPr>
                <w:color w:val="000000"/>
                <w:spacing w:val="6"/>
                <w:sz w:val="21"/>
                <w:szCs w:val="21"/>
              </w:rPr>
            </w:pPr>
            <w:r>
              <w:rPr>
                <w:color w:val="000000"/>
                <w:spacing w:val="6"/>
                <w:sz w:val="21"/>
                <w:szCs w:val="21"/>
              </w:rPr>
              <w:t>一级</w:t>
            </w:r>
          </w:p>
        </w:tc>
        <w:tc>
          <w:tcPr>
            <w:tcW w:w="416" w:type="pct"/>
            <w:vAlign w:val="center"/>
          </w:tcPr>
          <w:p w14:paraId="1CC58404">
            <w:pPr>
              <w:keepNext w:val="0"/>
              <w:keepLines w:val="0"/>
              <w:pageBreakBefore w:val="0"/>
              <w:tabs>
                <w:tab w:val="left" w:leader="middleDot" w:pos="0"/>
              </w:tabs>
              <w:kinsoku/>
              <w:wordWrap/>
              <w:overflowPunct/>
              <w:topLinePunct w:val="0"/>
              <w:autoSpaceDE/>
              <w:autoSpaceDN/>
              <w:bidi w:val="0"/>
              <w:adjustRightInd/>
              <w:snapToGrid/>
              <w:spacing w:line="240" w:lineRule="auto"/>
              <w:ind w:firstLine="0" w:firstLineChars="0"/>
              <w:jc w:val="center"/>
              <w:textAlignment w:val="auto"/>
              <w:rPr>
                <w:color w:val="000000"/>
                <w:spacing w:val="6"/>
                <w:sz w:val="21"/>
                <w:szCs w:val="21"/>
              </w:rPr>
            </w:pPr>
            <w:r>
              <w:rPr>
                <w:color w:val="000000"/>
                <w:spacing w:val="6"/>
                <w:sz w:val="21"/>
                <w:szCs w:val="21"/>
              </w:rPr>
              <w:t>二级</w:t>
            </w:r>
          </w:p>
        </w:tc>
        <w:tc>
          <w:tcPr>
            <w:tcW w:w="416" w:type="pct"/>
            <w:vAlign w:val="center"/>
          </w:tcPr>
          <w:p w14:paraId="515CAD01">
            <w:pPr>
              <w:keepNext w:val="0"/>
              <w:keepLines w:val="0"/>
              <w:pageBreakBefore w:val="0"/>
              <w:tabs>
                <w:tab w:val="left" w:leader="middleDot" w:pos="0"/>
              </w:tabs>
              <w:kinsoku/>
              <w:wordWrap/>
              <w:overflowPunct/>
              <w:topLinePunct w:val="0"/>
              <w:autoSpaceDE/>
              <w:autoSpaceDN/>
              <w:bidi w:val="0"/>
              <w:adjustRightInd/>
              <w:snapToGrid/>
              <w:spacing w:line="240" w:lineRule="auto"/>
              <w:ind w:firstLine="0" w:firstLineChars="0"/>
              <w:jc w:val="center"/>
              <w:textAlignment w:val="auto"/>
              <w:rPr>
                <w:color w:val="000000"/>
                <w:spacing w:val="6"/>
                <w:sz w:val="21"/>
                <w:szCs w:val="21"/>
              </w:rPr>
            </w:pPr>
            <w:r>
              <w:rPr>
                <w:color w:val="000000"/>
                <w:spacing w:val="6"/>
                <w:sz w:val="21"/>
                <w:szCs w:val="21"/>
              </w:rPr>
              <w:t>二级</w:t>
            </w:r>
          </w:p>
        </w:tc>
        <w:tc>
          <w:tcPr>
            <w:tcW w:w="582" w:type="pct"/>
            <w:vAlign w:val="center"/>
          </w:tcPr>
          <w:p w14:paraId="0A973820">
            <w:pPr>
              <w:keepNext w:val="0"/>
              <w:keepLines w:val="0"/>
              <w:pageBreakBefore w:val="0"/>
              <w:tabs>
                <w:tab w:val="left" w:leader="middleDot" w:pos="0"/>
              </w:tabs>
              <w:kinsoku/>
              <w:wordWrap/>
              <w:overflowPunct/>
              <w:topLinePunct w:val="0"/>
              <w:autoSpaceDE/>
              <w:autoSpaceDN/>
              <w:bidi w:val="0"/>
              <w:adjustRightInd/>
              <w:snapToGrid/>
              <w:spacing w:line="240" w:lineRule="auto"/>
              <w:ind w:firstLine="0" w:firstLineChars="0"/>
              <w:jc w:val="center"/>
              <w:textAlignment w:val="auto"/>
              <w:rPr>
                <w:color w:val="000000"/>
                <w:spacing w:val="6"/>
                <w:sz w:val="21"/>
                <w:szCs w:val="21"/>
              </w:rPr>
            </w:pPr>
            <w:r>
              <w:rPr>
                <w:color w:val="000000"/>
                <w:spacing w:val="6"/>
                <w:sz w:val="21"/>
                <w:szCs w:val="21"/>
              </w:rPr>
              <w:t>二级</w:t>
            </w:r>
          </w:p>
        </w:tc>
        <w:tc>
          <w:tcPr>
            <w:tcW w:w="499" w:type="pct"/>
            <w:vAlign w:val="center"/>
          </w:tcPr>
          <w:p w14:paraId="6B54387D">
            <w:pPr>
              <w:keepNext w:val="0"/>
              <w:keepLines w:val="0"/>
              <w:pageBreakBefore w:val="0"/>
              <w:tabs>
                <w:tab w:val="left" w:leader="middleDot" w:pos="0"/>
              </w:tabs>
              <w:kinsoku/>
              <w:wordWrap/>
              <w:overflowPunct/>
              <w:topLinePunct w:val="0"/>
              <w:autoSpaceDE/>
              <w:autoSpaceDN/>
              <w:bidi w:val="0"/>
              <w:adjustRightInd/>
              <w:snapToGrid/>
              <w:spacing w:line="240" w:lineRule="auto"/>
              <w:ind w:firstLine="0" w:firstLineChars="0"/>
              <w:jc w:val="center"/>
              <w:textAlignment w:val="auto"/>
              <w:rPr>
                <w:color w:val="000000"/>
                <w:spacing w:val="6"/>
                <w:sz w:val="21"/>
                <w:szCs w:val="21"/>
              </w:rPr>
            </w:pPr>
            <w:r>
              <w:rPr>
                <w:color w:val="000000"/>
                <w:spacing w:val="6"/>
                <w:sz w:val="21"/>
                <w:szCs w:val="21"/>
              </w:rPr>
              <w:t>三级</w:t>
            </w:r>
          </w:p>
        </w:tc>
        <w:tc>
          <w:tcPr>
            <w:tcW w:w="499" w:type="pct"/>
            <w:vAlign w:val="center"/>
          </w:tcPr>
          <w:p w14:paraId="6E4114FD">
            <w:pPr>
              <w:keepNext w:val="0"/>
              <w:keepLines w:val="0"/>
              <w:pageBreakBefore w:val="0"/>
              <w:tabs>
                <w:tab w:val="left" w:leader="middleDot" w:pos="0"/>
              </w:tabs>
              <w:kinsoku/>
              <w:wordWrap/>
              <w:overflowPunct/>
              <w:topLinePunct w:val="0"/>
              <w:autoSpaceDE/>
              <w:autoSpaceDN/>
              <w:bidi w:val="0"/>
              <w:adjustRightInd/>
              <w:snapToGrid/>
              <w:spacing w:line="240" w:lineRule="auto"/>
              <w:ind w:firstLine="0" w:firstLineChars="0"/>
              <w:jc w:val="center"/>
              <w:textAlignment w:val="auto"/>
              <w:rPr>
                <w:color w:val="000000"/>
                <w:spacing w:val="6"/>
                <w:sz w:val="21"/>
                <w:szCs w:val="21"/>
              </w:rPr>
            </w:pPr>
            <w:r>
              <w:rPr>
                <w:color w:val="000000"/>
                <w:spacing w:val="6"/>
                <w:sz w:val="21"/>
                <w:szCs w:val="21"/>
              </w:rPr>
              <w:t>三级</w:t>
            </w:r>
          </w:p>
        </w:tc>
        <w:tc>
          <w:tcPr>
            <w:tcW w:w="398" w:type="pct"/>
            <w:vAlign w:val="center"/>
          </w:tcPr>
          <w:p w14:paraId="2E009AB3">
            <w:pPr>
              <w:keepNext w:val="0"/>
              <w:keepLines w:val="0"/>
              <w:pageBreakBefore w:val="0"/>
              <w:tabs>
                <w:tab w:val="left" w:leader="middleDot" w:pos="0"/>
              </w:tabs>
              <w:kinsoku/>
              <w:wordWrap/>
              <w:overflowPunct/>
              <w:topLinePunct w:val="0"/>
              <w:autoSpaceDE/>
              <w:autoSpaceDN/>
              <w:bidi w:val="0"/>
              <w:adjustRightInd/>
              <w:snapToGrid/>
              <w:spacing w:line="240" w:lineRule="auto"/>
              <w:ind w:firstLine="0" w:firstLineChars="0"/>
              <w:jc w:val="center"/>
              <w:textAlignment w:val="auto"/>
              <w:rPr>
                <w:color w:val="000000"/>
                <w:spacing w:val="6"/>
                <w:sz w:val="21"/>
                <w:szCs w:val="21"/>
              </w:rPr>
            </w:pPr>
            <w:r>
              <w:rPr>
                <w:color w:val="000000"/>
                <w:spacing w:val="6"/>
                <w:sz w:val="21"/>
                <w:szCs w:val="21"/>
              </w:rPr>
              <w:t>三级</w:t>
            </w:r>
          </w:p>
        </w:tc>
        <w:tc>
          <w:tcPr>
            <w:tcW w:w="398" w:type="pct"/>
            <w:vAlign w:val="center"/>
          </w:tcPr>
          <w:p w14:paraId="071DD7D4">
            <w:pPr>
              <w:keepNext w:val="0"/>
              <w:keepLines w:val="0"/>
              <w:pageBreakBefore w:val="0"/>
              <w:tabs>
                <w:tab w:val="left" w:leader="middleDot" w:pos="0"/>
              </w:tabs>
              <w:kinsoku/>
              <w:wordWrap/>
              <w:overflowPunct/>
              <w:topLinePunct w:val="0"/>
              <w:autoSpaceDE/>
              <w:autoSpaceDN/>
              <w:bidi w:val="0"/>
              <w:adjustRightInd/>
              <w:snapToGrid/>
              <w:spacing w:line="240" w:lineRule="auto"/>
              <w:ind w:firstLine="0" w:firstLineChars="0"/>
              <w:jc w:val="center"/>
              <w:textAlignment w:val="auto"/>
              <w:rPr>
                <w:color w:val="000000"/>
                <w:spacing w:val="6"/>
                <w:sz w:val="21"/>
                <w:szCs w:val="21"/>
              </w:rPr>
            </w:pPr>
            <w:r>
              <w:rPr>
                <w:color w:val="000000"/>
                <w:spacing w:val="6"/>
                <w:sz w:val="21"/>
                <w:szCs w:val="21"/>
              </w:rPr>
              <w:t>--</w:t>
            </w:r>
          </w:p>
        </w:tc>
        <w:tc>
          <w:tcPr>
            <w:tcW w:w="398" w:type="pct"/>
            <w:vAlign w:val="center"/>
          </w:tcPr>
          <w:p w14:paraId="4EB38698">
            <w:pPr>
              <w:keepNext w:val="0"/>
              <w:keepLines w:val="0"/>
              <w:pageBreakBefore w:val="0"/>
              <w:tabs>
                <w:tab w:val="left" w:leader="middleDot" w:pos="0"/>
              </w:tabs>
              <w:kinsoku/>
              <w:wordWrap/>
              <w:overflowPunct/>
              <w:topLinePunct w:val="0"/>
              <w:autoSpaceDE/>
              <w:autoSpaceDN/>
              <w:bidi w:val="0"/>
              <w:adjustRightInd/>
              <w:snapToGrid/>
              <w:spacing w:line="240" w:lineRule="auto"/>
              <w:ind w:firstLine="0" w:firstLineChars="0"/>
              <w:jc w:val="center"/>
              <w:textAlignment w:val="auto"/>
              <w:rPr>
                <w:color w:val="000000"/>
                <w:spacing w:val="6"/>
                <w:sz w:val="21"/>
                <w:szCs w:val="21"/>
              </w:rPr>
            </w:pPr>
            <w:r>
              <w:rPr>
                <w:color w:val="000000"/>
                <w:spacing w:val="6"/>
                <w:sz w:val="21"/>
                <w:szCs w:val="21"/>
              </w:rPr>
              <w:t>--</w:t>
            </w:r>
          </w:p>
        </w:tc>
      </w:tr>
    </w:tbl>
    <w:p w14:paraId="4199E6E9">
      <w:pPr>
        <w:spacing w:before="120" w:beforeLines="50"/>
        <w:ind w:firstLine="480" w:firstLineChars="200"/>
      </w:pPr>
      <w:r>
        <w:rPr>
          <w:rFonts w:hint="eastAsia"/>
        </w:rPr>
        <w:t>根根据土壤环境影响评价类别，本项目为</w:t>
      </w:r>
      <w:r>
        <w:rPr>
          <w:rFonts w:hint="eastAsia"/>
          <w:lang w:eastAsia="zh-CN"/>
        </w:rPr>
        <w:t>金属制品制造</w:t>
      </w:r>
      <w:r>
        <w:rPr>
          <w:rFonts w:hint="eastAsia"/>
        </w:rPr>
        <w:t>项目</w:t>
      </w:r>
      <w:r>
        <w:rPr>
          <w:rFonts w:hint="eastAsia"/>
          <w:lang w:eastAsia="zh-CN"/>
        </w:rPr>
        <w:t>（有电镀工艺的）</w:t>
      </w:r>
      <w:r>
        <w:rPr>
          <w:rFonts w:hint="eastAsia"/>
        </w:rPr>
        <w:t>，属于</w:t>
      </w:r>
      <w:r>
        <w:rPr>
          <w:rFonts w:hint="eastAsia" w:ascii="宋体" w:hAnsi="宋体" w:eastAsia="宋体" w:cs="宋体"/>
        </w:rPr>
        <w:t>Ⅰ</w:t>
      </w:r>
      <w:r>
        <w:rPr>
          <w:rFonts w:hint="eastAsia"/>
        </w:rPr>
        <w:t>类建设项目，占地面积≤5hm</w:t>
      </w:r>
      <w:r>
        <w:rPr>
          <w:rFonts w:hint="eastAsia"/>
          <w:vertAlign w:val="superscript"/>
        </w:rPr>
        <w:t>2</w:t>
      </w:r>
      <w:r>
        <w:rPr>
          <w:rFonts w:hint="eastAsia"/>
        </w:rPr>
        <w:t>，</w:t>
      </w:r>
      <w:r>
        <w:rPr>
          <w:rFonts w:hint="eastAsia"/>
          <w:lang w:eastAsia="zh-CN"/>
        </w:rPr>
        <w:t>本项目位于</w:t>
      </w:r>
      <w:r>
        <w:rPr>
          <w:rFonts w:hint="eastAsia" w:ascii="宋体" w:hAnsi="宋体" w:eastAsia="宋体" w:cs="宋体"/>
          <w:i w:val="0"/>
          <w:caps w:val="0"/>
          <w:color w:val="000000"/>
          <w:spacing w:val="0"/>
          <w:sz w:val="24"/>
          <w:szCs w:val="24"/>
          <w:shd w:val="clear" w:fill="FFFFFF"/>
        </w:rPr>
        <w:t>辽宁（本溪湖）再生资源产业园</w:t>
      </w:r>
      <w:r>
        <w:rPr>
          <w:rFonts w:hint="eastAsia" w:ascii="宋体" w:hAnsi="宋体" w:eastAsia="宋体" w:cs="宋体"/>
          <w:i w:val="0"/>
          <w:caps w:val="0"/>
          <w:color w:val="000000"/>
          <w:spacing w:val="0"/>
          <w:sz w:val="24"/>
          <w:szCs w:val="24"/>
          <w:shd w:val="clear" w:fill="FFFFFF"/>
          <w:lang w:eastAsia="zh-CN"/>
        </w:rPr>
        <w:t>园区内，项目评价范围内均</w:t>
      </w:r>
      <w:r>
        <w:rPr>
          <w:rFonts w:hint="eastAsia"/>
        </w:rPr>
        <w:t>为工业用地，</w:t>
      </w:r>
      <w:r>
        <w:rPr>
          <w:rFonts w:hint="eastAsia"/>
          <w:lang w:eastAsia="zh-CN"/>
        </w:rPr>
        <w:t>不涉及所列表</w:t>
      </w:r>
      <w:r>
        <w:rPr>
          <w:rFonts w:hint="eastAsia"/>
          <w:lang w:val="en-US" w:eastAsia="zh-CN"/>
        </w:rPr>
        <w:t>2-21</w:t>
      </w:r>
      <w:r>
        <w:rPr>
          <w:rFonts w:hint="eastAsia"/>
          <w:lang w:eastAsia="zh-CN"/>
        </w:rPr>
        <w:t>敏感目标，</w:t>
      </w:r>
      <w:r>
        <w:rPr>
          <w:rFonts w:hint="eastAsia"/>
        </w:rPr>
        <w:t>周边土壤敏感程度为不敏感，根据上表，本项目土壤评价工作等级为</w:t>
      </w:r>
      <w:r>
        <w:rPr>
          <w:rFonts w:hint="eastAsia"/>
          <w:lang w:eastAsia="zh-CN"/>
        </w:rPr>
        <w:t>二</w:t>
      </w:r>
      <w:r>
        <w:rPr>
          <w:rFonts w:hint="eastAsia"/>
        </w:rPr>
        <w:t>级。</w:t>
      </w:r>
    </w:p>
    <w:p w14:paraId="20A7E4BF">
      <w:pPr>
        <w:pStyle w:val="5"/>
        <w:rPr>
          <w:color w:val="auto"/>
        </w:rPr>
      </w:pPr>
      <w:bookmarkStart w:id="103" w:name="_Toc211651888"/>
      <w:bookmarkStart w:id="104" w:name="_Toc195947593"/>
      <w:bookmarkStart w:id="105" w:name="_Toc100821825"/>
      <w:bookmarkStart w:id="106" w:name="_Toc195947505"/>
      <w:bookmarkStart w:id="107" w:name="_Toc121626902"/>
      <w:bookmarkStart w:id="108" w:name="_Toc86727619"/>
      <w:bookmarkStart w:id="109" w:name="_Toc140140246"/>
      <w:bookmarkStart w:id="110" w:name="_Toc343689904"/>
      <w:bookmarkStart w:id="111" w:name="_Toc195947328"/>
      <w:bookmarkStart w:id="112" w:name="_Toc140141543"/>
      <w:r>
        <w:rPr>
          <w:color w:val="auto"/>
        </w:rPr>
        <w:t>2.6.2</w:t>
      </w:r>
      <w:bookmarkEnd w:id="103"/>
      <w:bookmarkEnd w:id="104"/>
      <w:bookmarkEnd w:id="105"/>
      <w:bookmarkEnd w:id="106"/>
      <w:bookmarkEnd w:id="107"/>
      <w:bookmarkEnd w:id="108"/>
      <w:bookmarkEnd w:id="109"/>
      <w:bookmarkEnd w:id="110"/>
      <w:bookmarkEnd w:id="111"/>
      <w:bookmarkEnd w:id="112"/>
      <w:r>
        <w:rPr>
          <w:color w:val="auto"/>
        </w:rPr>
        <w:t>环境影响评价范围</w:t>
      </w:r>
    </w:p>
    <w:p w14:paraId="1D5E4019">
      <w:pPr>
        <w:ind w:firstLine="480" w:firstLineChars="200"/>
      </w:pPr>
      <w:r>
        <w:t>根据《环境影响评价技术导则—总纲》(HJ2.1-2016)，结合本工程特点及所处区域的环境特征来确定本次评价范围，评价范围图见</w:t>
      </w:r>
      <w:r>
        <w:rPr>
          <w:rFonts w:hint="eastAsia"/>
          <w:lang w:val="en-US" w:eastAsia="zh-CN"/>
        </w:rPr>
        <w:t>2-23</w:t>
      </w:r>
      <w:r>
        <w:t>。</w:t>
      </w:r>
    </w:p>
    <w:p w14:paraId="19D01335">
      <w:pPr>
        <w:pStyle w:val="298"/>
        <w:spacing w:before="120" w:beforeLines="50"/>
        <w:ind w:firstLine="103" w:firstLineChars="49"/>
        <w:rPr>
          <w:rFonts w:eastAsiaTheme="minorEastAsia"/>
          <w:bCs w:val="0"/>
          <w:sz w:val="21"/>
          <w:szCs w:val="21"/>
        </w:rPr>
      </w:pPr>
      <w:r>
        <w:rPr>
          <w:rFonts w:eastAsiaTheme="minorEastAsia"/>
          <w:bCs w:val="0"/>
          <w:sz w:val="21"/>
          <w:szCs w:val="21"/>
        </w:rPr>
        <w:t>表</w:t>
      </w:r>
      <w:r>
        <w:rPr>
          <w:rFonts w:hint="eastAsia" w:eastAsiaTheme="minorEastAsia"/>
          <w:bCs w:val="0"/>
          <w:sz w:val="21"/>
          <w:szCs w:val="21"/>
          <w:lang w:val="en-US" w:eastAsia="zh-CN"/>
        </w:rPr>
        <w:t>2-23</w:t>
      </w:r>
      <w:r>
        <w:rPr>
          <w:rFonts w:eastAsiaTheme="minorEastAsia"/>
          <w:bCs w:val="0"/>
          <w:sz w:val="21"/>
          <w:szCs w:val="21"/>
        </w:rPr>
        <w:t>评价范围一览表</w:t>
      </w:r>
    </w:p>
    <w:tbl>
      <w:tblPr>
        <w:tblStyle w:val="52"/>
        <w:tblW w:w="5000" w:type="pct"/>
        <w:jc w:val="center"/>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160"/>
        <w:gridCol w:w="1877"/>
        <w:gridCol w:w="5485"/>
      </w:tblGrid>
      <w:tr w14:paraId="4C693543">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681" w:type="pct"/>
            <w:shd w:val="clear" w:color="auto" w:fill="auto"/>
            <w:vAlign w:val="center"/>
          </w:tcPr>
          <w:p w14:paraId="5E3E5013">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color w:val="000000"/>
                <w:kern w:val="0"/>
                <w:sz w:val="21"/>
                <w:szCs w:val="21"/>
              </w:rPr>
            </w:pPr>
            <w:r>
              <w:rPr>
                <w:color w:val="000000"/>
                <w:kern w:val="0"/>
                <w:sz w:val="21"/>
                <w:szCs w:val="21"/>
              </w:rPr>
              <w:t>序号</w:t>
            </w:r>
          </w:p>
        </w:tc>
        <w:tc>
          <w:tcPr>
            <w:tcW w:w="1101" w:type="pct"/>
            <w:shd w:val="clear" w:color="auto" w:fill="auto"/>
            <w:vAlign w:val="center"/>
          </w:tcPr>
          <w:p w14:paraId="5FE4E8CF">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color w:val="000000"/>
                <w:kern w:val="0"/>
                <w:sz w:val="21"/>
                <w:szCs w:val="21"/>
              </w:rPr>
            </w:pPr>
            <w:r>
              <w:rPr>
                <w:color w:val="000000"/>
                <w:kern w:val="0"/>
                <w:sz w:val="21"/>
                <w:szCs w:val="21"/>
              </w:rPr>
              <w:t>评价因子</w:t>
            </w:r>
          </w:p>
        </w:tc>
        <w:tc>
          <w:tcPr>
            <w:tcW w:w="3218" w:type="pct"/>
            <w:shd w:val="clear" w:color="auto" w:fill="auto"/>
            <w:vAlign w:val="center"/>
          </w:tcPr>
          <w:p w14:paraId="473ADC90">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color w:val="000000"/>
                <w:kern w:val="0"/>
                <w:sz w:val="21"/>
                <w:szCs w:val="21"/>
              </w:rPr>
            </w:pPr>
            <w:r>
              <w:rPr>
                <w:color w:val="000000"/>
                <w:kern w:val="0"/>
                <w:sz w:val="21"/>
                <w:szCs w:val="21"/>
              </w:rPr>
              <w:t>评价范围</w:t>
            </w:r>
          </w:p>
        </w:tc>
      </w:tr>
      <w:tr w14:paraId="77F9C591">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681" w:type="pct"/>
            <w:shd w:val="clear" w:color="auto" w:fill="auto"/>
            <w:vAlign w:val="center"/>
          </w:tcPr>
          <w:p w14:paraId="3185E27D">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color w:val="000000"/>
                <w:kern w:val="0"/>
                <w:sz w:val="21"/>
                <w:szCs w:val="21"/>
              </w:rPr>
            </w:pPr>
            <w:r>
              <w:rPr>
                <w:color w:val="000000"/>
                <w:kern w:val="0"/>
                <w:sz w:val="21"/>
                <w:szCs w:val="21"/>
              </w:rPr>
              <w:t>1</w:t>
            </w:r>
          </w:p>
        </w:tc>
        <w:tc>
          <w:tcPr>
            <w:tcW w:w="1101" w:type="pct"/>
            <w:shd w:val="clear" w:color="auto" w:fill="auto"/>
            <w:vAlign w:val="center"/>
          </w:tcPr>
          <w:p w14:paraId="154FE54B">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color w:val="000000"/>
                <w:kern w:val="0"/>
                <w:sz w:val="21"/>
                <w:szCs w:val="21"/>
              </w:rPr>
            </w:pPr>
            <w:r>
              <w:rPr>
                <w:color w:val="000000"/>
                <w:kern w:val="0"/>
                <w:sz w:val="21"/>
                <w:szCs w:val="21"/>
              </w:rPr>
              <w:t>环境空气</w:t>
            </w:r>
          </w:p>
        </w:tc>
        <w:tc>
          <w:tcPr>
            <w:tcW w:w="3218" w:type="pct"/>
            <w:shd w:val="clear" w:color="auto" w:fill="auto"/>
            <w:vAlign w:val="center"/>
          </w:tcPr>
          <w:p w14:paraId="100554F5">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color w:val="000000"/>
                <w:kern w:val="0"/>
                <w:sz w:val="21"/>
                <w:szCs w:val="21"/>
              </w:rPr>
            </w:pPr>
            <w:r>
              <w:rPr>
                <w:color w:val="000000"/>
                <w:kern w:val="0"/>
                <w:sz w:val="21"/>
                <w:szCs w:val="21"/>
              </w:rPr>
              <w:t>以项目为中心点，长宽为5km的矩形范围</w:t>
            </w:r>
          </w:p>
        </w:tc>
      </w:tr>
      <w:tr w14:paraId="6EFDE089">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81" w:type="pct"/>
            <w:shd w:val="clear" w:color="auto" w:fill="auto"/>
            <w:vAlign w:val="center"/>
          </w:tcPr>
          <w:p w14:paraId="186BD2CC">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color w:val="000000"/>
                <w:kern w:val="0"/>
                <w:sz w:val="21"/>
                <w:szCs w:val="21"/>
              </w:rPr>
            </w:pPr>
            <w:r>
              <w:rPr>
                <w:color w:val="000000"/>
                <w:kern w:val="0"/>
                <w:sz w:val="21"/>
                <w:szCs w:val="21"/>
              </w:rPr>
              <w:t>2</w:t>
            </w:r>
          </w:p>
        </w:tc>
        <w:tc>
          <w:tcPr>
            <w:tcW w:w="1101" w:type="pct"/>
            <w:shd w:val="clear" w:color="auto" w:fill="auto"/>
            <w:vAlign w:val="center"/>
          </w:tcPr>
          <w:p w14:paraId="6397C4F0">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color w:val="000000"/>
                <w:kern w:val="0"/>
                <w:sz w:val="21"/>
                <w:szCs w:val="21"/>
              </w:rPr>
            </w:pPr>
            <w:r>
              <w:rPr>
                <w:color w:val="000000"/>
                <w:kern w:val="0"/>
                <w:sz w:val="21"/>
                <w:szCs w:val="21"/>
              </w:rPr>
              <w:t>地表水环境</w:t>
            </w:r>
          </w:p>
        </w:tc>
        <w:tc>
          <w:tcPr>
            <w:tcW w:w="3218" w:type="pct"/>
            <w:shd w:val="clear" w:color="auto" w:fill="auto"/>
            <w:vAlign w:val="center"/>
          </w:tcPr>
          <w:p w14:paraId="69E6B6FC">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eastAsia="宋体"/>
                <w:color w:val="000000"/>
                <w:kern w:val="0"/>
                <w:sz w:val="21"/>
                <w:szCs w:val="21"/>
                <w:lang w:eastAsia="zh-CN"/>
              </w:rPr>
            </w:pPr>
            <w:r>
              <w:rPr>
                <w:rFonts w:hint="eastAsia"/>
                <w:color w:val="000000"/>
                <w:kern w:val="0"/>
                <w:sz w:val="21"/>
                <w:szCs w:val="21"/>
                <w:lang w:eastAsia="zh-CN"/>
              </w:rPr>
              <w:t>——</w:t>
            </w:r>
          </w:p>
        </w:tc>
      </w:tr>
      <w:tr w14:paraId="299BA032">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681" w:type="pct"/>
            <w:shd w:val="clear" w:color="auto" w:fill="auto"/>
            <w:vAlign w:val="center"/>
          </w:tcPr>
          <w:p w14:paraId="2FF9F393">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color w:val="000000"/>
                <w:kern w:val="0"/>
                <w:sz w:val="21"/>
                <w:szCs w:val="21"/>
              </w:rPr>
            </w:pPr>
            <w:r>
              <w:rPr>
                <w:color w:val="000000"/>
                <w:kern w:val="0"/>
                <w:sz w:val="21"/>
                <w:szCs w:val="21"/>
              </w:rPr>
              <w:t>3</w:t>
            </w:r>
          </w:p>
        </w:tc>
        <w:tc>
          <w:tcPr>
            <w:tcW w:w="1101" w:type="pct"/>
            <w:shd w:val="clear" w:color="auto" w:fill="auto"/>
            <w:vAlign w:val="center"/>
          </w:tcPr>
          <w:p w14:paraId="17370DA9">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color w:val="000000"/>
                <w:kern w:val="0"/>
                <w:sz w:val="21"/>
                <w:szCs w:val="21"/>
              </w:rPr>
            </w:pPr>
            <w:r>
              <w:rPr>
                <w:color w:val="000000"/>
                <w:kern w:val="0"/>
                <w:sz w:val="21"/>
                <w:szCs w:val="21"/>
              </w:rPr>
              <w:t>声环境</w:t>
            </w:r>
          </w:p>
        </w:tc>
        <w:tc>
          <w:tcPr>
            <w:tcW w:w="3218" w:type="pct"/>
            <w:shd w:val="clear" w:color="auto" w:fill="auto"/>
            <w:vAlign w:val="center"/>
          </w:tcPr>
          <w:p w14:paraId="7E0106DD">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color w:val="000000"/>
                <w:kern w:val="0"/>
                <w:sz w:val="21"/>
                <w:szCs w:val="21"/>
              </w:rPr>
            </w:pPr>
            <w:r>
              <w:rPr>
                <w:color w:val="000000"/>
                <w:kern w:val="0"/>
                <w:sz w:val="21"/>
                <w:szCs w:val="21"/>
              </w:rPr>
              <w:t>厂界外</w:t>
            </w:r>
            <w:r>
              <w:rPr>
                <w:rFonts w:hint="eastAsia"/>
                <w:color w:val="000000"/>
                <w:kern w:val="0"/>
                <w:sz w:val="21"/>
                <w:szCs w:val="21"/>
                <w:lang w:val="en-US" w:eastAsia="zh-CN"/>
              </w:rPr>
              <w:t>2</w:t>
            </w:r>
            <w:r>
              <w:rPr>
                <w:color w:val="000000"/>
                <w:kern w:val="0"/>
                <w:sz w:val="21"/>
                <w:szCs w:val="21"/>
              </w:rPr>
              <w:t>00m</w:t>
            </w:r>
          </w:p>
        </w:tc>
      </w:tr>
      <w:tr w14:paraId="6C41A3FB">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681" w:type="pct"/>
            <w:shd w:val="clear" w:color="auto" w:fill="auto"/>
            <w:vAlign w:val="center"/>
          </w:tcPr>
          <w:p w14:paraId="518758D7">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color w:val="000000"/>
                <w:kern w:val="0"/>
                <w:sz w:val="21"/>
                <w:szCs w:val="21"/>
              </w:rPr>
            </w:pPr>
            <w:r>
              <w:rPr>
                <w:color w:val="000000"/>
                <w:kern w:val="0"/>
                <w:sz w:val="21"/>
                <w:szCs w:val="21"/>
              </w:rPr>
              <w:t>4</w:t>
            </w:r>
          </w:p>
        </w:tc>
        <w:tc>
          <w:tcPr>
            <w:tcW w:w="1101" w:type="pct"/>
            <w:shd w:val="clear" w:color="auto" w:fill="auto"/>
            <w:vAlign w:val="center"/>
          </w:tcPr>
          <w:p w14:paraId="62B87332">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color w:val="000000"/>
                <w:kern w:val="0"/>
                <w:sz w:val="21"/>
                <w:szCs w:val="21"/>
              </w:rPr>
            </w:pPr>
            <w:r>
              <w:rPr>
                <w:color w:val="000000"/>
                <w:kern w:val="0"/>
                <w:sz w:val="21"/>
                <w:szCs w:val="21"/>
              </w:rPr>
              <w:t>地下水</w:t>
            </w:r>
          </w:p>
        </w:tc>
        <w:tc>
          <w:tcPr>
            <w:tcW w:w="3218" w:type="pct"/>
            <w:shd w:val="clear" w:color="auto" w:fill="auto"/>
            <w:vAlign w:val="center"/>
          </w:tcPr>
          <w:p w14:paraId="5A6A8627">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color w:val="000000"/>
                <w:kern w:val="0"/>
                <w:sz w:val="21"/>
                <w:szCs w:val="21"/>
              </w:rPr>
            </w:pPr>
            <w:r>
              <w:rPr>
                <w:color w:val="000000"/>
                <w:kern w:val="0"/>
                <w:sz w:val="21"/>
                <w:szCs w:val="21"/>
              </w:rPr>
              <w:t>项目所在地周边6km</w:t>
            </w:r>
            <w:r>
              <w:rPr>
                <w:color w:val="000000"/>
                <w:kern w:val="0"/>
                <w:sz w:val="21"/>
                <w:szCs w:val="21"/>
                <w:vertAlign w:val="superscript"/>
              </w:rPr>
              <w:t>2</w:t>
            </w:r>
            <w:r>
              <w:rPr>
                <w:color w:val="000000"/>
                <w:kern w:val="0"/>
                <w:sz w:val="21"/>
                <w:szCs w:val="21"/>
              </w:rPr>
              <w:t>范围</w:t>
            </w:r>
          </w:p>
        </w:tc>
      </w:tr>
      <w:tr w14:paraId="2513AB42">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681" w:type="pct"/>
            <w:shd w:val="clear" w:color="auto" w:fill="auto"/>
            <w:vAlign w:val="center"/>
          </w:tcPr>
          <w:p w14:paraId="6DF47598">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color w:val="000000"/>
                <w:kern w:val="0"/>
                <w:sz w:val="21"/>
                <w:szCs w:val="21"/>
              </w:rPr>
            </w:pPr>
            <w:r>
              <w:rPr>
                <w:color w:val="000000"/>
                <w:kern w:val="0"/>
                <w:sz w:val="21"/>
                <w:szCs w:val="21"/>
              </w:rPr>
              <w:t>5</w:t>
            </w:r>
          </w:p>
        </w:tc>
        <w:tc>
          <w:tcPr>
            <w:tcW w:w="1101" w:type="pct"/>
            <w:shd w:val="clear" w:color="auto" w:fill="auto"/>
            <w:vAlign w:val="center"/>
          </w:tcPr>
          <w:p w14:paraId="7AE1A9F5">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color w:val="000000"/>
                <w:kern w:val="0"/>
                <w:sz w:val="21"/>
                <w:szCs w:val="21"/>
              </w:rPr>
            </w:pPr>
            <w:r>
              <w:rPr>
                <w:color w:val="000000"/>
                <w:kern w:val="0"/>
                <w:sz w:val="21"/>
                <w:szCs w:val="21"/>
              </w:rPr>
              <w:t>环境风险</w:t>
            </w:r>
          </w:p>
        </w:tc>
        <w:tc>
          <w:tcPr>
            <w:tcW w:w="3218" w:type="pct"/>
            <w:shd w:val="clear" w:color="auto" w:fill="auto"/>
            <w:vAlign w:val="center"/>
          </w:tcPr>
          <w:p w14:paraId="433DFB35">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eastAsia="宋体"/>
                <w:color w:val="000000"/>
                <w:kern w:val="0"/>
                <w:sz w:val="21"/>
                <w:szCs w:val="21"/>
                <w:lang w:eastAsia="zh-CN"/>
              </w:rPr>
            </w:pPr>
            <w:r>
              <w:rPr>
                <w:rFonts w:hint="eastAsia"/>
                <w:color w:val="000000"/>
                <w:kern w:val="0"/>
                <w:sz w:val="21"/>
                <w:szCs w:val="21"/>
                <w:lang w:eastAsia="zh-CN"/>
              </w:rPr>
              <w:t>——</w:t>
            </w:r>
          </w:p>
        </w:tc>
      </w:tr>
      <w:tr w14:paraId="6A44E795">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1" w:type="pct"/>
            <w:shd w:val="clear" w:color="auto" w:fill="auto"/>
            <w:vAlign w:val="center"/>
          </w:tcPr>
          <w:p w14:paraId="43DBE3DA">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color w:val="000000"/>
                <w:kern w:val="0"/>
                <w:sz w:val="21"/>
                <w:szCs w:val="21"/>
              </w:rPr>
            </w:pPr>
            <w:r>
              <w:rPr>
                <w:color w:val="000000"/>
                <w:kern w:val="0"/>
                <w:sz w:val="21"/>
                <w:szCs w:val="21"/>
              </w:rPr>
              <w:t>6</w:t>
            </w:r>
          </w:p>
        </w:tc>
        <w:tc>
          <w:tcPr>
            <w:tcW w:w="1101" w:type="pct"/>
            <w:shd w:val="clear" w:color="auto" w:fill="auto"/>
            <w:vAlign w:val="center"/>
          </w:tcPr>
          <w:p w14:paraId="7A7AEC14">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color w:val="000000"/>
                <w:kern w:val="0"/>
                <w:sz w:val="21"/>
                <w:szCs w:val="21"/>
              </w:rPr>
            </w:pPr>
            <w:r>
              <w:rPr>
                <w:color w:val="000000"/>
                <w:kern w:val="0"/>
                <w:sz w:val="21"/>
                <w:szCs w:val="21"/>
              </w:rPr>
              <w:t>生态环境</w:t>
            </w:r>
          </w:p>
        </w:tc>
        <w:tc>
          <w:tcPr>
            <w:tcW w:w="3218" w:type="pct"/>
            <w:shd w:val="clear" w:color="auto" w:fill="auto"/>
            <w:vAlign w:val="center"/>
          </w:tcPr>
          <w:p w14:paraId="64EACF57">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color w:val="000000"/>
                <w:kern w:val="0"/>
                <w:sz w:val="21"/>
                <w:szCs w:val="21"/>
              </w:rPr>
            </w:pPr>
            <w:r>
              <w:rPr>
                <w:color w:val="000000"/>
                <w:kern w:val="0"/>
                <w:sz w:val="21"/>
                <w:szCs w:val="21"/>
              </w:rPr>
              <w:t>厂区占地范围；</w:t>
            </w:r>
          </w:p>
        </w:tc>
      </w:tr>
      <w:tr w14:paraId="06B4B518">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681" w:type="pct"/>
            <w:shd w:val="clear" w:color="auto" w:fill="auto"/>
            <w:vAlign w:val="center"/>
          </w:tcPr>
          <w:p w14:paraId="0F16506D">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color w:val="000000"/>
                <w:kern w:val="0"/>
                <w:sz w:val="21"/>
                <w:szCs w:val="21"/>
              </w:rPr>
            </w:pPr>
            <w:r>
              <w:rPr>
                <w:rFonts w:hint="eastAsia"/>
                <w:color w:val="000000"/>
                <w:kern w:val="0"/>
                <w:sz w:val="21"/>
                <w:szCs w:val="21"/>
              </w:rPr>
              <w:t>7</w:t>
            </w:r>
          </w:p>
        </w:tc>
        <w:tc>
          <w:tcPr>
            <w:tcW w:w="1101" w:type="pct"/>
            <w:shd w:val="clear" w:color="auto" w:fill="auto"/>
            <w:vAlign w:val="center"/>
          </w:tcPr>
          <w:p w14:paraId="34E5A415">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color w:val="000000"/>
                <w:kern w:val="0"/>
                <w:sz w:val="21"/>
                <w:szCs w:val="21"/>
              </w:rPr>
            </w:pPr>
            <w:r>
              <w:rPr>
                <w:rFonts w:hint="eastAsia"/>
                <w:color w:val="000000"/>
                <w:kern w:val="0"/>
                <w:sz w:val="21"/>
                <w:szCs w:val="21"/>
              </w:rPr>
              <w:t>土壤环境</w:t>
            </w:r>
          </w:p>
        </w:tc>
        <w:tc>
          <w:tcPr>
            <w:tcW w:w="3218" w:type="pct"/>
            <w:shd w:val="clear" w:color="auto" w:fill="auto"/>
            <w:vAlign w:val="center"/>
          </w:tcPr>
          <w:p w14:paraId="414FCAC7">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color w:val="000000"/>
                <w:kern w:val="0"/>
                <w:sz w:val="21"/>
                <w:szCs w:val="21"/>
              </w:rPr>
            </w:pPr>
            <w:r>
              <w:rPr>
                <w:rFonts w:hint="eastAsia"/>
                <w:color w:val="000000"/>
                <w:kern w:val="0"/>
                <w:sz w:val="21"/>
                <w:szCs w:val="21"/>
              </w:rPr>
              <w:t>0.</w:t>
            </w:r>
            <w:r>
              <w:rPr>
                <w:rFonts w:hint="eastAsia"/>
                <w:color w:val="000000"/>
                <w:kern w:val="0"/>
                <w:sz w:val="21"/>
                <w:szCs w:val="21"/>
                <w:lang w:val="en-US" w:eastAsia="zh-CN"/>
              </w:rPr>
              <w:t>2</w:t>
            </w:r>
            <w:r>
              <w:rPr>
                <w:rFonts w:hint="eastAsia"/>
                <w:color w:val="000000"/>
                <w:kern w:val="0"/>
                <w:sz w:val="21"/>
                <w:szCs w:val="21"/>
              </w:rPr>
              <w:t>km范围内</w:t>
            </w:r>
          </w:p>
        </w:tc>
      </w:tr>
    </w:tbl>
    <w:p w14:paraId="62912B84">
      <w:pPr>
        <w:pStyle w:val="435"/>
        <w:spacing w:line="240" w:lineRule="auto"/>
        <w:rPr>
          <w:rFonts w:ascii="Times New Roman" w:hAnsi="Times New Roman" w:cs="Times New Roman"/>
        </w:rPr>
        <w:sectPr>
          <w:headerReference r:id="rId7" w:type="default"/>
          <w:footerReference r:id="rId8" w:type="default"/>
          <w:pgSz w:w="11906" w:h="16838"/>
          <w:pgMar w:top="1440" w:right="1800" w:bottom="1440" w:left="1800" w:header="850" w:footer="964" w:gutter="0"/>
          <w:pgBorders>
            <w:top w:val="none" w:sz="0" w:space="0"/>
            <w:left w:val="none" w:sz="0" w:space="0"/>
            <w:bottom w:val="none" w:sz="0" w:space="0"/>
            <w:right w:val="none" w:sz="0" w:space="0"/>
          </w:pgBorders>
          <w:pgNumType w:fmt="decimal" w:start="1"/>
          <w:cols w:space="425" w:num="1"/>
          <w:docGrid w:linePitch="326" w:charSpace="0"/>
        </w:sectPr>
      </w:pPr>
    </w:p>
    <w:p w14:paraId="051A630D">
      <w:pPr>
        <w:pStyle w:val="435"/>
        <w:spacing w:line="240" w:lineRule="auto"/>
        <w:jc w:val="center"/>
        <w:rPr>
          <w:rFonts w:hint="eastAsia" w:ascii="Times New Roman" w:hAnsi="Times New Roman" w:eastAsia="宋体" w:cs="Times New Roman"/>
          <w:lang w:eastAsia="zh-CN"/>
        </w:rPr>
      </w:pPr>
      <w:r>
        <w:rPr>
          <w:rFonts w:hint="eastAsia" w:ascii="Times New Roman" w:hAnsi="Times New Roman" w:eastAsia="宋体" w:cs="Times New Roman"/>
          <w:lang w:eastAsia="zh-CN"/>
        </w:rPr>
        <w:drawing>
          <wp:inline distT="0" distB="0" distL="114300" distR="114300">
            <wp:extent cx="6330315" cy="4860925"/>
            <wp:effectExtent l="0" t="0" r="13335" b="15875"/>
            <wp:docPr id="4" name="图片 4" descr="截图20200414102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截图20200414102119"/>
                    <pic:cNvPicPr>
                      <a:picLocks noChangeAspect="1"/>
                    </pic:cNvPicPr>
                  </pic:nvPicPr>
                  <pic:blipFill>
                    <a:blip r:embed="rId17"/>
                    <a:stretch>
                      <a:fillRect/>
                    </a:stretch>
                  </pic:blipFill>
                  <pic:spPr>
                    <a:xfrm>
                      <a:off x="0" y="0"/>
                      <a:ext cx="6330315" cy="4860925"/>
                    </a:xfrm>
                    <a:prstGeom prst="rect">
                      <a:avLst/>
                    </a:prstGeom>
                  </pic:spPr>
                </pic:pic>
              </a:graphicData>
            </a:graphic>
          </wp:inline>
        </w:drawing>
      </w:r>
    </w:p>
    <w:p w14:paraId="66E8B650">
      <w:pPr>
        <w:pStyle w:val="435"/>
        <w:spacing w:line="240" w:lineRule="auto"/>
        <w:jc w:val="center"/>
        <w:rPr>
          <w:rFonts w:hint="eastAsia" w:ascii="黑体" w:hAnsi="黑体" w:eastAsia="黑体" w:cs="黑体"/>
          <w:sz w:val="21"/>
          <w:szCs w:val="21"/>
          <w:lang w:val="en-US" w:eastAsia="zh-CN"/>
        </w:rPr>
        <w:sectPr>
          <w:pgSz w:w="16838" w:h="11906" w:orient="landscape"/>
          <w:pgMar w:top="1800" w:right="1440" w:bottom="1800" w:left="1440" w:header="850" w:footer="964" w:gutter="0"/>
          <w:pgBorders>
            <w:top w:val="none" w:sz="0" w:space="0"/>
            <w:left w:val="none" w:sz="0" w:space="0"/>
            <w:bottom w:val="none" w:sz="0" w:space="0"/>
            <w:right w:val="none" w:sz="0" w:space="0"/>
          </w:pgBorders>
          <w:pgNumType w:fmt="decimal"/>
          <w:cols w:space="425" w:num="1"/>
          <w:docGrid w:linePitch="326" w:charSpace="0"/>
        </w:sectPr>
      </w:pPr>
      <w:r>
        <w:rPr>
          <w:rFonts w:hint="eastAsia" w:ascii="黑体" w:hAnsi="黑体" w:eastAsia="黑体" w:cs="黑体"/>
          <w:sz w:val="21"/>
          <w:szCs w:val="21"/>
          <w:lang w:eastAsia="zh-CN"/>
        </w:rPr>
        <w:t>图</w:t>
      </w:r>
      <w:r>
        <w:rPr>
          <w:rFonts w:hint="eastAsia" w:ascii="黑体" w:hAnsi="黑体" w:eastAsia="黑体" w:cs="黑体"/>
          <w:sz w:val="21"/>
          <w:szCs w:val="21"/>
          <w:lang w:val="en-US" w:eastAsia="zh-CN"/>
        </w:rPr>
        <w:t>2-1环境影响评价范围图</w:t>
      </w:r>
    </w:p>
    <w:p w14:paraId="7DBF97EC">
      <w:pPr>
        <w:pStyle w:val="3"/>
        <w:pageBreakBefore w:val="0"/>
        <w:kinsoku/>
        <w:wordWrap/>
        <w:overflowPunct/>
        <w:topLinePunct w:val="0"/>
        <w:autoSpaceDE/>
        <w:autoSpaceDN/>
        <w:bidi w:val="0"/>
        <w:adjustRightInd/>
        <w:snapToGrid/>
        <w:textAlignment w:val="auto"/>
      </w:pPr>
      <w:bookmarkStart w:id="113" w:name="_Toc22197"/>
      <w:r>
        <w:t>2.7评价重点与环境保护目标</w:t>
      </w:r>
      <w:bookmarkEnd w:id="113"/>
    </w:p>
    <w:p w14:paraId="18D6AEBA">
      <w:pPr>
        <w:pStyle w:val="5"/>
        <w:pageBreakBefore w:val="0"/>
        <w:kinsoku/>
        <w:wordWrap/>
        <w:overflowPunct/>
        <w:topLinePunct w:val="0"/>
        <w:autoSpaceDE/>
        <w:autoSpaceDN/>
        <w:bidi w:val="0"/>
        <w:adjustRightInd/>
        <w:snapToGrid/>
        <w:spacing w:before="0" w:after="0"/>
        <w:textAlignment w:val="auto"/>
        <w:rPr>
          <w:color w:val="auto"/>
        </w:rPr>
      </w:pPr>
      <w:r>
        <w:rPr>
          <w:color w:val="auto"/>
        </w:rPr>
        <w:t>2.7.1 评价重点</w:t>
      </w:r>
    </w:p>
    <w:p w14:paraId="5118899D">
      <w:pPr>
        <w:pageBreakBefore w:val="0"/>
        <w:kinsoku/>
        <w:wordWrap/>
        <w:overflowPunct/>
        <w:topLinePunct w:val="0"/>
        <w:autoSpaceDE/>
        <w:autoSpaceDN/>
        <w:bidi w:val="0"/>
        <w:adjustRightInd/>
        <w:snapToGrid/>
        <w:spacing w:line="360" w:lineRule="auto"/>
        <w:ind w:firstLine="480" w:firstLineChars="200"/>
        <w:textAlignment w:val="auto"/>
      </w:pPr>
      <w:r>
        <w:t>根据本工程污染物排放性质及其排放方式、排放特点，结合厂址周围环境特征，确定本次环境影响评价的评价重点为：工程分析、污染防治措施分析、环境影响预测评价、污染物总量控制。</w:t>
      </w:r>
    </w:p>
    <w:p w14:paraId="7BE35CAD">
      <w:pPr>
        <w:pStyle w:val="5"/>
        <w:pageBreakBefore w:val="0"/>
        <w:kinsoku/>
        <w:wordWrap/>
        <w:overflowPunct/>
        <w:topLinePunct w:val="0"/>
        <w:autoSpaceDE/>
        <w:autoSpaceDN/>
        <w:bidi w:val="0"/>
        <w:adjustRightInd/>
        <w:snapToGrid/>
        <w:spacing w:before="0" w:after="0" w:line="360" w:lineRule="auto"/>
        <w:textAlignment w:val="auto"/>
      </w:pPr>
      <w:r>
        <w:t>2.7.2环境保护目标</w:t>
      </w:r>
    </w:p>
    <w:p w14:paraId="2454924D">
      <w:pPr>
        <w:pageBreakBefore w:val="0"/>
        <w:kinsoku/>
        <w:wordWrap/>
        <w:overflowPunct/>
        <w:topLinePunct w:val="0"/>
        <w:autoSpaceDE/>
        <w:autoSpaceDN/>
        <w:bidi w:val="0"/>
        <w:adjustRightInd/>
        <w:snapToGrid/>
        <w:spacing w:line="360" w:lineRule="auto"/>
        <w:ind w:firstLine="480" w:firstLineChars="200"/>
        <w:textAlignment w:val="auto"/>
      </w:pPr>
      <w:r>
        <w:t>本次评价区域内没有自然保护区、人文古迹等人文景点，环境保护目标主要为评价范围内的</w:t>
      </w:r>
      <w:r>
        <w:rPr>
          <w:rFonts w:hint="eastAsia"/>
          <w:lang w:eastAsia="zh-CN"/>
        </w:rPr>
        <w:t>居民</w:t>
      </w:r>
      <w:r>
        <w:t>及</w:t>
      </w:r>
      <w:r>
        <w:rPr>
          <w:rFonts w:hint="eastAsia"/>
          <w:lang w:eastAsia="zh-CN"/>
        </w:rPr>
        <w:t>太子</w:t>
      </w:r>
      <w:r>
        <w:t>河。该项目影响的主要保护目标名单及保护级别见表</w:t>
      </w:r>
      <w:r>
        <w:rPr>
          <w:rFonts w:hint="eastAsia"/>
          <w:lang w:val="en-US" w:eastAsia="zh-CN"/>
        </w:rPr>
        <w:t>2-24</w:t>
      </w:r>
      <w:r>
        <w:t>，项目环境保护目标图</w:t>
      </w:r>
      <w:r>
        <w:rPr>
          <w:rFonts w:hint="eastAsia"/>
          <w:lang w:val="en-US" w:eastAsia="zh-CN"/>
        </w:rPr>
        <w:t>2-2</w:t>
      </w:r>
      <w:r>
        <w:t>。</w:t>
      </w:r>
    </w:p>
    <w:p w14:paraId="7D81C15F">
      <w:pPr>
        <w:spacing w:line="480" w:lineRule="exact"/>
        <w:jc w:val="center"/>
        <w:rPr>
          <w:b/>
          <w:sz w:val="21"/>
          <w:szCs w:val="21"/>
        </w:rPr>
      </w:pPr>
      <w:r>
        <w:rPr>
          <w:b/>
          <w:sz w:val="21"/>
          <w:szCs w:val="21"/>
        </w:rPr>
        <w:t>表</w:t>
      </w:r>
      <w:r>
        <w:rPr>
          <w:rFonts w:hint="eastAsia"/>
          <w:b/>
          <w:sz w:val="21"/>
          <w:szCs w:val="21"/>
          <w:lang w:val="en-US" w:eastAsia="zh-CN"/>
        </w:rPr>
        <w:t>2-24</w:t>
      </w:r>
      <w:r>
        <w:rPr>
          <w:b/>
          <w:sz w:val="21"/>
          <w:szCs w:val="21"/>
        </w:rPr>
        <w:t>环境保护目标</w:t>
      </w:r>
    </w:p>
    <w:tbl>
      <w:tblPr>
        <w:tblStyle w:val="52"/>
        <w:tblW w:w="5181" w:type="pct"/>
        <w:jc w:val="center"/>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autofit"/>
        <w:tblCellMar>
          <w:top w:w="0" w:type="dxa"/>
          <w:left w:w="108" w:type="dxa"/>
          <w:bottom w:w="0" w:type="dxa"/>
          <w:right w:w="108" w:type="dxa"/>
        </w:tblCellMar>
      </w:tblPr>
      <w:tblGrid>
        <w:gridCol w:w="727"/>
        <w:gridCol w:w="1128"/>
        <w:gridCol w:w="752"/>
        <w:gridCol w:w="1323"/>
        <w:gridCol w:w="870"/>
        <w:gridCol w:w="994"/>
        <w:gridCol w:w="2984"/>
      </w:tblGrid>
      <w:tr w14:paraId="50759282">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jc w:val="center"/>
        </w:trPr>
        <w:tc>
          <w:tcPr>
            <w:tcW w:w="414" w:type="pct"/>
            <w:tcMar>
              <w:top w:w="57" w:type="dxa"/>
              <w:left w:w="57" w:type="dxa"/>
              <w:bottom w:w="57" w:type="dxa"/>
              <w:right w:w="57" w:type="dxa"/>
            </w:tcMar>
            <w:vAlign w:val="center"/>
          </w:tcPr>
          <w:p w14:paraId="055D4B0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保护要素</w:t>
            </w:r>
          </w:p>
        </w:tc>
        <w:tc>
          <w:tcPr>
            <w:tcW w:w="642" w:type="pct"/>
            <w:tcMar>
              <w:top w:w="57" w:type="dxa"/>
              <w:left w:w="57" w:type="dxa"/>
              <w:bottom w:w="57" w:type="dxa"/>
              <w:right w:w="57" w:type="dxa"/>
            </w:tcMar>
            <w:vAlign w:val="center"/>
          </w:tcPr>
          <w:p w14:paraId="09B7791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名称</w:t>
            </w:r>
          </w:p>
        </w:tc>
        <w:tc>
          <w:tcPr>
            <w:tcW w:w="428" w:type="pct"/>
            <w:tcMar>
              <w:top w:w="57" w:type="dxa"/>
              <w:left w:w="57" w:type="dxa"/>
              <w:bottom w:w="57" w:type="dxa"/>
              <w:right w:w="57" w:type="dxa"/>
            </w:tcMar>
            <w:vAlign w:val="center"/>
          </w:tcPr>
          <w:p w14:paraId="62795FB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方位</w:t>
            </w:r>
          </w:p>
        </w:tc>
        <w:tc>
          <w:tcPr>
            <w:tcW w:w="753" w:type="pct"/>
            <w:tcMar>
              <w:top w:w="57" w:type="dxa"/>
              <w:left w:w="57" w:type="dxa"/>
              <w:bottom w:w="57" w:type="dxa"/>
              <w:right w:w="57" w:type="dxa"/>
            </w:tcMar>
            <w:vAlign w:val="center"/>
          </w:tcPr>
          <w:p w14:paraId="65A402D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与本项目厂界距离(m)</w:t>
            </w:r>
          </w:p>
        </w:tc>
        <w:tc>
          <w:tcPr>
            <w:tcW w:w="495" w:type="pct"/>
            <w:tcMar>
              <w:top w:w="57" w:type="dxa"/>
              <w:left w:w="57" w:type="dxa"/>
              <w:bottom w:w="57" w:type="dxa"/>
              <w:right w:w="57" w:type="dxa"/>
            </w:tcMar>
            <w:vAlign w:val="center"/>
          </w:tcPr>
          <w:p w14:paraId="2B15928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户数</w:t>
            </w:r>
          </w:p>
        </w:tc>
        <w:tc>
          <w:tcPr>
            <w:tcW w:w="566" w:type="pct"/>
            <w:tcBorders>
              <w:right w:val="single" w:color="auto" w:sz="4" w:space="0"/>
            </w:tcBorders>
            <w:tcMar>
              <w:top w:w="57" w:type="dxa"/>
              <w:left w:w="57" w:type="dxa"/>
              <w:bottom w:w="57" w:type="dxa"/>
              <w:right w:w="57" w:type="dxa"/>
            </w:tcMar>
            <w:vAlign w:val="center"/>
          </w:tcPr>
          <w:p w14:paraId="12D50F7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规模</w:t>
            </w:r>
          </w:p>
        </w:tc>
        <w:tc>
          <w:tcPr>
            <w:tcW w:w="1699" w:type="pct"/>
            <w:tcBorders>
              <w:left w:val="single" w:color="auto" w:sz="4" w:space="0"/>
            </w:tcBorders>
            <w:vAlign w:val="center"/>
          </w:tcPr>
          <w:p w14:paraId="4C9F364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保护目标</w:t>
            </w:r>
          </w:p>
        </w:tc>
      </w:tr>
      <w:tr w14:paraId="0F5DAEC2">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jc w:val="center"/>
        </w:trPr>
        <w:tc>
          <w:tcPr>
            <w:tcW w:w="414" w:type="pct"/>
            <w:vMerge w:val="restart"/>
            <w:tcMar>
              <w:top w:w="57" w:type="dxa"/>
              <w:left w:w="57" w:type="dxa"/>
              <w:bottom w:w="57" w:type="dxa"/>
              <w:right w:w="57" w:type="dxa"/>
            </w:tcMar>
            <w:vAlign w:val="center"/>
          </w:tcPr>
          <w:p w14:paraId="206C8E2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环境</w:t>
            </w:r>
          </w:p>
          <w:p w14:paraId="7B929CB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空气</w:t>
            </w:r>
          </w:p>
        </w:tc>
        <w:tc>
          <w:tcPr>
            <w:tcW w:w="642" w:type="pct"/>
            <w:tcMar>
              <w:top w:w="57" w:type="dxa"/>
              <w:left w:w="57" w:type="dxa"/>
              <w:bottom w:w="57" w:type="dxa"/>
              <w:right w:w="57" w:type="dxa"/>
            </w:tcMar>
            <w:vAlign w:val="center"/>
          </w:tcPr>
          <w:p w14:paraId="14B688D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sz w:val="21"/>
                <w:szCs w:val="21"/>
                <w:lang w:eastAsia="zh-CN"/>
              </w:rPr>
            </w:pPr>
            <w:r>
              <w:rPr>
                <w:rFonts w:hint="eastAsia"/>
                <w:sz w:val="21"/>
                <w:szCs w:val="21"/>
                <w:lang w:eastAsia="zh-CN"/>
              </w:rPr>
              <w:t>郑家屯</w:t>
            </w:r>
          </w:p>
        </w:tc>
        <w:tc>
          <w:tcPr>
            <w:tcW w:w="428" w:type="pct"/>
            <w:tcMar>
              <w:top w:w="57" w:type="dxa"/>
              <w:left w:w="57" w:type="dxa"/>
              <w:bottom w:w="57" w:type="dxa"/>
              <w:right w:w="57" w:type="dxa"/>
            </w:tcMar>
            <w:vAlign w:val="center"/>
          </w:tcPr>
          <w:p w14:paraId="70C9479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sz w:val="21"/>
                <w:szCs w:val="21"/>
                <w:lang w:eastAsia="zh-CN"/>
              </w:rPr>
            </w:pPr>
            <w:r>
              <w:rPr>
                <w:rFonts w:hint="eastAsia"/>
                <w:sz w:val="21"/>
                <w:szCs w:val="21"/>
                <w:lang w:eastAsia="zh-CN"/>
              </w:rPr>
              <w:t>西南</w:t>
            </w:r>
          </w:p>
        </w:tc>
        <w:tc>
          <w:tcPr>
            <w:tcW w:w="753" w:type="pct"/>
            <w:tcMar>
              <w:top w:w="57" w:type="dxa"/>
              <w:left w:w="57" w:type="dxa"/>
              <w:bottom w:w="57" w:type="dxa"/>
              <w:right w:w="57" w:type="dxa"/>
            </w:tcMar>
            <w:vAlign w:val="center"/>
          </w:tcPr>
          <w:p w14:paraId="4DD90A1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sz w:val="21"/>
                <w:szCs w:val="21"/>
                <w:lang w:val="en-US" w:eastAsia="zh-CN"/>
              </w:rPr>
            </w:pPr>
            <w:r>
              <w:rPr>
                <w:rFonts w:hint="eastAsia"/>
                <w:sz w:val="21"/>
                <w:szCs w:val="21"/>
                <w:lang w:val="en-US" w:eastAsia="zh-CN"/>
              </w:rPr>
              <w:t>1030</w:t>
            </w:r>
          </w:p>
        </w:tc>
        <w:tc>
          <w:tcPr>
            <w:tcW w:w="495" w:type="pct"/>
            <w:tcMar>
              <w:top w:w="57" w:type="dxa"/>
              <w:left w:w="57" w:type="dxa"/>
              <w:bottom w:w="57" w:type="dxa"/>
              <w:right w:w="57" w:type="dxa"/>
            </w:tcMar>
            <w:vAlign w:val="center"/>
          </w:tcPr>
          <w:p w14:paraId="770597C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sz w:val="21"/>
                <w:szCs w:val="21"/>
                <w:lang w:val="en-US" w:eastAsia="zh-CN"/>
              </w:rPr>
            </w:pPr>
            <w:r>
              <w:rPr>
                <w:rFonts w:hint="eastAsia"/>
                <w:sz w:val="21"/>
                <w:szCs w:val="21"/>
                <w:lang w:val="en-US" w:eastAsia="zh-CN"/>
              </w:rPr>
              <w:t>120</w:t>
            </w:r>
          </w:p>
        </w:tc>
        <w:tc>
          <w:tcPr>
            <w:tcW w:w="566" w:type="pct"/>
            <w:tcBorders>
              <w:right w:val="single" w:color="auto" w:sz="4" w:space="0"/>
            </w:tcBorders>
            <w:tcMar>
              <w:top w:w="57" w:type="dxa"/>
              <w:left w:w="57" w:type="dxa"/>
              <w:bottom w:w="57" w:type="dxa"/>
              <w:right w:w="57" w:type="dxa"/>
            </w:tcMar>
            <w:vAlign w:val="center"/>
          </w:tcPr>
          <w:p w14:paraId="1B256A2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sz w:val="21"/>
                <w:szCs w:val="21"/>
                <w:lang w:val="en-US" w:eastAsia="zh-CN"/>
              </w:rPr>
            </w:pPr>
            <w:r>
              <w:rPr>
                <w:rFonts w:hint="eastAsia"/>
                <w:sz w:val="21"/>
                <w:szCs w:val="21"/>
                <w:lang w:val="en-US" w:eastAsia="zh-CN"/>
              </w:rPr>
              <w:t>480人</w:t>
            </w:r>
          </w:p>
        </w:tc>
        <w:tc>
          <w:tcPr>
            <w:tcW w:w="1699" w:type="pct"/>
            <w:vMerge w:val="restart"/>
            <w:tcBorders>
              <w:left w:val="single" w:color="auto" w:sz="4" w:space="0"/>
            </w:tcBorders>
            <w:vAlign w:val="center"/>
          </w:tcPr>
          <w:p w14:paraId="7EC23F8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符合《环境空气质量标准》</w:t>
            </w:r>
          </w:p>
          <w:p w14:paraId="781F0ED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（GB3095-2012）中二级标准要求</w:t>
            </w:r>
          </w:p>
        </w:tc>
      </w:tr>
      <w:tr w14:paraId="38976EA0">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jc w:val="center"/>
        </w:trPr>
        <w:tc>
          <w:tcPr>
            <w:tcW w:w="414" w:type="pct"/>
            <w:vMerge w:val="continue"/>
            <w:tcMar>
              <w:top w:w="57" w:type="dxa"/>
              <w:left w:w="57" w:type="dxa"/>
              <w:bottom w:w="57" w:type="dxa"/>
              <w:right w:w="57" w:type="dxa"/>
            </w:tcMar>
            <w:vAlign w:val="center"/>
          </w:tcPr>
          <w:p w14:paraId="5DAF218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642" w:type="pct"/>
            <w:tcMar>
              <w:top w:w="57" w:type="dxa"/>
              <w:left w:w="57" w:type="dxa"/>
              <w:bottom w:w="57" w:type="dxa"/>
              <w:right w:w="57" w:type="dxa"/>
            </w:tcMar>
            <w:vAlign w:val="center"/>
          </w:tcPr>
          <w:p w14:paraId="51D7F75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sz w:val="21"/>
                <w:szCs w:val="21"/>
                <w:lang w:eastAsia="zh-CN"/>
              </w:rPr>
            </w:pPr>
            <w:r>
              <w:rPr>
                <w:rFonts w:hint="eastAsia"/>
                <w:sz w:val="21"/>
                <w:szCs w:val="21"/>
                <w:lang w:eastAsia="zh-CN"/>
              </w:rPr>
              <w:t>东风社区</w:t>
            </w:r>
          </w:p>
        </w:tc>
        <w:tc>
          <w:tcPr>
            <w:tcW w:w="428" w:type="pct"/>
            <w:tcMar>
              <w:top w:w="57" w:type="dxa"/>
              <w:left w:w="57" w:type="dxa"/>
              <w:bottom w:w="57" w:type="dxa"/>
              <w:right w:w="57" w:type="dxa"/>
            </w:tcMar>
            <w:vAlign w:val="center"/>
          </w:tcPr>
          <w:p w14:paraId="0E56808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sz w:val="21"/>
                <w:szCs w:val="21"/>
                <w:lang w:eastAsia="zh-CN"/>
              </w:rPr>
            </w:pPr>
            <w:r>
              <w:rPr>
                <w:rFonts w:hint="eastAsia"/>
                <w:sz w:val="21"/>
                <w:szCs w:val="21"/>
                <w:lang w:eastAsia="zh-CN"/>
              </w:rPr>
              <w:t>南</w:t>
            </w:r>
          </w:p>
        </w:tc>
        <w:tc>
          <w:tcPr>
            <w:tcW w:w="753" w:type="pct"/>
            <w:tcMar>
              <w:top w:w="57" w:type="dxa"/>
              <w:left w:w="57" w:type="dxa"/>
              <w:bottom w:w="57" w:type="dxa"/>
              <w:right w:w="57" w:type="dxa"/>
            </w:tcMar>
            <w:vAlign w:val="center"/>
          </w:tcPr>
          <w:p w14:paraId="437BD57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sz w:val="21"/>
                <w:szCs w:val="21"/>
                <w:lang w:val="en-US" w:eastAsia="zh-CN"/>
              </w:rPr>
            </w:pPr>
            <w:r>
              <w:rPr>
                <w:rFonts w:hint="eastAsia"/>
                <w:sz w:val="21"/>
                <w:szCs w:val="21"/>
                <w:lang w:val="en-US" w:eastAsia="zh-CN"/>
              </w:rPr>
              <w:t>1080</w:t>
            </w:r>
          </w:p>
        </w:tc>
        <w:tc>
          <w:tcPr>
            <w:tcW w:w="495" w:type="pct"/>
            <w:tcMar>
              <w:top w:w="57" w:type="dxa"/>
              <w:left w:w="57" w:type="dxa"/>
              <w:bottom w:w="57" w:type="dxa"/>
              <w:right w:w="57" w:type="dxa"/>
            </w:tcMar>
            <w:vAlign w:val="center"/>
          </w:tcPr>
          <w:p w14:paraId="1E14DB8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sz w:val="21"/>
                <w:szCs w:val="21"/>
                <w:lang w:val="en-US" w:eastAsia="zh-CN"/>
              </w:rPr>
            </w:pPr>
            <w:r>
              <w:rPr>
                <w:rFonts w:hint="eastAsia"/>
                <w:sz w:val="21"/>
                <w:szCs w:val="21"/>
                <w:lang w:val="en-US" w:eastAsia="zh-CN"/>
              </w:rPr>
              <w:t>200</w:t>
            </w:r>
          </w:p>
        </w:tc>
        <w:tc>
          <w:tcPr>
            <w:tcW w:w="566" w:type="pct"/>
            <w:tcBorders>
              <w:right w:val="single" w:color="auto" w:sz="4" w:space="0"/>
            </w:tcBorders>
            <w:tcMar>
              <w:top w:w="57" w:type="dxa"/>
              <w:left w:w="57" w:type="dxa"/>
              <w:bottom w:w="57" w:type="dxa"/>
              <w:right w:w="57" w:type="dxa"/>
            </w:tcMar>
            <w:vAlign w:val="center"/>
          </w:tcPr>
          <w:p w14:paraId="2C84039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sz w:val="21"/>
                <w:szCs w:val="21"/>
                <w:lang w:val="en-US" w:eastAsia="zh-CN"/>
              </w:rPr>
            </w:pPr>
            <w:r>
              <w:rPr>
                <w:rFonts w:hint="eastAsia"/>
                <w:sz w:val="21"/>
                <w:szCs w:val="21"/>
                <w:lang w:val="en-US" w:eastAsia="zh-CN"/>
              </w:rPr>
              <w:t>800人</w:t>
            </w:r>
          </w:p>
        </w:tc>
        <w:tc>
          <w:tcPr>
            <w:tcW w:w="1699" w:type="pct"/>
            <w:vMerge w:val="continue"/>
            <w:tcBorders>
              <w:left w:val="single" w:color="auto" w:sz="4" w:space="0"/>
            </w:tcBorders>
            <w:vAlign w:val="center"/>
          </w:tcPr>
          <w:p w14:paraId="43BE9CF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r>
      <w:tr w14:paraId="26980315">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jc w:val="center"/>
        </w:trPr>
        <w:tc>
          <w:tcPr>
            <w:tcW w:w="414" w:type="pct"/>
            <w:vMerge w:val="continue"/>
            <w:tcMar>
              <w:top w:w="57" w:type="dxa"/>
              <w:left w:w="57" w:type="dxa"/>
              <w:bottom w:w="57" w:type="dxa"/>
              <w:right w:w="57" w:type="dxa"/>
            </w:tcMar>
            <w:vAlign w:val="center"/>
          </w:tcPr>
          <w:p w14:paraId="47C433B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642" w:type="pct"/>
            <w:tcMar>
              <w:top w:w="57" w:type="dxa"/>
              <w:left w:w="57" w:type="dxa"/>
              <w:bottom w:w="57" w:type="dxa"/>
              <w:right w:w="57" w:type="dxa"/>
            </w:tcMar>
            <w:vAlign w:val="center"/>
          </w:tcPr>
          <w:p w14:paraId="2D87985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sz w:val="21"/>
                <w:szCs w:val="21"/>
                <w:lang w:eastAsia="zh-CN"/>
              </w:rPr>
            </w:pPr>
            <w:r>
              <w:rPr>
                <w:rFonts w:hint="eastAsia"/>
                <w:sz w:val="21"/>
                <w:szCs w:val="21"/>
                <w:lang w:eastAsia="zh-CN"/>
              </w:rPr>
              <w:t>腰堡村</w:t>
            </w:r>
          </w:p>
        </w:tc>
        <w:tc>
          <w:tcPr>
            <w:tcW w:w="428" w:type="pct"/>
            <w:tcMar>
              <w:top w:w="57" w:type="dxa"/>
              <w:left w:w="57" w:type="dxa"/>
              <w:bottom w:w="57" w:type="dxa"/>
              <w:right w:w="57" w:type="dxa"/>
            </w:tcMar>
            <w:vAlign w:val="center"/>
          </w:tcPr>
          <w:p w14:paraId="4E1DA55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sz w:val="21"/>
                <w:szCs w:val="21"/>
                <w:lang w:eastAsia="zh-CN"/>
              </w:rPr>
            </w:pPr>
            <w:r>
              <w:rPr>
                <w:rFonts w:hint="eastAsia"/>
                <w:sz w:val="21"/>
                <w:szCs w:val="21"/>
                <w:lang w:eastAsia="zh-CN"/>
              </w:rPr>
              <w:t>南</w:t>
            </w:r>
          </w:p>
        </w:tc>
        <w:tc>
          <w:tcPr>
            <w:tcW w:w="753" w:type="pct"/>
            <w:tcMar>
              <w:top w:w="57" w:type="dxa"/>
              <w:left w:w="57" w:type="dxa"/>
              <w:bottom w:w="57" w:type="dxa"/>
              <w:right w:w="57" w:type="dxa"/>
            </w:tcMar>
            <w:vAlign w:val="center"/>
          </w:tcPr>
          <w:p w14:paraId="3D78029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sz w:val="21"/>
                <w:szCs w:val="21"/>
                <w:lang w:val="en-US" w:eastAsia="zh-CN"/>
              </w:rPr>
            </w:pPr>
            <w:r>
              <w:rPr>
                <w:rFonts w:hint="eastAsia"/>
                <w:sz w:val="21"/>
                <w:szCs w:val="21"/>
                <w:lang w:val="en-US" w:eastAsia="zh-CN"/>
              </w:rPr>
              <w:t>200</w:t>
            </w:r>
          </w:p>
        </w:tc>
        <w:tc>
          <w:tcPr>
            <w:tcW w:w="495" w:type="pct"/>
            <w:tcMar>
              <w:top w:w="57" w:type="dxa"/>
              <w:left w:w="57" w:type="dxa"/>
              <w:bottom w:w="57" w:type="dxa"/>
              <w:right w:w="57" w:type="dxa"/>
            </w:tcMar>
            <w:vAlign w:val="center"/>
          </w:tcPr>
          <w:p w14:paraId="3B72EC4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sz w:val="21"/>
                <w:szCs w:val="21"/>
                <w:lang w:val="en-US" w:eastAsia="zh-CN"/>
              </w:rPr>
            </w:pPr>
            <w:r>
              <w:rPr>
                <w:rFonts w:hint="eastAsia"/>
                <w:sz w:val="21"/>
                <w:szCs w:val="21"/>
                <w:lang w:val="en-US" w:eastAsia="zh-CN"/>
              </w:rPr>
              <w:t>230</w:t>
            </w:r>
          </w:p>
        </w:tc>
        <w:tc>
          <w:tcPr>
            <w:tcW w:w="566" w:type="pct"/>
            <w:tcBorders>
              <w:right w:val="single" w:color="auto" w:sz="4" w:space="0"/>
            </w:tcBorders>
            <w:tcMar>
              <w:top w:w="57" w:type="dxa"/>
              <w:left w:w="57" w:type="dxa"/>
              <w:bottom w:w="57" w:type="dxa"/>
              <w:right w:w="57" w:type="dxa"/>
            </w:tcMar>
            <w:vAlign w:val="center"/>
          </w:tcPr>
          <w:p w14:paraId="6CD47AC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sz w:val="21"/>
                <w:szCs w:val="21"/>
                <w:lang w:val="en-US" w:eastAsia="zh-CN"/>
              </w:rPr>
            </w:pPr>
            <w:r>
              <w:rPr>
                <w:rFonts w:hint="eastAsia"/>
                <w:sz w:val="21"/>
                <w:szCs w:val="21"/>
                <w:lang w:val="en-US" w:eastAsia="zh-CN"/>
              </w:rPr>
              <w:t>920人</w:t>
            </w:r>
          </w:p>
        </w:tc>
        <w:tc>
          <w:tcPr>
            <w:tcW w:w="1699" w:type="pct"/>
            <w:vMerge w:val="continue"/>
            <w:tcBorders>
              <w:left w:val="single" w:color="auto" w:sz="4" w:space="0"/>
            </w:tcBorders>
            <w:vAlign w:val="center"/>
          </w:tcPr>
          <w:p w14:paraId="23460F9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r>
      <w:tr w14:paraId="29D1241E">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jc w:val="center"/>
        </w:trPr>
        <w:tc>
          <w:tcPr>
            <w:tcW w:w="414" w:type="pct"/>
            <w:vMerge w:val="continue"/>
            <w:tcMar>
              <w:top w:w="57" w:type="dxa"/>
              <w:left w:w="57" w:type="dxa"/>
              <w:bottom w:w="57" w:type="dxa"/>
              <w:right w:w="57" w:type="dxa"/>
            </w:tcMar>
            <w:vAlign w:val="center"/>
          </w:tcPr>
          <w:p w14:paraId="62F8A2D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642" w:type="pct"/>
            <w:tcMar>
              <w:top w:w="57" w:type="dxa"/>
              <w:left w:w="57" w:type="dxa"/>
              <w:bottom w:w="57" w:type="dxa"/>
              <w:right w:w="57" w:type="dxa"/>
            </w:tcMar>
            <w:vAlign w:val="center"/>
          </w:tcPr>
          <w:p w14:paraId="187C0A6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sz w:val="21"/>
                <w:szCs w:val="21"/>
                <w:lang w:eastAsia="zh-CN"/>
              </w:rPr>
            </w:pPr>
            <w:r>
              <w:rPr>
                <w:rFonts w:hint="eastAsia"/>
                <w:sz w:val="21"/>
                <w:szCs w:val="21"/>
                <w:lang w:eastAsia="zh-CN"/>
              </w:rPr>
              <w:t>彩宏社区</w:t>
            </w:r>
          </w:p>
        </w:tc>
        <w:tc>
          <w:tcPr>
            <w:tcW w:w="428" w:type="pct"/>
            <w:tcMar>
              <w:top w:w="57" w:type="dxa"/>
              <w:left w:w="57" w:type="dxa"/>
              <w:bottom w:w="57" w:type="dxa"/>
              <w:right w:w="57" w:type="dxa"/>
            </w:tcMar>
            <w:vAlign w:val="center"/>
          </w:tcPr>
          <w:p w14:paraId="29C505A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sz w:val="21"/>
                <w:szCs w:val="21"/>
                <w:lang w:eastAsia="zh-CN"/>
              </w:rPr>
            </w:pPr>
            <w:r>
              <w:rPr>
                <w:rFonts w:hint="eastAsia"/>
                <w:sz w:val="21"/>
                <w:szCs w:val="21"/>
                <w:lang w:eastAsia="zh-CN"/>
              </w:rPr>
              <w:t>东南</w:t>
            </w:r>
          </w:p>
        </w:tc>
        <w:tc>
          <w:tcPr>
            <w:tcW w:w="753" w:type="pct"/>
            <w:tcMar>
              <w:top w:w="57" w:type="dxa"/>
              <w:left w:w="57" w:type="dxa"/>
              <w:bottom w:w="57" w:type="dxa"/>
              <w:right w:w="57" w:type="dxa"/>
            </w:tcMar>
            <w:vAlign w:val="center"/>
          </w:tcPr>
          <w:p w14:paraId="12FDD8D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sz w:val="21"/>
                <w:szCs w:val="21"/>
                <w:lang w:val="en-US" w:eastAsia="zh-CN"/>
              </w:rPr>
            </w:pPr>
            <w:r>
              <w:rPr>
                <w:rFonts w:hint="eastAsia"/>
                <w:sz w:val="21"/>
                <w:szCs w:val="21"/>
                <w:lang w:val="en-US" w:eastAsia="zh-CN"/>
              </w:rPr>
              <w:t>400</w:t>
            </w:r>
          </w:p>
        </w:tc>
        <w:tc>
          <w:tcPr>
            <w:tcW w:w="495" w:type="pct"/>
            <w:tcMar>
              <w:top w:w="57" w:type="dxa"/>
              <w:left w:w="57" w:type="dxa"/>
              <w:bottom w:w="57" w:type="dxa"/>
              <w:right w:w="57" w:type="dxa"/>
            </w:tcMar>
            <w:vAlign w:val="center"/>
          </w:tcPr>
          <w:p w14:paraId="0608467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sz w:val="21"/>
                <w:szCs w:val="21"/>
                <w:lang w:val="en-US" w:eastAsia="zh-CN"/>
              </w:rPr>
            </w:pPr>
            <w:r>
              <w:rPr>
                <w:rFonts w:hint="eastAsia"/>
                <w:sz w:val="21"/>
                <w:szCs w:val="21"/>
                <w:lang w:val="en-US" w:eastAsia="zh-CN"/>
              </w:rPr>
              <w:t>624</w:t>
            </w:r>
          </w:p>
        </w:tc>
        <w:tc>
          <w:tcPr>
            <w:tcW w:w="566" w:type="pct"/>
            <w:tcBorders>
              <w:right w:val="single" w:color="auto" w:sz="4" w:space="0"/>
            </w:tcBorders>
            <w:tcMar>
              <w:top w:w="57" w:type="dxa"/>
              <w:left w:w="57" w:type="dxa"/>
              <w:bottom w:w="57" w:type="dxa"/>
              <w:right w:w="57" w:type="dxa"/>
            </w:tcMar>
            <w:vAlign w:val="center"/>
          </w:tcPr>
          <w:p w14:paraId="2D18402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sz w:val="21"/>
                <w:szCs w:val="21"/>
                <w:lang w:val="en-US" w:eastAsia="zh-CN"/>
              </w:rPr>
            </w:pPr>
            <w:r>
              <w:rPr>
                <w:rFonts w:hint="eastAsia"/>
                <w:sz w:val="21"/>
                <w:szCs w:val="21"/>
                <w:lang w:val="en-US" w:eastAsia="zh-CN"/>
              </w:rPr>
              <w:t>1872人</w:t>
            </w:r>
          </w:p>
        </w:tc>
        <w:tc>
          <w:tcPr>
            <w:tcW w:w="1699" w:type="pct"/>
            <w:vMerge w:val="continue"/>
            <w:tcBorders>
              <w:left w:val="single" w:color="auto" w:sz="4" w:space="0"/>
            </w:tcBorders>
            <w:vAlign w:val="center"/>
          </w:tcPr>
          <w:p w14:paraId="0FA7C5A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r>
      <w:tr w14:paraId="698D29F4">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jc w:val="center"/>
        </w:trPr>
        <w:tc>
          <w:tcPr>
            <w:tcW w:w="414" w:type="pct"/>
            <w:vMerge w:val="continue"/>
            <w:tcMar>
              <w:top w:w="57" w:type="dxa"/>
              <w:left w:w="57" w:type="dxa"/>
              <w:bottom w:w="57" w:type="dxa"/>
              <w:right w:w="57" w:type="dxa"/>
            </w:tcMar>
            <w:vAlign w:val="center"/>
          </w:tcPr>
          <w:p w14:paraId="27CB74D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642" w:type="pct"/>
            <w:tcMar>
              <w:top w:w="57" w:type="dxa"/>
              <w:left w:w="57" w:type="dxa"/>
              <w:bottom w:w="57" w:type="dxa"/>
              <w:right w:w="57" w:type="dxa"/>
            </w:tcMar>
            <w:vAlign w:val="center"/>
          </w:tcPr>
          <w:p w14:paraId="5F82E02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sz w:val="21"/>
                <w:szCs w:val="21"/>
                <w:lang w:eastAsia="zh-CN"/>
              </w:rPr>
            </w:pPr>
            <w:r>
              <w:rPr>
                <w:rFonts w:hint="eastAsia"/>
                <w:sz w:val="21"/>
                <w:szCs w:val="21"/>
                <w:lang w:eastAsia="zh-CN"/>
              </w:rPr>
              <w:t>彩新社区</w:t>
            </w:r>
          </w:p>
        </w:tc>
        <w:tc>
          <w:tcPr>
            <w:tcW w:w="428" w:type="pct"/>
            <w:tcMar>
              <w:top w:w="57" w:type="dxa"/>
              <w:left w:w="57" w:type="dxa"/>
              <w:bottom w:w="57" w:type="dxa"/>
              <w:right w:w="57" w:type="dxa"/>
            </w:tcMar>
            <w:vAlign w:val="center"/>
          </w:tcPr>
          <w:p w14:paraId="7507FC2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lang w:eastAsia="zh-CN"/>
              </w:rPr>
              <w:t>东南</w:t>
            </w:r>
          </w:p>
        </w:tc>
        <w:tc>
          <w:tcPr>
            <w:tcW w:w="753" w:type="pct"/>
            <w:tcMar>
              <w:top w:w="57" w:type="dxa"/>
              <w:left w:w="57" w:type="dxa"/>
              <w:bottom w:w="57" w:type="dxa"/>
              <w:right w:w="57" w:type="dxa"/>
            </w:tcMar>
            <w:vAlign w:val="center"/>
          </w:tcPr>
          <w:p w14:paraId="32EF850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sz w:val="21"/>
                <w:szCs w:val="21"/>
                <w:lang w:val="en-US" w:eastAsia="zh-CN"/>
              </w:rPr>
            </w:pPr>
            <w:r>
              <w:rPr>
                <w:rFonts w:hint="eastAsia"/>
                <w:sz w:val="21"/>
                <w:szCs w:val="21"/>
                <w:lang w:val="en-US" w:eastAsia="zh-CN"/>
              </w:rPr>
              <w:t>750</w:t>
            </w:r>
          </w:p>
        </w:tc>
        <w:tc>
          <w:tcPr>
            <w:tcW w:w="495" w:type="pct"/>
            <w:tcMar>
              <w:top w:w="57" w:type="dxa"/>
              <w:left w:w="57" w:type="dxa"/>
              <w:bottom w:w="57" w:type="dxa"/>
              <w:right w:w="57" w:type="dxa"/>
            </w:tcMar>
            <w:vAlign w:val="center"/>
          </w:tcPr>
          <w:p w14:paraId="6EFA1D9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sz w:val="21"/>
                <w:szCs w:val="21"/>
                <w:lang w:val="en-US" w:eastAsia="zh-CN"/>
              </w:rPr>
            </w:pPr>
            <w:r>
              <w:rPr>
                <w:rFonts w:hint="eastAsia"/>
                <w:sz w:val="21"/>
                <w:szCs w:val="21"/>
                <w:lang w:val="en-US" w:eastAsia="zh-CN"/>
              </w:rPr>
              <w:t>288</w:t>
            </w:r>
          </w:p>
        </w:tc>
        <w:tc>
          <w:tcPr>
            <w:tcW w:w="566" w:type="pct"/>
            <w:tcBorders>
              <w:right w:val="single" w:color="auto" w:sz="4" w:space="0"/>
            </w:tcBorders>
            <w:tcMar>
              <w:top w:w="57" w:type="dxa"/>
              <w:left w:w="57" w:type="dxa"/>
              <w:bottom w:w="57" w:type="dxa"/>
              <w:right w:w="57" w:type="dxa"/>
            </w:tcMar>
            <w:vAlign w:val="center"/>
          </w:tcPr>
          <w:p w14:paraId="51DA3B6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sz w:val="21"/>
                <w:szCs w:val="21"/>
                <w:lang w:val="en-US" w:eastAsia="zh-CN"/>
              </w:rPr>
            </w:pPr>
            <w:r>
              <w:rPr>
                <w:rFonts w:hint="eastAsia"/>
                <w:sz w:val="21"/>
                <w:szCs w:val="21"/>
                <w:lang w:val="en-US" w:eastAsia="zh-CN"/>
              </w:rPr>
              <w:t>864人</w:t>
            </w:r>
          </w:p>
        </w:tc>
        <w:tc>
          <w:tcPr>
            <w:tcW w:w="1699" w:type="pct"/>
            <w:vMerge w:val="continue"/>
            <w:tcBorders>
              <w:left w:val="single" w:color="auto" w:sz="4" w:space="0"/>
            </w:tcBorders>
            <w:vAlign w:val="center"/>
          </w:tcPr>
          <w:p w14:paraId="2E413A0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r>
      <w:tr w14:paraId="5B0166D0">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jc w:val="center"/>
        </w:trPr>
        <w:tc>
          <w:tcPr>
            <w:tcW w:w="414" w:type="pct"/>
            <w:vMerge w:val="continue"/>
            <w:tcMar>
              <w:top w:w="57" w:type="dxa"/>
              <w:left w:w="57" w:type="dxa"/>
              <w:bottom w:w="57" w:type="dxa"/>
              <w:right w:w="57" w:type="dxa"/>
            </w:tcMar>
            <w:vAlign w:val="center"/>
          </w:tcPr>
          <w:p w14:paraId="6609BF8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642" w:type="pct"/>
            <w:tcMar>
              <w:top w:w="57" w:type="dxa"/>
              <w:left w:w="57" w:type="dxa"/>
              <w:bottom w:w="57" w:type="dxa"/>
              <w:right w:w="57" w:type="dxa"/>
            </w:tcMar>
            <w:vAlign w:val="center"/>
          </w:tcPr>
          <w:p w14:paraId="7B8121B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lang w:eastAsia="zh-CN"/>
              </w:rPr>
            </w:pPr>
            <w:r>
              <w:rPr>
                <w:rFonts w:hint="eastAsia"/>
                <w:sz w:val="21"/>
                <w:szCs w:val="21"/>
                <w:lang w:eastAsia="zh-CN"/>
              </w:rPr>
              <w:t>彩建社区</w:t>
            </w:r>
          </w:p>
        </w:tc>
        <w:tc>
          <w:tcPr>
            <w:tcW w:w="428" w:type="pct"/>
            <w:tcMar>
              <w:top w:w="57" w:type="dxa"/>
              <w:left w:w="57" w:type="dxa"/>
              <w:bottom w:w="57" w:type="dxa"/>
              <w:right w:w="57" w:type="dxa"/>
            </w:tcMar>
            <w:vAlign w:val="center"/>
          </w:tcPr>
          <w:p w14:paraId="1B2BF03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lang w:eastAsia="zh-CN"/>
              </w:rPr>
            </w:pPr>
            <w:r>
              <w:rPr>
                <w:rFonts w:hint="eastAsia"/>
                <w:sz w:val="21"/>
                <w:szCs w:val="21"/>
                <w:lang w:eastAsia="zh-CN"/>
              </w:rPr>
              <w:t>东南</w:t>
            </w:r>
          </w:p>
        </w:tc>
        <w:tc>
          <w:tcPr>
            <w:tcW w:w="753" w:type="pct"/>
            <w:tcMar>
              <w:top w:w="57" w:type="dxa"/>
              <w:left w:w="57" w:type="dxa"/>
              <w:bottom w:w="57" w:type="dxa"/>
              <w:right w:w="57" w:type="dxa"/>
            </w:tcMar>
            <w:vAlign w:val="center"/>
          </w:tcPr>
          <w:p w14:paraId="5157E6F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sz w:val="21"/>
                <w:szCs w:val="21"/>
                <w:lang w:val="en-US" w:eastAsia="zh-CN"/>
              </w:rPr>
            </w:pPr>
            <w:r>
              <w:rPr>
                <w:rFonts w:hint="eastAsia"/>
                <w:sz w:val="21"/>
                <w:szCs w:val="21"/>
                <w:lang w:val="en-US" w:eastAsia="zh-CN"/>
              </w:rPr>
              <w:t>1000</w:t>
            </w:r>
          </w:p>
        </w:tc>
        <w:tc>
          <w:tcPr>
            <w:tcW w:w="495" w:type="pct"/>
            <w:tcMar>
              <w:top w:w="57" w:type="dxa"/>
              <w:left w:w="57" w:type="dxa"/>
              <w:bottom w:w="57" w:type="dxa"/>
              <w:right w:w="57" w:type="dxa"/>
            </w:tcMar>
            <w:vAlign w:val="center"/>
          </w:tcPr>
          <w:p w14:paraId="747E86B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sz w:val="21"/>
                <w:szCs w:val="21"/>
                <w:lang w:val="en-US" w:eastAsia="zh-CN"/>
              </w:rPr>
            </w:pPr>
            <w:r>
              <w:rPr>
                <w:rFonts w:hint="eastAsia"/>
                <w:sz w:val="21"/>
                <w:szCs w:val="21"/>
                <w:lang w:val="en-US" w:eastAsia="zh-CN"/>
              </w:rPr>
              <w:t>864</w:t>
            </w:r>
          </w:p>
        </w:tc>
        <w:tc>
          <w:tcPr>
            <w:tcW w:w="566" w:type="pct"/>
            <w:tcBorders>
              <w:right w:val="single" w:color="auto" w:sz="4" w:space="0"/>
            </w:tcBorders>
            <w:tcMar>
              <w:top w:w="57" w:type="dxa"/>
              <w:left w:w="57" w:type="dxa"/>
              <w:bottom w:w="57" w:type="dxa"/>
              <w:right w:w="57" w:type="dxa"/>
            </w:tcMar>
            <w:vAlign w:val="center"/>
          </w:tcPr>
          <w:p w14:paraId="4CA3324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sz w:val="21"/>
                <w:szCs w:val="21"/>
                <w:lang w:val="en-US" w:eastAsia="zh-CN"/>
              </w:rPr>
            </w:pPr>
            <w:r>
              <w:rPr>
                <w:rFonts w:hint="eastAsia"/>
                <w:sz w:val="21"/>
                <w:szCs w:val="21"/>
                <w:lang w:val="en-US" w:eastAsia="zh-CN"/>
              </w:rPr>
              <w:t>2592人</w:t>
            </w:r>
          </w:p>
        </w:tc>
        <w:tc>
          <w:tcPr>
            <w:tcW w:w="1699" w:type="pct"/>
            <w:vMerge w:val="continue"/>
            <w:tcBorders>
              <w:left w:val="single" w:color="auto" w:sz="4" w:space="0"/>
            </w:tcBorders>
            <w:vAlign w:val="center"/>
          </w:tcPr>
          <w:p w14:paraId="3597C6F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r>
      <w:tr w14:paraId="1DBE3AE2">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jc w:val="center"/>
        </w:trPr>
        <w:tc>
          <w:tcPr>
            <w:tcW w:w="414" w:type="pct"/>
            <w:vMerge w:val="continue"/>
            <w:tcBorders>
              <w:bottom w:val="single" w:color="auto" w:sz="4" w:space="0"/>
            </w:tcBorders>
            <w:tcMar>
              <w:top w:w="57" w:type="dxa"/>
              <w:left w:w="57" w:type="dxa"/>
              <w:bottom w:w="57" w:type="dxa"/>
              <w:right w:w="57" w:type="dxa"/>
            </w:tcMar>
            <w:vAlign w:val="center"/>
          </w:tcPr>
          <w:p w14:paraId="686F55D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642" w:type="pct"/>
            <w:tcMar>
              <w:top w:w="57" w:type="dxa"/>
              <w:left w:w="57" w:type="dxa"/>
              <w:bottom w:w="57" w:type="dxa"/>
              <w:right w:w="57" w:type="dxa"/>
            </w:tcMar>
            <w:vAlign w:val="center"/>
          </w:tcPr>
          <w:p w14:paraId="1F1ADFE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lang w:eastAsia="zh-CN"/>
              </w:rPr>
            </w:pPr>
            <w:r>
              <w:rPr>
                <w:rFonts w:hint="eastAsia"/>
                <w:sz w:val="21"/>
                <w:szCs w:val="21"/>
                <w:lang w:eastAsia="zh-CN"/>
              </w:rPr>
              <w:t>彩北社区</w:t>
            </w:r>
          </w:p>
        </w:tc>
        <w:tc>
          <w:tcPr>
            <w:tcW w:w="428" w:type="pct"/>
            <w:tcMar>
              <w:top w:w="57" w:type="dxa"/>
              <w:left w:w="57" w:type="dxa"/>
              <w:bottom w:w="57" w:type="dxa"/>
              <w:right w:w="57" w:type="dxa"/>
            </w:tcMar>
            <w:vAlign w:val="center"/>
          </w:tcPr>
          <w:p w14:paraId="51F5052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lang w:eastAsia="zh-CN"/>
              </w:rPr>
            </w:pPr>
            <w:r>
              <w:rPr>
                <w:rFonts w:hint="eastAsia"/>
                <w:sz w:val="21"/>
                <w:szCs w:val="21"/>
                <w:lang w:eastAsia="zh-CN"/>
              </w:rPr>
              <w:t>北</w:t>
            </w:r>
          </w:p>
        </w:tc>
        <w:tc>
          <w:tcPr>
            <w:tcW w:w="753" w:type="pct"/>
            <w:tcMar>
              <w:top w:w="57" w:type="dxa"/>
              <w:left w:w="57" w:type="dxa"/>
              <w:bottom w:w="57" w:type="dxa"/>
              <w:right w:w="57" w:type="dxa"/>
            </w:tcMar>
            <w:vAlign w:val="center"/>
          </w:tcPr>
          <w:p w14:paraId="583F97B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sz w:val="21"/>
                <w:szCs w:val="21"/>
                <w:lang w:val="en-US" w:eastAsia="zh-CN"/>
              </w:rPr>
            </w:pPr>
            <w:r>
              <w:rPr>
                <w:rFonts w:hint="eastAsia"/>
                <w:sz w:val="21"/>
                <w:szCs w:val="21"/>
                <w:lang w:val="en-US" w:eastAsia="zh-CN"/>
              </w:rPr>
              <w:t>400</w:t>
            </w:r>
          </w:p>
        </w:tc>
        <w:tc>
          <w:tcPr>
            <w:tcW w:w="495" w:type="pct"/>
            <w:tcMar>
              <w:top w:w="57" w:type="dxa"/>
              <w:left w:w="57" w:type="dxa"/>
              <w:bottom w:w="57" w:type="dxa"/>
              <w:right w:w="57" w:type="dxa"/>
            </w:tcMar>
            <w:vAlign w:val="center"/>
          </w:tcPr>
          <w:p w14:paraId="3995F5E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sz w:val="21"/>
                <w:szCs w:val="21"/>
                <w:lang w:val="en-US" w:eastAsia="zh-CN"/>
              </w:rPr>
            </w:pPr>
            <w:r>
              <w:rPr>
                <w:rFonts w:hint="eastAsia"/>
                <w:sz w:val="21"/>
                <w:szCs w:val="21"/>
                <w:lang w:val="en-US" w:eastAsia="zh-CN"/>
              </w:rPr>
              <w:t>2016</w:t>
            </w:r>
          </w:p>
        </w:tc>
        <w:tc>
          <w:tcPr>
            <w:tcW w:w="566" w:type="pct"/>
            <w:tcBorders>
              <w:right w:val="single" w:color="auto" w:sz="4" w:space="0"/>
            </w:tcBorders>
            <w:tcMar>
              <w:top w:w="57" w:type="dxa"/>
              <w:left w:w="57" w:type="dxa"/>
              <w:bottom w:w="57" w:type="dxa"/>
              <w:right w:w="57" w:type="dxa"/>
            </w:tcMar>
            <w:vAlign w:val="center"/>
          </w:tcPr>
          <w:p w14:paraId="1C76C1E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sz w:val="21"/>
                <w:szCs w:val="21"/>
                <w:lang w:val="en-US" w:eastAsia="zh-CN"/>
              </w:rPr>
            </w:pPr>
            <w:r>
              <w:rPr>
                <w:rFonts w:hint="eastAsia"/>
                <w:sz w:val="21"/>
                <w:szCs w:val="21"/>
                <w:lang w:val="en-US" w:eastAsia="zh-CN"/>
              </w:rPr>
              <w:t>6048人</w:t>
            </w:r>
          </w:p>
        </w:tc>
        <w:tc>
          <w:tcPr>
            <w:tcW w:w="1699" w:type="pct"/>
            <w:vMerge w:val="continue"/>
            <w:tcBorders>
              <w:left w:val="single" w:color="auto" w:sz="4" w:space="0"/>
              <w:bottom w:val="single" w:color="auto" w:sz="4" w:space="0"/>
            </w:tcBorders>
            <w:vAlign w:val="center"/>
          </w:tcPr>
          <w:p w14:paraId="0B81D3E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r>
      <w:tr w14:paraId="3482ED64">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jc w:val="center"/>
        </w:trPr>
        <w:tc>
          <w:tcPr>
            <w:tcW w:w="414" w:type="pct"/>
            <w:tcMar>
              <w:top w:w="57" w:type="dxa"/>
              <w:left w:w="57" w:type="dxa"/>
              <w:bottom w:w="57" w:type="dxa"/>
              <w:right w:w="57" w:type="dxa"/>
            </w:tcMar>
            <w:vAlign w:val="center"/>
          </w:tcPr>
          <w:p w14:paraId="05B8C65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地表水</w:t>
            </w:r>
          </w:p>
        </w:tc>
        <w:tc>
          <w:tcPr>
            <w:tcW w:w="642" w:type="pct"/>
            <w:tcMar>
              <w:top w:w="57" w:type="dxa"/>
              <w:left w:w="57" w:type="dxa"/>
              <w:bottom w:w="57" w:type="dxa"/>
              <w:right w:w="57" w:type="dxa"/>
            </w:tcMar>
            <w:vAlign w:val="center"/>
          </w:tcPr>
          <w:p w14:paraId="7C6A920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lang w:eastAsia="zh-CN"/>
              </w:rPr>
              <w:t>太子</w:t>
            </w:r>
            <w:r>
              <w:rPr>
                <w:sz w:val="21"/>
                <w:szCs w:val="21"/>
              </w:rPr>
              <w:t>河</w:t>
            </w:r>
          </w:p>
        </w:tc>
        <w:tc>
          <w:tcPr>
            <w:tcW w:w="428" w:type="pct"/>
            <w:tcMar>
              <w:top w:w="57" w:type="dxa"/>
              <w:left w:w="57" w:type="dxa"/>
              <w:bottom w:w="57" w:type="dxa"/>
              <w:right w:w="57" w:type="dxa"/>
            </w:tcMar>
            <w:vAlign w:val="center"/>
          </w:tcPr>
          <w:p w14:paraId="0CCE662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sz w:val="21"/>
                <w:szCs w:val="21"/>
                <w:lang w:eastAsia="zh-CN"/>
              </w:rPr>
            </w:pPr>
            <w:r>
              <w:rPr>
                <w:rFonts w:hint="eastAsia"/>
                <w:sz w:val="21"/>
                <w:szCs w:val="21"/>
                <w:lang w:eastAsia="zh-CN"/>
              </w:rPr>
              <w:t>南</w:t>
            </w:r>
          </w:p>
        </w:tc>
        <w:tc>
          <w:tcPr>
            <w:tcW w:w="753" w:type="pct"/>
            <w:tcMar>
              <w:top w:w="57" w:type="dxa"/>
              <w:left w:w="57" w:type="dxa"/>
              <w:bottom w:w="57" w:type="dxa"/>
              <w:right w:w="57" w:type="dxa"/>
            </w:tcMar>
            <w:vAlign w:val="center"/>
          </w:tcPr>
          <w:p w14:paraId="72AD93E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sz w:val="21"/>
                <w:szCs w:val="21"/>
                <w:lang w:val="en-US" w:eastAsia="zh-CN"/>
              </w:rPr>
            </w:pPr>
            <w:r>
              <w:rPr>
                <w:rFonts w:hint="eastAsia"/>
                <w:sz w:val="21"/>
                <w:szCs w:val="21"/>
                <w:lang w:val="en-US" w:eastAsia="zh-CN"/>
              </w:rPr>
              <w:t>2760</w:t>
            </w:r>
          </w:p>
        </w:tc>
        <w:tc>
          <w:tcPr>
            <w:tcW w:w="495" w:type="pct"/>
            <w:tcMar>
              <w:top w:w="57" w:type="dxa"/>
              <w:left w:w="57" w:type="dxa"/>
              <w:bottom w:w="57" w:type="dxa"/>
              <w:right w:w="57" w:type="dxa"/>
            </w:tcMar>
            <w:vAlign w:val="center"/>
          </w:tcPr>
          <w:p w14:paraId="49C2261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w:t>
            </w:r>
          </w:p>
        </w:tc>
        <w:tc>
          <w:tcPr>
            <w:tcW w:w="566" w:type="pct"/>
            <w:tcBorders>
              <w:right w:val="single" w:color="auto" w:sz="4" w:space="0"/>
            </w:tcBorders>
            <w:tcMar>
              <w:top w:w="57" w:type="dxa"/>
              <w:left w:w="57" w:type="dxa"/>
              <w:bottom w:w="57" w:type="dxa"/>
              <w:right w:w="57" w:type="dxa"/>
            </w:tcMar>
            <w:vAlign w:val="center"/>
          </w:tcPr>
          <w:p w14:paraId="06C52CD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w:t>
            </w:r>
          </w:p>
        </w:tc>
        <w:tc>
          <w:tcPr>
            <w:tcW w:w="1699" w:type="pct"/>
            <w:tcBorders>
              <w:left w:val="single" w:color="auto" w:sz="4" w:space="0"/>
            </w:tcBorders>
            <w:vAlign w:val="center"/>
          </w:tcPr>
          <w:p w14:paraId="2CACFC6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符合《地表水环境质量标准》</w:t>
            </w:r>
          </w:p>
          <w:p w14:paraId="75BB929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（GB3838-2002）中Ⅳ类标准</w:t>
            </w:r>
          </w:p>
        </w:tc>
      </w:tr>
      <w:tr w14:paraId="3B1783F3">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jc w:val="center"/>
        </w:trPr>
        <w:tc>
          <w:tcPr>
            <w:tcW w:w="414" w:type="pct"/>
            <w:vMerge w:val="restart"/>
            <w:tcMar>
              <w:top w:w="57" w:type="dxa"/>
              <w:left w:w="57" w:type="dxa"/>
              <w:bottom w:w="57" w:type="dxa"/>
              <w:right w:w="57" w:type="dxa"/>
            </w:tcMar>
            <w:vAlign w:val="center"/>
          </w:tcPr>
          <w:p w14:paraId="06EABDF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sz w:val="21"/>
                <w:szCs w:val="21"/>
                <w:lang w:eastAsia="zh-CN"/>
              </w:rPr>
            </w:pPr>
            <w:r>
              <w:rPr>
                <w:rFonts w:hint="eastAsia"/>
                <w:sz w:val="21"/>
                <w:szCs w:val="21"/>
                <w:lang w:eastAsia="zh-CN"/>
              </w:rPr>
              <w:t>声环境</w:t>
            </w:r>
          </w:p>
        </w:tc>
        <w:tc>
          <w:tcPr>
            <w:tcW w:w="642" w:type="pct"/>
            <w:tcMar>
              <w:top w:w="57" w:type="dxa"/>
              <w:left w:w="57" w:type="dxa"/>
              <w:bottom w:w="57" w:type="dxa"/>
              <w:right w:w="57" w:type="dxa"/>
            </w:tcMar>
            <w:vAlign w:val="center"/>
          </w:tcPr>
          <w:p w14:paraId="57D3858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lang w:eastAsia="zh-CN"/>
              </w:rPr>
            </w:pPr>
            <w:r>
              <w:rPr>
                <w:rFonts w:hint="eastAsia"/>
                <w:sz w:val="21"/>
                <w:szCs w:val="21"/>
                <w:lang w:eastAsia="zh-CN"/>
              </w:rPr>
              <w:t>郑家屯</w:t>
            </w:r>
          </w:p>
        </w:tc>
        <w:tc>
          <w:tcPr>
            <w:tcW w:w="428" w:type="pct"/>
            <w:tcMar>
              <w:top w:w="57" w:type="dxa"/>
              <w:left w:w="57" w:type="dxa"/>
              <w:bottom w:w="57" w:type="dxa"/>
              <w:right w:w="57" w:type="dxa"/>
            </w:tcMar>
            <w:vAlign w:val="center"/>
          </w:tcPr>
          <w:p w14:paraId="46D3CDE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lang w:eastAsia="zh-CN"/>
              </w:rPr>
            </w:pPr>
            <w:r>
              <w:rPr>
                <w:rFonts w:hint="eastAsia"/>
                <w:sz w:val="21"/>
                <w:szCs w:val="21"/>
                <w:lang w:eastAsia="zh-CN"/>
              </w:rPr>
              <w:t>西南</w:t>
            </w:r>
          </w:p>
        </w:tc>
        <w:tc>
          <w:tcPr>
            <w:tcW w:w="753" w:type="pct"/>
            <w:tcMar>
              <w:top w:w="57" w:type="dxa"/>
              <w:left w:w="57" w:type="dxa"/>
              <w:bottom w:w="57" w:type="dxa"/>
              <w:right w:w="57" w:type="dxa"/>
            </w:tcMar>
            <w:vAlign w:val="center"/>
          </w:tcPr>
          <w:p w14:paraId="10E6BEE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lang w:val="en-US" w:eastAsia="zh-CN"/>
              </w:rPr>
            </w:pPr>
            <w:r>
              <w:rPr>
                <w:rFonts w:hint="eastAsia"/>
                <w:sz w:val="21"/>
                <w:szCs w:val="21"/>
                <w:lang w:val="en-US" w:eastAsia="zh-CN"/>
              </w:rPr>
              <w:t>1030</w:t>
            </w:r>
          </w:p>
        </w:tc>
        <w:tc>
          <w:tcPr>
            <w:tcW w:w="495" w:type="pct"/>
            <w:tcMar>
              <w:top w:w="57" w:type="dxa"/>
              <w:left w:w="57" w:type="dxa"/>
              <w:bottom w:w="57" w:type="dxa"/>
              <w:right w:w="57" w:type="dxa"/>
            </w:tcMar>
            <w:vAlign w:val="center"/>
          </w:tcPr>
          <w:p w14:paraId="7A42D4F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lang w:val="en-US" w:eastAsia="zh-CN"/>
              </w:rPr>
              <w:t>120</w:t>
            </w:r>
          </w:p>
        </w:tc>
        <w:tc>
          <w:tcPr>
            <w:tcW w:w="566" w:type="pct"/>
            <w:tcBorders>
              <w:right w:val="single" w:color="auto" w:sz="4" w:space="0"/>
            </w:tcBorders>
            <w:tcMar>
              <w:top w:w="57" w:type="dxa"/>
              <w:left w:w="57" w:type="dxa"/>
              <w:bottom w:w="57" w:type="dxa"/>
              <w:right w:w="57" w:type="dxa"/>
            </w:tcMar>
            <w:vAlign w:val="center"/>
          </w:tcPr>
          <w:p w14:paraId="120A2C6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lang w:val="en-US" w:eastAsia="zh-CN"/>
              </w:rPr>
              <w:t>480人</w:t>
            </w:r>
          </w:p>
        </w:tc>
        <w:tc>
          <w:tcPr>
            <w:tcW w:w="1699" w:type="pct"/>
            <w:vMerge w:val="restart"/>
            <w:tcBorders>
              <w:left w:val="single" w:color="auto" w:sz="4" w:space="0"/>
            </w:tcBorders>
            <w:vAlign w:val="center"/>
          </w:tcPr>
          <w:p w14:paraId="007A938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sz w:val="21"/>
                <w:szCs w:val="21"/>
                <w:lang w:eastAsia="zh-CN"/>
              </w:rPr>
            </w:pPr>
            <w:r>
              <w:rPr>
                <w:rFonts w:hint="eastAsia"/>
                <w:sz w:val="21"/>
                <w:szCs w:val="21"/>
                <w:lang w:eastAsia="zh-CN"/>
              </w:rPr>
              <w:t>符合</w:t>
            </w:r>
            <w:r>
              <w:rPr>
                <w:sz w:val="21"/>
                <w:szCs w:val="21"/>
              </w:rPr>
              <w:t>《声环境质量标准》（GB3096-2008）中</w:t>
            </w:r>
            <w:r>
              <w:rPr>
                <w:rFonts w:hint="eastAsia"/>
                <w:sz w:val="21"/>
                <w:szCs w:val="21"/>
                <w:lang w:val="en-US" w:eastAsia="zh-CN"/>
              </w:rPr>
              <w:t>2</w:t>
            </w:r>
            <w:r>
              <w:rPr>
                <w:sz w:val="21"/>
                <w:szCs w:val="21"/>
              </w:rPr>
              <w:t>类标准</w:t>
            </w:r>
          </w:p>
        </w:tc>
      </w:tr>
      <w:tr w14:paraId="06876FCE">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jc w:val="center"/>
        </w:trPr>
        <w:tc>
          <w:tcPr>
            <w:tcW w:w="414" w:type="pct"/>
            <w:vMerge w:val="continue"/>
            <w:tcMar>
              <w:top w:w="57" w:type="dxa"/>
              <w:left w:w="57" w:type="dxa"/>
              <w:bottom w:w="57" w:type="dxa"/>
              <w:right w:w="57" w:type="dxa"/>
            </w:tcMar>
            <w:vAlign w:val="center"/>
          </w:tcPr>
          <w:p w14:paraId="62F1EF4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642" w:type="pct"/>
            <w:tcMar>
              <w:top w:w="57" w:type="dxa"/>
              <w:left w:w="57" w:type="dxa"/>
              <w:bottom w:w="57" w:type="dxa"/>
              <w:right w:w="57" w:type="dxa"/>
            </w:tcMar>
            <w:vAlign w:val="center"/>
          </w:tcPr>
          <w:p w14:paraId="7723445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lang w:eastAsia="zh-CN"/>
              </w:rPr>
            </w:pPr>
            <w:r>
              <w:rPr>
                <w:rFonts w:hint="eastAsia"/>
                <w:sz w:val="21"/>
                <w:szCs w:val="21"/>
                <w:lang w:eastAsia="zh-CN"/>
              </w:rPr>
              <w:t>东风社区</w:t>
            </w:r>
          </w:p>
        </w:tc>
        <w:tc>
          <w:tcPr>
            <w:tcW w:w="428" w:type="pct"/>
            <w:tcMar>
              <w:top w:w="57" w:type="dxa"/>
              <w:left w:w="57" w:type="dxa"/>
              <w:bottom w:w="57" w:type="dxa"/>
              <w:right w:w="57" w:type="dxa"/>
            </w:tcMar>
            <w:vAlign w:val="center"/>
          </w:tcPr>
          <w:p w14:paraId="058DB91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lang w:eastAsia="zh-CN"/>
              </w:rPr>
            </w:pPr>
            <w:r>
              <w:rPr>
                <w:rFonts w:hint="eastAsia"/>
                <w:sz w:val="21"/>
                <w:szCs w:val="21"/>
                <w:lang w:eastAsia="zh-CN"/>
              </w:rPr>
              <w:t>南</w:t>
            </w:r>
          </w:p>
        </w:tc>
        <w:tc>
          <w:tcPr>
            <w:tcW w:w="753" w:type="pct"/>
            <w:tcMar>
              <w:top w:w="57" w:type="dxa"/>
              <w:left w:w="57" w:type="dxa"/>
              <w:bottom w:w="57" w:type="dxa"/>
              <w:right w:w="57" w:type="dxa"/>
            </w:tcMar>
            <w:vAlign w:val="center"/>
          </w:tcPr>
          <w:p w14:paraId="6E38DE8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lang w:val="en-US" w:eastAsia="zh-CN"/>
              </w:rPr>
            </w:pPr>
            <w:r>
              <w:rPr>
                <w:rFonts w:hint="eastAsia"/>
                <w:sz w:val="21"/>
                <w:szCs w:val="21"/>
                <w:lang w:val="en-US" w:eastAsia="zh-CN"/>
              </w:rPr>
              <w:t>1080</w:t>
            </w:r>
          </w:p>
        </w:tc>
        <w:tc>
          <w:tcPr>
            <w:tcW w:w="495" w:type="pct"/>
            <w:tcMar>
              <w:top w:w="57" w:type="dxa"/>
              <w:left w:w="57" w:type="dxa"/>
              <w:bottom w:w="57" w:type="dxa"/>
              <w:right w:w="57" w:type="dxa"/>
            </w:tcMar>
            <w:vAlign w:val="center"/>
          </w:tcPr>
          <w:p w14:paraId="4961765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lang w:val="en-US" w:eastAsia="zh-CN"/>
              </w:rPr>
              <w:t>200</w:t>
            </w:r>
          </w:p>
        </w:tc>
        <w:tc>
          <w:tcPr>
            <w:tcW w:w="566" w:type="pct"/>
            <w:tcBorders>
              <w:right w:val="single" w:color="auto" w:sz="4" w:space="0"/>
            </w:tcBorders>
            <w:tcMar>
              <w:top w:w="57" w:type="dxa"/>
              <w:left w:w="57" w:type="dxa"/>
              <w:bottom w:w="57" w:type="dxa"/>
              <w:right w:w="57" w:type="dxa"/>
            </w:tcMar>
            <w:vAlign w:val="center"/>
          </w:tcPr>
          <w:p w14:paraId="6D73F49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lang w:val="en-US" w:eastAsia="zh-CN"/>
              </w:rPr>
              <w:t>800人</w:t>
            </w:r>
          </w:p>
        </w:tc>
        <w:tc>
          <w:tcPr>
            <w:tcW w:w="1699" w:type="pct"/>
            <w:vMerge w:val="continue"/>
            <w:tcBorders>
              <w:left w:val="single" w:color="auto" w:sz="4" w:space="0"/>
            </w:tcBorders>
            <w:vAlign w:val="center"/>
          </w:tcPr>
          <w:p w14:paraId="482ADD7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r>
      <w:tr w14:paraId="59755837">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jc w:val="center"/>
        </w:trPr>
        <w:tc>
          <w:tcPr>
            <w:tcW w:w="414" w:type="pct"/>
            <w:vMerge w:val="continue"/>
            <w:tcMar>
              <w:top w:w="57" w:type="dxa"/>
              <w:left w:w="57" w:type="dxa"/>
              <w:bottom w:w="57" w:type="dxa"/>
              <w:right w:w="57" w:type="dxa"/>
            </w:tcMar>
            <w:vAlign w:val="center"/>
          </w:tcPr>
          <w:p w14:paraId="7D6E3D8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642" w:type="pct"/>
            <w:tcMar>
              <w:top w:w="57" w:type="dxa"/>
              <w:left w:w="57" w:type="dxa"/>
              <w:bottom w:w="57" w:type="dxa"/>
              <w:right w:w="57" w:type="dxa"/>
            </w:tcMar>
            <w:vAlign w:val="center"/>
          </w:tcPr>
          <w:p w14:paraId="69FFD79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lang w:eastAsia="zh-CN"/>
              </w:rPr>
            </w:pPr>
            <w:r>
              <w:rPr>
                <w:rFonts w:hint="eastAsia"/>
                <w:sz w:val="21"/>
                <w:szCs w:val="21"/>
                <w:lang w:eastAsia="zh-CN"/>
              </w:rPr>
              <w:t>腰堡村</w:t>
            </w:r>
          </w:p>
        </w:tc>
        <w:tc>
          <w:tcPr>
            <w:tcW w:w="428" w:type="pct"/>
            <w:tcMar>
              <w:top w:w="57" w:type="dxa"/>
              <w:left w:w="57" w:type="dxa"/>
              <w:bottom w:w="57" w:type="dxa"/>
              <w:right w:w="57" w:type="dxa"/>
            </w:tcMar>
            <w:vAlign w:val="center"/>
          </w:tcPr>
          <w:p w14:paraId="46B9653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lang w:eastAsia="zh-CN"/>
              </w:rPr>
            </w:pPr>
            <w:r>
              <w:rPr>
                <w:rFonts w:hint="eastAsia"/>
                <w:sz w:val="21"/>
                <w:szCs w:val="21"/>
                <w:lang w:eastAsia="zh-CN"/>
              </w:rPr>
              <w:t>南</w:t>
            </w:r>
          </w:p>
        </w:tc>
        <w:tc>
          <w:tcPr>
            <w:tcW w:w="753" w:type="pct"/>
            <w:tcMar>
              <w:top w:w="57" w:type="dxa"/>
              <w:left w:w="57" w:type="dxa"/>
              <w:bottom w:w="57" w:type="dxa"/>
              <w:right w:w="57" w:type="dxa"/>
            </w:tcMar>
            <w:vAlign w:val="center"/>
          </w:tcPr>
          <w:p w14:paraId="73C8292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lang w:val="en-US" w:eastAsia="zh-CN"/>
              </w:rPr>
            </w:pPr>
            <w:r>
              <w:rPr>
                <w:rFonts w:hint="eastAsia"/>
                <w:sz w:val="21"/>
                <w:szCs w:val="21"/>
                <w:lang w:val="en-US" w:eastAsia="zh-CN"/>
              </w:rPr>
              <w:t>200</w:t>
            </w:r>
          </w:p>
        </w:tc>
        <w:tc>
          <w:tcPr>
            <w:tcW w:w="495" w:type="pct"/>
            <w:tcMar>
              <w:top w:w="57" w:type="dxa"/>
              <w:left w:w="57" w:type="dxa"/>
              <w:bottom w:w="57" w:type="dxa"/>
              <w:right w:w="57" w:type="dxa"/>
            </w:tcMar>
            <w:vAlign w:val="center"/>
          </w:tcPr>
          <w:p w14:paraId="10FAAF9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lang w:val="en-US" w:eastAsia="zh-CN"/>
              </w:rPr>
              <w:t>230</w:t>
            </w:r>
          </w:p>
        </w:tc>
        <w:tc>
          <w:tcPr>
            <w:tcW w:w="566" w:type="pct"/>
            <w:tcBorders>
              <w:right w:val="single" w:color="auto" w:sz="4" w:space="0"/>
            </w:tcBorders>
            <w:tcMar>
              <w:top w:w="57" w:type="dxa"/>
              <w:left w:w="57" w:type="dxa"/>
              <w:bottom w:w="57" w:type="dxa"/>
              <w:right w:w="57" w:type="dxa"/>
            </w:tcMar>
            <w:vAlign w:val="center"/>
          </w:tcPr>
          <w:p w14:paraId="5D11D76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lang w:val="en-US" w:eastAsia="zh-CN"/>
              </w:rPr>
              <w:t>920人</w:t>
            </w:r>
          </w:p>
        </w:tc>
        <w:tc>
          <w:tcPr>
            <w:tcW w:w="1699" w:type="pct"/>
            <w:vMerge w:val="continue"/>
            <w:tcBorders>
              <w:left w:val="single" w:color="auto" w:sz="4" w:space="0"/>
            </w:tcBorders>
            <w:vAlign w:val="center"/>
          </w:tcPr>
          <w:p w14:paraId="60C101A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r>
      <w:tr w14:paraId="3EAD6615">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jc w:val="center"/>
        </w:trPr>
        <w:tc>
          <w:tcPr>
            <w:tcW w:w="414" w:type="pct"/>
            <w:vMerge w:val="continue"/>
            <w:tcMar>
              <w:top w:w="57" w:type="dxa"/>
              <w:left w:w="57" w:type="dxa"/>
              <w:bottom w:w="57" w:type="dxa"/>
              <w:right w:w="57" w:type="dxa"/>
            </w:tcMar>
            <w:vAlign w:val="center"/>
          </w:tcPr>
          <w:p w14:paraId="34B06B7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642" w:type="pct"/>
            <w:tcMar>
              <w:top w:w="57" w:type="dxa"/>
              <w:left w:w="57" w:type="dxa"/>
              <w:bottom w:w="57" w:type="dxa"/>
              <w:right w:w="57" w:type="dxa"/>
            </w:tcMar>
            <w:vAlign w:val="center"/>
          </w:tcPr>
          <w:p w14:paraId="177DA2E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lang w:eastAsia="zh-CN"/>
              </w:rPr>
            </w:pPr>
            <w:r>
              <w:rPr>
                <w:rFonts w:hint="eastAsia"/>
                <w:sz w:val="21"/>
                <w:szCs w:val="21"/>
                <w:lang w:eastAsia="zh-CN"/>
              </w:rPr>
              <w:t>彩宏社区</w:t>
            </w:r>
          </w:p>
        </w:tc>
        <w:tc>
          <w:tcPr>
            <w:tcW w:w="428" w:type="pct"/>
            <w:tcMar>
              <w:top w:w="57" w:type="dxa"/>
              <w:left w:w="57" w:type="dxa"/>
              <w:bottom w:w="57" w:type="dxa"/>
              <w:right w:w="57" w:type="dxa"/>
            </w:tcMar>
            <w:vAlign w:val="center"/>
          </w:tcPr>
          <w:p w14:paraId="5EC659E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lang w:eastAsia="zh-CN"/>
              </w:rPr>
            </w:pPr>
            <w:r>
              <w:rPr>
                <w:rFonts w:hint="eastAsia"/>
                <w:sz w:val="21"/>
                <w:szCs w:val="21"/>
                <w:lang w:eastAsia="zh-CN"/>
              </w:rPr>
              <w:t>东南</w:t>
            </w:r>
          </w:p>
        </w:tc>
        <w:tc>
          <w:tcPr>
            <w:tcW w:w="753" w:type="pct"/>
            <w:tcMar>
              <w:top w:w="57" w:type="dxa"/>
              <w:left w:w="57" w:type="dxa"/>
              <w:bottom w:w="57" w:type="dxa"/>
              <w:right w:w="57" w:type="dxa"/>
            </w:tcMar>
            <w:vAlign w:val="center"/>
          </w:tcPr>
          <w:p w14:paraId="03D3A01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lang w:val="en-US" w:eastAsia="zh-CN"/>
              </w:rPr>
            </w:pPr>
            <w:r>
              <w:rPr>
                <w:rFonts w:hint="eastAsia"/>
                <w:sz w:val="21"/>
                <w:szCs w:val="21"/>
                <w:lang w:val="en-US" w:eastAsia="zh-CN"/>
              </w:rPr>
              <w:t>400</w:t>
            </w:r>
          </w:p>
        </w:tc>
        <w:tc>
          <w:tcPr>
            <w:tcW w:w="495" w:type="pct"/>
            <w:tcMar>
              <w:top w:w="57" w:type="dxa"/>
              <w:left w:w="57" w:type="dxa"/>
              <w:bottom w:w="57" w:type="dxa"/>
              <w:right w:w="57" w:type="dxa"/>
            </w:tcMar>
            <w:vAlign w:val="center"/>
          </w:tcPr>
          <w:p w14:paraId="2DEFC24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lang w:val="en-US" w:eastAsia="zh-CN"/>
              </w:rPr>
              <w:t>624</w:t>
            </w:r>
          </w:p>
        </w:tc>
        <w:tc>
          <w:tcPr>
            <w:tcW w:w="566" w:type="pct"/>
            <w:tcBorders>
              <w:right w:val="single" w:color="auto" w:sz="4" w:space="0"/>
            </w:tcBorders>
            <w:tcMar>
              <w:top w:w="57" w:type="dxa"/>
              <w:left w:w="57" w:type="dxa"/>
              <w:bottom w:w="57" w:type="dxa"/>
              <w:right w:w="57" w:type="dxa"/>
            </w:tcMar>
            <w:vAlign w:val="center"/>
          </w:tcPr>
          <w:p w14:paraId="057C7D9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lang w:val="en-US" w:eastAsia="zh-CN"/>
              </w:rPr>
              <w:t>1872人</w:t>
            </w:r>
          </w:p>
        </w:tc>
        <w:tc>
          <w:tcPr>
            <w:tcW w:w="1699" w:type="pct"/>
            <w:vMerge w:val="continue"/>
            <w:tcBorders>
              <w:left w:val="single" w:color="auto" w:sz="4" w:space="0"/>
            </w:tcBorders>
            <w:vAlign w:val="center"/>
          </w:tcPr>
          <w:p w14:paraId="0C4D299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r>
      <w:tr w14:paraId="3CFE4549">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jc w:val="center"/>
        </w:trPr>
        <w:tc>
          <w:tcPr>
            <w:tcW w:w="414" w:type="pct"/>
            <w:vMerge w:val="continue"/>
            <w:tcMar>
              <w:top w:w="57" w:type="dxa"/>
              <w:left w:w="57" w:type="dxa"/>
              <w:bottom w:w="57" w:type="dxa"/>
              <w:right w:w="57" w:type="dxa"/>
            </w:tcMar>
            <w:vAlign w:val="center"/>
          </w:tcPr>
          <w:p w14:paraId="4719AEA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642" w:type="pct"/>
            <w:tcMar>
              <w:top w:w="57" w:type="dxa"/>
              <w:left w:w="57" w:type="dxa"/>
              <w:bottom w:w="57" w:type="dxa"/>
              <w:right w:w="57" w:type="dxa"/>
            </w:tcMar>
            <w:vAlign w:val="center"/>
          </w:tcPr>
          <w:p w14:paraId="2E15CDE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lang w:eastAsia="zh-CN"/>
              </w:rPr>
            </w:pPr>
            <w:r>
              <w:rPr>
                <w:rFonts w:hint="eastAsia"/>
                <w:sz w:val="21"/>
                <w:szCs w:val="21"/>
                <w:lang w:eastAsia="zh-CN"/>
              </w:rPr>
              <w:t>彩新社区</w:t>
            </w:r>
          </w:p>
        </w:tc>
        <w:tc>
          <w:tcPr>
            <w:tcW w:w="428" w:type="pct"/>
            <w:tcMar>
              <w:top w:w="57" w:type="dxa"/>
              <w:left w:w="57" w:type="dxa"/>
              <w:bottom w:w="57" w:type="dxa"/>
              <w:right w:w="57" w:type="dxa"/>
            </w:tcMar>
            <w:vAlign w:val="center"/>
          </w:tcPr>
          <w:p w14:paraId="52F6795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lang w:eastAsia="zh-CN"/>
              </w:rPr>
            </w:pPr>
            <w:r>
              <w:rPr>
                <w:rFonts w:hint="eastAsia"/>
                <w:sz w:val="21"/>
                <w:szCs w:val="21"/>
                <w:lang w:eastAsia="zh-CN"/>
              </w:rPr>
              <w:t>东南</w:t>
            </w:r>
          </w:p>
        </w:tc>
        <w:tc>
          <w:tcPr>
            <w:tcW w:w="753" w:type="pct"/>
            <w:tcMar>
              <w:top w:w="57" w:type="dxa"/>
              <w:left w:w="57" w:type="dxa"/>
              <w:bottom w:w="57" w:type="dxa"/>
              <w:right w:w="57" w:type="dxa"/>
            </w:tcMar>
            <w:vAlign w:val="center"/>
          </w:tcPr>
          <w:p w14:paraId="5B90806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lang w:val="en-US" w:eastAsia="zh-CN"/>
              </w:rPr>
            </w:pPr>
            <w:r>
              <w:rPr>
                <w:rFonts w:hint="eastAsia"/>
                <w:sz w:val="21"/>
                <w:szCs w:val="21"/>
                <w:lang w:val="en-US" w:eastAsia="zh-CN"/>
              </w:rPr>
              <w:t>750</w:t>
            </w:r>
          </w:p>
        </w:tc>
        <w:tc>
          <w:tcPr>
            <w:tcW w:w="495" w:type="pct"/>
            <w:tcMar>
              <w:top w:w="57" w:type="dxa"/>
              <w:left w:w="57" w:type="dxa"/>
              <w:bottom w:w="57" w:type="dxa"/>
              <w:right w:w="57" w:type="dxa"/>
            </w:tcMar>
            <w:vAlign w:val="center"/>
          </w:tcPr>
          <w:p w14:paraId="2FEA432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lang w:val="en-US" w:eastAsia="zh-CN"/>
              </w:rPr>
              <w:t>288</w:t>
            </w:r>
          </w:p>
        </w:tc>
        <w:tc>
          <w:tcPr>
            <w:tcW w:w="566" w:type="pct"/>
            <w:tcBorders>
              <w:right w:val="single" w:color="auto" w:sz="4" w:space="0"/>
            </w:tcBorders>
            <w:tcMar>
              <w:top w:w="57" w:type="dxa"/>
              <w:left w:w="57" w:type="dxa"/>
              <w:bottom w:w="57" w:type="dxa"/>
              <w:right w:w="57" w:type="dxa"/>
            </w:tcMar>
            <w:vAlign w:val="center"/>
          </w:tcPr>
          <w:p w14:paraId="1296835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lang w:val="en-US" w:eastAsia="zh-CN"/>
              </w:rPr>
              <w:t>864人</w:t>
            </w:r>
          </w:p>
        </w:tc>
        <w:tc>
          <w:tcPr>
            <w:tcW w:w="1699" w:type="pct"/>
            <w:vMerge w:val="continue"/>
            <w:tcBorders>
              <w:left w:val="single" w:color="auto" w:sz="4" w:space="0"/>
            </w:tcBorders>
            <w:vAlign w:val="center"/>
          </w:tcPr>
          <w:p w14:paraId="65651A7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r>
      <w:tr w14:paraId="3CE4FD70">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jc w:val="center"/>
        </w:trPr>
        <w:tc>
          <w:tcPr>
            <w:tcW w:w="414" w:type="pct"/>
            <w:vMerge w:val="continue"/>
            <w:tcMar>
              <w:top w:w="57" w:type="dxa"/>
              <w:left w:w="57" w:type="dxa"/>
              <w:bottom w:w="57" w:type="dxa"/>
              <w:right w:w="57" w:type="dxa"/>
            </w:tcMar>
            <w:vAlign w:val="center"/>
          </w:tcPr>
          <w:p w14:paraId="23D0600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642" w:type="pct"/>
            <w:tcMar>
              <w:top w:w="57" w:type="dxa"/>
              <w:left w:w="57" w:type="dxa"/>
              <w:bottom w:w="57" w:type="dxa"/>
              <w:right w:w="57" w:type="dxa"/>
            </w:tcMar>
            <w:vAlign w:val="center"/>
          </w:tcPr>
          <w:p w14:paraId="7292EB3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lang w:eastAsia="zh-CN"/>
              </w:rPr>
            </w:pPr>
            <w:r>
              <w:rPr>
                <w:rFonts w:hint="eastAsia"/>
                <w:sz w:val="21"/>
                <w:szCs w:val="21"/>
                <w:lang w:eastAsia="zh-CN"/>
              </w:rPr>
              <w:t>彩建社区</w:t>
            </w:r>
          </w:p>
        </w:tc>
        <w:tc>
          <w:tcPr>
            <w:tcW w:w="428" w:type="pct"/>
            <w:tcMar>
              <w:top w:w="57" w:type="dxa"/>
              <w:left w:w="57" w:type="dxa"/>
              <w:bottom w:w="57" w:type="dxa"/>
              <w:right w:w="57" w:type="dxa"/>
            </w:tcMar>
            <w:vAlign w:val="center"/>
          </w:tcPr>
          <w:p w14:paraId="1A495FA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lang w:eastAsia="zh-CN"/>
              </w:rPr>
            </w:pPr>
            <w:r>
              <w:rPr>
                <w:rFonts w:hint="eastAsia"/>
                <w:sz w:val="21"/>
                <w:szCs w:val="21"/>
                <w:lang w:eastAsia="zh-CN"/>
              </w:rPr>
              <w:t>东南</w:t>
            </w:r>
          </w:p>
        </w:tc>
        <w:tc>
          <w:tcPr>
            <w:tcW w:w="753" w:type="pct"/>
            <w:tcMar>
              <w:top w:w="57" w:type="dxa"/>
              <w:left w:w="57" w:type="dxa"/>
              <w:bottom w:w="57" w:type="dxa"/>
              <w:right w:w="57" w:type="dxa"/>
            </w:tcMar>
            <w:vAlign w:val="center"/>
          </w:tcPr>
          <w:p w14:paraId="090658E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lang w:val="en-US" w:eastAsia="zh-CN"/>
              </w:rPr>
            </w:pPr>
            <w:r>
              <w:rPr>
                <w:rFonts w:hint="eastAsia"/>
                <w:sz w:val="21"/>
                <w:szCs w:val="21"/>
                <w:lang w:val="en-US" w:eastAsia="zh-CN"/>
              </w:rPr>
              <w:t>1000</w:t>
            </w:r>
          </w:p>
        </w:tc>
        <w:tc>
          <w:tcPr>
            <w:tcW w:w="495" w:type="pct"/>
            <w:tcMar>
              <w:top w:w="57" w:type="dxa"/>
              <w:left w:w="57" w:type="dxa"/>
              <w:bottom w:w="57" w:type="dxa"/>
              <w:right w:w="57" w:type="dxa"/>
            </w:tcMar>
            <w:vAlign w:val="center"/>
          </w:tcPr>
          <w:p w14:paraId="5F0C91F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lang w:val="en-US" w:eastAsia="zh-CN"/>
              </w:rPr>
              <w:t>864</w:t>
            </w:r>
          </w:p>
        </w:tc>
        <w:tc>
          <w:tcPr>
            <w:tcW w:w="566" w:type="pct"/>
            <w:tcBorders>
              <w:right w:val="single" w:color="auto" w:sz="4" w:space="0"/>
            </w:tcBorders>
            <w:tcMar>
              <w:top w:w="57" w:type="dxa"/>
              <w:left w:w="57" w:type="dxa"/>
              <w:bottom w:w="57" w:type="dxa"/>
              <w:right w:w="57" w:type="dxa"/>
            </w:tcMar>
            <w:vAlign w:val="center"/>
          </w:tcPr>
          <w:p w14:paraId="2CA1645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lang w:val="en-US" w:eastAsia="zh-CN"/>
              </w:rPr>
              <w:t>2592人</w:t>
            </w:r>
          </w:p>
        </w:tc>
        <w:tc>
          <w:tcPr>
            <w:tcW w:w="1699" w:type="pct"/>
            <w:vMerge w:val="continue"/>
            <w:tcBorders>
              <w:left w:val="single" w:color="auto" w:sz="4" w:space="0"/>
            </w:tcBorders>
            <w:vAlign w:val="center"/>
          </w:tcPr>
          <w:p w14:paraId="058F082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r>
    </w:tbl>
    <w:p w14:paraId="35EE4150">
      <w:pPr>
        <w:pStyle w:val="31"/>
        <w:spacing w:line="240" w:lineRule="auto"/>
        <w:ind w:left="480"/>
        <w:sectPr>
          <w:pgSz w:w="11906" w:h="16838"/>
          <w:pgMar w:top="1440" w:right="1800" w:bottom="1440" w:left="1800" w:header="850" w:footer="964" w:gutter="0"/>
          <w:pgBorders>
            <w:top w:val="none" w:sz="0" w:space="0"/>
            <w:left w:val="none" w:sz="0" w:space="0"/>
            <w:bottom w:val="none" w:sz="0" w:space="0"/>
            <w:right w:val="none" w:sz="0" w:space="0"/>
          </w:pgBorders>
          <w:pgNumType w:fmt="decimal"/>
          <w:cols w:space="425" w:num="1"/>
          <w:docGrid w:linePitch="326" w:charSpace="0"/>
        </w:sectPr>
      </w:pPr>
    </w:p>
    <w:p w14:paraId="24D4A070">
      <w:pPr>
        <w:pStyle w:val="31"/>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eastAsia="宋体"/>
          <w:lang w:eastAsia="zh-CN"/>
        </w:rPr>
      </w:pPr>
      <w:r>
        <w:rPr>
          <w:rFonts w:hint="eastAsia" w:eastAsia="宋体"/>
          <w:lang w:eastAsia="zh-CN"/>
        </w:rPr>
        <w:drawing>
          <wp:inline distT="0" distB="0" distL="114300" distR="114300">
            <wp:extent cx="5268595" cy="6616700"/>
            <wp:effectExtent l="0" t="0" r="8255" b="12700"/>
            <wp:docPr id="5" name="图片 5" descr="截图20200414105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截图20200414105550"/>
                    <pic:cNvPicPr>
                      <a:picLocks noChangeAspect="1"/>
                    </pic:cNvPicPr>
                  </pic:nvPicPr>
                  <pic:blipFill>
                    <a:blip r:embed="rId18"/>
                    <a:stretch>
                      <a:fillRect/>
                    </a:stretch>
                  </pic:blipFill>
                  <pic:spPr>
                    <a:xfrm>
                      <a:off x="0" y="0"/>
                      <a:ext cx="5268595" cy="6616700"/>
                    </a:xfrm>
                    <a:prstGeom prst="rect">
                      <a:avLst/>
                    </a:prstGeom>
                  </pic:spPr>
                </pic:pic>
              </a:graphicData>
            </a:graphic>
          </wp:inline>
        </w:drawing>
      </w:r>
    </w:p>
    <w:p w14:paraId="37B9FFD6">
      <w:pPr>
        <w:pStyle w:val="31"/>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黑体" w:hAnsi="黑体" w:eastAsia="黑体" w:cs="黑体"/>
          <w:sz w:val="21"/>
          <w:szCs w:val="21"/>
          <w:lang w:val="en-US" w:eastAsia="zh-CN"/>
        </w:rPr>
        <w:sectPr>
          <w:pgSz w:w="11906" w:h="16838"/>
          <w:pgMar w:top="1440" w:right="1800" w:bottom="1440" w:left="1800" w:header="850" w:footer="964" w:gutter="0"/>
          <w:pgBorders>
            <w:top w:val="none" w:sz="0" w:space="0"/>
            <w:left w:val="none" w:sz="0" w:space="0"/>
            <w:bottom w:val="none" w:sz="0" w:space="0"/>
            <w:right w:val="none" w:sz="0" w:space="0"/>
          </w:pgBorders>
          <w:pgNumType w:fmt="decimal"/>
          <w:cols w:space="425" w:num="1"/>
          <w:docGrid w:linePitch="326" w:charSpace="0"/>
        </w:sectPr>
      </w:pPr>
      <w:r>
        <w:rPr>
          <w:rFonts w:hint="eastAsia" w:ascii="黑体" w:hAnsi="黑体" w:eastAsia="黑体" w:cs="黑体"/>
          <w:sz w:val="21"/>
          <w:szCs w:val="21"/>
          <w:lang w:eastAsia="zh-CN"/>
        </w:rPr>
        <w:t>图</w:t>
      </w:r>
      <w:r>
        <w:rPr>
          <w:rFonts w:hint="eastAsia" w:ascii="黑体" w:hAnsi="黑体" w:eastAsia="黑体" w:cs="黑体"/>
          <w:sz w:val="21"/>
          <w:szCs w:val="21"/>
          <w:lang w:val="en-US" w:eastAsia="zh-CN"/>
        </w:rPr>
        <w:t>2-2敏感目标分布图</w:t>
      </w:r>
    </w:p>
    <w:p w14:paraId="16E6067C">
      <w:pPr>
        <w:pStyle w:val="31"/>
        <w:spacing w:line="240" w:lineRule="auto"/>
        <w:ind w:left="480"/>
        <w:jc w:val="center"/>
        <w:rPr>
          <w:rFonts w:hint="eastAsia" w:eastAsia="宋体"/>
          <w:lang w:eastAsia="zh-CN"/>
        </w:rPr>
      </w:pPr>
      <w:r>
        <w:rPr>
          <w:rFonts w:hint="eastAsia" w:eastAsia="宋体"/>
          <w:lang w:eastAsia="zh-CN"/>
        </w:rPr>
        <w:drawing>
          <wp:inline distT="0" distB="0" distL="114300" distR="114300">
            <wp:extent cx="6844030" cy="4907280"/>
            <wp:effectExtent l="0" t="0" r="13970" b="7620"/>
            <wp:docPr id="2" name="图片 2" descr="截图20200407134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截图20200407134025"/>
                    <pic:cNvPicPr>
                      <a:picLocks noChangeAspect="1"/>
                    </pic:cNvPicPr>
                  </pic:nvPicPr>
                  <pic:blipFill>
                    <a:blip r:embed="rId19"/>
                    <a:stretch>
                      <a:fillRect/>
                    </a:stretch>
                  </pic:blipFill>
                  <pic:spPr>
                    <a:xfrm>
                      <a:off x="0" y="0"/>
                      <a:ext cx="6844030" cy="4907280"/>
                    </a:xfrm>
                    <a:prstGeom prst="rect">
                      <a:avLst/>
                    </a:prstGeom>
                  </pic:spPr>
                </pic:pic>
              </a:graphicData>
            </a:graphic>
          </wp:inline>
        </w:drawing>
      </w:r>
    </w:p>
    <w:p w14:paraId="42346F12">
      <w:pPr>
        <w:pStyle w:val="31"/>
        <w:spacing w:line="240" w:lineRule="auto"/>
        <w:ind w:left="480"/>
        <w:jc w:val="center"/>
        <w:rPr>
          <w:rFonts w:hint="eastAsia" w:ascii="黑体" w:hAnsi="黑体" w:eastAsia="黑体" w:cs="黑体"/>
          <w:sz w:val="21"/>
          <w:szCs w:val="21"/>
          <w:lang w:val="en-US" w:eastAsia="zh-CN"/>
        </w:rPr>
        <w:sectPr>
          <w:pgSz w:w="16838" w:h="11906" w:orient="landscape"/>
          <w:pgMar w:top="1800" w:right="1440" w:bottom="1800" w:left="1440" w:header="850" w:footer="964" w:gutter="0"/>
          <w:pgBorders>
            <w:top w:val="none" w:sz="0" w:space="0"/>
            <w:left w:val="none" w:sz="0" w:space="0"/>
            <w:bottom w:val="none" w:sz="0" w:space="0"/>
            <w:right w:val="none" w:sz="0" w:space="0"/>
          </w:pgBorders>
          <w:pgNumType w:fmt="decimal"/>
          <w:cols w:space="425" w:num="1"/>
          <w:docGrid w:linePitch="326" w:charSpace="0"/>
        </w:sectPr>
      </w:pPr>
      <w:r>
        <w:rPr>
          <w:rFonts w:hint="eastAsia" w:ascii="黑体" w:hAnsi="黑体" w:eastAsia="黑体" w:cs="黑体"/>
          <w:sz w:val="21"/>
          <w:szCs w:val="21"/>
          <w:lang w:eastAsia="zh-CN"/>
        </w:rPr>
        <w:t>图</w:t>
      </w:r>
      <w:r>
        <w:rPr>
          <w:rFonts w:hint="eastAsia" w:ascii="黑体" w:hAnsi="黑体" w:eastAsia="黑体" w:cs="黑体"/>
          <w:sz w:val="21"/>
          <w:szCs w:val="21"/>
          <w:lang w:val="en-US" w:eastAsia="zh-CN"/>
        </w:rPr>
        <w:t>2-3项目地理位置图</w:t>
      </w:r>
    </w:p>
    <w:p w14:paraId="259EAC07">
      <w:pPr>
        <w:pStyle w:val="2"/>
        <w:kinsoku/>
        <w:wordWrap/>
        <w:overflowPunct/>
        <w:topLinePunct w:val="0"/>
        <w:autoSpaceDE/>
        <w:autoSpaceDN/>
        <w:bidi w:val="0"/>
        <w:textAlignment w:val="auto"/>
        <w:rPr>
          <w:rFonts w:hint="eastAsia"/>
          <w:lang w:val="en-US" w:eastAsia="zh-CN"/>
        </w:rPr>
      </w:pPr>
      <w:bookmarkStart w:id="114" w:name="_Toc15950"/>
      <w:r>
        <w:rPr>
          <w:rFonts w:hint="eastAsia"/>
          <w:lang w:val="en-US" w:eastAsia="zh-CN"/>
        </w:rPr>
        <w:t>3现有项目</w:t>
      </w:r>
      <w:bookmarkEnd w:id="114"/>
    </w:p>
    <w:p w14:paraId="35007505">
      <w:pPr>
        <w:pStyle w:val="3"/>
        <w:pageBreakBefore w:val="0"/>
        <w:widowControl w:val="0"/>
        <w:kinsoku/>
        <w:wordWrap/>
        <w:overflowPunct/>
        <w:topLinePunct w:val="0"/>
        <w:autoSpaceDE/>
        <w:autoSpaceDN/>
        <w:bidi w:val="0"/>
        <w:adjustRightInd w:val="0"/>
        <w:snapToGrid w:val="0"/>
        <w:spacing w:line="360" w:lineRule="auto"/>
        <w:ind w:left="0" w:leftChars="0" w:right="0" w:rightChars="0" w:firstLine="562" w:firstLineChars="200"/>
        <w:textAlignment w:val="auto"/>
        <w:rPr>
          <w:rFonts w:cs="Times New Roman"/>
          <w:color w:val="auto"/>
          <w:highlight w:val="none"/>
        </w:rPr>
      </w:pPr>
      <w:bookmarkStart w:id="115" w:name="_Toc257958912"/>
      <w:bookmarkStart w:id="116" w:name="_Toc339579021"/>
      <w:bookmarkStart w:id="117" w:name="_Toc441127451"/>
      <w:bookmarkStart w:id="118" w:name="_Toc341191314"/>
      <w:bookmarkStart w:id="119" w:name="_Toc30321"/>
      <w:bookmarkStart w:id="120" w:name="_Toc421639293"/>
      <w:bookmarkStart w:id="121" w:name="_Toc339808172"/>
      <w:bookmarkStart w:id="122" w:name="_Toc28696"/>
      <w:bookmarkStart w:id="123" w:name="_Toc441219495"/>
      <w:bookmarkStart w:id="124" w:name="_Toc441158726"/>
      <w:bookmarkStart w:id="125" w:name="_Toc417890782"/>
      <w:bookmarkStart w:id="126" w:name="_Toc415837212"/>
      <w:bookmarkStart w:id="127" w:name="_Toc441690015"/>
      <w:bookmarkStart w:id="128" w:name="_Toc459817843"/>
      <w:bookmarkStart w:id="129" w:name="_Toc459139112"/>
      <w:bookmarkStart w:id="130" w:name="_Toc441688136"/>
      <w:bookmarkStart w:id="131" w:name="_Toc339579147"/>
      <w:bookmarkStart w:id="132" w:name="_Toc417116932"/>
      <w:bookmarkStart w:id="133" w:name="_Toc417372280"/>
      <w:bookmarkStart w:id="134" w:name="_Toc440894872"/>
      <w:bookmarkStart w:id="135" w:name="_Toc2139"/>
      <w:bookmarkStart w:id="136" w:name="_Toc313527724"/>
      <w:bookmarkStart w:id="137" w:name="_Toc340003258"/>
      <w:bookmarkStart w:id="138" w:name="_Toc339293045"/>
      <w:bookmarkStart w:id="139" w:name="_Toc459303576"/>
      <w:bookmarkStart w:id="140" w:name="_Toc415839116"/>
      <w:bookmarkStart w:id="141" w:name="_Toc417314684"/>
      <w:bookmarkStart w:id="142" w:name="_Toc341102003"/>
      <w:bookmarkStart w:id="143" w:name="_Toc339804544"/>
      <w:bookmarkStart w:id="144" w:name="_Toc417397321"/>
      <w:bookmarkStart w:id="145" w:name="_Toc339225684"/>
      <w:bookmarkStart w:id="146" w:name="_Toc365614569"/>
      <w:r>
        <w:rPr>
          <w:rFonts w:hint="eastAsia"/>
          <w:color w:val="auto"/>
          <w:highlight w:val="none"/>
          <w:lang w:val="en-US" w:eastAsia="zh-CN"/>
        </w:rPr>
        <w:t>3</w:t>
      </w:r>
      <w:r>
        <w:rPr>
          <w:color w:val="auto"/>
          <w:highlight w:val="none"/>
        </w:rPr>
        <w:t>.1</w:t>
      </w:r>
      <w:bookmarkEnd w:id="115"/>
      <w:r>
        <w:rPr>
          <w:rFonts w:hint="eastAsia" w:cs="宋体"/>
          <w:color w:val="auto"/>
          <w:highlight w:val="none"/>
        </w:rPr>
        <w:t>公司概况</w:t>
      </w:r>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p>
    <w:p w14:paraId="53AABAD5">
      <w:pPr>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textAlignment w:val="auto"/>
        <w:rPr>
          <w:rFonts w:ascii="Times New Roman" w:hAnsi="Times New Roman" w:cs="Times New Roman"/>
          <w:color w:val="auto"/>
          <w:highlight w:val="none"/>
        </w:rPr>
      </w:pPr>
      <w:r>
        <w:rPr>
          <w:rFonts w:hint="eastAsia"/>
          <w:lang w:eastAsia="zh-CN"/>
        </w:rPr>
        <w:t>本溪佰汇铜业有限公司位于本溪市溪湖区东风街道办事处新合村，企业于</w:t>
      </w:r>
      <w:r>
        <w:rPr>
          <w:rFonts w:hint="eastAsia"/>
          <w:lang w:val="en-US" w:eastAsia="zh-CN"/>
        </w:rPr>
        <w:t>2016年4月建设</w:t>
      </w:r>
      <w:r>
        <w:rPr>
          <w:rFonts w:hint="eastAsia"/>
          <w:lang w:eastAsia="zh-CN"/>
        </w:rPr>
        <w:t>本溪佰汇铜业有限公司采用先进连续挤压生产工艺项目，企业于</w:t>
      </w:r>
      <w:r>
        <w:rPr>
          <w:rFonts w:hint="eastAsia"/>
          <w:lang w:val="en-US" w:eastAsia="zh-CN"/>
        </w:rPr>
        <w:t>2016年3月委托北京华夏博信环境咨询有限公司编制《</w:t>
      </w:r>
      <w:r>
        <w:rPr>
          <w:rFonts w:hint="eastAsia"/>
          <w:lang w:eastAsia="zh-CN"/>
        </w:rPr>
        <w:t>本溪佰汇铜业有限公司采用先进连续挤压生产工艺项目环境影响报告表</w:t>
      </w:r>
      <w:r>
        <w:rPr>
          <w:rFonts w:hint="eastAsia"/>
          <w:lang w:val="en-US" w:eastAsia="zh-CN"/>
        </w:rPr>
        <w:t>》，本溪市溪湖区环境保护局于2016年4月7日出具“关于</w:t>
      </w:r>
      <w:r>
        <w:rPr>
          <w:rFonts w:hint="eastAsia"/>
          <w:lang w:eastAsia="zh-CN"/>
        </w:rPr>
        <w:t>本溪佰汇铜业有限公司采用先进连续挤压生产工艺项目环境影响报告表的批复（溪环建字</w:t>
      </w:r>
      <w:r>
        <w:rPr>
          <w:rFonts w:hint="eastAsia"/>
          <w:lang w:val="en-US" w:eastAsia="zh-CN"/>
        </w:rPr>
        <w:t>[2016]04号</w:t>
      </w:r>
      <w:r>
        <w:rPr>
          <w:rFonts w:hint="eastAsia"/>
          <w:lang w:eastAsia="zh-CN"/>
        </w:rPr>
        <w:t>）</w:t>
      </w:r>
      <w:r>
        <w:rPr>
          <w:rFonts w:hint="eastAsia"/>
          <w:lang w:val="en-US" w:eastAsia="zh-CN"/>
        </w:rPr>
        <w:t>”；2017年4月15日本溪市环境监测中心站出具《</w:t>
      </w:r>
      <w:r>
        <w:rPr>
          <w:rFonts w:hint="eastAsia"/>
          <w:lang w:eastAsia="zh-CN"/>
        </w:rPr>
        <w:t>本溪佰汇铜业有限公司采用先进连续挤压生产工艺项目竣工环境保护验收监测报告</w:t>
      </w:r>
      <w:r>
        <w:rPr>
          <w:rFonts w:hint="eastAsia"/>
          <w:lang w:val="en-US" w:eastAsia="zh-CN"/>
        </w:rPr>
        <w:t>》（本环监污字验（2017）第003号）</w:t>
      </w:r>
      <w:r>
        <w:rPr>
          <w:rFonts w:hint="eastAsia"/>
          <w:color w:val="auto"/>
          <w:highlight w:val="none"/>
          <w:lang w:val="en-US" w:eastAsia="zh-CN"/>
        </w:rPr>
        <w:t>。</w:t>
      </w:r>
      <w:r>
        <w:rPr>
          <w:rFonts w:hint="eastAsia" w:ascii="Times New Roman" w:hAnsi="Times New Roman" w:cs="宋体"/>
          <w:color w:val="auto"/>
          <w:highlight w:val="none"/>
        </w:rPr>
        <w:t>此外，经过调查，该公司现有工程在生产运营期间没有因为环境污染而产生的纠纷问题。</w:t>
      </w:r>
    </w:p>
    <w:p w14:paraId="2A96A304">
      <w:pPr>
        <w:pStyle w:val="3"/>
        <w:pageBreakBefore w:val="0"/>
        <w:widowControl w:val="0"/>
        <w:kinsoku/>
        <w:wordWrap/>
        <w:overflowPunct/>
        <w:topLinePunct w:val="0"/>
        <w:autoSpaceDE/>
        <w:autoSpaceDN/>
        <w:bidi w:val="0"/>
        <w:adjustRightInd w:val="0"/>
        <w:snapToGrid w:val="0"/>
        <w:spacing w:line="360" w:lineRule="auto"/>
        <w:ind w:left="0" w:leftChars="0" w:right="0" w:rightChars="0" w:firstLine="562" w:firstLineChars="200"/>
        <w:textAlignment w:val="auto"/>
        <w:rPr>
          <w:rFonts w:cs="Times New Roman"/>
          <w:color w:val="auto"/>
          <w:highlight w:val="none"/>
        </w:rPr>
      </w:pPr>
      <w:bookmarkStart w:id="147" w:name="_Toc417314685"/>
      <w:bookmarkStart w:id="148" w:name="_Toc441158727"/>
      <w:bookmarkStart w:id="149" w:name="_Toc417397322"/>
      <w:bookmarkStart w:id="150" w:name="_Toc421639294"/>
      <w:bookmarkStart w:id="151" w:name="_Toc441688137"/>
      <w:bookmarkStart w:id="152" w:name="_Toc441127452"/>
      <w:bookmarkStart w:id="153" w:name="_Toc459303577"/>
      <w:bookmarkStart w:id="154" w:name="_Toc1264"/>
      <w:bookmarkStart w:id="155" w:name="_Toc417372281"/>
      <w:bookmarkStart w:id="156" w:name="_Toc459817844"/>
      <w:bookmarkStart w:id="157" w:name="_Toc441219496"/>
      <w:bookmarkStart w:id="158" w:name="_Toc13837"/>
      <w:bookmarkStart w:id="159" w:name="_Toc1733"/>
      <w:bookmarkStart w:id="160" w:name="_Toc459139113"/>
      <w:bookmarkStart w:id="161" w:name="_Toc440894873"/>
      <w:bookmarkStart w:id="162" w:name="_Toc441690016"/>
      <w:bookmarkStart w:id="163" w:name="_Toc417890783"/>
      <w:bookmarkStart w:id="164" w:name="_Toc340003259"/>
      <w:bookmarkStart w:id="165" w:name="_Toc313527725"/>
      <w:bookmarkStart w:id="166" w:name="_Toc415837213"/>
      <w:bookmarkStart w:id="167" w:name="_Toc415839117"/>
      <w:bookmarkStart w:id="168" w:name="_Toc339293046"/>
      <w:bookmarkStart w:id="169" w:name="_Toc339808173"/>
      <w:bookmarkStart w:id="170" w:name="_Toc417116933"/>
      <w:bookmarkStart w:id="171" w:name="_Toc341191315"/>
      <w:bookmarkStart w:id="172" w:name="_Toc339579148"/>
      <w:bookmarkStart w:id="173" w:name="_Toc339804545"/>
      <w:bookmarkStart w:id="174" w:name="_Toc339225685"/>
      <w:bookmarkStart w:id="175" w:name="_Toc341102004"/>
      <w:bookmarkStart w:id="176" w:name="_Toc339579022"/>
      <w:r>
        <w:rPr>
          <w:rFonts w:hint="eastAsia"/>
          <w:color w:val="auto"/>
          <w:highlight w:val="none"/>
          <w:lang w:val="en-US" w:eastAsia="zh-CN"/>
        </w:rPr>
        <w:t>3</w:t>
      </w:r>
      <w:r>
        <w:rPr>
          <w:color w:val="auto"/>
          <w:highlight w:val="none"/>
        </w:rPr>
        <w:t>.2</w:t>
      </w:r>
      <w:r>
        <w:rPr>
          <w:rFonts w:hint="eastAsia" w:cs="宋体"/>
          <w:color w:val="auto"/>
          <w:highlight w:val="none"/>
        </w:rPr>
        <w:t>现有工程项目组成</w:t>
      </w:r>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p>
    <w:p w14:paraId="31CFF9A1">
      <w:pPr>
        <w:pStyle w:val="5"/>
        <w:kinsoku/>
        <w:wordWrap/>
        <w:overflowPunct/>
        <w:topLinePunct w:val="0"/>
        <w:autoSpaceDE/>
        <w:autoSpaceDN/>
        <w:bidi w:val="0"/>
        <w:spacing w:before="0" w:after="0"/>
        <w:textAlignment w:val="auto"/>
        <w:rPr>
          <w:rFonts w:hint="default"/>
          <w:lang w:val="en-US" w:eastAsia="zh-CN"/>
        </w:rPr>
      </w:pPr>
      <w:r>
        <w:rPr>
          <w:rFonts w:hint="eastAsia"/>
          <w:lang w:val="en-US" w:eastAsia="zh-CN"/>
        </w:rPr>
        <w:t xml:space="preserve"> 3.2.1现有项目主辅工程</w:t>
      </w:r>
    </w:p>
    <w:p w14:paraId="1EC72D3F">
      <w:pPr>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textAlignment w:val="auto"/>
        <w:rPr>
          <w:rFonts w:ascii="Times New Roman" w:hAnsi="Times New Roman" w:cs="Times New Roman"/>
          <w:color w:val="auto"/>
          <w:highlight w:val="none"/>
        </w:rPr>
      </w:pPr>
      <w:r>
        <w:rPr>
          <w:rFonts w:hint="eastAsia" w:ascii="Times New Roman" w:hAnsi="Times New Roman" w:cs="宋体"/>
          <w:color w:val="auto"/>
          <w:highlight w:val="none"/>
        </w:rPr>
        <w:t>现有工程各</w:t>
      </w:r>
      <w:r>
        <w:rPr>
          <w:rFonts w:hint="eastAsia" w:cs="宋体"/>
          <w:color w:val="auto"/>
          <w:highlight w:val="none"/>
          <w:lang w:eastAsia="zh-CN"/>
        </w:rPr>
        <w:t>项目</w:t>
      </w:r>
      <w:r>
        <w:rPr>
          <w:rFonts w:hint="eastAsia" w:ascii="Times New Roman" w:hAnsi="Times New Roman" w:cs="宋体"/>
          <w:color w:val="auto"/>
          <w:highlight w:val="none"/>
        </w:rPr>
        <w:t>组成见下表。</w:t>
      </w:r>
    </w:p>
    <w:p w14:paraId="15649B64">
      <w:pPr>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center"/>
        <w:textAlignment w:val="auto"/>
        <w:rPr>
          <w:rFonts w:ascii="黑体" w:hAnsi="黑体" w:eastAsia="黑体" w:cs="Times New Roman"/>
          <w:color w:val="auto"/>
          <w:sz w:val="21"/>
          <w:szCs w:val="21"/>
          <w:highlight w:val="none"/>
        </w:rPr>
      </w:pPr>
      <w:r>
        <w:rPr>
          <w:rFonts w:hint="eastAsia" w:ascii="黑体" w:hAnsi="黑体" w:eastAsia="黑体" w:cs="黑体"/>
          <w:color w:val="auto"/>
          <w:sz w:val="21"/>
          <w:szCs w:val="21"/>
          <w:highlight w:val="none"/>
        </w:rPr>
        <w:t>表</w:t>
      </w:r>
      <w:r>
        <w:rPr>
          <w:rFonts w:hint="eastAsia" w:ascii="黑体" w:hAnsi="黑体" w:eastAsia="黑体" w:cs="黑体"/>
          <w:color w:val="auto"/>
          <w:sz w:val="21"/>
          <w:szCs w:val="21"/>
          <w:highlight w:val="none"/>
          <w:lang w:val="en-US" w:eastAsia="zh-CN"/>
        </w:rPr>
        <w:t>3</w:t>
      </w:r>
      <w:r>
        <w:rPr>
          <w:rFonts w:ascii="黑体" w:hAnsi="黑体" w:eastAsia="黑体" w:cs="黑体"/>
          <w:color w:val="auto"/>
          <w:sz w:val="21"/>
          <w:szCs w:val="21"/>
          <w:highlight w:val="none"/>
        </w:rPr>
        <w:t>-1</w:t>
      </w:r>
      <w:r>
        <w:rPr>
          <w:rFonts w:hint="eastAsia" w:ascii="黑体" w:hAnsi="黑体" w:eastAsia="黑体" w:cs="黑体"/>
          <w:color w:val="auto"/>
          <w:sz w:val="21"/>
          <w:szCs w:val="21"/>
          <w:highlight w:val="none"/>
        </w:rPr>
        <w:t>项目组成一览表</w:t>
      </w:r>
    </w:p>
    <w:tbl>
      <w:tblPr>
        <w:tblStyle w:val="52"/>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834"/>
        <w:gridCol w:w="2776"/>
        <w:gridCol w:w="2498"/>
        <w:gridCol w:w="2414"/>
      </w:tblGrid>
      <w:tr w14:paraId="4F1F454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489" w:type="pct"/>
            <w:tcBorders>
              <w:tl2br w:val="nil"/>
              <w:tr2bl w:val="nil"/>
            </w:tcBorders>
            <w:noWrap w:val="0"/>
            <w:vAlign w:val="center"/>
          </w:tcPr>
          <w:p w14:paraId="24ECD29D">
            <w:pPr>
              <w:spacing w:line="240" w:lineRule="auto"/>
              <w:ind w:firstLine="0" w:firstLineChars="0"/>
              <w:jc w:val="center"/>
              <w:rPr>
                <w:rFonts w:ascii="宋体" w:cs="Times New Roman"/>
                <w:color w:val="auto"/>
                <w:sz w:val="21"/>
                <w:szCs w:val="21"/>
                <w:highlight w:val="none"/>
              </w:rPr>
            </w:pPr>
            <w:r>
              <w:rPr>
                <w:rFonts w:hint="eastAsia" w:ascii="宋体" w:hAnsi="宋体" w:cs="宋体"/>
                <w:color w:val="auto"/>
                <w:sz w:val="21"/>
                <w:szCs w:val="21"/>
                <w:highlight w:val="none"/>
              </w:rPr>
              <w:t>序号</w:t>
            </w:r>
          </w:p>
        </w:tc>
        <w:tc>
          <w:tcPr>
            <w:tcW w:w="1628" w:type="pct"/>
            <w:tcBorders>
              <w:tl2br w:val="nil"/>
              <w:tr2bl w:val="nil"/>
            </w:tcBorders>
            <w:noWrap w:val="0"/>
            <w:vAlign w:val="center"/>
          </w:tcPr>
          <w:p w14:paraId="6C434EC0">
            <w:pPr>
              <w:pStyle w:val="13"/>
              <w:spacing w:line="240" w:lineRule="auto"/>
              <w:ind w:firstLine="0" w:firstLineChars="0"/>
              <w:rPr>
                <w:rFonts w:ascii="宋体"/>
                <w:color w:val="auto"/>
                <w:sz w:val="21"/>
                <w:szCs w:val="21"/>
                <w:highlight w:val="none"/>
              </w:rPr>
            </w:pPr>
            <w:r>
              <w:rPr>
                <w:rFonts w:hint="eastAsia" w:ascii="宋体" w:hAnsi="宋体" w:cs="宋体"/>
                <w:color w:val="auto"/>
                <w:sz w:val="21"/>
                <w:szCs w:val="21"/>
                <w:highlight w:val="none"/>
              </w:rPr>
              <w:t>工程名称</w:t>
            </w:r>
          </w:p>
        </w:tc>
        <w:tc>
          <w:tcPr>
            <w:tcW w:w="1465" w:type="pct"/>
            <w:tcBorders>
              <w:tl2br w:val="nil"/>
              <w:tr2bl w:val="nil"/>
            </w:tcBorders>
            <w:noWrap w:val="0"/>
            <w:vAlign w:val="center"/>
          </w:tcPr>
          <w:p w14:paraId="4FFD1EA4">
            <w:pPr>
              <w:spacing w:line="240" w:lineRule="auto"/>
              <w:ind w:firstLine="0" w:firstLineChars="0"/>
              <w:jc w:val="center"/>
              <w:rPr>
                <w:rFonts w:ascii="宋体" w:cs="Times New Roman"/>
                <w:color w:val="auto"/>
                <w:sz w:val="21"/>
                <w:szCs w:val="21"/>
                <w:highlight w:val="none"/>
              </w:rPr>
            </w:pPr>
            <w:r>
              <w:rPr>
                <w:rFonts w:hint="eastAsia" w:ascii="宋体" w:hAnsi="宋体" w:cs="宋体"/>
                <w:color w:val="auto"/>
                <w:sz w:val="21"/>
                <w:szCs w:val="21"/>
                <w:highlight w:val="none"/>
              </w:rPr>
              <w:t>主要结构形式</w:t>
            </w:r>
          </w:p>
        </w:tc>
        <w:tc>
          <w:tcPr>
            <w:tcW w:w="1416" w:type="pct"/>
            <w:tcBorders>
              <w:tl2br w:val="nil"/>
              <w:tr2bl w:val="nil"/>
            </w:tcBorders>
            <w:noWrap w:val="0"/>
            <w:vAlign w:val="center"/>
          </w:tcPr>
          <w:p w14:paraId="426CC019">
            <w:pPr>
              <w:spacing w:line="240" w:lineRule="auto"/>
              <w:ind w:firstLine="0" w:firstLineChars="0"/>
              <w:jc w:val="center"/>
              <w:rPr>
                <w:rFonts w:ascii="宋体" w:cs="Times New Roman"/>
                <w:color w:val="auto"/>
                <w:sz w:val="21"/>
                <w:szCs w:val="21"/>
                <w:highlight w:val="none"/>
              </w:rPr>
            </w:pPr>
            <w:r>
              <w:rPr>
                <w:rFonts w:hint="eastAsia" w:ascii="宋体" w:hAnsi="宋体" w:cs="宋体"/>
                <w:color w:val="auto"/>
                <w:sz w:val="21"/>
                <w:szCs w:val="21"/>
                <w:highlight w:val="none"/>
              </w:rPr>
              <w:t>建筑面积</w:t>
            </w:r>
            <w:r>
              <w:rPr>
                <w:rFonts w:ascii="宋体" w:hAnsi="宋体" w:cs="宋体"/>
                <w:color w:val="auto"/>
                <w:sz w:val="21"/>
                <w:szCs w:val="21"/>
                <w:highlight w:val="none"/>
              </w:rPr>
              <w:t>(m</w:t>
            </w:r>
            <w:r>
              <w:rPr>
                <w:rFonts w:ascii="宋体" w:hAnsi="宋体" w:cs="宋体"/>
                <w:color w:val="auto"/>
                <w:sz w:val="21"/>
                <w:szCs w:val="21"/>
                <w:highlight w:val="none"/>
                <w:vertAlign w:val="superscript"/>
              </w:rPr>
              <w:t>2</w:t>
            </w:r>
            <w:r>
              <w:rPr>
                <w:rFonts w:ascii="宋体" w:hAnsi="宋体" w:cs="宋体"/>
                <w:color w:val="auto"/>
                <w:sz w:val="21"/>
                <w:szCs w:val="21"/>
                <w:highlight w:val="none"/>
              </w:rPr>
              <w:t>)</w:t>
            </w:r>
          </w:p>
        </w:tc>
      </w:tr>
      <w:tr w14:paraId="2722CE5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489" w:type="pct"/>
            <w:tcBorders>
              <w:tl2br w:val="nil"/>
              <w:tr2bl w:val="nil"/>
            </w:tcBorders>
            <w:noWrap w:val="0"/>
            <w:vAlign w:val="center"/>
          </w:tcPr>
          <w:p w14:paraId="65F561A5">
            <w:pPr>
              <w:spacing w:line="240" w:lineRule="auto"/>
              <w:ind w:firstLine="0" w:firstLineChars="0"/>
              <w:jc w:val="center"/>
              <w:rPr>
                <w:rFonts w:ascii="宋体" w:cs="Times New Roman"/>
                <w:color w:val="auto"/>
                <w:sz w:val="21"/>
                <w:szCs w:val="21"/>
                <w:highlight w:val="none"/>
              </w:rPr>
            </w:pPr>
            <w:r>
              <w:rPr>
                <w:rFonts w:ascii="宋体" w:hAnsi="宋体" w:cs="宋体"/>
                <w:color w:val="auto"/>
                <w:sz w:val="21"/>
                <w:szCs w:val="21"/>
                <w:highlight w:val="none"/>
              </w:rPr>
              <w:t>1</w:t>
            </w:r>
          </w:p>
        </w:tc>
        <w:tc>
          <w:tcPr>
            <w:tcW w:w="1628" w:type="pct"/>
            <w:tcBorders>
              <w:tl2br w:val="nil"/>
              <w:tr2bl w:val="nil"/>
            </w:tcBorders>
            <w:noWrap w:val="0"/>
            <w:vAlign w:val="center"/>
          </w:tcPr>
          <w:p w14:paraId="2AD8471E">
            <w:pPr>
              <w:spacing w:line="240" w:lineRule="auto"/>
              <w:ind w:firstLine="0" w:firstLineChars="0"/>
              <w:jc w:val="center"/>
              <w:rPr>
                <w:rFonts w:hint="eastAsia" w:ascii="宋体" w:eastAsia="宋体" w:cs="Times New Roman"/>
                <w:color w:val="auto"/>
                <w:sz w:val="21"/>
                <w:szCs w:val="21"/>
                <w:highlight w:val="none"/>
                <w:lang w:eastAsia="zh-CN"/>
              </w:rPr>
            </w:pPr>
            <w:r>
              <w:rPr>
                <w:rFonts w:hint="eastAsia" w:ascii="宋体" w:cs="Times New Roman"/>
                <w:color w:val="auto"/>
                <w:sz w:val="21"/>
                <w:szCs w:val="21"/>
                <w:highlight w:val="none"/>
                <w:lang w:eastAsia="zh-CN"/>
              </w:rPr>
              <w:t>主体工程</w:t>
            </w:r>
          </w:p>
        </w:tc>
        <w:tc>
          <w:tcPr>
            <w:tcW w:w="1465" w:type="pct"/>
            <w:tcBorders>
              <w:tl2br w:val="nil"/>
              <w:tr2bl w:val="nil"/>
            </w:tcBorders>
            <w:noWrap w:val="0"/>
            <w:vAlign w:val="center"/>
          </w:tcPr>
          <w:p w14:paraId="63775678">
            <w:pPr>
              <w:spacing w:line="240" w:lineRule="auto"/>
              <w:ind w:firstLine="0" w:firstLineChars="0"/>
              <w:jc w:val="center"/>
              <w:rPr>
                <w:rFonts w:hint="eastAsia" w:ascii="宋体" w:eastAsia="宋体" w:cs="Times New Roman"/>
                <w:color w:val="auto"/>
                <w:sz w:val="21"/>
                <w:szCs w:val="21"/>
                <w:highlight w:val="none"/>
                <w:lang w:eastAsia="zh-CN"/>
              </w:rPr>
            </w:pPr>
            <w:r>
              <w:rPr>
                <w:rFonts w:hint="eastAsia" w:ascii="宋体" w:cs="Times New Roman"/>
                <w:color w:val="auto"/>
                <w:sz w:val="21"/>
                <w:szCs w:val="21"/>
                <w:highlight w:val="none"/>
                <w:lang w:eastAsia="zh-CN"/>
              </w:rPr>
              <w:t>厂房</w:t>
            </w:r>
          </w:p>
        </w:tc>
        <w:tc>
          <w:tcPr>
            <w:tcW w:w="1416" w:type="pct"/>
            <w:tcBorders>
              <w:tl2br w:val="nil"/>
              <w:tr2bl w:val="nil"/>
            </w:tcBorders>
            <w:noWrap w:val="0"/>
            <w:vAlign w:val="center"/>
          </w:tcPr>
          <w:p w14:paraId="1AA336C9">
            <w:pPr>
              <w:spacing w:line="240" w:lineRule="auto"/>
              <w:ind w:firstLine="0" w:firstLineChars="0"/>
              <w:jc w:val="center"/>
              <w:rPr>
                <w:rFonts w:hint="default" w:ascii="宋体" w:eastAsia="宋体" w:cs="Times New Roman"/>
                <w:color w:val="auto"/>
                <w:sz w:val="21"/>
                <w:szCs w:val="21"/>
                <w:highlight w:val="none"/>
                <w:lang w:val="en-US" w:eastAsia="zh-CN"/>
              </w:rPr>
            </w:pPr>
            <w:r>
              <w:rPr>
                <w:rFonts w:hint="eastAsia" w:ascii="宋体" w:hAnsi="宋体" w:cs="宋体"/>
                <w:color w:val="auto"/>
                <w:sz w:val="21"/>
                <w:szCs w:val="21"/>
                <w:highlight w:val="none"/>
                <w:lang w:val="en-US" w:eastAsia="zh-CN"/>
              </w:rPr>
              <w:t>3787.64</w:t>
            </w:r>
          </w:p>
        </w:tc>
      </w:tr>
      <w:tr w14:paraId="6B88E81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7" w:hRule="exact"/>
        </w:trPr>
        <w:tc>
          <w:tcPr>
            <w:tcW w:w="489" w:type="pct"/>
            <w:vMerge w:val="restart"/>
            <w:tcBorders>
              <w:tl2br w:val="nil"/>
              <w:tr2bl w:val="nil"/>
            </w:tcBorders>
            <w:noWrap w:val="0"/>
            <w:vAlign w:val="center"/>
          </w:tcPr>
          <w:p w14:paraId="0A05DDDE">
            <w:pPr>
              <w:spacing w:line="240" w:lineRule="auto"/>
              <w:ind w:firstLine="0" w:firstLineChars="0"/>
              <w:jc w:val="center"/>
              <w:rPr>
                <w:rFonts w:ascii="宋体" w:cs="Times New Roman"/>
                <w:color w:val="auto"/>
                <w:sz w:val="21"/>
                <w:szCs w:val="21"/>
                <w:highlight w:val="none"/>
              </w:rPr>
            </w:pPr>
            <w:r>
              <w:rPr>
                <w:rFonts w:ascii="宋体" w:hAnsi="宋体" w:cs="宋体"/>
                <w:color w:val="auto"/>
                <w:sz w:val="21"/>
                <w:szCs w:val="21"/>
                <w:highlight w:val="none"/>
              </w:rPr>
              <w:t>2</w:t>
            </w:r>
          </w:p>
        </w:tc>
        <w:tc>
          <w:tcPr>
            <w:tcW w:w="1628" w:type="pct"/>
            <w:vMerge w:val="restart"/>
            <w:tcBorders>
              <w:tl2br w:val="nil"/>
              <w:tr2bl w:val="nil"/>
            </w:tcBorders>
            <w:noWrap w:val="0"/>
            <w:vAlign w:val="center"/>
          </w:tcPr>
          <w:p w14:paraId="3A057EB6">
            <w:pPr>
              <w:spacing w:line="240" w:lineRule="auto"/>
              <w:ind w:firstLine="0" w:firstLineChars="0"/>
              <w:jc w:val="center"/>
              <w:rPr>
                <w:rFonts w:hint="eastAsia" w:ascii="宋体" w:eastAsia="宋体" w:cs="Times New Roman"/>
                <w:color w:val="auto"/>
                <w:sz w:val="21"/>
                <w:szCs w:val="21"/>
                <w:highlight w:val="none"/>
                <w:lang w:eastAsia="zh-CN"/>
              </w:rPr>
            </w:pPr>
            <w:r>
              <w:rPr>
                <w:rFonts w:hint="eastAsia" w:ascii="宋体" w:cs="Times New Roman"/>
                <w:color w:val="auto"/>
                <w:sz w:val="21"/>
                <w:szCs w:val="21"/>
                <w:highlight w:val="none"/>
                <w:lang w:eastAsia="zh-CN"/>
              </w:rPr>
              <w:t>辅助工程</w:t>
            </w:r>
          </w:p>
        </w:tc>
        <w:tc>
          <w:tcPr>
            <w:tcW w:w="1465" w:type="pct"/>
            <w:tcBorders>
              <w:tl2br w:val="nil"/>
              <w:tr2bl w:val="nil"/>
            </w:tcBorders>
            <w:noWrap w:val="0"/>
            <w:vAlign w:val="center"/>
          </w:tcPr>
          <w:p w14:paraId="3F217E11">
            <w:pPr>
              <w:spacing w:line="240" w:lineRule="auto"/>
              <w:ind w:firstLine="0" w:firstLineChars="0"/>
              <w:jc w:val="center"/>
              <w:rPr>
                <w:rFonts w:hint="eastAsia" w:ascii="宋体" w:eastAsia="宋体" w:cs="Times New Roman"/>
                <w:color w:val="auto"/>
                <w:sz w:val="21"/>
                <w:szCs w:val="21"/>
                <w:highlight w:val="none"/>
                <w:lang w:eastAsia="zh-CN"/>
              </w:rPr>
            </w:pPr>
            <w:r>
              <w:rPr>
                <w:rFonts w:hint="eastAsia" w:ascii="宋体" w:cs="Times New Roman"/>
                <w:color w:val="auto"/>
                <w:sz w:val="21"/>
                <w:szCs w:val="21"/>
                <w:highlight w:val="none"/>
                <w:lang w:eastAsia="zh-CN"/>
              </w:rPr>
              <w:t>办公楼</w:t>
            </w:r>
          </w:p>
        </w:tc>
        <w:tc>
          <w:tcPr>
            <w:tcW w:w="1416" w:type="pct"/>
            <w:tcBorders>
              <w:tl2br w:val="nil"/>
              <w:tr2bl w:val="nil"/>
            </w:tcBorders>
            <w:noWrap w:val="0"/>
            <w:vAlign w:val="center"/>
          </w:tcPr>
          <w:p w14:paraId="3A534A34">
            <w:pPr>
              <w:spacing w:line="240" w:lineRule="auto"/>
              <w:ind w:firstLine="0" w:firstLineChars="0"/>
              <w:jc w:val="center"/>
              <w:rPr>
                <w:rFonts w:hint="default" w:ascii="宋体" w:eastAsia="宋体" w:cs="Times New Roman"/>
                <w:color w:val="auto"/>
                <w:sz w:val="21"/>
                <w:szCs w:val="21"/>
                <w:highlight w:val="none"/>
                <w:lang w:val="en-US" w:eastAsia="zh-CN"/>
              </w:rPr>
            </w:pPr>
            <w:r>
              <w:rPr>
                <w:rFonts w:hint="eastAsia" w:ascii="宋体" w:cs="Times New Roman"/>
                <w:color w:val="auto"/>
                <w:sz w:val="21"/>
                <w:szCs w:val="21"/>
                <w:highlight w:val="none"/>
                <w:lang w:val="en-US" w:eastAsia="zh-CN"/>
              </w:rPr>
              <w:t>853.32</w:t>
            </w:r>
          </w:p>
        </w:tc>
      </w:tr>
      <w:tr w14:paraId="23AEDE0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4" w:hRule="exact"/>
        </w:trPr>
        <w:tc>
          <w:tcPr>
            <w:tcW w:w="489" w:type="pct"/>
            <w:vMerge w:val="continue"/>
            <w:tcBorders>
              <w:tl2br w:val="nil"/>
              <w:tr2bl w:val="nil"/>
            </w:tcBorders>
            <w:noWrap w:val="0"/>
            <w:vAlign w:val="center"/>
          </w:tcPr>
          <w:p w14:paraId="7CF9B213">
            <w:pPr>
              <w:spacing w:line="240" w:lineRule="auto"/>
              <w:ind w:firstLine="0" w:firstLineChars="0"/>
              <w:jc w:val="center"/>
              <w:rPr>
                <w:rFonts w:ascii="宋体" w:cs="Times New Roman"/>
                <w:color w:val="auto"/>
                <w:sz w:val="21"/>
                <w:szCs w:val="21"/>
                <w:highlight w:val="none"/>
              </w:rPr>
            </w:pPr>
          </w:p>
        </w:tc>
        <w:tc>
          <w:tcPr>
            <w:tcW w:w="1628" w:type="pct"/>
            <w:vMerge w:val="continue"/>
            <w:tcBorders>
              <w:tl2br w:val="nil"/>
              <w:tr2bl w:val="nil"/>
            </w:tcBorders>
            <w:noWrap w:val="0"/>
            <w:vAlign w:val="center"/>
          </w:tcPr>
          <w:p w14:paraId="2C3D095B">
            <w:pPr>
              <w:spacing w:line="240" w:lineRule="auto"/>
              <w:ind w:firstLine="0" w:firstLineChars="0"/>
              <w:jc w:val="center"/>
              <w:rPr>
                <w:rFonts w:ascii="宋体" w:cs="Times New Roman"/>
                <w:color w:val="auto"/>
                <w:sz w:val="21"/>
                <w:szCs w:val="21"/>
                <w:highlight w:val="none"/>
              </w:rPr>
            </w:pPr>
          </w:p>
        </w:tc>
        <w:tc>
          <w:tcPr>
            <w:tcW w:w="1465" w:type="pct"/>
            <w:tcBorders>
              <w:tl2br w:val="nil"/>
              <w:tr2bl w:val="nil"/>
            </w:tcBorders>
            <w:noWrap w:val="0"/>
            <w:vAlign w:val="center"/>
          </w:tcPr>
          <w:p w14:paraId="20BF5FAB">
            <w:pPr>
              <w:spacing w:line="240" w:lineRule="auto"/>
              <w:ind w:firstLine="0" w:firstLineChars="0"/>
              <w:jc w:val="center"/>
              <w:rPr>
                <w:rFonts w:hint="eastAsia" w:ascii="宋体" w:eastAsia="宋体" w:cs="Times New Roman"/>
                <w:color w:val="auto"/>
                <w:sz w:val="21"/>
                <w:szCs w:val="21"/>
                <w:highlight w:val="none"/>
                <w:lang w:eastAsia="zh-CN"/>
              </w:rPr>
            </w:pPr>
            <w:r>
              <w:rPr>
                <w:rFonts w:hint="eastAsia" w:ascii="宋体" w:cs="Times New Roman"/>
                <w:color w:val="auto"/>
                <w:sz w:val="21"/>
                <w:szCs w:val="21"/>
                <w:highlight w:val="none"/>
                <w:lang w:eastAsia="zh-CN"/>
              </w:rPr>
              <w:t>锅炉房</w:t>
            </w:r>
          </w:p>
        </w:tc>
        <w:tc>
          <w:tcPr>
            <w:tcW w:w="1416" w:type="pct"/>
            <w:tcBorders>
              <w:tl2br w:val="nil"/>
              <w:tr2bl w:val="nil"/>
            </w:tcBorders>
            <w:noWrap w:val="0"/>
            <w:vAlign w:val="center"/>
          </w:tcPr>
          <w:p w14:paraId="3FA57BBE">
            <w:pPr>
              <w:spacing w:line="240" w:lineRule="auto"/>
              <w:ind w:firstLine="0" w:firstLineChars="0"/>
              <w:jc w:val="center"/>
              <w:rPr>
                <w:rFonts w:hint="default" w:ascii="宋体" w:eastAsia="宋体" w:cs="Times New Roman"/>
                <w:color w:val="auto"/>
                <w:sz w:val="21"/>
                <w:szCs w:val="21"/>
                <w:highlight w:val="none"/>
                <w:lang w:val="en-US" w:eastAsia="zh-CN"/>
              </w:rPr>
            </w:pPr>
            <w:r>
              <w:rPr>
                <w:rFonts w:hint="eastAsia" w:ascii="宋体" w:cs="Times New Roman"/>
                <w:color w:val="auto"/>
                <w:sz w:val="21"/>
                <w:szCs w:val="21"/>
                <w:highlight w:val="none"/>
                <w:lang w:val="en-US" w:eastAsia="zh-CN"/>
              </w:rPr>
              <w:t>97.7</w:t>
            </w:r>
          </w:p>
        </w:tc>
      </w:tr>
    </w:tbl>
    <w:p w14:paraId="17EB34AC">
      <w:pPr>
        <w:bidi w:val="0"/>
      </w:pPr>
      <w:bookmarkStart w:id="177" w:name="_Toc421639295"/>
      <w:bookmarkStart w:id="178" w:name="_Toc459817845"/>
      <w:bookmarkStart w:id="179" w:name="_Toc417314686"/>
      <w:bookmarkStart w:id="180" w:name="_Toc32367"/>
      <w:bookmarkStart w:id="181" w:name="_Toc417372282"/>
      <w:bookmarkStart w:id="182" w:name="_Toc441127453"/>
      <w:bookmarkStart w:id="183" w:name="_Toc417890784"/>
      <w:bookmarkStart w:id="184" w:name="_Toc1173"/>
      <w:bookmarkStart w:id="185" w:name="_Toc459139114"/>
      <w:bookmarkStart w:id="186" w:name="_Toc441688138"/>
      <w:bookmarkStart w:id="187" w:name="_Toc441158728"/>
      <w:bookmarkStart w:id="188" w:name="_Toc459303578"/>
      <w:bookmarkStart w:id="189" w:name="_Toc441219497"/>
      <w:bookmarkStart w:id="190" w:name="_Toc441690017"/>
      <w:bookmarkStart w:id="191" w:name="_Toc440894874"/>
      <w:bookmarkStart w:id="192" w:name="_Toc417397323"/>
      <w:r>
        <w:rPr>
          <w:rFonts w:hint="eastAsia"/>
          <w:lang w:val="en-US" w:eastAsia="zh-CN"/>
        </w:rPr>
        <w:t>3.2.2现有项目公用工程</w:t>
      </w:r>
    </w:p>
    <w:p w14:paraId="79B6D31F">
      <w:pPr>
        <w:bidi w:val="0"/>
        <w:rPr>
          <w:rFonts w:hint="eastAsia"/>
          <w:lang w:eastAsia="zh-CN"/>
        </w:rPr>
      </w:pPr>
      <w:r>
        <w:rPr>
          <w:rFonts w:hint="eastAsia"/>
          <w:lang w:eastAsia="zh-CN"/>
        </w:rPr>
        <w:t>供电：该项目供电由溪湖区供电电网引入。</w:t>
      </w:r>
    </w:p>
    <w:p w14:paraId="39B4DE51">
      <w:pPr>
        <w:bidi w:val="0"/>
        <w:rPr>
          <w:rFonts w:hint="eastAsia"/>
          <w:lang w:val="en-US" w:eastAsia="zh-CN"/>
        </w:rPr>
      </w:pPr>
      <w:r>
        <w:rPr>
          <w:rFonts w:hint="eastAsia"/>
          <w:lang w:eastAsia="zh-CN"/>
        </w:rPr>
        <w:t>供暖：本项目供暖采用</w:t>
      </w:r>
      <w:r>
        <w:rPr>
          <w:rFonts w:hint="eastAsia"/>
          <w:lang w:val="en-US" w:eastAsia="zh-CN"/>
        </w:rPr>
        <w:t>1台1t/h的燃油锅炉，燃料为碳氢油，年耗油量约4.8吨，主要成分如下表所示。</w:t>
      </w:r>
    </w:p>
    <w:p w14:paraId="4ABEB929">
      <w:pPr>
        <w:pStyle w:val="31"/>
        <w:spacing w:line="240" w:lineRule="auto"/>
        <w:ind w:left="0" w:leftChars="0" w:firstLine="0" w:firstLineChars="0"/>
        <w:jc w:val="center"/>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kern w:val="2"/>
          <w:sz w:val="21"/>
          <w:szCs w:val="21"/>
          <w:highlight w:val="none"/>
          <w:lang w:val="en-US" w:eastAsia="zh-CN" w:bidi="ar-SA"/>
        </w:rPr>
        <w:t>表3-2燃料油成分表</w:t>
      </w:r>
    </w:p>
    <w:tbl>
      <w:tblPr>
        <w:tblStyle w:val="53"/>
        <w:tblW w:w="4998"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2129"/>
        <w:gridCol w:w="2130"/>
        <w:gridCol w:w="2130"/>
        <w:gridCol w:w="2130"/>
      </w:tblGrid>
      <w:tr w14:paraId="4CDC9BB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49" w:type="pct"/>
            <w:tcBorders>
              <w:tl2br w:val="nil"/>
              <w:tr2bl w:val="nil"/>
            </w:tcBorders>
            <w:noWrap w:val="0"/>
            <w:vAlign w:val="center"/>
          </w:tcPr>
          <w:p w14:paraId="2CD2AE8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序号</w:t>
            </w:r>
          </w:p>
        </w:tc>
        <w:tc>
          <w:tcPr>
            <w:tcW w:w="1250" w:type="pct"/>
            <w:tcBorders>
              <w:tl2br w:val="nil"/>
              <w:tr2bl w:val="nil"/>
            </w:tcBorders>
            <w:noWrap w:val="0"/>
            <w:vAlign w:val="center"/>
          </w:tcPr>
          <w:p w14:paraId="4399F6A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项目</w:t>
            </w:r>
          </w:p>
        </w:tc>
        <w:tc>
          <w:tcPr>
            <w:tcW w:w="1250" w:type="pct"/>
            <w:tcBorders>
              <w:tl2br w:val="nil"/>
              <w:tr2bl w:val="nil"/>
            </w:tcBorders>
            <w:noWrap w:val="0"/>
            <w:vAlign w:val="center"/>
          </w:tcPr>
          <w:p w14:paraId="22C43B2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含量</w:t>
            </w:r>
          </w:p>
        </w:tc>
        <w:tc>
          <w:tcPr>
            <w:tcW w:w="1250" w:type="pct"/>
            <w:tcBorders>
              <w:tl2br w:val="nil"/>
              <w:tr2bl w:val="nil"/>
            </w:tcBorders>
            <w:noWrap w:val="0"/>
            <w:vAlign w:val="center"/>
          </w:tcPr>
          <w:p w14:paraId="55F38B7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单位</w:t>
            </w:r>
          </w:p>
        </w:tc>
      </w:tr>
      <w:tr w14:paraId="0976731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49" w:type="pct"/>
            <w:tcBorders>
              <w:tl2br w:val="nil"/>
              <w:tr2bl w:val="nil"/>
            </w:tcBorders>
            <w:noWrap w:val="0"/>
            <w:vAlign w:val="center"/>
          </w:tcPr>
          <w:p w14:paraId="0607952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w:t>
            </w:r>
          </w:p>
        </w:tc>
        <w:tc>
          <w:tcPr>
            <w:tcW w:w="1250" w:type="pct"/>
            <w:tcBorders>
              <w:tl2br w:val="nil"/>
              <w:tr2bl w:val="nil"/>
            </w:tcBorders>
            <w:noWrap w:val="0"/>
            <w:vAlign w:val="center"/>
          </w:tcPr>
          <w:p w14:paraId="1E37E66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收到基含硫量</w:t>
            </w:r>
          </w:p>
        </w:tc>
        <w:tc>
          <w:tcPr>
            <w:tcW w:w="1250" w:type="pct"/>
            <w:tcBorders>
              <w:tl2br w:val="nil"/>
              <w:tr2bl w:val="nil"/>
            </w:tcBorders>
            <w:noWrap w:val="0"/>
            <w:vAlign w:val="center"/>
          </w:tcPr>
          <w:p w14:paraId="1F6BF58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0.01</w:t>
            </w:r>
          </w:p>
        </w:tc>
        <w:tc>
          <w:tcPr>
            <w:tcW w:w="1250" w:type="pct"/>
            <w:tcBorders>
              <w:tl2br w:val="nil"/>
              <w:tr2bl w:val="nil"/>
            </w:tcBorders>
            <w:noWrap w:val="0"/>
            <w:vAlign w:val="center"/>
          </w:tcPr>
          <w:p w14:paraId="3327FB0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w:t>
            </w:r>
          </w:p>
        </w:tc>
      </w:tr>
      <w:tr w14:paraId="2902551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49" w:type="pct"/>
            <w:tcBorders>
              <w:tl2br w:val="nil"/>
              <w:tr2bl w:val="nil"/>
            </w:tcBorders>
            <w:noWrap w:val="0"/>
            <w:vAlign w:val="center"/>
          </w:tcPr>
          <w:p w14:paraId="1CA385D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w:t>
            </w:r>
          </w:p>
        </w:tc>
        <w:tc>
          <w:tcPr>
            <w:tcW w:w="1250" w:type="pct"/>
            <w:tcBorders>
              <w:tl2br w:val="nil"/>
              <w:tr2bl w:val="nil"/>
            </w:tcBorders>
            <w:noWrap w:val="0"/>
            <w:vAlign w:val="center"/>
          </w:tcPr>
          <w:p w14:paraId="2EE19CA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收到基低位发热量</w:t>
            </w:r>
          </w:p>
        </w:tc>
        <w:tc>
          <w:tcPr>
            <w:tcW w:w="1250" w:type="pct"/>
            <w:tcBorders>
              <w:tl2br w:val="nil"/>
              <w:tr2bl w:val="nil"/>
            </w:tcBorders>
            <w:noWrap w:val="0"/>
            <w:vAlign w:val="center"/>
          </w:tcPr>
          <w:p w14:paraId="3E69894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21</w:t>
            </w:r>
          </w:p>
        </w:tc>
        <w:tc>
          <w:tcPr>
            <w:tcW w:w="1250" w:type="pct"/>
            <w:tcBorders>
              <w:tl2br w:val="nil"/>
              <w:tr2bl w:val="nil"/>
            </w:tcBorders>
            <w:noWrap w:val="0"/>
            <w:vAlign w:val="center"/>
          </w:tcPr>
          <w:p w14:paraId="096A5A1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MJ/KJ</w:t>
            </w:r>
          </w:p>
        </w:tc>
      </w:tr>
      <w:tr w14:paraId="263D088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49" w:type="pct"/>
            <w:tcBorders>
              <w:tl2br w:val="nil"/>
              <w:tr2bl w:val="nil"/>
            </w:tcBorders>
            <w:noWrap w:val="0"/>
            <w:vAlign w:val="center"/>
          </w:tcPr>
          <w:p w14:paraId="7FDFDF7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3</w:t>
            </w:r>
          </w:p>
        </w:tc>
        <w:tc>
          <w:tcPr>
            <w:tcW w:w="1250" w:type="pct"/>
            <w:tcBorders>
              <w:tl2br w:val="nil"/>
              <w:tr2bl w:val="nil"/>
            </w:tcBorders>
            <w:noWrap w:val="0"/>
            <w:vAlign w:val="center"/>
          </w:tcPr>
          <w:p w14:paraId="3E9D2B5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挥发分</w:t>
            </w:r>
          </w:p>
        </w:tc>
        <w:tc>
          <w:tcPr>
            <w:tcW w:w="1250" w:type="pct"/>
            <w:tcBorders>
              <w:tl2br w:val="nil"/>
              <w:tr2bl w:val="nil"/>
            </w:tcBorders>
            <w:noWrap w:val="0"/>
            <w:vAlign w:val="center"/>
          </w:tcPr>
          <w:p w14:paraId="5DEA4BD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5.06</w:t>
            </w:r>
          </w:p>
        </w:tc>
        <w:tc>
          <w:tcPr>
            <w:tcW w:w="1250" w:type="pct"/>
            <w:tcBorders>
              <w:tl2br w:val="nil"/>
              <w:tr2bl w:val="nil"/>
            </w:tcBorders>
            <w:noWrap w:val="0"/>
            <w:vAlign w:val="center"/>
          </w:tcPr>
          <w:p w14:paraId="6FCEEF0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w:t>
            </w:r>
          </w:p>
        </w:tc>
      </w:tr>
      <w:tr w14:paraId="478A835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49" w:type="pct"/>
            <w:tcBorders>
              <w:tl2br w:val="nil"/>
              <w:tr2bl w:val="nil"/>
            </w:tcBorders>
            <w:noWrap w:val="0"/>
            <w:vAlign w:val="center"/>
          </w:tcPr>
          <w:p w14:paraId="64CB777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4</w:t>
            </w:r>
          </w:p>
        </w:tc>
        <w:tc>
          <w:tcPr>
            <w:tcW w:w="1250" w:type="pct"/>
            <w:tcBorders>
              <w:tl2br w:val="nil"/>
              <w:tr2bl w:val="nil"/>
            </w:tcBorders>
            <w:noWrap w:val="0"/>
            <w:vAlign w:val="center"/>
          </w:tcPr>
          <w:p w14:paraId="4D4E50C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灰分</w:t>
            </w:r>
          </w:p>
        </w:tc>
        <w:tc>
          <w:tcPr>
            <w:tcW w:w="1250" w:type="pct"/>
            <w:tcBorders>
              <w:tl2br w:val="nil"/>
              <w:tr2bl w:val="nil"/>
            </w:tcBorders>
            <w:noWrap w:val="0"/>
            <w:vAlign w:val="center"/>
          </w:tcPr>
          <w:p w14:paraId="5C72B18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0.05</w:t>
            </w:r>
          </w:p>
        </w:tc>
        <w:tc>
          <w:tcPr>
            <w:tcW w:w="1250" w:type="pct"/>
            <w:tcBorders>
              <w:tl2br w:val="nil"/>
              <w:tr2bl w:val="nil"/>
            </w:tcBorders>
            <w:noWrap w:val="0"/>
            <w:vAlign w:val="center"/>
          </w:tcPr>
          <w:p w14:paraId="0D8A09D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w:t>
            </w:r>
          </w:p>
        </w:tc>
      </w:tr>
      <w:tr w14:paraId="56D1B70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49" w:type="pct"/>
            <w:tcBorders>
              <w:tl2br w:val="nil"/>
              <w:tr2bl w:val="nil"/>
            </w:tcBorders>
            <w:noWrap w:val="0"/>
            <w:vAlign w:val="center"/>
          </w:tcPr>
          <w:p w14:paraId="147ECBD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5</w:t>
            </w:r>
          </w:p>
        </w:tc>
        <w:tc>
          <w:tcPr>
            <w:tcW w:w="1250" w:type="pct"/>
            <w:tcBorders>
              <w:tl2br w:val="nil"/>
              <w:tr2bl w:val="nil"/>
            </w:tcBorders>
            <w:noWrap w:val="0"/>
            <w:vAlign w:val="center"/>
          </w:tcPr>
          <w:p w14:paraId="44CC504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水分</w:t>
            </w:r>
          </w:p>
        </w:tc>
        <w:tc>
          <w:tcPr>
            <w:tcW w:w="1250" w:type="pct"/>
            <w:tcBorders>
              <w:tl2br w:val="nil"/>
              <w:tr2bl w:val="nil"/>
            </w:tcBorders>
            <w:noWrap w:val="0"/>
            <w:vAlign w:val="center"/>
          </w:tcPr>
          <w:p w14:paraId="7BEF7BC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3.12</w:t>
            </w:r>
          </w:p>
        </w:tc>
        <w:tc>
          <w:tcPr>
            <w:tcW w:w="1250" w:type="pct"/>
            <w:tcBorders>
              <w:tl2br w:val="nil"/>
              <w:tr2bl w:val="nil"/>
            </w:tcBorders>
            <w:noWrap w:val="0"/>
            <w:vAlign w:val="center"/>
          </w:tcPr>
          <w:p w14:paraId="5CE63DB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w:t>
            </w:r>
          </w:p>
        </w:tc>
      </w:tr>
      <w:tr w14:paraId="31ECA2C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49" w:type="pct"/>
            <w:tcBorders>
              <w:tl2br w:val="nil"/>
              <w:tr2bl w:val="nil"/>
            </w:tcBorders>
            <w:noWrap w:val="0"/>
            <w:vAlign w:val="center"/>
          </w:tcPr>
          <w:p w14:paraId="4D1BD7D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6</w:t>
            </w:r>
          </w:p>
        </w:tc>
        <w:tc>
          <w:tcPr>
            <w:tcW w:w="1250" w:type="pct"/>
            <w:tcBorders>
              <w:tl2br w:val="nil"/>
              <w:tr2bl w:val="nil"/>
            </w:tcBorders>
            <w:noWrap w:val="0"/>
            <w:vAlign w:val="center"/>
          </w:tcPr>
          <w:p w14:paraId="296E027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收到基</w:t>
            </w:r>
            <w:r>
              <w:rPr>
                <w:rFonts w:hint="eastAsia" w:ascii="宋体" w:hAnsi="宋体" w:cs="宋体"/>
                <w:sz w:val="21"/>
                <w:szCs w:val="21"/>
                <w:vertAlign w:val="baseline"/>
                <w:lang w:val="en-US" w:eastAsia="zh-CN"/>
              </w:rPr>
              <w:t>含碳量</w:t>
            </w:r>
          </w:p>
        </w:tc>
        <w:tc>
          <w:tcPr>
            <w:tcW w:w="1250" w:type="pct"/>
            <w:tcBorders>
              <w:tl2br w:val="nil"/>
              <w:tr2bl w:val="nil"/>
            </w:tcBorders>
            <w:noWrap w:val="0"/>
            <w:vAlign w:val="center"/>
          </w:tcPr>
          <w:p w14:paraId="22B92F3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80.94</w:t>
            </w:r>
          </w:p>
        </w:tc>
        <w:tc>
          <w:tcPr>
            <w:tcW w:w="1250" w:type="pct"/>
            <w:tcBorders>
              <w:tl2br w:val="nil"/>
              <w:tr2bl w:val="nil"/>
            </w:tcBorders>
            <w:noWrap w:val="0"/>
            <w:vAlign w:val="center"/>
          </w:tcPr>
          <w:p w14:paraId="385DE8A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w:t>
            </w:r>
          </w:p>
        </w:tc>
      </w:tr>
      <w:tr w14:paraId="47E1253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49" w:type="pct"/>
            <w:tcBorders>
              <w:tl2br w:val="nil"/>
              <w:tr2bl w:val="nil"/>
            </w:tcBorders>
            <w:noWrap w:val="0"/>
            <w:vAlign w:val="center"/>
          </w:tcPr>
          <w:p w14:paraId="1249F8F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7</w:t>
            </w:r>
          </w:p>
        </w:tc>
        <w:tc>
          <w:tcPr>
            <w:tcW w:w="1250" w:type="pct"/>
            <w:tcBorders>
              <w:tl2br w:val="nil"/>
              <w:tr2bl w:val="nil"/>
            </w:tcBorders>
            <w:noWrap w:val="0"/>
            <w:vAlign w:val="center"/>
          </w:tcPr>
          <w:p w14:paraId="2EA7FAF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收到基含氢量</w:t>
            </w:r>
          </w:p>
        </w:tc>
        <w:tc>
          <w:tcPr>
            <w:tcW w:w="1250" w:type="pct"/>
            <w:tcBorders>
              <w:tl2br w:val="nil"/>
              <w:tr2bl w:val="nil"/>
            </w:tcBorders>
            <w:noWrap w:val="0"/>
            <w:vAlign w:val="center"/>
          </w:tcPr>
          <w:p w14:paraId="6EBB9C1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14.68</w:t>
            </w:r>
          </w:p>
        </w:tc>
        <w:tc>
          <w:tcPr>
            <w:tcW w:w="1250" w:type="pct"/>
            <w:tcBorders>
              <w:tl2br w:val="nil"/>
              <w:tr2bl w:val="nil"/>
            </w:tcBorders>
            <w:noWrap w:val="0"/>
            <w:vAlign w:val="center"/>
          </w:tcPr>
          <w:p w14:paraId="4A28618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w:t>
            </w:r>
          </w:p>
        </w:tc>
      </w:tr>
      <w:tr w14:paraId="23F9B53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49" w:type="pct"/>
            <w:tcBorders>
              <w:tl2br w:val="nil"/>
              <w:tr2bl w:val="nil"/>
            </w:tcBorders>
            <w:noWrap w:val="0"/>
            <w:vAlign w:val="center"/>
          </w:tcPr>
          <w:p w14:paraId="1E1BE24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8</w:t>
            </w:r>
          </w:p>
        </w:tc>
        <w:tc>
          <w:tcPr>
            <w:tcW w:w="1250" w:type="pct"/>
            <w:tcBorders>
              <w:tl2br w:val="nil"/>
              <w:tr2bl w:val="nil"/>
            </w:tcBorders>
            <w:noWrap w:val="0"/>
            <w:vAlign w:val="center"/>
          </w:tcPr>
          <w:p w14:paraId="4336B7C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收到基含氧量</w:t>
            </w:r>
          </w:p>
        </w:tc>
        <w:tc>
          <w:tcPr>
            <w:tcW w:w="1250" w:type="pct"/>
            <w:tcBorders>
              <w:tl2br w:val="nil"/>
              <w:tr2bl w:val="nil"/>
            </w:tcBorders>
            <w:noWrap w:val="0"/>
            <w:vAlign w:val="center"/>
          </w:tcPr>
          <w:p w14:paraId="34F2BFC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0.76</w:t>
            </w:r>
          </w:p>
        </w:tc>
        <w:tc>
          <w:tcPr>
            <w:tcW w:w="1250" w:type="pct"/>
            <w:tcBorders>
              <w:tl2br w:val="nil"/>
              <w:tr2bl w:val="nil"/>
            </w:tcBorders>
            <w:noWrap w:val="0"/>
            <w:vAlign w:val="center"/>
          </w:tcPr>
          <w:p w14:paraId="18D0932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w:t>
            </w:r>
          </w:p>
        </w:tc>
      </w:tr>
      <w:tr w14:paraId="07C2348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49" w:type="pct"/>
            <w:tcBorders>
              <w:tl2br w:val="nil"/>
              <w:tr2bl w:val="nil"/>
            </w:tcBorders>
            <w:noWrap w:val="0"/>
            <w:vAlign w:val="center"/>
          </w:tcPr>
          <w:p w14:paraId="73E7421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9</w:t>
            </w:r>
          </w:p>
        </w:tc>
        <w:tc>
          <w:tcPr>
            <w:tcW w:w="1250" w:type="pct"/>
            <w:tcBorders>
              <w:tl2br w:val="nil"/>
              <w:tr2bl w:val="nil"/>
            </w:tcBorders>
            <w:noWrap w:val="0"/>
            <w:vAlign w:val="center"/>
          </w:tcPr>
          <w:p w14:paraId="24DE08A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收到基含氮量</w:t>
            </w:r>
          </w:p>
        </w:tc>
        <w:tc>
          <w:tcPr>
            <w:tcW w:w="1250" w:type="pct"/>
            <w:tcBorders>
              <w:tl2br w:val="nil"/>
              <w:tr2bl w:val="nil"/>
            </w:tcBorders>
            <w:noWrap w:val="0"/>
            <w:vAlign w:val="center"/>
          </w:tcPr>
          <w:p w14:paraId="408EE37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0.44</w:t>
            </w:r>
          </w:p>
        </w:tc>
        <w:tc>
          <w:tcPr>
            <w:tcW w:w="1250" w:type="pct"/>
            <w:tcBorders>
              <w:tl2br w:val="nil"/>
              <w:tr2bl w:val="nil"/>
            </w:tcBorders>
            <w:noWrap w:val="0"/>
            <w:vAlign w:val="center"/>
          </w:tcPr>
          <w:p w14:paraId="719E64B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w:t>
            </w:r>
          </w:p>
        </w:tc>
      </w:tr>
    </w:tbl>
    <w:p w14:paraId="1B16D365">
      <w:pPr>
        <w:bidi w:val="0"/>
        <w:rPr>
          <w:rFonts w:hint="eastAsia"/>
          <w:lang w:val="en-US" w:eastAsia="zh-CN"/>
        </w:rPr>
      </w:pPr>
      <w:r>
        <w:rPr>
          <w:rFonts w:hint="eastAsia"/>
          <w:lang w:val="en-US" w:eastAsia="zh-CN"/>
        </w:rPr>
        <w:t>供水：由本溪市自来水公司提供。</w:t>
      </w:r>
    </w:p>
    <w:p w14:paraId="17FB4C89">
      <w:pPr>
        <w:bidi w:val="0"/>
        <w:rPr>
          <w:rFonts w:hint="default"/>
          <w:lang w:val="en-US" w:eastAsia="zh-CN"/>
        </w:rPr>
      </w:pPr>
      <w:r>
        <w:rPr>
          <w:rFonts w:hint="eastAsia"/>
          <w:lang w:val="en-US" w:eastAsia="zh-CN"/>
        </w:rPr>
        <w:t>排水：生产用水为电炉间接冷却水循环系统的补水，全部循环使用，锅炉补水为75t/a，锅炉水直接蒸发消耗，无生产废水排放，员工生活污水及食堂废水排放量为717.6t/a，排入化粪池。</w:t>
      </w:r>
    </w:p>
    <w:p w14:paraId="30449AD7">
      <w:pPr>
        <w:pStyle w:val="3"/>
        <w:rPr>
          <w:color w:val="auto"/>
          <w:highlight w:val="none"/>
        </w:rPr>
      </w:pPr>
      <w:bookmarkStart w:id="193" w:name="_Toc27051"/>
      <w:r>
        <w:rPr>
          <w:rFonts w:hint="eastAsia"/>
          <w:color w:val="auto"/>
          <w:highlight w:val="none"/>
          <w:lang w:val="en-US" w:eastAsia="zh-CN"/>
        </w:rPr>
        <w:t>3</w:t>
      </w:r>
      <w:r>
        <w:rPr>
          <w:color w:val="auto"/>
          <w:highlight w:val="none"/>
        </w:rPr>
        <w:t>.3</w:t>
      </w:r>
      <w:r>
        <w:rPr>
          <w:rFonts w:hint="eastAsia"/>
          <w:color w:val="auto"/>
          <w:highlight w:val="none"/>
          <w:lang w:eastAsia="zh-CN"/>
        </w:rPr>
        <w:t>生产</w:t>
      </w:r>
      <w:r>
        <w:rPr>
          <w:rFonts w:hint="eastAsia"/>
          <w:color w:val="auto"/>
          <w:highlight w:val="none"/>
        </w:rPr>
        <w:t>规模</w:t>
      </w:r>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r>
        <w:rPr>
          <w:rFonts w:hint="eastAsia"/>
          <w:color w:val="auto"/>
          <w:highlight w:val="none"/>
          <w:lang w:eastAsia="zh-CN"/>
        </w:rPr>
        <w:t>及原辅料</w:t>
      </w:r>
      <w:bookmarkEnd w:id="193"/>
    </w:p>
    <w:p w14:paraId="12BCB91E">
      <w:pPr>
        <w:rPr>
          <w:rFonts w:hint="eastAsia"/>
          <w:color w:val="auto"/>
          <w:highlight w:val="none"/>
          <w:lang w:eastAsia="zh-CN"/>
        </w:rPr>
      </w:pPr>
      <w:r>
        <w:rPr>
          <w:rFonts w:hint="eastAsia"/>
          <w:color w:val="auto"/>
          <w:highlight w:val="none"/>
          <w:lang w:eastAsia="zh-CN"/>
        </w:rPr>
        <w:t>企业生产规模见下表。</w:t>
      </w:r>
    </w:p>
    <w:p w14:paraId="0F126044">
      <w:pPr>
        <w:pStyle w:val="72"/>
        <w:jc w:val="center"/>
        <w:rPr>
          <w:rFonts w:hint="eastAsia" w:ascii="黑体" w:hAnsi="黑体" w:eastAsia="黑体" w:cs="黑体"/>
          <w:color w:val="auto"/>
          <w:sz w:val="21"/>
          <w:szCs w:val="21"/>
          <w:highlight w:val="none"/>
        </w:rPr>
      </w:pPr>
      <w:r>
        <w:rPr>
          <w:rFonts w:hint="eastAsia" w:ascii="黑体" w:hAnsi="黑体" w:eastAsia="黑体" w:cs="黑体"/>
          <w:color w:val="auto"/>
          <w:sz w:val="21"/>
          <w:szCs w:val="21"/>
          <w:highlight w:val="none"/>
        </w:rPr>
        <w:t>表</w:t>
      </w:r>
      <w:r>
        <w:rPr>
          <w:rFonts w:hint="eastAsia" w:ascii="黑体" w:hAnsi="黑体" w:eastAsia="黑体" w:cs="黑体"/>
          <w:color w:val="auto"/>
          <w:sz w:val="21"/>
          <w:szCs w:val="21"/>
          <w:highlight w:val="none"/>
          <w:lang w:val="en-US" w:eastAsia="zh-CN"/>
        </w:rPr>
        <w:t>3</w:t>
      </w:r>
      <w:r>
        <w:rPr>
          <w:rFonts w:ascii="黑体" w:hAnsi="黑体" w:eastAsia="黑体" w:cs="黑体"/>
          <w:color w:val="auto"/>
          <w:sz w:val="21"/>
          <w:szCs w:val="21"/>
          <w:highlight w:val="none"/>
        </w:rPr>
        <w:t>-</w:t>
      </w:r>
      <w:r>
        <w:rPr>
          <w:rFonts w:hint="eastAsia" w:ascii="黑体" w:hAnsi="黑体" w:eastAsia="黑体" w:cs="黑体"/>
          <w:color w:val="auto"/>
          <w:sz w:val="21"/>
          <w:szCs w:val="21"/>
          <w:highlight w:val="none"/>
          <w:lang w:val="en-US" w:eastAsia="zh-CN"/>
        </w:rPr>
        <w:t>2现有工程主要产品</w:t>
      </w:r>
      <w:r>
        <w:rPr>
          <w:rFonts w:hint="eastAsia" w:ascii="黑体" w:hAnsi="黑体" w:eastAsia="黑体" w:cs="黑体"/>
          <w:color w:val="auto"/>
          <w:sz w:val="21"/>
          <w:szCs w:val="21"/>
          <w:highlight w:val="none"/>
        </w:rPr>
        <w:t>表</w:t>
      </w:r>
    </w:p>
    <w:tbl>
      <w:tblPr>
        <w:tblStyle w:val="53"/>
        <w:tblW w:w="0" w:type="auto"/>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14:paraId="5BDE9E3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130" w:type="dxa"/>
            <w:tcBorders>
              <w:tl2br w:val="nil"/>
              <w:tr2bl w:val="nil"/>
            </w:tcBorders>
          </w:tcPr>
          <w:p w14:paraId="32B4F1CB">
            <w:pPr>
              <w:pStyle w:val="72"/>
              <w:jc w:val="center"/>
              <w:rPr>
                <w:rFonts w:hint="eastAsia" w:ascii="宋体" w:hAnsi="宋体" w:eastAsia="宋体" w:cs="宋体"/>
                <w:color w:val="auto"/>
                <w:sz w:val="21"/>
                <w:szCs w:val="21"/>
                <w:highlight w:val="none"/>
                <w:vertAlign w:val="baseline"/>
                <w:lang w:eastAsia="zh-CN"/>
              </w:rPr>
            </w:pPr>
            <w:r>
              <w:rPr>
                <w:rFonts w:hint="eastAsia" w:ascii="宋体" w:hAnsi="宋体" w:eastAsia="宋体" w:cs="宋体"/>
                <w:color w:val="auto"/>
                <w:sz w:val="21"/>
                <w:szCs w:val="21"/>
                <w:highlight w:val="none"/>
                <w:vertAlign w:val="baseline"/>
                <w:lang w:eastAsia="zh-CN"/>
              </w:rPr>
              <w:t>序号</w:t>
            </w:r>
          </w:p>
        </w:tc>
        <w:tc>
          <w:tcPr>
            <w:tcW w:w="2130" w:type="dxa"/>
            <w:tcBorders>
              <w:tl2br w:val="nil"/>
              <w:tr2bl w:val="nil"/>
            </w:tcBorders>
          </w:tcPr>
          <w:p w14:paraId="2B98DE9E">
            <w:pPr>
              <w:pStyle w:val="72"/>
              <w:jc w:val="center"/>
              <w:rPr>
                <w:rFonts w:hint="eastAsia" w:ascii="宋体" w:hAnsi="宋体" w:eastAsia="宋体" w:cs="宋体"/>
                <w:color w:val="auto"/>
                <w:sz w:val="21"/>
                <w:szCs w:val="21"/>
                <w:highlight w:val="none"/>
                <w:vertAlign w:val="baseline"/>
                <w:lang w:eastAsia="zh-CN"/>
              </w:rPr>
            </w:pPr>
            <w:r>
              <w:rPr>
                <w:rFonts w:hint="eastAsia" w:ascii="宋体" w:hAnsi="宋体" w:eastAsia="宋体" w:cs="宋体"/>
                <w:color w:val="auto"/>
                <w:sz w:val="21"/>
                <w:szCs w:val="21"/>
                <w:highlight w:val="none"/>
                <w:vertAlign w:val="baseline"/>
                <w:lang w:eastAsia="zh-CN"/>
              </w:rPr>
              <w:t>产品名称</w:t>
            </w:r>
          </w:p>
        </w:tc>
        <w:tc>
          <w:tcPr>
            <w:tcW w:w="2131" w:type="dxa"/>
            <w:tcBorders>
              <w:tl2br w:val="nil"/>
              <w:tr2bl w:val="nil"/>
            </w:tcBorders>
          </w:tcPr>
          <w:p w14:paraId="0C9387E7">
            <w:pPr>
              <w:pStyle w:val="72"/>
              <w:jc w:val="center"/>
              <w:rPr>
                <w:rFonts w:hint="eastAsia" w:ascii="宋体" w:hAnsi="宋体" w:eastAsia="宋体" w:cs="宋体"/>
                <w:color w:val="auto"/>
                <w:sz w:val="21"/>
                <w:szCs w:val="21"/>
                <w:highlight w:val="none"/>
                <w:vertAlign w:val="baseline"/>
                <w:lang w:eastAsia="zh-CN"/>
              </w:rPr>
            </w:pPr>
            <w:r>
              <w:rPr>
                <w:rFonts w:hint="eastAsia" w:ascii="宋体" w:hAnsi="宋体" w:eastAsia="宋体" w:cs="宋体"/>
                <w:color w:val="auto"/>
                <w:sz w:val="21"/>
                <w:szCs w:val="21"/>
                <w:highlight w:val="none"/>
                <w:vertAlign w:val="baseline"/>
                <w:lang w:eastAsia="zh-CN"/>
              </w:rPr>
              <w:t>单位</w:t>
            </w:r>
          </w:p>
        </w:tc>
        <w:tc>
          <w:tcPr>
            <w:tcW w:w="2131" w:type="dxa"/>
            <w:tcBorders>
              <w:tl2br w:val="nil"/>
              <w:tr2bl w:val="nil"/>
            </w:tcBorders>
          </w:tcPr>
          <w:p w14:paraId="0FFB636F">
            <w:pPr>
              <w:pStyle w:val="72"/>
              <w:jc w:val="center"/>
              <w:rPr>
                <w:rFonts w:hint="eastAsia" w:ascii="宋体" w:hAnsi="宋体" w:eastAsia="宋体" w:cs="宋体"/>
                <w:color w:val="auto"/>
                <w:sz w:val="21"/>
                <w:szCs w:val="21"/>
                <w:highlight w:val="none"/>
                <w:vertAlign w:val="baseline"/>
                <w:lang w:eastAsia="zh-CN"/>
              </w:rPr>
            </w:pPr>
            <w:r>
              <w:rPr>
                <w:rFonts w:hint="eastAsia" w:ascii="宋体" w:hAnsi="宋体" w:eastAsia="宋体" w:cs="宋体"/>
                <w:color w:val="auto"/>
                <w:sz w:val="21"/>
                <w:szCs w:val="21"/>
                <w:highlight w:val="none"/>
                <w:vertAlign w:val="baseline"/>
                <w:lang w:eastAsia="zh-CN"/>
              </w:rPr>
              <w:t>产量</w:t>
            </w:r>
          </w:p>
        </w:tc>
      </w:tr>
      <w:tr w14:paraId="47C029B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130" w:type="dxa"/>
            <w:tcBorders>
              <w:tl2br w:val="nil"/>
              <w:tr2bl w:val="nil"/>
            </w:tcBorders>
          </w:tcPr>
          <w:p w14:paraId="3F848B32">
            <w:pPr>
              <w:pStyle w:val="72"/>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w:t>
            </w:r>
          </w:p>
        </w:tc>
        <w:tc>
          <w:tcPr>
            <w:tcW w:w="2130" w:type="dxa"/>
            <w:tcBorders>
              <w:tl2br w:val="nil"/>
              <w:tr2bl w:val="nil"/>
            </w:tcBorders>
          </w:tcPr>
          <w:p w14:paraId="6849597A">
            <w:pPr>
              <w:pStyle w:val="72"/>
              <w:jc w:val="center"/>
              <w:rPr>
                <w:rFonts w:hint="eastAsia" w:ascii="宋体" w:hAnsi="宋体" w:eastAsia="宋体" w:cs="宋体"/>
                <w:color w:val="auto"/>
                <w:sz w:val="21"/>
                <w:szCs w:val="21"/>
                <w:highlight w:val="none"/>
                <w:vertAlign w:val="baseline"/>
                <w:lang w:eastAsia="zh-CN"/>
              </w:rPr>
            </w:pPr>
            <w:r>
              <w:rPr>
                <w:rFonts w:hint="eastAsia" w:ascii="宋体" w:hAnsi="宋体" w:eastAsia="宋体" w:cs="宋体"/>
                <w:color w:val="auto"/>
                <w:sz w:val="21"/>
                <w:szCs w:val="21"/>
                <w:highlight w:val="none"/>
                <w:vertAlign w:val="baseline"/>
                <w:lang w:eastAsia="zh-CN"/>
              </w:rPr>
              <w:t>紫铜排</w:t>
            </w:r>
          </w:p>
        </w:tc>
        <w:tc>
          <w:tcPr>
            <w:tcW w:w="2131" w:type="dxa"/>
            <w:tcBorders>
              <w:tl2br w:val="nil"/>
              <w:tr2bl w:val="nil"/>
            </w:tcBorders>
          </w:tcPr>
          <w:p w14:paraId="51C87744">
            <w:pPr>
              <w:pStyle w:val="72"/>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t/a</w:t>
            </w:r>
          </w:p>
        </w:tc>
        <w:tc>
          <w:tcPr>
            <w:tcW w:w="2131" w:type="dxa"/>
            <w:tcBorders>
              <w:tl2br w:val="nil"/>
              <w:tr2bl w:val="nil"/>
            </w:tcBorders>
          </w:tcPr>
          <w:p w14:paraId="3499220F">
            <w:pPr>
              <w:pStyle w:val="72"/>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2000</w:t>
            </w:r>
          </w:p>
        </w:tc>
      </w:tr>
      <w:tr w14:paraId="77B33ED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130" w:type="dxa"/>
            <w:tcBorders>
              <w:tl2br w:val="nil"/>
              <w:tr2bl w:val="nil"/>
            </w:tcBorders>
          </w:tcPr>
          <w:p w14:paraId="5EC4DC15">
            <w:pPr>
              <w:pStyle w:val="72"/>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2</w:t>
            </w:r>
          </w:p>
        </w:tc>
        <w:tc>
          <w:tcPr>
            <w:tcW w:w="2130" w:type="dxa"/>
            <w:tcBorders>
              <w:tl2br w:val="nil"/>
              <w:tr2bl w:val="nil"/>
            </w:tcBorders>
          </w:tcPr>
          <w:p w14:paraId="56C841B2">
            <w:pPr>
              <w:pStyle w:val="72"/>
              <w:jc w:val="center"/>
              <w:rPr>
                <w:rFonts w:hint="eastAsia" w:ascii="宋体" w:hAnsi="宋体" w:eastAsia="宋体" w:cs="宋体"/>
                <w:color w:val="auto"/>
                <w:sz w:val="21"/>
                <w:szCs w:val="21"/>
                <w:highlight w:val="none"/>
                <w:vertAlign w:val="baseline"/>
                <w:lang w:eastAsia="zh-CN"/>
              </w:rPr>
            </w:pPr>
            <w:r>
              <w:rPr>
                <w:rFonts w:hint="eastAsia" w:ascii="宋体" w:hAnsi="宋体" w:eastAsia="宋体" w:cs="宋体"/>
                <w:color w:val="auto"/>
                <w:sz w:val="21"/>
                <w:szCs w:val="21"/>
                <w:highlight w:val="none"/>
                <w:vertAlign w:val="baseline"/>
                <w:lang w:eastAsia="zh-CN"/>
              </w:rPr>
              <w:t>紫铜棒</w:t>
            </w:r>
          </w:p>
        </w:tc>
        <w:tc>
          <w:tcPr>
            <w:tcW w:w="2131" w:type="dxa"/>
            <w:tcBorders>
              <w:tl2br w:val="nil"/>
              <w:tr2bl w:val="nil"/>
            </w:tcBorders>
          </w:tcPr>
          <w:p w14:paraId="7D0C986D">
            <w:pPr>
              <w:pStyle w:val="72"/>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vertAlign w:val="baseline"/>
                <w:lang w:val="en-US" w:eastAsia="zh-CN"/>
              </w:rPr>
              <w:t>t/a</w:t>
            </w:r>
          </w:p>
        </w:tc>
        <w:tc>
          <w:tcPr>
            <w:tcW w:w="2131" w:type="dxa"/>
            <w:tcBorders>
              <w:tl2br w:val="nil"/>
              <w:tr2bl w:val="nil"/>
            </w:tcBorders>
          </w:tcPr>
          <w:p w14:paraId="763E8D70">
            <w:pPr>
              <w:pStyle w:val="72"/>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1000</w:t>
            </w:r>
          </w:p>
        </w:tc>
      </w:tr>
    </w:tbl>
    <w:p w14:paraId="361D3BB0">
      <w:pPr>
        <w:pStyle w:val="72"/>
        <w:jc w:val="center"/>
        <w:rPr>
          <w:rFonts w:hint="eastAsia" w:ascii="黑体" w:hAnsi="黑体" w:eastAsia="黑体" w:cs="黑体"/>
          <w:color w:val="auto"/>
          <w:sz w:val="21"/>
          <w:szCs w:val="21"/>
          <w:highlight w:val="none"/>
        </w:rPr>
      </w:pPr>
    </w:p>
    <w:p w14:paraId="12D81EF5">
      <w:pPr>
        <w:bidi w:val="0"/>
        <w:rPr>
          <w:rFonts w:hint="eastAsia"/>
          <w:lang w:eastAsia="zh-CN"/>
        </w:rPr>
      </w:pPr>
      <w:bookmarkStart w:id="194" w:name="_Toc417397324"/>
      <w:bookmarkStart w:id="195" w:name="_Toc313527726"/>
      <w:bookmarkStart w:id="196" w:name="_Toc459139115"/>
      <w:bookmarkStart w:id="197" w:name="_Toc340003260"/>
      <w:bookmarkStart w:id="198" w:name="_Toc417116934"/>
      <w:bookmarkStart w:id="199" w:name="_Toc339808174"/>
      <w:bookmarkStart w:id="200" w:name="_Toc417890785"/>
      <w:bookmarkStart w:id="201" w:name="_Toc441688139"/>
      <w:bookmarkStart w:id="202" w:name="_Toc341102005"/>
      <w:bookmarkStart w:id="203" w:name="_Toc417314687"/>
      <w:bookmarkStart w:id="204" w:name="_Toc339804546"/>
      <w:bookmarkStart w:id="205" w:name="_Toc26645"/>
      <w:bookmarkStart w:id="206" w:name="_Toc440894875"/>
      <w:bookmarkStart w:id="207" w:name="_Toc27405"/>
      <w:bookmarkStart w:id="208" w:name="_Toc421639296"/>
      <w:bookmarkStart w:id="209" w:name="_Toc459303579"/>
      <w:bookmarkStart w:id="210" w:name="_Toc415837214"/>
      <w:bookmarkStart w:id="211" w:name="_Toc339579023"/>
      <w:bookmarkStart w:id="212" w:name="_Toc415839118"/>
      <w:bookmarkStart w:id="213" w:name="_Toc441158729"/>
      <w:bookmarkStart w:id="214" w:name="_Toc441127454"/>
      <w:bookmarkStart w:id="215" w:name="_Toc459817846"/>
      <w:bookmarkStart w:id="216" w:name="_Toc341191316"/>
      <w:bookmarkStart w:id="217" w:name="_Toc441219498"/>
      <w:bookmarkStart w:id="218" w:name="_Toc339579149"/>
      <w:bookmarkStart w:id="219" w:name="_Toc339293047"/>
      <w:bookmarkStart w:id="220" w:name="_Toc441690018"/>
      <w:bookmarkStart w:id="221" w:name="_Toc417372283"/>
      <w:bookmarkStart w:id="222" w:name="_Toc339225686"/>
      <w:r>
        <w:rPr>
          <w:rFonts w:hint="eastAsia"/>
          <w:lang w:eastAsia="zh-CN"/>
        </w:rPr>
        <w:t>现有项目主要原辅料及消耗情况如下表所示。</w:t>
      </w:r>
    </w:p>
    <w:p w14:paraId="55D905B2">
      <w:pPr>
        <w:pStyle w:val="72"/>
        <w:jc w:val="center"/>
        <w:rPr>
          <w:rFonts w:hint="eastAsia" w:ascii="黑体" w:hAnsi="黑体" w:eastAsia="黑体" w:cs="黑体"/>
          <w:color w:val="auto"/>
          <w:sz w:val="21"/>
          <w:szCs w:val="21"/>
          <w:highlight w:val="none"/>
        </w:rPr>
      </w:pPr>
      <w:r>
        <w:rPr>
          <w:rFonts w:hint="eastAsia" w:ascii="黑体" w:hAnsi="黑体" w:eastAsia="黑体" w:cs="黑体"/>
          <w:color w:val="auto"/>
          <w:sz w:val="21"/>
          <w:szCs w:val="21"/>
          <w:highlight w:val="none"/>
        </w:rPr>
        <w:t>表</w:t>
      </w:r>
      <w:r>
        <w:rPr>
          <w:rFonts w:hint="eastAsia" w:ascii="黑体" w:hAnsi="黑体" w:eastAsia="黑体" w:cs="黑体"/>
          <w:color w:val="auto"/>
          <w:sz w:val="21"/>
          <w:szCs w:val="21"/>
          <w:highlight w:val="none"/>
          <w:lang w:val="en-US" w:eastAsia="zh-CN"/>
        </w:rPr>
        <w:t>3</w:t>
      </w:r>
      <w:r>
        <w:rPr>
          <w:rFonts w:ascii="黑体" w:hAnsi="黑体" w:eastAsia="黑体" w:cs="黑体"/>
          <w:color w:val="auto"/>
          <w:sz w:val="21"/>
          <w:szCs w:val="21"/>
          <w:highlight w:val="none"/>
        </w:rPr>
        <w:t>-</w:t>
      </w:r>
      <w:r>
        <w:rPr>
          <w:rFonts w:hint="eastAsia" w:ascii="黑体" w:hAnsi="黑体" w:eastAsia="黑体" w:cs="黑体"/>
          <w:color w:val="auto"/>
          <w:sz w:val="21"/>
          <w:szCs w:val="21"/>
          <w:highlight w:val="none"/>
          <w:lang w:val="en-US" w:eastAsia="zh-CN"/>
        </w:rPr>
        <w:t>3现有工程主要原辅料及消耗情况</w:t>
      </w:r>
    </w:p>
    <w:tbl>
      <w:tblPr>
        <w:tblStyle w:val="53"/>
        <w:tblW w:w="4997"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702"/>
        <w:gridCol w:w="1702"/>
        <w:gridCol w:w="1704"/>
        <w:gridCol w:w="1704"/>
        <w:gridCol w:w="1705"/>
      </w:tblGrid>
      <w:tr w14:paraId="4EA8AF7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9" w:type="pct"/>
            <w:tcBorders>
              <w:tl2br w:val="nil"/>
              <w:tr2bl w:val="nil"/>
            </w:tcBorders>
            <w:vAlign w:val="center"/>
          </w:tcPr>
          <w:p w14:paraId="023298CD">
            <w:pPr>
              <w:pStyle w:val="72"/>
              <w:jc w:val="center"/>
              <w:rPr>
                <w:rFonts w:hint="eastAsia" w:ascii="宋体" w:hAnsi="宋体" w:eastAsia="宋体" w:cs="宋体"/>
                <w:color w:val="auto"/>
                <w:sz w:val="21"/>
                <w:szCs w:val="21"/>
                <w:highlight w:val="none"/>
                <w:vertAlign w:val="baseline"/>
                <w:lang w:eastAsia="zh-CN"/>
              </w:rPr>
            </w:pPr>
            <w:r>
              <w:rPr>
                <w:rFonts w:hint="eastAsia" w:ascii="宋体" w:hAnsi="宋体" w:eastAsia="宋体" w:cs="宋体"/>
                <w:color w:val="auto"/>
                <w:sz w:val="21"/>
                <w:szCs w:val="21"/>
                <w:highlight w:val="none"/>
                <w:vertAlign w:val="baseline"/>
                <w:lang w:eastAsia="zh-CN"/>
              </w:rPr>
              <w:t>序号</w:t>
            </w:r>
          </w:p>
        </w:tc>
        <w:tc>
          <w:tcPr>
            <w:tcW w:w="999" w:type="pct"/>
            <w:tcBorders>
              <w:tl2br w:val="nil"/>
              <w:tr2bl w:val="nil"/>
            </w:tcBorders>
            <w:vAlign w:val="center"/>
          </w:tcPr>
          <w:p w14:paraId="2E8B0428">
            <w:pPr>
              <w:pStyle w:val="72"/>
              <w:jc w:val="center"/>
              <w:rPr>
                <w:rFonts w:hint="eastAsia" w:ascii="宋体" w:hAnsi="宋体" w:eastAsia="宋体" w:cs="宋体"/>
                <w:color w:val="auto"/>
                <w:sz w:val="21"/>
                <w:szCs w:val="21"/>
                <w:highlight w:val="none"/>
                <w:vertAlign w:val="baseline"/>
                <w:lang w:eastAsia="zh-CN"/>
              </w:rPr>
            </w:pPr>
            <w:r>
              <w:rPr>
                <w:rFonts w:hint="eastAsia" w:ascii="宋体" w:hAnsi="宋体" w:eastAsia="宋体" w:cs="宋体"/>
                <w:color w:val="auto"/>
                <w:sz w:val="21"/>
                <w:szCs w:val="21"/>
                <w:highlight w:val="none"/>
                <w:vertAlign w:val="baseline"/>
                <w:lang w:eastAsia="zh-CN"/>
              </w:rPr>
              <w:t>名称</w:t>
            </w:r>
          </w:p>
        </w:tc>
        <w:tc>
          <w:tcPr>
            <w:tcW w:w="1000" w:type="pct"/>
            <w:tcBorders>
              <w:tl2br w:val="nil"/>
              <w:tr2bl w:val="nil"/>
            </w:tcBorders>
            <w:vAlign w:val="center"/>
          </w:tcPr>
          <w:p w14:paraId="02C82074">
            <w:pPr>
              <w:pStyle w:val="72"/>
              <w:jc w:val="center"/>
              <w:rPr>
                <w:rFonts w:hint="eastAsia" w:ascii="宋体" w:hAnsi="宋体" w:eastAsia="宋体" w:cs="宋体"/>
                <w:color w:val="auto"/>
                <w:sz w:val="21"/>
                <w:szCs w:val="21"/>
                <w:highlight w:val="none"/>
                <w:vertAlign w:val="baseline"/>
                <w:lang w:eastAsia="zh-CN"/>
              </w:rPr>
            </w:pPr>
            <w:r>
              <w:rPr>
                <w:rFonts w:hint="eastAsia" w:ascii="宋体" w:hAnsi="宋体" w:eastAsia="宋体" w:cs="宋体"/>
                <w:color w:val="auto"/>
                <w:sz w:val="21"/>
                <w:szCs w:val="21"/>
                <w:highlight w:val="none"/>
                <w:vertAlign w:val="baseline"/>
                <w:lang w:eastAsia="zh-CN"/>
              </w:rPr>
              <w:t>单位</w:t>
            </w:r>
          </w:p>
        </w:tc>
        <w:tc>
          <w:tcPr>
            <w:tcW w:w="1000" w:type="pct"/>
            <w:tcBorders>
              <w:tl2br w:val="nil"/>
              <w:tr2bl w:val="nil"/>
            </w:tcBorders>
            <w:vAlign w:val="center"/>
          </w:tcPr>
          <w:p w14:paraId="0A3F3804">
            <w:pPr>
              <w:pStyle w:val="72"/>
              <w:jc w:val="center"/>
              <w:rPr>
                <w:rFonts w:hint="eastAsia" w:ascii="宋体" w:hAnsi="宋体" w:eastAsia="宋体" w:cs="宋体"/>
                <w:color w:val="auto"/>
                <w:sz w:val="21"/>
                <w:szCs w:val="21"/>
                <w:highlight w:val="none"/>
                <w:vertAlign w:val="baseline"/>
                <w:lang w:eastAsia="zh-CN"/>
              </w:rPr>
            </w:pPr>
            <w:r>
              <w:rPr>
                <w:rFonts w:hint="eastAsia" w:ascii="宋体" w:hAnsi="宋体" w:eastAsia="宋体" w:cs="宋体"/>
                <w:color w:val="auto"/>
                <w:sz w:val="21"/>
                <w:szCs w:val="21"/>
                <w:highlight w:val="none"/>
                <w:vertAlign w:val="baseline"/>
                <w:lang w:eastAsia="zh-CN"/>
              </w:rPr>
              <w:t>消耗量</w:t>
            </w:r>
          </w:p>
        </w:tc>
        <w:tc>
          <w:tcPr>
            <w:tcW w:w="1000" w:type="pct"/>
            <w:tcBorders>
              <w:tl2br w:val="nil"/>
              <w:tr2bl w:val="nil"/>
            </w:tcBorders>
            <w:vAlign w:val="center"/>
          </w:tcPr>
          <w:p w14:paraId="29645931">
            <w:pPr>
              <w:pStyle w:val="72"/>
              <w:jc w:val="center"/>
              <w:rPr>
                <w:rFonts w:hint="eastAsia" w:ascii="宋体" w:hAnsi="宋体" w:eastAsia="宋体" w:cs="宋体"/>
                <w:color w:val="auto"/>
                <w:sz w:val="21"/>
                <w:szCs w:val="21"/>
                <w:highlight w:val="none"/>
                <w:vertAlign w:val="baseline"/>
                <w:lang w:eastAsia="zh-CN"/>
              </w:rPr>
            </w:pPr>
            <w:r>
              <w:rPr>
                <w:rFonts w:hint="eastAsia" w:ascii="宋体" w:hAnsi="宋体" w:eastAsia="宋体" w:cs="宋体"/>
                <w:color w:val="auto"/>
                <w:sz w:val="21"/>
                <w:szCs w:val="21"/>
                <w:highlight w:val="none"/>
                <w:vertAlign w:val="baseline"/>
                <w:lang w:eastAsia="zh-CN"/>
              </w:rPr>
              <w:t>备注</w:t>
            </w:r>
          </w:p>
        </w:tc>
      </w:tr>
      <w:tr w14:paraId="78DD5DD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99" w:type="pct"/>
            <w:tcBorders>
              <w:tl2br w:val="nil"/>
              <w:tr2bl w:val="nil"/>
            </w:tcBorders>
            <w:vAlign w:val="center"/>
          </w:tcPr>
          <w:p w14:paraId="38BD6067">
            <w:pPr>
              <w:pStyle w:val="72"/>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w:t>
            </w:r>
          </w:p>
        </w:tc>
        <w:tc>
          <w:tcPr>
            <w:tcW w:w="999" w:type="pct"/>
            <w:tcBorders>
              <w:tl2br w:val="nil"/>
              <w:tr2bl w:val="nil"/>
            </w:tcBorders>
            <w:vAlign w:val="center"/>
          </w:tcPr>
          <w:p w14:paraId="30529616">
            <w:pPr>
              <w:pStyle w:val="72"/>
              <w:jc w:val="center"/>
              <w:rPr>
                <w:rFonts w:hint="eastAsia" w:ascii="宋体" w:hAnsi="宋体" w:eastAsia="宋体" w:cs="宋体"/>
                <w:color w:val="auto"/>
                <w:sz w:val="21"/>
                <w:szCs w:val="21"/>
                <w:highlight w:val="none"/>
                <w:vertAlign w:val="baseline"/>
                <w:lang w:eastAsia="zh-CN"/>
              </w:rPr>
            </w:pPr>
            <w:r>
              <w:rPr>
                <w:rFonts w:hint="eastAsia" w:ascii="宋体" w:hAnsi="宋体" w:eastAsia="宋体" w:cs="宋体"/>
                <w:color w:val="auto"/>
                <w:sz w:val="21"/>
                <w:szCs w:val="21"/>
                <w:highlight w:val="none"/>
                <w:vertAlign w:val="baseline"/>
                <w:lang w:eastAsia="zh-CN"/>
              </w:rPr>
              <w:t>电</w:t>
            </w:r>
          </w:p>
        </w:tc>
        <w:tc>
          <w:tcPr>
            <w:tcW w:w="1000" w:type="pct"/>
            <w:tcBorders>
              <w:tl2br w:val="nil"/>
              <w:tr2bl w:val="nil"/>
            </w:tcBorders>
            <w:vAlign w:val="center"/>
          </w:tcPr>
          <w:p w14:paraId="17B5ADE0">
            <w:pPr>
              <w:pStyle w:val="72"/>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KWh/a</w:t>
            </w:r>
          </w:p>
        </w:tc>
        <w:tc>
          <w:tcPr>
            <w:tcW w:w="1000" w:type="pct"/>
            <w:tcBorders>
              <w:tl2br w:val="nil"/>
              <w:tr2bl w:val="nil"/>
            </w:tcBorders>
            <w:vAlign w:val="center"/>
          </w:tcPr>
          <w:p w14:paraId="19DBC67F">
            <w:pPr>
              <w:pStyle w:val="72"/>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712546.5</w:t>
            </w:r>
          </w:p>
        </w:tc>
        <w:tc>
          <w:tcPr>
            <w:tcW w:w="1000" w:type="pct"/>
            <w:tcBorders>
              <w:tl2br w:val="nil"/>
              <w:tr2bl w:val="nil"/>
            </w:tcBorders>
            <w:vAlign w:val="center"/>
          </w:tcPr>
          <w:p w14:paraId="73D29682">
            <w:pPr>
              <w:pStyle w:val="72"/>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依托本溪溪湖区供电分公司</w:t>
            </w:r>
          </w:p>
        </w:tc>
      </w:tr>
      <w:tr w14:paraId="483F026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99" w:type="pct"/>
            <w:tcBorders>
              <w:tl2br w:val="nil"/>
              <w:tr2bl w:val="nil"/>
            </w:tcBorders>
            <w:vAlign w:val="center"/>
          </w:tcPr>
          <w:p w14:paraId="37B1D5B8">
            <w:pPr>
              <w:pStyle w:val="72"/>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2</w:t>
            </w:r>
          </w:p>
        </w:tc>
        <w:tc>
          <w:tcPr>
            <w:tcW w:w="999" w:type="pct"/>
            <w:tcBorders>
              <w:tl2br w:val="nil"/>
              <w:tr2bl w:val="nil"/>
            </w:tcBorders>
            <w:vAlign w:val="center"/>
          </w:tcPr>
          <w:p w14:paraId="27C0BFC6">
            <w:pPr>
              <w:pStyle w:val="72"/>
              <w:jc w:val="center"/>
              <w:rPr>
                <w:rFonts w:hint="eastAsia" w:ascii="宋体" w:hAnsi="宋体" w:eastAsia="宋体" w:cs="宋体"/>
                <w:color w:val="auto"/>
                <w:sz w:val="21"/>
                <w:szCs w:val="21"/>
                <w:highlight w:val="none"/>
                <w:vertAlign w:val="baseline"/>
                <w:lang w:eastAsia="zh-CN"/>
              </w:rPr>
            </w:pPr>
            <w:r>
              <w:rPr>
                <w:rFonts w:hint="eastAsia" w:ascii="宋体" w:hAnsi="宋体" w:eastAsia="宋体" w:cs="宋体"/>
                <w:color w:val="auto"/>
                <w:sz w:val="21"/>
                <w:szCs w:val="21"/>
                <w:highlight w:val="none"/>
                <w:vertAlign w:val="baseline"/>
                <w:lang w:eastAsia="zh-CN"/>
              </w:rPr>
              <w:t>水</w:t>
            </w:r>
          </w:p>
        </w:tc>
        <w:tc>
          <w:tcPr>
            <w:tcW w:w="1000" w:type="pct"/>
            <w:tcBorders>
              <w:tl2br w:val="nil"/>
              <w:tr2bl w:val="nil"/>
            </w:tcBorders>
            <w:vAlign w:val="center"/>
          </w:tcPr>
          <w:p w14:paraId="1812C9F5">
            <w:pPr>
              <w:pStyle w:val="72"/>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t/a</w:t>
            </w:r>
          </w:p>
        </w:tc>
        <w:tc>
          <w:tcPr>
            <w:tcW w:w="1000" w:type="pct"/>
            <w:tcBorders>
              <w:tl2br w:val="nil"/>
              <w:tr2bl w:val="nil"/>
            </w:tcBorders>
            <w:vAlign w:val="center"/>
          </w:tcPr>
          <w:p w14:paraId="207E628E">
            <w:pPr>
              <w:pStyle w:val="72"/>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982</w:t>
            </w:r>
          </w:p>
        </w:tc>
        <w:tc>
          <w:tcPr>
            <w:tcW w:w="1000" w:type="pct"/>
            <w:tcBorders>
              <w:tl2br w:val="nil"/>
              <w:tr2bl w:val="nil"/>
            </w:tcBorders>
            <w:vAlign w:val="center"/>
          </w:tcPr>
          <w:p w14:paraId="0E356502">
            <w:pPr>
              <w:pStyle w:val="72"/>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依托本溪市自来水公司</w:t>
            </w:r>
          </w:p>
        </w:tc>
      </w:tr>
      <w:tr w14:paraId="322EE29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99" w:type="pct"/>
            <w:tcBorders>
              <w:tl2br w:val="nil"/>
              <w:tr2bl w:val="nil"/>
            </w:tcBorders>
            <w:vAlign w:val="center"/>
          </w:tcPr>
          <w:p w14:paraId="42FE7153">
            <w:pPr>
              <w:pStyle w:val="72"/>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3</w:t>
            </w:r>
          </w:p>
        </w:tc>
        <w:tc>
          <w:tcPr>
            <w:tcW w:w="999" w:type="pct"/>
            <w:tcBorders>
              <w:tl2br w:val="nil"/>
              <w:tr2bl w:val="nil"/>
            </w:tcBorders>
            <w:vAlign w:val="center"/>
          </w:tcPr>
          <w:p w14:paraId="16900021">
            <w:pPr>
              <w:pStyle w:val="72"/>
              <w:jc w:val="center"/>
              <w:rPr>
                <w:rFonts w:hint="eastAsia" w:ascii="宋体" w:hAnsi="宋体" w:eastAsia="宋体" w:cs="宋体"/>
                <w:color w:val="auto"/>
                <w:sz w:val="21"/>
                <w:szCs w:val="21"/>
                <w:highlight w:val="none"/>
                <w:vertAlign w:val="baseline"/>
                <w:lang w:eastAsia="zh-CN"/>
              </w:rPr>
            </w:pPr>
            <w:r>
              <w:rPr>
                <w:rFonts w:hint="eastAsia" w:ascii="宋体" w:hAnsi="宋体" w:eastAsia="宋体" w:cs="宋体"/>
                <w:color w:val="auto"/>
                <w:sz w:val="21"/>
                <w:szCs w:val="21"/>
                <w:highlight w:val="none"/>
                <w:vertAlign w:val="baseline"/>
                <w:lang w:eastAsia="zh-CN"/>
              </w:rPr>
              <w:t>碳氢油</w:t>
            </w:r>
          </w:p>
        </w:tc>
        <w:tc>
          <w:tcPr>
            <w:tcW w:w="1000" w:type="pct"/>
            <w:tcBorders>
              <w:tl2br w:val="nil"/>
              <w:tr2bl w:val="nil"/>
            </w:tcBorders>
            <w:vAlign w:val="center"/>
          </w:tcPr>
          <w:p w14:paraId="7F48F0AB">
            <w:pPr>
              <w:pStyle w:val="72"/>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t/a</w:t>
            </w:r>
          </w:p>
        </w:tc>
        <w:tc>
          <w:tcPr>
            <w:tcW w:w="1000" w:type="pct"/>
            <w:tcBorders>
              <w:tl2br w:val="nil"/>
              <w:tr2bl w:val="nil"/>
            </w:tcBorders>
            <w:vAlign w:val="center"/>
          </w:tcPr>
          <w:p w14:paraId="1F625B52">
            <w:pPr>
              <w:pStyle w:val="72"/>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4.8</w:t>
            </w:r>
          </w:p>
        </w:tc>
        <w:tc>
          <w:tcPr>
            <w:tcW w:w="1000" w:type="pct"/>
            <w:tcBorders>
              <w:tl2br w:val="nil"/>
              <w:tr2bl w:val="nil"/>
            </w:tcBorders>
            <w:vAlign w:val="center"/>
          </w:tcPr>
          <w:p w14:paraId="277E5D4D">
            <w:pPr>
              <w:pStyle w:val="72"/>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外购</w:t>
            </w:r>
          </w:p>
        </w:tc>
      </w:tr>
      <w:tr w14:paraId="540C0B2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99" w:type="pct"/>
            <w:tcBorders>
              <w:tl2br w:val="nil"/>
              <w:tr2bl w:val="nil"/>
            </w:tcBorders>
            <w:vAlign w:val="center"/>
          </w:tcPr>
          <w:p w14:paraId="24E2FFC3">
            <w:pPr>
              <w:pStyle w:val="72"/>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4</w:t>
            </w:r>
          </w:p>
        </w:tc>
        <w:tc>
          <w:tcPr>
            <w:tcW w:w="999" w:type="pct"/>
            <w:tcBorders>
              <w:tl2br w:val="nil"/>
              <w:tr2bl w:val="nil"/>
            </w:tcBorders>
            <w:vAlign w:val="center"/>
          </w:tcPr>
          <w:p w14:paraId="342F402E">
            <w:pPr>
              <w:pStyle w:val="72"/>
              <w:jc w:val="center"/>
              <w:rPr>
                <w:rFonts w:hint="eastAsia" w:ascii="宋体" w:hAnsi="宋体" w:eastAsia="宋体" w:cs="宋体"/>
                <w:color w:val="auto"/>
                <w:sz w:val="21"/>
                <w:szCs w:val="21"/>
                <w:highlight w:val="none"/>
                <w:vertAlign w:val="baseline"/>
                <w:lang w:eastAsia="zh-CN"/>
              </w:rPr>
            </w:pPr>
            <w:r>
              <w:rPr>
                <w:rFonts w:hint="eastAsia" w:ascii="宋体" w:hAnsi="宋体" w:eastAsia="宋体" w:cs="宋体"/>
                <w:color w:val="auto"/>
                <w:sz w:val="21"/>
                <w:szCs w:val="21"/>
                <w:highlight w:val="none"/>
                <w:vertAlign w:val="baseline"/>
                <w:lang w:eastAsia="zh-CN"/>
              </w:rPr>
              <w:t>电解铜</w:t>
            </w:r>
          </w:p>
        </w:tc>
        <w:tc>
          <w:tcPr>
            <w:tcW w:w="1000" w:type="pct"/>
            <w:tcBorders>
              <w:tl2br w:val="nil"/>
              <w:tr2bl w:val="nil"/>
            </w:tcBorders>
            <w:vAlign w:val="center"/>
          </w:tcPr>
          <w:p w14:paraId="0895B12C">
            <w:pPr>
              <w:pStyle w:val="72"/>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t/a</w:t>
            </w:r>
          </w:p>
        </w:tc>
        <w:tc>
          <w:tcPr>
            <w:tcW w:w="1000" w:type="pct"/>
            <w:tcBorders>
              <w:tl2br w:val="nil"/>
              <w:tr2bl w:val="nil"/>
            </w:tcBorders>
            <w:vAlign w:val="center"/>
          </w:tcPr>
          <w:p w14:paraId="33968516">
            <w:pPr>
              <w:pStyle w:val="72"/>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3000</w:t>
            </w:r>
          </w:p>
        </w:tc>
        <w:tc>
          <w:tcPr>
            <w:tcW w:w="1000" w:type="pct"/>
            <w:tcBorders>
              <w:tl2br w:val="nil"/>
              <w:tr2bl w:val="nil"/>
            </w:tcBorders>
            <w:vAlign w:val="center"/>
          </w:tcPr>
          <w:p w14:paraId="4365428E">
            <w:pPr>
              <w:pStyle w:val="72"/>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外购</w:t>
            </w:r>
          </w:p>
        </w:tc>
      </w:tr>
      <w:tr w14:paraId="4A480EB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99" w:type="pct"/>
            <w:tcBorders>
              <w:tl2br w:val="nil"/>
              <w:tr2bl w:val="nil"/>
            </w:tcBorders>
            <w:vAlign w:val="center"/>
          </w:tcPr>
          <w:p w14:paraId="040E5BC3">
            <w:pPr>
              <w:pStyle w:val="72"/>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5</w:t>
            </w:r>
          </w:p>
        </w:tc>
        <w:tc>
          <w:tcPr>
            <w:tcW w:w="999" w:type="pct"/>
            <w:tcBorders>
              <w:tl2br w:val="nil"/>
              <w:tr2bl w:val="nil"/>
            </w:tcBorders>
            <w:vAlign w:val="center"/>
          </w:tcPr>
          <w:p w14:paraId="44B6C4D0">
            <w:pPr>
              <w:pStyle w:val="72"/>
              <w:jc w:val="center"/>
              <w:rPr>
                <w:rFonts w:hint="eastAsia" w:ascii="宋体" w:hAnsi="宋体" w:eastAsia="宋体" w:cs="宋体"/>
                <w:color w:val="auto"/>
                <w:sz w:val="21"/>
                <w:szCs w:val="21"/>
                <w:highlight w:val="none"/>
                <w:vertAlign w:val="baseline"/>
                <w:lang w:eastAsia="zh-CN"/>
              </w:rPr>
            </w:pPr>
            <w:r>
              <w:rPr>
                <w:rFonts w:hint="eastAsia" w:ascii="宋体" w:hAnsi="宋体" w:eastAsia="宋体" w:cs="宋体"/>
                <w:color w:val="auto"/>
                <w:sz w:val="21"/>
                <w:szCs w:val="21"/>
                <w:highlight w:val="none"/>
                <w:vertAlign w:val="baseline"/>
                <w:lang w:eastAsia="zh-CN"/>
              </w:rPr>
              <w:t>木炭</w:t>
            </w:r>
          </w:p>
        </w:tc>
        <w:tc>
          <w:tcPr>
            <w:tcW w:w="1000" w:type="pct"/>
            <w:tcBorders>
              <w:tl2br w:val="nil"/>
              <w:tr2bl w:val="nil"/>
            </w:tcBorders>
            <w:vAlign w:val="center"/>
          </w:tcPr>
          <w:p w14:paraId="05F2A1D6">
            <w:pPr>
              <w:pStyle w:val="72"/>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t/a</w:t>
            </w:r>
          </w:p>
        </w:tc>
        <w:tc>
          <w:tcPr>
            <w:tcW w:w="1000" w:type="pct"/>
            <w:tcBorders>
              <w:tl2br w:val="nil"/>
              <w:tr2bl w:val="nil"/>
            </w:tcBorders>
            <w:vAlign w:val="center"/>
          </w:tcPr>
          <w:p w14:paraId="701C14CB">
            <w:pPr>
              <w:pStyle w:val="72"/>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5</w:t>
            </w:r>
          </w:p>
        </w:tc>
        <w:tc>
          <w:tcPr>
            <w:tcW w:w="1000" w:type="pct"/>
            <w:tcBorders>
              <w:tl2br w:val="nil"/>
              <w:tr2bl w:val="nil"/>
            </w:tcBorders>
            <w:vAlign w:val="center"/>
          </w:tcPr>
          <w:p w14:paraId="4B4642B1">
            <w:pPr>
              <w:pStyle w:val="72"/>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外购</w:t>
            </w:r>
          </w:p>
        </w:tc>
      </w:tr>
      <w:tr w14:paraId="649CE63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99" w:type="pct"/>
            <w:tcBorders>
              <w:tl2br w:val="nil"/>
              <w:tr2bl w:val="nil"/>
            </w:tcBorders>
            <w:vAlign w:val="center"/>
          </w:tcPr>
          <w:p w14:paraId="106FC42B">
            <w:pPr>
              <w:pStyle w:val="72"/>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6</w:t>
            </w:r>
          </w:p>
        </w:tc>
        <w:tc>
          <w:tcPr>
            <w:tcW w:w="999" w:type="pct"/>
            <w:tcBorders>
              <w:tl2br w:val="nil"/>
              <w:tr2bl w:val="nil"/>
            </w:tcBorders>
            <w:vAlign w:val="center"/>
          </w:tcPr>
          <w:p w14:paraId="784AEAFD">
            <w:pPr>
              <w:pStyle w:val="72"/>
              <w:jc w:val="center"/>
              <w:rPr>
                <w:rFonts w:hint="eastAsia" w:ascii="宋体" w:hAnsi="宋体" w:eastAsia="宋体" w:cs="宋体"/>
                <w:color w:val="auto"/>
                <w:sz w:val="21"/>
                <w:szCs w:val="21"/>
                <w:highlight w:val="none"/>
                <w:vertAlign w:val="baseline"/>
                <w:lang w:eastAsia="zh-CN"/>
              </w:rPr>
            </w:pPr>
            <w:r>
              <w:rPr>
                <w:rFonts w:hint="eastAsia" w:ascii="宋体" w:hAnsi="宋体" w:eastAsia="宋体" w:cs="宋体"/>
                <w:color w:val="auto"/>
                <w:sz w:val="21"/>
                <w:szCs w:val="21"/>
                <w:highlight w:val="none"/>
                <w:vertAlign w:val="baseline"/>
                <w:lang w:eastAsia="zh-CN"/>
              </w:rPr>
              <w:t>石墨鳞片</w:t>
            </w:r>
          </w:p>
        </w:tc>
        <w:tc>
          <w:tcPr>
            <w:tcW w:w="1000" w:type="pct"/>
            <w:tcBorders>
              <w:tl2br w:val="nil"/>
              <w:tr2bl w:val="nil"/>
            </w:tcBorders>
            <w:vAlign w:val="center"/>
          </w:tcPr>
          <w:p w14:paraId="06ED8C82">
            <w:pPr>
              <w:pStyle w:val="72"/>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t/a</w:t>
            </w:r>
          </w:p>
        </w:tc>
        <w:tc>
          <w:tcPr>
            <w:tcW w:w="1000" w:type="pct"/>
            <w:tcBorders>
              <w:tl2br w:val="nil"/>
              <w:tr2bl w:val="nil"/>
            </w:tcBorders>
            <w:vAlign w:val="center"/>
          </w:tcPr>
          <w:p w14:paraId="69033057">
            <w:pPr>
              <w:pStyle w:val="72"/>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2</w:t>
            </w:r>
          </w:p>
        </w:tc>
        <w:tc>
          <w:tcPr>
            <w:tcW w:w="1000" w:type="pct"/>
            <w:tcBorders>
              <w:tl2br w:val="nil"/>
              <w:tr2bl w:val="nil"/>
            </w:tcBorders>
            <w:vAlign w:val="center"/>
          </w:tcPr>
          <w:p w14:paraId="7B6EF772">
            <w:pPr>
              <w:pStyle w:val="72"/>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外购</w:t>
            </w:r>
          </w:p>
        </w:tc>
      </w:tr>
    </w:tbl>
    <w:p w14:paraId="65C726DC">
      <w:pPr>
        <w:pStyle w:val="3"/>
        <w:ind w:firstLine="31680"/>
        <w:rPr>
          <w:rFonts w:cs="Times New Roman"/>
          <w:color w:val="auto"/>
          <w:highlight w:val="none"/>
        </w:rPr>
      </w:pPr>
      <w:bookmarkStart w:id="223" w:name="_Toc11271"/>
      <w:r>
        <w:rPr>
          <w:rFonts w:hint="eastAsia"/>
          <w:color w:val="auto"/>
          <w:highlight w:val="none"/>
          <w:lang w:val="en-US" w:eastAsia="zh-CN"/>
        </w:rPr>
        <w:t>3</w:t>
      </w:r>
      <w:r>
        <w:rPr>
          <w:color w:val="auto"/>
          <w:highlight w:val="none"/>
        </w:rPr>
        <w:t>.4</w:t>
      </w:r>
      <w:r>
        <w:rPr>
          <w:rFonts w:hint="eastAsia" w:cs="宋体"/>
          <w:color w:val="auto"/>
          <w:highlight w:val="none"/>
        </w:rPr>
        <w:t>现有工程主要设备情况</w:t>
      </w:r>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p>
    <w:p w14:paraId="1ACB8C68">
      <w:pPr>
        <w:ind w:firstLine="31680"/>
        <w:rPr>
          <w:rFonts w:ascii="Times New Roman" w:hAnsi="Times New Roman" w:cs="Times New Roman"/>
          <w:color w:val="auto"/>
          <w:highlight w:val="none"/>
        </w:rPr>
      </w:pPr>
      <w:r>
        <w:rPr>
          <w:rFonts w:hint="eastAsia" w:ascii="Times New Roman" w:hAnsi="Times New Roman" w:cs="宋体"/>
          <w:color w:val="auto"/>
          <w:highlight w:val="none"/>
        </w:rPr>
        <w:t>现有工程的生产设备主要情况见下表。</w:t>
      </w:r>
    </w:p>
    <w:p w14:paraId="1565BC15">
      <w:pPr>
        <w:ind w:firstLine="31680"/>
        <w:jc w:val="center"/>
        <w:rPr>
          <w:rFonts w:hint="eastAsia" w:ascii="黑体" w:hAnsi="黑体" w:eastAsia="黑体" w:cs="黑体"/>
          <w:color w:val="auto"/>
          <w:sz w:val="21"/>
          <w:szCs w:val="21"/>
          <w:highlight w:val="none"/>
        </w:rPr>
      </w:pPr>
      <w:r>
        <w:rPr>
          <w:rFonts w:hint="eastAsia" w:ascii="黑体" w:hAnsi="黑体" w:eastAsia="黑体" w:cs="黑体"/>
          <w:color w:val="auto"/>
          <w:sz w:val="21"/>
          <w:szCs w:val="21"/>
          <w:highlight w:val="none"/>
        </w:rPr>
        <w:t>表</w:t>
      </w:r>
      <w:r>
        <w:rPr>
          <w:rFonts w:hint="eastAsia" w:ascii="黑体" w:hAnsi="黑体" w:eastAsia="黑体" w:cs="黑体"/>
          <w:color w:val="auto"/>
          <w:sz w:val="21"/>
          <w:szCs w:val="21"/>
          <w:highlight w:val="none"/>
          <w:lang w:val="en-US" w:eastAsia="zh-CN"/>
        </w:rPr>
        <w:t>3-3</w:t>
      </w:r>
      <w:r>
        <w:rPr>
          <w:rFonts w:hint="eastAsia" w:ascii="黑体" w:hAnsi="黑体" w:eastAsia="黑体" w:cs="黑体"/>
          <w:color w:val="auto"/>
          <w:sz w:val="21"/>
          <w:szCs w:val="21"/>
          <w:highlight w:val="none"/>
        </w:rPr>
        <w:t>现有工程主要设备清单</w:t>
      </w:r>
    </w:p>
    <w:tbl>
      <w:tblPr>
        <w:tblStyle w:val="53"/>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560"/>
        <w:gridCol w:w="2699"/>
        <w:gridCol w:w="2131"/>
        <w:gridCol w:w="2132"/>
      </w:tblGrid>
      <w:tr w14:paraId="41D478B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15" w:type="pct"/>
            <w:tcBorders>
              <w:tl2br w:val="nil"/>
              <w:tr2bl w:val="nil"/>
            </w:tcBorders>
            <w:vAlign w:val="center"/>
          </w:tcPr>
          <w:p w14:paraId="6193A330">
            <w:pPr>
              <w:pStyle w:val="7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lang w:eastAsia="zh-CN"/>
              </w:rPr>
            </w:pPr>
            <w:r>
              <w:rPr>
                <w:rFonts w:hint="eastAsia" w:ascii="宋体" w:hAnsi="宋体" w:eastAsia="宋体" w:cs="宋体"/>
                <w:sz w:val="21"/>
                <w:szCs w:val="21"/>
                <w:vertAlign w:val="baseline"/>
                <w:lang w:eastAsia="zh-CN"/>
              </w:rPr>
              <w:t>序号</w:t>
            </w:r>
          </w:p>
        </w:tc>
        <w:tc>
          <w:tcPr>
            <w:tcW w:w="1583" w:type="pct"/>
            <w:tcBorders>
              <w:tl2br w:val="nil"/>
              <w:tr2bl w:val="nil"/>
            </w:tcBorders>
            <w:vAlign w:val="center"/>
          </w:tcPr>
          <w:p w14:paraId="559D3F94">
            <w:pPr>
              <w:pStyle w:val="7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lang w:eastAsia="zh-CN"/>
              </w:rPr>
            </w:pPr>
            <w:r>
              <w:rPr>
                <w:rFonts w:hint="eastAsia" w:ascii="宋体" w:hAnsi="宋体" w:eastAsia="宋体" w:cs="宋体"/>
                <w:sz w:val="21"/>
                <w:szCs w:val="21"/>
                <w:vertAlign w:val="baseline"/>
                <w:lang w:eastAsia="zh-CN"/>
              </w:rPr>
              <w:t>设备名称</w:t>
            </w:r>
          </w:p>
        </w:tc>
        <w:tc>
          <w:tcPr>
            <w:tcW w:w="1250" w:type="pct"/>
            <w:tcBorders>
              <w:tl2br w:val="nil"/>
              <w:tr2bl w:val="nil"/>
            </w:tcBorders>
            <w:vAlign w:val="center"/>
          </w:tcPr>
          <w:p w14:paraId="0793DEFE">
            <w:pPr>
              <w:pStyle w:val="7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lang w:eastAsia="zh-CN"/>
              </w:rPr>
            </w:pPr>
            <w:r>
              <w:rPr>
                <w:rFonts w:hint="eastAsia" w:ascii="宋体" w:hAnsi="宋体" w:eastAsia="宋体" w:cs="宋体"/>
                <w:sz w:val="21"/>
                <w:szCs w:val="21"/>
                <w:vertAlign w:val="baseline"/>
                <w:lang w:eastAsia="zh-CN"/>
              </w:rPr>
              <w:t>型号规格</w:t>
            </w:r>
          </w:p>
        </w:tc>
        <w:tc>
          <w:tcPr>
            <w:tcW w:w="1250" w:type="pct"/>
            <w:tcBorders>
              <w:tl2br w:val="nil"/>
              <w:tr2bl w:val="nil"/>
            </w:tcBorders>
            <w:vAlign w:val="center"/>
          </w:tcPr>
          <w:p w14:paraId="606B0C84">
            <w:pPr>
              <w:pStyle w:val="7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lang w:eastAsia="zh-CN"/>
              </w:rPr>
            </w:pPr>
            <w:r>
              <w:rPr>
                <w:rFonts w:hint="eastAsia" w:ascii="宋体" w:hAnsi="宋体" w:eastAsia="宋体" w:cs="宋体"/>
                <w:sz w:val="21"/>
                <w:szCs w:val="21"/>
                <w:vertAlign w:val="baseline"/>
                <w:lang w:eastAsia="zh-CN"/>
              </w:rPr>
              <w:t>数量</w:t>
            </w:r>
          </w:p>
        </w:tc>
      </w:tr>
      <w:tr w14:paraId="7E983A6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15" w:type="pct"/>
            <w:tcBorders>
              <w:tl2br w:val="nil"/>
              <w:tr2bl w:val="nil"/>
            </w:tcBorders>
            <w:vAlign w:val="center"/>
          </w:tcPr>
          <w:p w14:paraId="15259358">
            <w:pPr>
              <w:pStyle w:val="7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w:t>
            </w:r>
          </w:p>
        </w:tc>
        <w:tc>
          <w:tcPr>
            <w:tcW w:w="1583" w:type="pct"/>
            <w:tcBorders>
              <w:tl2br w:val="nil"/>
              <w:tr2bl w:val="nil"/>
            </w:tcBorders>
            <w:vAlign w:val="center"/>
          </w:tcPr>
          <w:p w14:paraId="4427983C">
            <w:pPr>
              <w:pStyle w:val="7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lang w:eastAsia="zh-CN"/>
              </w:rPr>
            </w:pPr>
            <w:r>
              <w:rPr>
                <w:rFonts w:hint="eastAsia" w:ascii="宋体" w:hAnsi="宋体" w:eastAsia="宋体" w:cs="宋体"/>
                <w:sz w:val="21"/>
                <w:szCs w:val="21"/>
                <w:vertAlign w:val="baseline"/>
                <w:lang w:eastAsia="zh-CN"/>
              </w:rPr>
              <w:t>工频感应上引法连铸机</w:t>
            </w:r>
          </w:p>
        </w:tc>
        <w:tc>
          <w:tcPr>
            <w:tcW w:w="1250" w:type="pct"/>
            <w:tcBorders>
              <w:tl2br w:val="nil"/>
              <w:tr2bl w:val="nil"/>
            </w:tcBorders>
            <w:vAlign w:val="center"/>
          </w:tcPr>
          <w:p w14:paraId="2EC4CD28">
            <w:pPr>
              <w:pStyle w:val="7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ST-6000</w:t>
            </w:r>
          </w:p>
        </w:tc>
        <w:tc>
          <w:tcPr>
            <w:tcW w:w="1250" w:type="pct"/>
            <w:tcBorders>
              <w:tl2br w:val="nil"/>
              <w:tr2bl w:val="nil"/>
            </w:tcBorders>
            <w:vAlign w:val="center"/>
          </w:tcPr>
          <w:p w14:paraId="546955DF">
            <w:pPr>
              <w:pStyle w:val="7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w:t>
            </w:r>
          </w:p>
        </w:tc>
      </w:tr>
      <w:tr w14:paraId="2D4F5F7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15" w:type="pct"/>
            <w:tcBorders>
              <w:tl2br w:val="nil"/>
              <w:tr2bl w:val="nil"/>
            </w:tcBorders>
            <w:vAlign w:val="center"/>
          </w:tcPr>
          <w:p w14:paraId="118656AC">
            <w:pPr>
              <w:pStyle w:val="7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w:t>
            </w:r>
          </w:p>
        </w:tc>
        <w:tc>
          <w:tcPr>
            <w:tcW w:w="1583" w:type="pct"/>
            <w:tcBorders>
              <w:tl2br w:val="nil"/>
              <w:tr2bl w:val="nil"/>
            </w:tcBorders>
            <w:vAlign w:val="center"/>
          </w:tcPr>
          <w:p w14:paraId="1AD3063B">
            <w:pPr>
              <w:pStyle w:val="7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400连续挤压机</w:t>
            </w:r>
          </w:p>
        </w:tc>
        <w:tc>
          <w:tcPr>
            <w:tcW w:w="1250" w:type="pct"/>
            <w:tcBorders>
              <w:tl2br w:val="nil"/>
              <w:tr2bl w:val="nil"/>
            </w:tcBorders>
            <w:vAlign w:val="center"/>
          </w:tcPr>
          <w:p w14:paraId="346FFF3C">
            <w:pPr>
              <w:pStyle w:val="7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TLJ-400</w:t>
            </w:r>
          </w:p>
        </w:tc>
        <w:tc>
          <w:tcPr>
            <w:tcW w:w="1250" w:type="pct"/>
            <w:tcBorders>
              <w:tl2br w:val="nil"/>
              <w:tr2bl w:val="nil"/>
            </w:tcBorders>
            <w:vAlign w:val="center"/>
          </w:tcPr>
          <w:p w14:paraId="741F3D1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lang w:val="en-US" w:eastAsia="zh-CN"/>
              </w:rPr>
              <w:t>1</w:t>
            </w:r>
          </w:p>
        </w:tc>
      </w:tr>
      <w:tr w14:paraId="43F060E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15" w:type="pct"/>
            <w:tcBorders>
              <w:tl2br w:val="nil"/>
              <w:tr2bl w:val="nil"/>
            </w:tcBorders>
            <w:vAlign w:val="center"/>
          </w:tcPr>
          <w:p w14:paraId="49BB1FDB">
            <w:pPr>
              <w:pStyle w:val="7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3</w:t>
            </w:r>
          </w:p>
        </w:tc>
        <w:tc>
          <w:tcPr>
            <w:tcW w:w="1583" w:type="pct"/>
            <w:tcBorders>
              <w:tl2br w:val="nil"/>
              <w:tr2bl w:val="nil"/>
            </w:tcBorders>
            <w:vAlign w:val="center"/>
          </w:tcPr>
          <w:p w14:paraId="2EE73F41">
            <w:pPr>
              <w:pStyle w:val="7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350连续挤压机</w:t>
            </w:r>
          </w:p>
        </w:tc>
        <w:tc>
          <w:tcPr>
            <w:tcW w:w="1250" w:type="pct"/>
            <w:tcBorders>
              <w:tl2br w:val="nil"/>
              <w:tr2bl w:val="nil"/>
            </w:tcBorders>
            <w:vAlign w:val="center"/>
          </w:tcPr>
          <w:p w14:paraId="3CF2DE02">
            <w:pPr>
              <w:pStyle w:val="7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lang w:val="en-US" w:eastAsia="zh-CN"/>
              </w:rPr>
              <w:t>TLJ-350</w:t>
            </w:r>
          </w:p>
        </w:tc>
        <w:tc>
          <w:tcPr>
            <w:tcW w:w="1250" w:type="pct"/>
            <w:tcBorders>
              <w:tl2br w:val="nil"/>
              <w:tr2bl w:val="nil"/>
            </w:tcBorders>
            <w:vAlign w:val="center"/>
          </w:tcPr>
          <w:p w14:paraId="6ED5A96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lang w:val="en-US" w:eastAsia="zh-CN"/>
              </w:rPr>
              <w:t>1</w:t>
            </w:r>
          </w:p>
        </w:tc>
      </w:tr>
      <w:tr w14:paraId="6DA611C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15" w:type="pct"/>
            <w:tcBorders>
              <w:tl2br w:val="nil"/>
              <w:tr2bl w:val="nil"/>
            </w:tcBorders>
            <w:vAlign w:val="center"/>
          </w:tcPr>
          <w:p w14:paraId="0A2DE682">
            <w:pPr>
              <w:pStyle w:val="7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4</w:t>
            </w:r>
          </w:p>
        </w:tc>
        <w:tc>
          <w:tcPr>
            <w:tcW w:w="1583" w:type="pct"/>
            <w:tcBorders>
              <w:tl2br w:val="nil"/>
              <w:tr2bl w:val="nil"/>
            </w:tcBorders>
            <w:vAlign w:val="center"/>
          </w:tcPr>
          <w:p w14:paraId="2C7348F6">
            <w:pPr>
              <w:pStyle w:val="7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50吨全自动液压拉拔机</w:t>
            </w:r>
          </w:p>
        </w:tc>
        <w:tc>
          <w:tcPr>
            <w:tcW w:w="1250" w:type="pct"/>
            <w:tcBorders>
              <w:tl2br w:val="nil"/>
              <w:tr2bl w:val="nil"/>
            </w:tcBorders>
            <w:vAlign w:val="center"/>
          </w:tcPr>
          <w:p w14:paraId="513CE058">
            <w:pPr>
              <w:pStyle w:val="7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KSLB-50</w:t>
            </w:r>
          </w:p>
        </w:tc>
        <w:tc>
          <w:tcPr>
            <w:tcW w:w="1250" w:type="pct"/>
            <w:tcBorders>
              <w:tl2br w:val="nil"/>
              <w:tr2bl w:val="nil"/>
            </w:tcBorders>
            <w:vAlign w:val="center"/>
          </w:tcPr>
          <w:p w14:paraId="6246CF2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lang w:val="en-US" w:eastAsia="zh-CN"/>
              </w:rPr>
              <w:t>1</w:t>
            </w:r>
          </w:p>
        </w:tc>
      </w:tr>
      <w:tr w14:paraId="5212003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15" w:type="pct"/>
            <w:tcBorders>
              <w:tl2br w:val="nil"/>
              <w:tr2bl w:val="nil"/>
            </w:tcBorders>
            <w:vAlign w:val="center"/>
          </w:tcPr>
          <w:p w14:paraId="4FF52F8A">
            <w:pPr>
              <w:pStyle w:val="7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5</w:t>
            </w:r>
          </w:p>
        </w:tc>
        <w:tc>
          <w:tcPr>
            <w:tcW w:w="1583" w:type="pct"/>
            <w:tcBorders>
              <w:tl2br w:val="nil"/>
              <w:tr2bl w:val="nil"/>
            </w:tcBorders>
            <w:vAlign w:val="center"/>
          </w:tcPr>
          <w:p w14:paraId="7C751B69">
            <w:pPr>
              <w:pStyle w:val="7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链条式拉拔机</w:t>
            </w:r>
          </w:p>
        </w:tc>
        <w:tc>
          <w:tcPr>
            <w:tcW w:w="1250" w:type="pct"/>
            <w:tcBorders>
              <w:tl2br w:val="nil"/>
              <w:tr2bl w:val="nil"/>
            </w:tcBorders>
            <w:vAlign w:val="center"/>
          </w:tcPr>
          <w:p w14:paraId="0D144C3B">
            <w:pPr>
              <w:pStyle w:val="7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10吨</w:t>
            </w:r>
          </w:p>
        </w:tc>
        <w:tc>
          <w:tcPr>
            <w:tcW w:w="1250" w:type="pct"/>
            <w:tcBorders>
              <w:tl2br w:val="nil"/>
              <w:tr2bl w:val="nil"/>
            </w:tcBorders>
            <w:vAlign w:val="center"/>
          </w:tcPr>
          <w:p w14:paraId="2811451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lang w:val="en-US" w:eastAsia="zh-CN"/>
              </w:rPr>
              <w:t>1</w:t>
            </w:r>
          </w:p>
        </w:tc>
      </w:tr>
      <w:tr w14:paraId="7451739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15" w:type="pct"/>
            <w:tcBorders>
              <w:tl2br w:val="nil"/>
              <w:tr2bl w:val="nil"/>
            </w:tcBorders>
            <w:vAlign w:val="center"/>
          </w:tcPr>
          <w:p w14:paraId="7C839468">
            <w:pPr>
              <w:pStyle w:val="7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6</w:t>
            </w:r>
          </w:p>
        </w:tc>
        <w:tc>
          <w:tcPr>
            <w:tcW w:w="1583" w:type="pct"/>
            <w:tcBorders>
              <w:tl2br w:val="nil"/>
              <w:tr2bl w:val="nil"/>
            </w:tcBorders>
            <w:vAlign w:val="center"/>
          </w:tcPr>
          <w:p w14:paraId="7385819B">
            <w:pPr>
              <w:pStyle w:val="7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链条式拉拔机</w:t>
            </w:r>
          </w:p>
        </w:tc>
        <w:tc>
          <w:tcPr>
            <w:tcW w:w="1250" w:type="pct"/>
            <w:tcBorders>
              <w:tl2br w:val="nil"/>
              <w:tr2bl w:val="nil"/>
            </w:tcBorders>
            <w:vAlign w:val="center"/>
          </w:tcPr>
          <w:p w14:paraId="6D8CE28C">
            <w:pPr>
              <w:pStyle w:val="7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30吨</w:t>
            </w:r>
          </w:p>
        </w:tc>
        <w:tc>
          <w:tcPr>
            <w:tcW w:w="1250" w:type="pct"/>
            <w:tcBorders>
              <w:tl2br w:val="nil"/>
              <w:tr2bl w:val="nil"/>
            </w:tcBorders>
            <w:vAlign w:val="center"/>
          </w:tcPr>
          <w:p w14:paraId="1A4B23F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lang w:val="en-US" w:eastAsia="zh-CN"/>
              </w:rPr>
              <w:t>1</w:t>
            </w:r>
          </w:p>
        </w:tc>
      </w:tr>
      <w:tr w14:paraId="217CBCA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15" w:type="pct"/>
            <w:tcBorders>
              <w:tl2br w:val="nil"/>
              <w:tr2bl w:val="nil"/>
            </w:tcBorders>
            <w:vAlign w:val="center"/>
          </w:tcPr>
          <w:p w14:paraId="23771C97">
            <w:pPr>
              <w:pStyle w:val="7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7</w:t>
            </w:r>
          </w:p>
        </w:tc>
        <w:tc>
          <w:tcPr>
            <w:tcW w:w="1583" w:type="pct"/>
            <w:tcBorders>
              <w:tl2br w:val="nil"/>
              <w:tr2bl w:val="nil"/>
            </w:tcBorders>
            <w:vAlign w:val="center"/>
          </w:tcPr>
          <w:p w14:paraId="75947355">
            <w:pPr>
              <w:pStyle w:val="7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空气锤</w:t>
            </w:r>
          </w:p>
        </w:tc>
        <w:tc>
          <w:tcPr>
            <w:tcW w:w="1250" w:type="pct"/>
            <w:tcBorders>
              <w:tl2br w:val="nil"/>
              <w:tr2bl w:val="nil"/>
            </w:tcBorders>
            <w:vAlign w:val="center"/>
          </w:tcPr>
          <w:p w14:paraId="03261CAC">
            <w:pPr>
              <w:pStyle w:val="7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C41-150</w:t>
            </w:r>
          </w:p>
        </w:tc>
        <w:tc>
          <w:tcPr>
            <w:tcW w:w="1250" w:type="pct"/>
            <w:tcBorders>
              <w:tl2br w:val="nil"/>
              <w:tr2bl w:val="nil"/>
            </w:tcBorders>
            <w:vAlign w:val="center"/>
          </w:tcPr>
          <w:p w14:paraId="52BB2B3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lang w:val="en-US" w:eastAsia="zh-CN"/>
              </w:rPr>
              <w:t>1</w:t>
            </w:r>
          </w:p>
        </w:tc>
      </w:tr>
      <w:tr w14:paraId="2B36FA0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15" w:type="pct"/>
            <w:tcBorders>
              <w:tl2br w:val="nil"/>
              <w:tr2bl w:val="nil"/>
            </w:tcBorders>
            <w:vAlign w:val="center"/>
          </w:tcPr>
          <w:p w14:paraId="59556A53">
            <w:pPr>
              <w:pStyle w:val="7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8</w:t>
            </w:r>
          </w:p>
        </w:tc>
        <w:tc>
          <w:tcPr>
            <w:tcW w:w="1583" w:type="pct"/>
            <w:tcBorders>
              <w:tl2br w:val="nil"/>
              <w:tr2bl w:val="nil"/>
            </w:tcBorders>
            <w:vAlign w:val="center"/>
          </w:tcPr>
          <w:p w14:paraId="61460CF7">
            <w:pPr>
              <w:pStyle w:val="7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七辊矫直机</w:t>
            </w:r>
          </w:p>
        </w:tc>
        <w:tc>
          <w:tcPr>
            <w:tcW w:w="1250" w:type="pct"/>
            <w:tcBorders>
              <w:tl2br w:val="nil"/>
              <w:tr2bl w:val="nil"/>
            </w:tcBorders>
            <w:vAlign w:val="center"/>
          </w:tcPr>
          <w:p w14:paraId="19C39C15">
            <w:pPr>
              <w:pStyle w:val="7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J0082-814</w:t>
            </w:r>
          </w:p>
        </w:tc>
        <w:tc>
          <w:tcPr>
            <w:tcW w:w="1250" w:type="pct"/>
            <w:tcBorders>
              <w:tl2br w:val="nil"/>
              <w:tr2bl w:val="nil"/>
            </w:tcBorders>
            <w:vAlign w:val="center"/>
          </w:tcPr>
          <w:p w14:paraId="6CD8896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lang w:val="en-US" w:eastAsia="zh-CN"/>
              </w:rPr>
              <w:t>1</w:t>
            </w:r>
          </w:p>
        </w:tc>
      </w:tr>
      <w:tr w14:paraId="6701CB8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15" w:type="pct"/>
            <w:tcBorders>
              <w:tl2br w:val="nil"/>
              <w:tr2bl w:val="nil"/>
            </w:tcBorders>
            <w:vAlign w:val="center"/>
          </w:tcPr>
          <w:p w14:paraId="3CC5D2A3">
            <w:pPr>
              <w:pStyle w:val="7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9</w:t>
            </w:r>
          </w:p>
        </w:tc>
        <w:tc>
          <w:tcPr>
            <w:tcW w:w="1583" w:type="pct"/>
            <w:tcBorders>
              <w:tl2br w:val="nil"/>
              <w:tr2bl w:val="nil"/>
            </w:tcBorders>
            <w:vAlign w:val="center"/>
          </w:tcPr>
          <w:p w14:paraId="00EBFAA5">
            <w:pPr>
              <w:pStyle w:val="7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电力变压器</w:t>
            </w:r>
          </w:p>
        </w:tc>
        <w:tc>
          <w:tcPr>
            <w:tcW w:w="1250" w:type="pct"/>
            <w:tcBorders>
              <w:tl2br w:val="nil"/>
              <w:tr2bl w:val="nil"/>
            </w:tcBorders>
            <w:vAlign w:val="center"/>
          </w:tcPr>
          <w:p w14:paraId="3F11B63B">
            <w:pPr>
              <w:pStyle w:val="7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S13-M-500</w:t>
            </w:r>
          </w:p>
        </w:tc>
        <w:tc>
          <w:tcPr>
            <w:tcW w:w="1250" w:type="pct"/>
            <w:tcBorders>
              <w:tl2br w:val="nil"/>
              <w:tr2bl w:val="nil"/>
            </w:tcBorders>
            <w:vAlign w:val="center"/>
          </w:tcPr>
          <w:p w14:paraId="6523120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lang w:val="en-US" w:eastAsia="zh-CN"/>
              </w:rPr>
              <w:t>1</w:t>
            </w:r>
          </w:p>
        </w:tc>
      </w:tr>
      <w:tr w14:paraId="1A71AF8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15" w:type="pct"/>
            <w:tcBorders>
              <w:tl2br w:val="nil"/>
              <w:tr2bl w:val="nil"/>
            </w:tcBorders>
            <w:vAlign w:val="center"/>
          </w:tcPr>
          <w:p w14:paraId="793F0D56">
            <w:pPr>
              <w:pStyle w:val="7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10</w:t>
            </w:r>
          </w:p>
        </w:tc>
        <w:tc>
          <w:tcPr>
            <w:tcW w:w="1583" w:type="pct"/>
            <w:tcBorders>
              <w:tl2br w:val="nil"/>
              <w:tr2bl w:val="nil"/>
            </w:tcBorders>
            <w:vAlign w:val="center"/>
          </w:tcPr>
          <w:p w14:paraId="521AD179">
            <w:pPr>
              <w:pStyle w:val="7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移动式升降台</w:t>
            </w:r>
          </w:p>
        </w:tc>
        <w:tc>
          <w:tcPr>
            <w:tcW w:w="1250" w:type="pct"/>
            <w:tcBorders>
              <w:tl2br w:val="nil"/>
              <w:tr2bl w:val="nil"/>
            </w:tcBorders>
            <w:vAlign w:val="center"/>
          </w:tcPr>
          <w:p w14:paraId="79D31092">
            <w:pPr>
              <w:pStyle w:val="7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SJYU5-10</w:t>
            </w:r>
          </w:p>
        </w:tc>
        <w:tc>
          <w:tcPr>
            <w:tcW w:w="1250" w:type="pct"/>
            <w:tcBorders>
              <w:tl2br w:val="nil"/>
              <w:tr2bl w:val="nil"/>
            </w:tcBorders>
            <w:vAlign w:val="center"/>
          </w:tcPr>
          <w:p w14:paraId="7922D05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lang w:val="en-US" w:eastAsia="zh-CN"/>
              </w:rPr>
              <w:t>1</w:t>
            </w:r>
          </w:p>
        </w:tc>
      </w:tr>
      <w:tr w14:paraId="0FB0FC3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15" w:type="pct"/>
            <w:tcBorders>
              <w:tl2br w:val="nil"/>
              <w:tr2bl w:val="nil"/>
            </w:tcBorders>
            <w:vAlign w:val="center"/>
          </w:tcPr>
          <w:p w14:paraId="2E54EA54">
            <w:pPr>
              <w:pStyle w:val="7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11</w:t>
            </w:r>
          </w:p>
        </w:tc>
        <w:tc>
          <w:tcPr>
            <w:tcW w:w="1583" w:type="pct"/>
            <w:tcBorders>
              <w:tl2br w:val="nil"/>
              <w:tr2bl w:val="nil"/>
            </w:tcBorders>
            <w:vAlign w:val="center"/>
          </w:tcPr>
          <w:p w14:paraId="42F56BD3">
            <w:pPr>
              <w:pStyle w:val="7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低压控制柜</w:t>
            </w:r>
          </w:p>
        </w:tc>
        <w:tc>
          <w:tcPr>
            <w:tcW w:w="1250" w:type="pct"/>
            <w:tcBorders>
              <w:tl2br w:val="nil"/>
              <w:tr2bl w:val="nil"/>
            </w:tcBorders>
            <w:vAlign w:val="center"/>
          </w:tcPr>
          <w:p w14:paraId="020A029C">
            <w:pPr>
              <w:pStyle w:val="7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lang w:val="en-US" w:eastAsia="zh-CN"/>
              </w:rPr>
            </w:pPr>
          </w:p>
        </w:tc>
        <w:tc>
          <w:tcPr>
            <w:tcW w:w="1250" w:type="pct"/>
            <w:tcBorders>
              <w:tl2br w:val="nil"/>
              <w:tr2bl w:val="nil"/>
            </w:tcBorders>
            <w:vAlign w:val="center"/>
          </w:tcPr>
          <w:p w14:paraId="4598EBE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lang w:val="en-US" w:eastAsia="zh-CN"/>
              </w:rPr>
              <w:t>1</w:t>
            </w:r>
          </w:p>
        </w:tc>
      </w:tr>
      <w:tr w14:paraId="71EF9E8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15" w:type="pct"/>
            <w:tcBorders>
              <w:tl2br w:val="nil"/>
              <w:tr2bl w:val="nil"/>
            </w:tcBorders>
            <w:vAlign w:val="center"/>
          </w:tcPr>
          <w:p w14:paraId="1A3752B2">
            <w:pPr>
              <w:pStyle w:val="7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12</w:t>
            </w:r>
          </w:p>
        </w:tc>
        <w:tc>
          <w:tcPr>
            <w:tcW w:w="1583" w:type="pct"/>
            <w:tcBorders>
              <w:tl2br w:val="nil"/>
              <w:tr2bl w:val="nil"/>
            </w:tcBorders>
            <w:vAlign w:val="center"/>
          </w:tcPr>
          <w:p w14:paraId="4FE84395">
            <w:pPr>
              <w:pStyle w:val="7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5t起重机</w:t>
            </w:r>
          </w:p>
        </w:tc>
        <w:tc>
          <w:tcPr>
            <w:tcW w:w="1250" w:type="pct"/>
            <w:tcBorders>
              <w:tl2br w:val="nil"/>
              <w:tr2bl w:val="nil"/>
            </w:tcBorders>
            <w:vAlign w:val="center"/>
          </w:tcPr>
          <w:p w14:paraId="2B1007E8">
            <w:pPr>
              <w:pStyle w:val="7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LD5</w:t>
            </w:r>
          </w:p>
        </w:tc>
        <w:tc>
          <w:tcPr>
            <w:tcW w:w="1250" w:type="pct"/>
            <w:tcBorders>
              <w:tl2br w:val="nil"/>
              <w:tr2bl w:val="nil"/>
            </w:tcBorders>
            <w:vAlign w:val="center"/>
          </w:tcPr>
          <w:p w14:paraId="1168A719">
            <w:pPr>
              <w:pStyle w:val="7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w:t>
            </w:r>
          </w:p>
        </w:tc>
      </w:tr>
      <w:tr w14:paraId="55326B7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15" w:type="pct"/>
            <w:tcBorders>
              <w:tl2br w:val="nil"/>
              <w:tr2bl w:val="nil"/>
            </w:tcBorders>
            <w:vAlign w:val="center"/>
          </w:tcPr>
          <w:p w14:paraId="3E61E02E">
            <w:pPr>
              <w:pStyle w:val="7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13</w:t>
            </w:r>
          </w:p>
        </w:tc>
        <w:tc>
          <w:tcPr>
            <w:tcW w:w="1583" w:type="pct"/>
            <w:tcBorders>
              <w:tl2br w:val="nil"/>
              <w:tr2bl w:val="nil"/>
            </w:tcBorders>
            <w:vAlign w:val="center"/>
          </w:tcPr>
          <w:p w14:paraId="52057421">
            <w:pPr>
              <w:pStyle w:val="7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10t起重机</w:t>
            </w:r>
          </w:p>
        </w:tc>
        <w:tc>
          <w:tcPr>
            <w:tcW w:w="1250" w:type="pct"/>
            <w:tcBorders>
              <w:tl2br w:val="nil"/>
              <w:tr2bl w:val="nil"/>
            </w:tcBorders>
            <w:vAlign w:val="center"/>
          </w:tcPr>
          <w:p w14:paraId="3A8B899E">
            <w:pPr>
              <w:pStyle w:val="7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LD10</w:t>
            </w:r>
          </w:p>
        </w:tc>
        <w:tc>
          <w:tcPr>
            <w:tcW w:w="1250" w:type="pct"/>
            <w:tcBorders>
              <w:tl2br w:val="nil"/>
              <w:tr2bl w:val="nil"/>
            </w:tcBorders>
            <w:vAlign w:val="center"/>
          </w:tcPr>
          <w:p w14:paraId="0E7FED62">
            <w:pPr>
              <w:pStyle w:val="7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lang w:val="en-US" w:eastAsia="zh-CN"/>
              </w:rPr>
              <w:t>1</w:t>
            </w:r>
          </w:p>
        </w:tc>
      </w:tr>
    </w:tbl>
    <w:p w14:paraId="2124087B">
      <w:pPr>
        <w:pStyle w:val="72"/>
      </w:pPr>
    </w:p>
    <w:p w14:paraId="46B01EFE">
      <w:pPr>
        <w:pStyle w:val="3"/>
        <w:ind w:firstLine="31680"/>
        <w:rPr>
          <w:rFonts w:cs="Times New Roman"/>
          <w:color w:val="auto"/>
          <w:highlight w:val="none"/>
        </w:rPr>
      </w:pPr>
      <w:bookmarkStart w:id="224" w:name="_Toc417397326"/>
      <w:bookmarkStart w:id="225" w:name="_Toc339293049"/>
      <w:bookmarkStart w:id="226" w:name="_Toc459139117"/>
      <w:bookmarkStart w:id="227" w:name="_Toc22099"/>
      <w:bookmarkStart w:id="228" w:name="_Toc339579025"/>
      <w:bookmarkStart w:id="229" w:name="_Toc440894877"/>
      <w:bookmarkStart w:id="230" w:name="_Toc341191318"/>
      <w:bookmarkStart w:id="231" w:name="_Toc339225688"/>
      <w:bookmarkStart w:id="232" w:name="_Toc417372285"/>
      <w:bookmarkStart w:id="233" w:name="_Toc441127456"/>
      <w:bookmarkStart w:id="234" w:name="_Toc339808176"/>
      <w:bookmarkStart w:id="235" w:name="_Toc421639298"/>
      <w:bookmarkStart w:id="236" w:name="_Toc441219500"/>
      <w:bookmarkStart w:id="237" w:name="_Toc313527728"/>
      <w:bookmarkStart w:id="238" w:name="_Toc417116936"/>
      <w:bookmarkStart w:id="239" w:name="_Toc340003262"/>
      <w:bookmarkStart w:id="240" w:name="_Toc459817848"/>
      <w:bookmarkStart w:id="241" w:name="_Toc339804548"/>
      <w:bookmarkStart w:id="242" w:name="_Toc415839120"/>
      <w:bookmarkStart w:id="243" w:name="_Toc441690020"/>
      <w:bookmarkStart w:id="244" w:name="_Toc441688141"/>
      <w:bookmarkStart w:id="245" w:name="_Toc441158731"/>
      <w:bookmarkStart w:id="246" w:name="_Toc339579151"/>
      <w:bookmarkStart w:id="247" w:name="_Toc415837216"/>
      <w:bookmarkStart w:id="248" w:name="_Toc417314689"/>
      <w:bookmarkStart w:id="249" w:name="_Toc3703"/>
      <w:bookmarkStart w:id="250" w:name="_Toc459303581"/>
      <w:bookmarkStart w:id="251" w:name="_Toc341102007"/>
      <w:bookmarkStart w:id="252" w:name="_Toc28605"/>
      <w:bookmarkStart w:id="253" w:name="_Toc417890787"/>
      <w:r>
        <w:rPr>
          <w:rFonts w:hint="eastAsia"/>
          <w:color w:val="auto"/>
          <w:highlight w:val="none"/>
          <w:lang w:val="en-US" w:eastAsia="zh-CN"/>
        </w:rPr>
        <w:t>3</w:t>
      </w:r>
      <w:r>
        <w:rPr>
          <w:color w:val="auto"/>
          <w:highlight w:val="none"/>
        </w:rPr>
        <w:t>.5</w:t>
      </w:r>
      <w:r>
        <w:rPr>
          <w:rFonts w:hint="eastAsia" w:cs="宋体"/>
          <w:color w:val="auto"/>
          <w:highlight w:val="none"/>
        </w:rPr>
        <w:t>生产工艺流程说明</w:t>
      </w:r>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p>
    <w:p w14:paraId="33827EFF">
      <w:pPr>
        <w:pStyle w:val="5"/>
        <w:ind w:firstLine="31680"/>
        <w:rPr>
          <w:rFonts w:cs="Times New Roman"/>
          <w:color w:val="auto"/>
          <w:highlight w:val="none"/>
        </w:rPr>
      </w:pPr>
      <w:bookmarkStart w:id="254" w:name="_Toc15693"/>
      <w:bookmarkStart w:id="255" w:name="_Toc11802"/>
      <w:r>
        <w:rPr>
          <w:rFonts w:hint="eastAsia"/>
          <w:color w:val="auto"/>
          <w:highlight w:val="none"/>
          <w:lang w:val="en-US" w:eastAsia="zh-CN"/>
        </w:rPr>
        <w:t>3</w:t>
      </w:r>
      <w:r>
        <w:rPr>
          <w:color w:val="auto"/>
          <w:highlight w:val="none"/>
        </w:rPr>
        <w:t>.5.1</w:t>
      </w:r>
      <w:r>
        <w:rPr>
          <w:rFonts w:hint="eastAsia" w:cs="宋体"/>
          <w:color w:val="auto"/>
          <w:highlight w:val="none"/>
        </w:rPr>
        <w:t>生产工艺流程及产污环节</w:t>
      </w:r>
      <w:bookmarkEnd w:id="254"/>
      <w:bookmarkEnd w:id="255"/>
    </w:p>
    <w:p w14:paraId="39D787BD">
      <w:pPr>
        <w:ind w:firstLine="31680"/>
        <w:rPr>
          <w:rFonts w:ascii="Times New Roman" w:hAnsi="Times New Roman" w:cs="Times New Roman"/>
          <w:color w:val="auto"/>
          <w:highlight w:val="none"/>
        </w:rPr>
      </w:pPr>
      <w:r>
        <w:rPr>
          <w:rFonts w:hint="eastAsia" w:ascii="Times New Roman" w:hAnsi="Times New Roman" w:cs="宋体"/>
          <w:color w:val="auto"/>
          <w:highlight w:val="none"/>
        </w:rPr>
        <w:t>现有工程生产工艺流程及污染物产生环节见图</w:t>
      </w:r>
      <w:r>
        <w:rPr>
          <w:rFonts w:hint="eastAsia" w:cs="Times New Roman"/>
          <w:color w:val="auto"/>
          <w:highlight w:val="none"/>
          <w:lang w:val="en-US" w:eastAsia="zh-CN"/>
        </w:rPr>
        <w:t>2</w:t>
      </w:r>
      <w:r>
        <w:rPr>
          <w:rFonts w:ascii="Times New Roman" w:hAnsi="Times New Roman" w:cs="Times New Roman"/>
          <w:color w:val="auto"/>
          <w:highlight w:val="none"/>
        </w:rPr>
        <w:t>-1</w:t>
      </w:r>
      <w:r>
        <w:rPr>
          <w:rFonts w:hint="eastAsia" w:ascii="Times New Roman" w:hAnsi="Times New Roman" w:cs="宋体"/>
          <w:color w:val="auto"/>
          <w:highlight w:val="none"/>
        </w:rPr>
        <w:t>。</w:t>
      </w:r>
    </w:p>
    <w:p w14:paraId="7273E974">
      <w:pPr>
        <w:ind w:firstLine="31680"/>
        <w:rPr>
          <w:rFonts w:hint="eastAsia" w:ascii="Times New Roman" w:hAnsi="Times New Roman" w:eastAsia="宋体" w:cs="Times New Roman"/>
          <w:color w:val="auto"/>
          <w:highlight w:val="none"/>
          <w:lang w:eastAsia="zh-CN"/>
        </w:rPr>
      </w:pPr>
      <w:r>
        <w:rPr>
          <w:rFonts w:hint="eastAsia" w:ascii="Times New Roman" w:hAnsi="Times New Roman" w:eastAsia="宋体" w:cs="Times New Roman"/>
          <w:color w:val="auto"/>
          <w:highlight w:val="none"/>
          <w:lang w:eastAsia="zh-CN"/>
        </w:rPr>
        <w:drawing>
          <wp:inline distT="0" distB="0" distL="114300" distR="114300">
            <wp:extent cx="5264785" cy="1904365"/>
            <wp:effectExtent l="0" t="0" r="12065" b="635"/>
            <wp:docPr id="7" name="图片 7" descr="13231240668842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13231240668842950"/>
                    <pic:cNvPicPr>
                      <a:picLocks noChangeAspect="1"/>
                    </pic:cNvPicPr>
                  </pic:nvPicPr>
                  <pic:blipFill>
                    <a:blip r:embed="rId20"/>
                    <a:stretch>
                      <a:fillRect/>
                    </a:stretch>
                  </pic:blipFill>
                  <pic:spPr>
                    <a:xfrm>
                      <a:off x="0" y="0"/>
                      <a:ext cx="5264785" cy="1904365"/>
                    </a:xfrm>
                    <a:prstGeom prst="rect">
                      <a:avLst/>
                    </a:prstGeom>
                  </pic:spPr>
                </pic:pic>
              </a:graphicData>
            </a:graphic>
          </wp:inline>
        </w:drawing>
      </w:r>
    </w:p>
    <w:p w14:paraId="77718D80">
      <w:pPr>
        <w:ind w:firstLine="31680"/>
        <w:jc w:val="center"/>
        <w:rPr>
          <w:rFonts w:ascii="黑体" w:hAnsi="黑体" w:eastAsia="黑体" w:cs="Times New Roman"/>
          <w:color w:val="auto"/>
          <w:sz w:val="21"/>
          <w:szCs w:val="21"/>
          <w:highlight w:val="none"/>
        </w:rPr>
      </w:pPr>
      <w:r>
        <w:rPr>
          <w:rFonts w:hint="eastAsia" w:ascii="黑体" w:hAnsi="黑体" w:eastAsia="黑体" w:cs="黑体"/>
          <w:color w:val="auto"/>
          <w:sz w:val="21"/>
          <w:szCs w:val="21"/>
          <w:highlight w:val="none"/>
        </w:rPr>
        <w:t>图</w:t>
      </w:r>
      <w:r>
        <w:rPr>
          <w:rFonts w:hint="eastAsia" w:ascii="黑体" w:hAnsi="黑体" w:eastAsia="黑体" w:cs="黑体"/>
          <w:color w:val="auto"/>
          <w:sz w:val="21"/>
          <w:szCs w:val="21"/>
          <w:highlight w:val="none"/>
          <w:lang w:val="en-US" w:eastAsia="zh-CN"/>
        </w:rPr>
        <w:t>3</w:t>
      </w:r>
      <w:r>
        <w:rPr>
          <w:rFonts w:ascii="黑体" w:hAnsi="黑体" w:eastAsia="黑体" w:cs="黑体"/>
          <w:color w:val="auto"/>
          <w:sz w:val="21"/>
          <w:szCs w:val="21"/>
          <w:highlight w:val="none"/>
        </w:rPr>
        <w:t>-1</w:t>
      </w:r>
      <w:r>
        <w:rPr>
          <w:rFonts w:hint="eastAsia" w:ascii="黑体" w:hAnsi="黑体" w:eastAsia="黑体" w:cs="黑体"/>
          <w:color w:val="auto"/>
          <w:sz w:val="21"/>
          <w:szCs w:val="21"/>
          <w:highlight w:val="none"/>
        </w:rPr>
        <w:t>工艺流程及产污环节图</w:t>
      </w:r>
    </w:p>
    <w:p w14:paraId="765AEC3F">
      <w:pPr>
        <w:pStyle w:val="5"/>
        <w:ind w:firstLine="31680"/>
        <w:rPr>
          <w:rFonts w:cs="Times New Roman"/>
          <w:color w:val="auto"/>
          <w:highlight w:val="none"/>
        </w:rPr>
      </w:pPr>
      <w:bookmarkStart w:id="256" w:name="_Toc18058"/>
      <w:bookmarkStart w:id="257" w:name="_Toc6508"/>
      <w:r>
        <w:rPr>
          <w:rFonts w:hint="eastAsia"/>
          <w:color w:val="auto"/>
          <w:highlight w:val="none"/>
          <w:lang w:val="en-US" w:eastAsia="zh-CN"/>
        </w:rPr>
        <w:t>3</w:t>
      </w:r>
      <w:r>
        <w:rPr>
          <w:color w:val="auto"/>
          <w:highlight w:val="none"/>
        </w:rPr>
        <w:t>.5.2</w:t>
      </w:r>
      <w:r>
        <w:rPr>
          <w:rFonts w:hint="eastAsia" w:cs="宋体"/>
          <w:color w:val="auto"/>
          <w:highlight w:val="none"/>
        </w:rPr>
        <w:t>生产工艺流程简述</w:t>
      </w:r>
      <w:bookmarkEnd w:id="256"/>
      <w:bookmarkEnd w:id="257"/>
    </w:p>
    <w:p w14:paraId="12877DC4">
      <w:pPr>
        <w:bidi w:val="0"/>
        <w:rPr>
          <w:rFonts w:hint="eastAsia"/>
          <w:lang w:val="en-US" w:eastAsia="zh-CN"/>
        </w:rPr>
      </w:pPr>
      <w:bookmarkStart w:id="258" w:name="_Toc441688142"/>
      <w:bookmarkStart w:id="259" w:name="_Toc339804550"/>
      <w:bookmarkStart w:id="260" w:name="_Toc459817849"/>
      <w:bookmarkStart w:id="261" w:name="_Toc440894878"/>
      <w:bookmarkStart w:id="262" w:name="_Toc441127457"/>
      <w:bookmarkStart w:id="263" w:name="_Toc339579027"/>
      <w:bookmarkStart w:id="264" w:name="_Toc459303582"/>
      <w:bookmarkStart w:id="265" w:name="_Toc339579153"/>
      <w:bookmarkStart w:id="266" w:name="_Toc341191320"/>
      <w:bookmarkStart w:id="267" w:name="_Toc441158732"/>
      <w:bookmarkStart w:id="268" w:name="_Toc341102009"/>
      <w:bookmarkStart w:id="269" w:name="_Toc417116937"/>
      <w:bookmarkStart w:id="270" w:name="_Toc340003264"/>
      <w:bookmarkStart w:id="271" w:name="_Toc421639299"/>
      <w:bookmarkStart w:id="272" w:name="_Toc339293051"/>
      <w:bookmarkStart w:id="273" w:name="_Toc415839121"/>
      <w:bookmarkStart w:id="274" w:name="_Toc417397327"/>
      <w:bookmarkStart w:id="275" w:name="_Toc417314690"/>
      <w:bookmarkStart w:id="276" w:name="_Toc415837217"/>
      <w:bookmarkStart w:id="277" w:name="_Toc459139118"/>
      <w:bookmarkStart w:id="278" w:name="_Toc339225690"/>
      <w:bookmarkStart w:id="279" w:name="_Toc441219501"/>
      <w:bookmarkStart w:id="280" w:name="_Toc339808178"/>
      <w:bookmarkStart w:id="281" w:name="_Toc441690021"/>
      <w:bookmarkStart w:id="282" w:name="_Toc417372286"/>
      <w:bookmarkStart w:id="283" w:name="_Toc313527730"/>
      <w:bookmarkStart w:id="284" w:name="_Toc417890788"/>
      <w:r>
        <w:rPr>
          <w:rFonts w:hint="eastAsia"/>
          <w:lang w:val="zh-CN"/>
        </w:rPr>
        <w:t>熔炼：原料电解铜入</w:t>
      </w:r>
      <w:r>
        <w:rPr>
          <w:rFonts w:hint="eastAsia"/>
          <w:lang w:val="en-US" w:eastAsia="zh-CN"/>
        </w:rPr>
        <w:t>5000吨无氧工频炉熔化成铜液，铜液表面用木炭、石墨鳞片覆盖，以达到与空气隔绝的状态，并起到脱氧作用，该过程会产生一定量的CO、CO2气体等。将结晶器插入铜液面下200mm，利用液面差原理使铜液流入结晶器。结晶器采用铜制外循环冷却，使铜液凝固通过引拔机，拔出20或17的铜杆，整个生产过程无排放，采用循环水冷却。</w:t>
      </w:r>
    </w:p>
    <w:p w14:paraId="5B7E9B5F">
      <w:pPr>
        <w:bidi w:val="0"/>
        <w:rPr>
          <w:rFonts w:hint="eastAsia"/>
          <w:lang w:val="en-US" w:eastAsia="zh-CN"/>
        </w:rPr>
      </w:pPr>
      <w:r>
        <w:rPr>
          <w:rFonts w:hint="eastAsia"/>
          <w:lang w:val="en-US" w:eastAsia="zh-CN"/>
        </w:rPr>
        <w:t>挤压：用连续挤压设备，原理采用物理三项摩擦法，使原料在温度500摄氏度作用、半流质状态挤压成型，同时采用水封闭脱氧，挤制出各种型号铜母线胚料。</w:t>
      </w:r>
    </w:p>
    <w:p w14:paraId="126C06D9">
      <w:pPr>
        <w:bidi w:val="0"/>
        <w:rPr>
          <w:rFonts w:hint="default" w:cs="Times New Roman"/>
          <w:color w:val="auto"/>
          <w:highlight w:val="none"/>
          <w:lang w:val="en-US" w:eastAsia="zh-CN"/>
        </w:rPr>
      </w:pPr>
      <w:r>
        <w:rPr>
          <w:rFonts w:hint="eastAsia"/>
          <w:lang w:val="en-US" w:eastAsia="zh-CN"/>
        </w:rPr>
        <w:t>拉伸与检定：用50t液压拉拔机将各型号铜母线胚料通过冷拉成型，进行矫直后定尺生产出成品。</w:t>
      </w:r>
    </w:p>
    <w:p w14:paraId="7A76DDCB">
      <w:pPr>
        <w:pStyle w:val="3"/>
        <w:bidi w:val="0"/>
      </w:pPr>
      <w:bookmarkStart w:id="285" w:name="_Toc12011"/>
      <w:bookmarkStart w:id="286" w:name="_Toc28572"/>
      <w:bookmarkStart w:id="287" w:name="_Toc18468"/>
      <w:r>
        <w:rPr>
          <w:rFonts w:hint="eastAsia"/>
          <w:lang w:val="en-US" w:eastAsia="zh-CN"/>
        </w:rPr>
        <w:t>3</w:t>
      </w:r>
      <w:r>
        <w:t>.</w:t>
      </w:r>
      <w:r>
        <w:rPr>
          <w:rFonts w:hint="eastAsia"/>
          <w:lang w:val="en-US" w:eastAsia="zh-CN"/>
        </w:rPr>
        <w:t>6</w:t>
      </w:r>
      <w:r>
        <w:rPr>
          <w:rFonts w:hint="eastAsia"/>
        </w:rPr>
        <w:t>环境影响回顾性评价</w:t>
      </w:r>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p>
    <w:p w14:paraId="5992AC5A">
      <w:pPr>
        <w:ind w:firstLine="31680"/>
        <w:rPr>
          <w:rFonts w:cs="Times New Roman"/>
          <w:color w:val="auto"/>
          <w:highlight w:val="none"/>
        </w:rPr>
      </w:pPr>
      <w:r>
        <w:rPr>
          <w:rFonts w:hint="eastAsia"/>
          <w:lang w:eastAsia="zh-CN"/>
        </w:rPr>
        <w:t>企业于</w:t>
      </w:r>
      <w:r>
        <w:rPr>
          <w:rFonts w:hint="eastAsia"/>
          <w:lang w:val="en-US" w:eastAsia="zh-CN"/>
        </w:rPr>
        <w:t>2016年3月委托北京华夏博信环境咨询有限公司编制《</w:t>
      </w:r>
      <w:r>
        <w:rPr>
          <w:rFonts w:hint="eastAsia"/>
          <w:lang w:eastAsia="zh-CN"/>
        </w:rPr>
        <w:t>本溪佰汇铜业有限公司采用先进连续挤压生产工艺项目环境影响报告表</w:t>
      </w:r>
      <w:r>
        <w:rPr>
          <w:rFonts w:hint="eastAsia"/>
          <w:lang w:val="en-US" w:eastAsia="zh-CN"/>
        </w:rPr>
        <w:t>》，本溪市溪湖区环境保护局于2016年4月7日出具“关于</w:t>
      </w:r>
      <w:r>
        <w:rPr>
          <w:rFonts w:hint="eastAsia"/>
          <w:lang w:eastAsia="zh-CN"/>
        </w:rPr>
        <w:t>本溪佰汇铜业有限公司采用先进连续挤压生产工艺项目环境影响报告表的批复（溪环建字</w:t>
      </w:r>
      <w:r>
        <w:rPr>
          <w:rFonts w:hint="eastAsia"/>
          <w:lang w:val="en-US" w:eastAsia="zh-CN"/>
        </w:rPr>
        <w:t>[2016]04号</w:t>
      </w:r>
      <w:r>
        <w:rPr>
          <w:rFonts w:hint="eastAsia"/>
          <w:lang w:eastAsia="zh-CN"/>
        </w:rPr>
        <w:t>）</w:t>
      </w:r>
      <w:r>
        <w:rPr>
          <w:rFonts w:hint="eastAsia"/>
          <w:lang w:val="en-US" w:eastAsia="zh-CN"/>
        </w:rPr>
        <w:t>”</w:t>
      </w:r>
      <w:r>
        <w:rPr>
          <w:rFonts w:hint="eastAsia" w:cs="宋体"/>
          <w:color w:val="auto"/>
          <w:highlight w:val="none"/>
        </w:rPr>
        <w:t>，批复文件提出以下要求：</w:t>
      </w:r>
    </w:p>
    <w:p w14:paraId="2D4E547D">
      <w:pPr>
        <w:numPr>
          <w:ilvl w:val="0"/>
          <w:numId w:val="8"/>
        </w:numPr>
        <w:bidi w:val="0"/>
        <w:rPr>
          <w:rFonts w:hint="eastAsia"/>
        </w:rPr>
      </w:pPr>
      <w:r>
        <w:rPr>
          <w:rFonts w:hint="eastAsia"/>
          <w:lang w:val="en-US" w:eastAsia="zh-CN"/>
        </w:rPr>
        <w:t>项目工频炉与保温炉、结晶器之间是连通体，全部为密闭状态，电解铜纯度为99.99%，产生少量CO、CO2等气体，经集气罩收集，收集后通过15m高排气筒排出厂房外</w:t>
      </w:r>
      <w:r>
        <w:rPr>
          <w:rFonts w:hint="eastAsia"/>
        </w:rPr>
        <w:t>。</w:t>
      </w:r>
    </w:p>
    <w:p w14:paraId="55CBC0DD">
      <w:pPr>
        <w:numPr>
          <w:ilvl w:val="0"/>
          <w:numId w:val="8"/>
        </w:numPr>
        <w:bidi w:val="0"/>
      </w:pPr>
      <w:r>
        <w:rPr>
          <w:rFonts w:hint="eastAsia"/>
          <w:lang w:eastAsia="zh-CN"/>
        </w:rPr>
        <w:t>项目使用天然气锅炉，烟气中</w:t>
      </w:r>
      <w:r>
        <w:rPr>
          <w:rFonts w:hint="eastAsia"/>
          <w:lang w:val="en-US" w:eastAsia="zh-CN"/>
        </w:rPr>
        <w:t>SO2及NOx排放浓度均可以满足《锅炉大气污染物排放标准》（GB13271-2014）标准，烟气经不低于15m高烟囱达标排放。（实际运行过程中企业改为燃碳氢油，具体污染物排放情况如验收报告所示）</w:t>
      </w:r>
    </w:p>
    <w:p w14:paraId="6AAF7EC3">
      <w:pPr>
        <w:numPr>
          <w:ilvl w:val="0"/>
          <w:numId w:val="8"/>
        </w:numPr>
        <w:bidi w:val="0"/>
      </w:pPr>
      <w:r>
        <w:rPr>
          <w:rFonts w:hint="eastAsia"/>
          <w:lang w:val="en-US" w:eastAsia="zh-CN"/>
        </w:rPr>
        <w:t>食堂设油烟净化装置，净化后的烟气达到《饮食业油烟排放标准》（GB18483-2001）小型规模标准后集中排放。</w:t>
      </w:r>
    </w:p>
    <w:p w14:paraId="67782D89">
      <w:pPr>
        <w:numPr>
          <w:ilvl w:val="0"/>
          <w:numId w:val="8"/>
        </w:numPr>
        <w:bidi w:val="0"/>
      </w:pPr>
      <w:r>
        <w:rPr>
          <w:rFonts w:hint="eastAsia"/>
          <w:lang w:val="en-US" w:eastAsia="zh-CN"/>
        </w:rPr>
        <w:t>食堂废水经隔油池隔油后与生活污水一同排入化粪池暂存后由请勿车清运。</w:t>
      </w:r>
    </w:p>
    <w:p w14:paraId="5326D0CE">
      <w:pPr>
        <w:numPr>
          <w:ilvl w:val="0"/>
          <w:numId w:val="8"/>
        </w:numPr>
        <w:bidi w:val="0"/>
      </w:pPr>
      <w:r>
        <w:rPr>
          <w:rFonts w:hint="eastAsia"/>
          <w:lang w:val="en-US" w:eastAsia="zh-CN"/>
        </w:rPr>
        <w:t>项目主要噪声设备风机、挤压等设备通过选择低噪声设备、设置基础减震。安装减震垫，设备定期维护以及厂房隔音，距离衰减等措施，厂界噪声夜间可降到50dB以下，满足《工业企业厂界环境噪声排放标准》（GB12348-2008）中2类标准要求。</w:t>
      </w:r>
    </w:p>
    <w:p w14:paraId="353BD7BC">
      <w:pPr>
        <w:numPr>
          <w:ilvl w:val="0"/>
          <w:numId w:val="8"/>
        </w:numPr>
        <w:bidi w:val="0"/>
      </w:pPr>
      <w:r>
        <w:rPr>
          <w:rFonts w:hint="eastAsia"/>
          <w:lang w:val="en-US" w:eastAsia="zh-CN"/>
        </w:rPr>
        <w:t>加强厂区及厂界周围的环境绿化，减轻对生态环境的影响。</w:t>
      </w:r>
    </w:p>
    <w:p w14:paraId="1A05229B">
      <w:pPr>
        <w:ind w:firstLine="31680"/>
        <w:rPr>
          <w:rFonts w:cs="Times New Roman"/>
          <w:color w:val="auto"/>
          <w:highlight w:val="none"/>
        </w:rPr>
      </w:pPr>
      <w:r>
        <w:rPr>
          <w:rFonts w:hint="eastAsia"/>
          <w:lang w:val="en-US" w:eastAsia="zh-CN"/>
        </w:rPr>
        <w:t>2017年4月15日本溪市环境监测中心站出具《</w:t>
      </w:r>
      <w:r>
        <w:rPr>
          <w:rFonts w:hint="eastAsia"/>
          <w:lang w:eastAsia="zh-CN"/>
        </w:rPr>
        <w:t>本溪佰汇铜业有限公司采用先进连续挤压生产工艺项目竣工环境保护验收监测报告</w:t>
      </w:r>
      <w:r>
        <w:rPr>
          <w:rFonts w:hint="eastAsia"/>
          <w:lang w:val="en-US" w:eastAsia="zh-CN"/>
        </w:rPr>
        <w:t>》（本环监污字验（2017）第003号）</w:t>
      </w:r>
      <w:r>
        <w:rPr>
          <w:rFonts w:hint="eastAsia" w:cs="宋体"/>
          <w:color w:val="auto"/>
          <w:highlight w:val="none"/>
        </w:rPr>
        <w:t>，项目运行过程各污染因子排放均满足排放标准要求。</w:t>
      </w:r>
    </w:p>
    <w:p w14:paraId="5A317C32">
      <w:pPr>
        <w:pStyle w:val="3"/>
        <w:ind w:firstLine="31680"/>
        <w:rPr>
          <w:rFonts w:cs="Times New Roman"/>
          <w:color w:val="auto"/>
          <w:highlight w:val="none"/>
        </w:rPr>
      </w:pPr>
      <w:bookmarkStart w:id="288" w:name="_Toc341191321"/>
      <w:bookmarkStart w:id="289" w:name="_Toc415837218"/>
      <w:bookmarkStart w:id="290" w:name="_Toc459817850"/>
      <w:bookmarkStart w:id="291" w:name="_Toc339293052"/>
      <w:bookmarkStart w:id="292" w:name="_Toc339579028"/>
      <w:bookmarkStart w:id="293" w:name="_Toc417372287"/>
      <w:bookmarkStart w:id="294" w:name="_Toc339804551"/>
      <w:bookmarkStart w:id="295" w:name="_Toc441688143"/>
      <w:bookmarkStart w:id="296" w:name="_Toc459303583"/>
      <w:bookmarkStart w:id="297" w:name="_Toc415839122"/>
      <w:bookmarkStart w:id="298" w:name="_Toc441219502"/>
      <w:bookmarkStart w:id="299" w:name="_Toc339808179"/>
      <w:bookmarkStart w:id="300" w:name="_Toc339579154"/>
      <w:bookmarkStart w:id="301" w:name="_Toc5204"/>
      <w:bookmarkStart w:id="302" w:name="_Toc341102010"/>
      <w:bookmarkStart w:id="303" w:name="_Toc441690022"/>
      <w:bookmarkStart w:id="304" w:name="_Toc440894879"/>
      <w:bookmarkStart w:id="305" w:name="_Toc417116938"/>
      <w:bookmarkStart w:id="306" w:name="_Toc340003265"/>
      <w:bookmarkStart w:id="307" w:name="_Toc459139119"/>
      <w:bookmarkStart w:id="308" w:name="_Toc421639300"/>
      <w:bookmarkStart w:id="309" w:name="_Toc441158733"/>
      <w:bookmarkStart w:id="310" w:name="_Toc417314691"/>
      <w:bookmarkStart w:id="311" w:name="_Toc339225691"/>
      <w:bookmarkStart w:id="312" w:name="_Toc417890789"/>
      <w:bookmarkStart w:id="313" w:name="_Toc4040"/>
      <w:bookmarkStart w:id="314" w:name="_Toc4705"/>
      <w:bookmarkStart w:id="315" w:name="_Toc441127458"/>
      <w:bookmarkStart w:id="316" w:name="_Toc417397328"/>
      <w:bookmarkStart w:id="317" w:name="_Toc313527731"/>
      <w:r>
        <w:rPr>
          <w:rFonts w:hint="eastAsia"/>
          <w:color w:val="auto"/>
          <w:highlight w:val="none"/>
          <w:lang w:val="en-US" w:eastAsia="zh-CN"/>
        </w:rPr>
        <w:t>3</w:t>
      </w:r>
      <w:r>
        <w:rPr>
          <w:color w:val="auto"/>
          <w:highlight w:val="none"/>
        </w:rPr>
        <w:t>.</w:t>
      </w:r>
      <w:r>
        <w:rPr>
          <w:rFonts w:hint="eastAsia"/>
          <w:color w:val="auto"/>
          <w:highlight w:val="none"/>
          <w:lang w:val="en-US" w:eastAsia="zh-CN"/>
        </w:rPr>
        <w:t>7</w:t>
      </w:r>
      <w:r>
        <w:rPr>
          <w:rFonts w:hint="eastAsia" w:cs="宋体"/>
          <w:color w:val="auto"/>
          <w:highlight w:val="none"/>
        </w:rPr>
        <w:t>现有工程污染物治理措施</w:t>
      </w:r>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p>
    <w:p w14:paraId="2BE6EB27">
      <w:pPr>
        <w:pStyle w:val="5"/>
        <w:ind w:firstLine="31680"/>
        <w:rPr>
          <w:rFonts w:cs="Times New Roman"/>
          <w:color w:val="auto"/>
          <w:highlight w:val="none"/>
        </w:rPr>
      </w:pPr>
      <w:bookmarkStart w:id="318" w:name="_Toc3058"/>
      <w:bookmarkStart w:id="319" w:name="_Toc15233"/>
      <w:r>
        <w:rPr>
          <w:rFonts w:hint="eastAsia"/>
          <w:color w:val="auto"/>
          <w:highlight w:val="none"/>
          <w:lang w:val="en-US" w:eastAsia="zh-CN"/>
        </w:rPr>
        <w:t>3</w:t>
      </w:r>
      <w:r>
        <w:rPr>
          <w:color w:val="auto"/>
          <w:highlight w:val="none"/>
        </w:rPr>
        <w:t>.</w:t>
      </w:r>
      <w:r>
        <w:rPr>
          <w:rFonts w:hint="eastAsia"/>
          <w:color w:val="auto"/>
          <w:highlight w:val="none"/>
          <w:lang w:val="en-US" w:eastAsia="zh-CN"/>
        </w:rPr>
        <w:t>7</w:t>
      </w:r>
      <w:r>
        <w:rPr>
          <w:color w:val="auto"/>
          <w:highlight w:val="none"/>
        </w:rPr>
        <w:t>.1</w:t>
      </w:r>
      <w:bookmarkEnd w:id="318"/>
      <w:bookmarkEnd w:id="319"/>
      <w:r>
        <w:rPr>
          <w:rFonts w:hint="eastAsia" w:cs="宋体"/>
          <w:color w:val="auto"/>
          <w:highlight w:val="none"/>
          <w:lang w:eastAsia="zh-CN"/>
        </w:rPr>
        <w:t>废气</w:t>
      </w:r>
    </w:p>
    <w:p w14:paraId="222E55E1">
      <w:pPr>
        <w:bidi w:val="0"/>
        <w:rPr>
          <w:rFonts w:hint="eastAsia"/>
        </w:rPr>
      </w:pPr>
      <w:r>
        <w:rPr>
          <w:rFonts w:hint="eastAsia"/>
          <w:lang w:eastAsia="zh-CN"/>
        </w:rPr>
        <w:t>本项目大气污染物包括：厂房工频炉排放的废气、燃油锅炉产生的废气及食堂油烟</w:t>
      </w:r>
      <w:r>
        <w:rPr>
          <w:rFonts w:hint="eastAsia"/>
        </w:rPr>
        <w:t>。</w:t>
      </w:r>
    </w:p>
    <w:p w14:paraId="1F5AEE03">
      <w:pPr>
        <w:bidi w:val="0"/>
        <w:rPr>
          <w:rFonts w:hint="eastAsia"/>
          <w:lang w:val="en-US" w:eastAsia="zh-CN"/>
        </w:rPr>
      </w:pPr>
      <w:r>
        <w:rPr>
          <w:rFonts w:hint="eastAsia"/>
          <w:lang w:eastAsia="zh-CN"/>
        </w:rPr>
        <w:t>本项目工频炉与保温炉、结晶器之间是连通体，同时全部为密闭状态，物料出口只有结晶器一个出口，铜液表面用木炭、石墨鳞片覆盖，覆盖厚度为</w:t>
      </w:r>
      <w:r>
        <w:rPr>
          <w:rFonts w:hint="eastAsia"/>
          <w:lang w:val="en-US" w:eastAsia="zh-CN"/>
        </w:rPr>
        <w:t>200mm，电解铜纯度为99.99%，以达到与空气隔绝的状态，起到脱氧作用，该过程会产生少量CO、CO</w:t>
      </w:r>
      <w:r>
        <w:rPr>
          <w:rFonts w:hint="eastAsia"/>
          <w:vertAlign w:val="subscript"/>
          <w:lang w:val="en-US" w:eastAsia="zh-CN"/>
        </w:rPr>
        <w:t>2</w:t>
      </w:r>
      <w:r>
        <w:rPr>
          <w:rFonts w:hint="eastAsia"/>
          <w:lang w:val="en-US" w:eastAsia="zh-CN"/>
        </w:rPr>
        <w:t>等气体。该过程产生的废气经集气罩收集，收集后通过厂房侧面排口排出厂房外。</w:t>
      </w:r>
    </w:p>
    <w:p w14:paraId="0B265897">
      <w:pPr>
        <w:bidi w:val="0"/>
        <w:rPr>
          <w:rFonts w:hint="eastAsia"/>
          <w:lang w:val="en-US" w:eastAsia="zh-CN"/>
        </w:rPr>
      </w:pPr>
      <w:r>
        <w:rPr>
          <w:rFonts w:hint="eastAsia"/>
          <w:lang w:val="en-US" w:eastAsia="zh-CN"/>
        </w:rPr>
        <w:t>本项目有1台1t/h的燃油锅炉，燃料为碳氢油，年耗油量约4.8吨。烟气通过8m高烟囱外排。</w:t>
      </w:r>
    </w:p>
    <w:p w14:paraId="7BF96A3D">
      <w:pPr>
        <w:bidi w:val="0"/>
        <w:rPr>
          <w:rFonts w:hint="default"/>
          <w:lang w:val="en-US" w:eastAsia="zh-CN"/>
        </w:rPr>
      </w:pPr>
      <w:r>
        <w:rPr>
          <w:rFonts w:hint="eastAsia"/>
          <w:lang w:val="en-US" w:eastAsia="zh-CN"/>
        </w:rPr>
        <w:t>本项目厂区设有食堂，一个灶台，燃料采用液化石油气，输洁净能源，食堂设有排气筒。</w:t>
      </w:r>
    </w:p>
    <w:p w14:paraId="10354CEB">
      <w:pPr>
        <w:pStyle w:val="5"/>
        <w:ind w:firstLine="31680"/>
        <w:rPr>
          <w:rFonts w:cs="Times New Roman"/>
          <w:color w:val="auto"/>
          <w:highlight w:val="none"/>
        </w:rPr>
      </w:pPr>
      <w:bookmarkStart w:id="320" w:name="_Toc13539"/>
      <w:bookmarkStart w:id="321" w:name="_Toc9325"/>
      <w:r>
        <w:rPr>
          <w:rFonts w:hint="eastAsia"/>
          <w:color w:val="auto"/>
          <w:highlight w:val="none"/>
          <w:lang w:val="en-US" w:eastAsia="zh-CN"/>
        </w:rPr>
        <w:t>3</w:t>
      </w:r>
      <w:r>
        <w:rPr>
          <w:color w:val="auto"/>
          <w:highlight w:val="none"/>
        </w:rPr>
        <w:t>.</w:t>
      </w:r>
      <w:r>
        <w:rPr>
          <w:rFonts w:hint="eastAsia"/>
          <w:color w:val="auto"/>
          <w:highlight w:val="none"/>
          <w:lang w:val="en-US" w:eastAsia="zh-CN"/>
        </w:rPr>
        <w:t>7</w:t>
      </w:r>
      <w:r>
        <w:rPr>
          <w:color w:val="auto"/>
          <w:highlight w:val="none"/>
        </w:rPr>
        <w:t>.2</w:t>
      </w:r>
      <w:r>
        <w:rPr>
          <w:rFonts w:hint="eastAsia" w:cs="宋体"/>
          <w:color w:val="auto"/>
          <w:highlight w:val="none"/>
        </w:rPr>
        <w:t>废</w:t>
      </w:r>
      <w:bookmarkEnd w:id="320"/>
      <w:bookmarkEnd w:id="321"/>
      <w:r>
        <w:rPr>
          <w:rFonts w:hint="eastAsia" w:cs="宋体"/>
          <w:color w:val="auto"/>
          <w:highlight w:val="none"/>
          <w:lang w:eastAsia="zh-CN"/>
        </w:rPr>
        <w:t>水</w:t>
      </w:r>
    </w:p>
    <w:p w14:paraId="193079E6">
      <w:pPr>
        <w:bidi w:val="0"/>
        <w:rPr>
          <w:rFonts w:hint="eastAsia"/>
        </w:rPr>
      </w:pPr>
      <w:r>
        <w:rPr>
          <w:rFonts w:hint="eastAsia"/>
          <w:lang w:eastAsia="zh-CN"/>
        </w:rPr>
        <w:t>本项目用水为生产用水和职工生活用水</w:t>
      </w:r>
      <w:r>
        <w:rPr>
          <w:rFonts w:hint="eastAsia"/>
        </w:rPr>
        <w:t>。</w:t>
      </w:r>
    </w:p>
    <w:p w14:paraId="58B6D052">
      <w:pPr>
        <w:bidi w:val="0"/>
        <w:rPr>
          <w:rFonts w:hint="eastAsia"/>
          <w:lang w:val="en-US" w:eastAsia="zh-CN"/>
        </w:rPr>
      </w:pPr>
      <w:r>
        <w:rPr>
          <w:rFonts w:hint="eastAsia"/>
          <w:lang w:eastAsia="zh-CN"/>
        </w:rPr>
        <w:t>其中生产用水为循环冷却水补水，约</w:t>
      </w:r>
      <w:r>
        <w:rPr>
          <w:rFonts w:hint="eastAsia"/>
          <w:lang w:val="en-US" w:eastAsia="zh-CN"/>
        </w:rPr>
        <w:t>10t/a，冷却水由循环水箱收集经冷却塔冷却后，全部循环使用不外排；燃油锅炉补充水月75m3/a，以蒸发形式消耗，不外排。</w:t>
      </w:r>
    </w:p>
    <w:p w14:paraId="1B566785">
      <w:pPr>
        <w:bidi w:val="0"/>
        <w:rPr>
          <w:rFonts w:hint="default"/>
          <w:lang w:val="en-US" w:eastAsia="zh-CN"/>
        </w:rPr>
      </w:pPr>
      <w:r>
        <w:rPr>
          <w:rFonts w:hint="eastAsia"/>
          <w:lang w:val="en-US" w:eastAsia="zh-CN"/>
        </w:rPr>
        <w:t>食堂废水和生活污水混合后排入厂区化粪池。</w:t>
      </w:r>
    </w:p>
    <w:p w14:paraId="4C0F7170">
      <w:pPr>
        <w:pStyle w:val="5"/>
        <w:ind w:firstLine="31680"/>
        <w:rPr>
          <w:rFonts w:cs="Times New Roman"/>
          <w:color w:val="auto"/>
          <w:highlight w:val="none"/>
        </w:rPr>
      </w:pPr>
      <w:bookmarkStart w:id="322" w:name="_Toc23989"/>
      <w:bookmarkStart w:id="323" w:name="_Toc13059"/>
      <w:r>
        <w:rPr>
          <w:rFonts w:hint="eastAsia"/>
          <w:color w:val="auto"/>
          <w:highlight w:val="none"/>
          <w:lang w:val="en-US" w:eastAsia="zh-CN"/>
        </w:rPr>
        <w:t>3</w:t>
      </w:r>
      <w:r>
        <w:rPr>
          <w:color w:val="auto"/>
          <w:highlight w:val="none"/>
        </w:rPr>
        <w:t>.</w:t>
      </w:r>
      <w:r>
        <w:rPr>
          <w:rFonts w:hint="eastAsia"/>
          <w:color w:val="auto"/>
          <w:highlight w:val="none"/>
          <w:lang w:val="en-US" w:eastAsia="zh-CN"/>
        </w:rPr>
        <w:t>7</w:t>
      </w:r>
      <w:r>
        <w:rPr>
          <w:color w:val="auto"/>
          <w:highlight w:val="none"/>
        </w:rPr>
        <w:t>.3</w:t>
      </w:r>
      <w:r>
        <w:rPr>
          <w:rFonts w:hint="eastAsia" w:cs="宋体"/>
          <w:color w:val="auto"/>
          <w:highlight w:val="none"/>
        </w:rPr>
        <w:t>噪声</w:t>
      </w:r>
      <w:bookmarkEnd w:id="322"/>
      <w:bookmarkEnd w:id="323"/>
    </w:p>
    <w:p w14:paraId="2802539F">
      <w:pPr>
        <w:ind w:firstLine="31680"/>
        <w:rPr>
          <w:rFonts w:ascii="Times New Roman" w:hAnsi="Times New Roman" w:cs="Times New Roman"/>
          <w:color w:val="auto"/>
          <w:highlight w:val="none"/>
        </w:rPr>
      </w:pPr>
      <w:r>
        <w:rPr>
          <w:rFonts w:hint="eastAsia" w:ascii="Times New Roman" w:hAnsi="Times New Roman" w:cs="宋体"/>
          <w:color w:val="auto"/>
          <w:highlight w:val="none"/>
        </w:rPr>
        <w:t>现有工程的主要噪声源为鼓风机、引风机、水泵等，建设单位采取了安装隔声罩、噪声高的设备尽量布置在远离厂界等，监测结果表明厂界噪声达标。</w:t>
      </w:r>
    </w:p>
    <w:p w14:paraId="7C6E8843">
      <w:pPr>
        <w:pStyle w:val="5"/>
        <w:ind w:firstLine="31680"/>
        <w:rPr>
          <w:rFonts w:cs="Times New Roman"/>
          <w:color w:val="auto"/>
          <w:highlight w:val="none"/>
        </w:rPr>
      </w:pPr>
      <w:bookmarkStart w:id="324" w:name="_Toc15647"/>
      <w:bookmarkStart w:id="325" w:name="_Toc17536"/>
      <w:r>
        <w:rPr>
          <w:rFonts w:hint="eastAsia"/>
          <w:color w:val="auto"/>
          <w:highlight w:val="none"/>
          <w:lang w:val="en-US" w:eastAsia="zh-CN"/>
        </w:rPr>
        <w:t>3</w:t>
      </w:r>
      <w:r>
        <w:rPr>
          <w:color w:val="auto"/>
          <w:highlight w:val="none"/>
        </w:rPr>
        <w:t>.</w:t>
      </w:r>
      <w:r>
        <w:rPr>
          <w:rFonts w:hint="eastAsia"/>
          <w:color w:val="auto"/>
          <w:highlight w:val="none"/>
          <w:lang w:val="en-US" w:eastAsia="zh-CN"/>
        </w:rPr>
        <w:t>7</w:t>
      </w:r>
      <w:r>
        <w:rPr>
          <w:color w:val="auto"/>
          <w:highlight w:val="none"/>
        </w:rPr>
        <w:t>.4</w:t>
      </w:r>
      <w:r>
        <w:rPr>
          <w:rFonts w:hint="eastAsia" w:cs="宋体"/>
          <w:color w:val="auto"/>
          <w:highlight w:val="none"/>
        </w:rPr>
        <w:t>固体废物</w:t>
      </w:r>
      <w:bookmarkEnd w:id="324"/>
      <w:bookmarkEnd w:id="325"/>
    </w:p>
    <w:p w14:paraId="174C961B">
      <w:pPr>
        <w:ind w:firstLine="31680"/>
        <w:rPr>
          <w:rFonts w:ascii="Times New Roman" w:hAnsi="Times New Roman" w:cs="Times New Roman"/>
          <w:color w:val="auto"/>
          <w:highlight w:val="none"/>
        </w:rPr>
      </w:pPr>
      <w:r>
        <w:rPr>
          <w:rFonts w:hint="eastAsia" w:cs="宋体"/>
          <w:color w:val="auto"/>
          <w:highlight w:val="none"/>
          <w:lang w:eastAsia="zh-CN"/>
        </w:rPr>
        <w:t>本项目固体废物包括边角余料及员工日常生活产生的生活垃圾，其中边角料全部入工频炉回用，生活垃圾由环卫部门统一清运</w:t>
      </w:r>
      <w:r>
        <w:rPr>
          <w:rFonts w:hint="eastAsia" w:ascii="Times New Roman" w:hAnsi="Times New Roman" w:cs="宋体"/>
          <w:color w:val="auto"/>
          <w:highlight w:val="none"/>
        </w:rPr>
        <w:t>。</w:t>
      </w:r>
    </w:p>
    <w:p w14:paraId="1FF8BAB1">
      <w:pPr>
        <w:pStyle w:val="3"/>
        <w:rPr>
          <w:rFonts w:hint="eastAsia"/>
          <w:color w:val="auto"/>
          <w:highlight w:val="none"/>
          <w:lang w:val="en-US" w:eastAsia="zh-CN"/>
        </w:rPr>
      </w:pPr>
      <w:bookmarkStart w:id="326" w:name="_Toc4156"/>
      <w:bookmarkStart w:id="327" w:name="_Toc17539"/>
      <w:bookmarkStart w:id="328" w:name="_Toc1321"/>
      <w:r>
        <w:rPr>
          <w:rFonts w:hint="eastAsia"/>
          <w:color w:val="auto"/>
          <w:highlight w:val="none"/>
          <w:lang w:val="en-US" w:eastAsia="zh-CN"/>
        </w:rPr>
        <w:t>3.8现有项目验收情况</w:t>
      </w:r>
      <w:bookmarkEnd w:id="326"/>
      <w:bookmarkEnd w:id="327"/>
      <w:bookmarkEnd w:id="328"/>
    </w:p>
    <w:p w14:paraId="784AAD34">
      <w:pPr>
        <w:rPr>
          <w:rFonts w:hint="eastAsia"/>
          <w:color w:val="auto"/>
          <w:highlight w:val="none"/>
          <w:lang w:val="en-US" w:eastAsia="zh-CN"/>
        </w:rPr>
      </w:pPr>
      <w:r>
        <w:rPr>
          <w:rFonts w:hint="eastAsia"/>
          <w:lang w:val="en-US" w:eastAsia="zh-CN"/>
        </w:rPr>
        <w:t>2017年4月15日本溪市环境监测中心站出具《</w:t>
      </w:r>
      <w:r>
        <w:rPr>
          <w:rFonts w:hint="eastAsia"/>
          <w:lang w:eastAsia="zh-CN"/>
        </w:rPr>
        <w:t>本溪佰汇铜业有限公司采用先进连续挤压生产工艺项目竣工环境保护验收监测报告</w:t>
      </w:r>
      <w:r>
        <w:rPr>
          <w:rFonts w:hint="eastAsia"/>
          <w:lang w:val="en-US" w:eastAsia="zh-CN"/>
        </w:rPr>
        <w:t>》（本环监污字验（2017）第003号）</w:t>
      </w:r>
      <w:r>
        <w:rPr>
          <w:rFonts w:hint="eastAsia"/>
          <w:color w:val="auto"/>
          <w:highlight w:val="none"/>
          <w:lang w:val="en-US" w:eastAsia="zh-CN"/>
        </w:rPr>
        <w:t>。</w:t>
      </w:r>
    </w:p>
    <w:p w14:paraId="472E8EC6">
      <w:pPr>
        <w:pStyle w:val="5"/>
        <w:bidi w:val="0"/>
        <w:rPr>
          <w:rFonts w:hint="eastAsia"/>
          <w:lang w:val="en-US" w:eastAsia="zh-CN"/>
        </w:rPr>
      </w:pPr>
      <w:r>
        <w:rPr>
          <w:rFonts w:hint="eastAsia"/>
          <w:lang w:val="en-US" w:eastAsia="zh-CN"/>
        </w:rPr>
        <w:t>3.8.1废气验收结果</w:t>
      </w:r>
    </w:p>
    <w:p w14:paraId="49591567">
      <w:pPr>
        <w:bidi w:val="0"/>
        <w:rPr>
          <w:rFonts w:hint="eastAsia"/>
          <w:lang w:val="en-US" w:eastAsia="zh-CN"/>
        </w:rPr>
      </w:pPr>
      <w:r>
        <w:rPr>
          <w:rFonts w:hint="eastAsia"/>
          <w:lang w:val="en-US" w:eastAsia="zh-CN"/>
        </w:rPr>
        <w:t>本项目设置8m高废气排气筒一处，排气筒主要参数如下表所示。</w:t>
      </w:r>
    </w:p>
    <w:p w14:paraId="047FCD82">
      <w:pPr>
        <w:bidi w:val="0"/>
        <w:ind w:left="0" w:leftChars="0" w:firstLine="0" w:firstLineChars="0"/>
        <w:jc w:val="center"/>
        <w:rPr>
          <w:rFonts w:hint="eastAsia"/>
          <w:lang w:val="en-US" w:eastAsia="zh-CN"/>
        </w:rPr>
      </w:pPr>
      <w:r>
        <w:rPr>
          <w:rFonts w:hint="eastAsia" w:ascii="黑体" w:hAnsi="黑体" w:eastAsia="黑体" w:cs="黑体"/>
          <w:sz w:val="21"/>
          <w:szCs w:val="21"/>
          <w:lang w:val="en-US" w:eastAsia="zh-CN"/>
        </w:rPr>
        <w:t>表3-10排气筒主要参数表</w:t>
      </w:r>
    </w:p>
    <w:tbl>
      <w:tblPr>
        <w:tblStyle w:val="53"/>
        <w:tblW w:w="4997"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417"/>
        <w:gridCol w:w="1420"/>
        <w:gridCol w:w="1420"/>
        <w:gridCol w:w="1420"/>
        <w:gridCol w:w="1420"/>
        <w:gridCol w:w="1420"/>
      </w:tblGrid>
      <w:tr w14:paraId="3AC67DB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832" w:type="pct"/>
            <w:tcBorders>
              <w:tl2br w:val="nil"/>
              <w:tr2bl w:val="nil"/>
            </w:tcBorders>
            <w:vAlign w:val="center"/>
          </w:tcPr>
          <w:p w14:paraId="0D81BE33">
            <w:pPr>
              <w:pStyle w:val="31"/>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污染因子</w:t>
            </w:r>
          </w:p>
        </w:tc>
        <w:tc>
          <w:tcPr>
            <w:tcW w:w="833" w:type="pct"/>
            <w:tcBorders>
              <w:tl2br w:val="nil"/>
              <w:tr2bl w:val="nil"/>
            </w:tcBorders>
            <w:vAlign w:val="center"/>
          </w:tcPr>
          <w:p w14:paraId="5CE62941">
            <w:pPr>
              <w:pStyle w:val="31"/>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排气筒高度</w:t>
            </w:r>
          </w:p>
        </w:tc>
        <w:tc>
          <w:tcPr>
            <w:tcW w:w="833" w:type="pct"/>
            <w:tcBorders>
              <w:tl2br w:val="nil"/>
              <w:tr2bl w:val="nil"/>
            </w:tcBorders>
            <w:vAlign w:val="center"/>
          </w:tcPr>
          <w:p w14:paraId="3370DEFA">
            <w:pPr>
              <w:pStyle w:val="31"/>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排气筒内径</w:t>
            </w:r>
          </w:p>
        </w:tc>
        <w:tc>
          <w:tcPr>
            <w:tcW w:w="833" w:type="pct"/>
            <w:tcBorders>
              <w:tl2br w:val="nil"/>
              <w:tr2bl w:val="nil"/>
            </w:tcBorders>
            <w:vAlign w:val="center"/>
          </w:tcPr>
          <w:p w14:paraId="2DB9D78D">
            <w:pPr>
              <w:pStyle w:val="31"/>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排气筒出口烟气温度</w:t>
            </w:r>
          </w:p>
        </w:tc>
        <w:tc>
          <w:tcPr>
            <w:tcW w:w="833" w:type="pct"/>
            <w:tcBorders>
              <w:tl2br w:val="nil"/>
              <w:tr2bl w:val="nil"/>
            </w:tcBorders>
            <w:vAlign w:val="center"/>
          </w:tcPr>
          <w:p w14:paraId="27A025FC">
            <w:pPr>
              <w:pStyle w:val="31"/>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污染物废气流量</w:t>
            </w:r>
          </w:p>
        </w:tc>
        <w:tc>
          <w:tcPr>
            <w:tcW w:w="833" w:type="pct"/>
            <w:tcBorders>
              <w:tl2br w:val="nil"/>
              <w:tr2bl w:val="nil"/>
            </w:tcBorders>
            <w:vAlign w:val="center"/>
          </w:tcPr>
          <w:p w14:paraId="6756F852">
            <w:pPr>
              <w:pStyle w:val="31"/>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污染物排放速率</w:t>
            </w:r>
          </w:p>
        </w:tc>
      </w:tr>
      <w:tr w14:paraId="07441E0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832" w:type="pct"/>
            <w:tcBorders>
              <w:tl2br w:val="nil"/>
              <w:tr2bl w:val="nil"/>
            </w:tcBorders>
            <w:vAlign w:val="center"/>
          </w:tcPr>
          <w:p w14:paraId="727B2E54">
            <w:pPr>
              <w:pStyle w:val="31"/>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颗粒物</w:t>
            </w:r>
          </w:p>
        </w:tc>
        <w:tc>
          <w:tcPr>
            <w:tcW w:w="833" w:type="pct"/>
            <w:tcBorders>
              <w:tl2br w:val="nil"/>
              <w:tr2bl w:val="nil"/>
            </w:tcBorders>
            <w:vAlign w:val="center"/>
          </w:tcPr>
          <w:p w14:paraId="3F69D0C7">
            <w:pPr>
              <w:pStyle w:val="31"/>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8m</w:t>
            </w:r>
          </w:p>
        </w:tc>
        <w:tc>
          <w:tcPr>
            <w:tcW w:w="833" w:type="pct"/>
            <w:tcBorders>
              <w:tl2br w:val="nil"/>
              <w:tr2bl w:val="nil"/>
            </w:tcBorders>
            <w:vAlign w:val="center"/>
          </w:tcPr>
          <w:p w14:paraId="6DCEF06B">
            <w:pPr>
              <w:pStyle w:val="31"/>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1m</w:t>
            </w:r>
          </w:p>
        </w:tc>
        <w:tc>
          <w:tcPr>
            <w:tcW w:w="833" w:type="pct"/>
            <w:tcBorders>
              <w:tl2br w:val="nil"/>
              <w:tr2bl w:val="nil"/>
            </w:tcBorders>
            <w:vAlign w:val="center"/>
          </w:tcPr>
          <w:p w14:paraId="5BA22C9E">
            <w:pPr>
              <w:pStyle w:val="31"/>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25℃</w:t>
            </w:r>
          </w:p>
        </w:tc>
        <w:tc>
          <w:tcPr>
            <w:tcW w:w="833" w:type="pct"/>
            <w:tcBorders>
              <w:tl2br w:val="nil"/>
              <w:tr2bl w:val="nil"/>
            </w:tcBorders>
            <w:vAlign w:val="center"/>
          </w:tcPr>
          <w:p w14:paraId="67975C7B">
            <w:pPr>
              <w:pStyle w:val="31"/>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4000m3/h</w:t>
            </w:r>
          </w:p>
        </w:tc>
        <w:tc>
          <w:tcPr>
            <w:tcW w:w="833" w:type="pct"/>
            <w:tcBorders>
              <w:tl2br w:val="nil"/>
              <w:tr2bl w:val="nil"/>
            </w:tcBorders>
            <w:vAlign w:val="center"/>
          </w:tcPr>
          <w:p w14:paraId="71458FD3">
            <w:pPr>
              <w:pStyle w:val="31"/>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0.00002kg/h</w:t>
            </w:r>
          </w:p>
        </w:tc>
      </w:tr>
    </w:tbl>
    <w:p w14:paraId="07828091">
      <w:pPr>
        <w:bidi w:val="0"/>
        <w:rPr>
          <w:rFonts w:hint="eastAsia"/>
          <w:lang w:val="en-US" w:eastAsia="zh-CN"/>
        </w:rPr>
      </w:pPr>
      <w:r>
        <w:rPr>
          <w:rFonts w:hint="eastAsia"/>
          <w:lang w:val="en-US" w:eastAsia="zh-CN"/>
        </w:rPr>
        <w:t>本溪市环境监测中心站与2017年3月27-28日对企业燃油锅炉排气筒出口进行监测。监测结果如下表所示。</w:t>
      </w:r>
    </w:p>
    <w:p w14:paraId="72616621">
      <w:pPr>
        <w:pStyle w:val="31"/>
        <w:spacing w:line="240" w:lineRule="auto"/>
        <w:ind w:left="0" w:leftChars="0" w:firstLine="0" w:firstLineChars="0"/>
        <w:jc w:val="center"/>
        <w:rPr>
          <w:rFonts w:hint="eastAsia" w:ascii="黑体" w:hAnsi="黑体" w:eastAsia="黑体" w:cs="黑体"/>
          <w:kern w:val="2"/>
          <w:sz w:val="21"/>
          <w:szCs w:val="21"/>
          <w:lang w:val="en-US" w:eastAsia="zh-CN" w:bidi="ar-SA"/>
        </w:rPr>
      </w:pPr>
      <w:r>
        <w:rPr>
          <w:rFonts w:hint="eastAsia" w:ascii="黑体" w:hAnsi="黑体" w:eastAsia="黑体" w:cs="黑体"/>
          <w:kern w:val="2"/>
          <w:sz w:val="21"/>
          <w:szCs w:val="21"/>
          <w:lang w:val="en-US" w:eastAsia="zh-CN" w:bidi="ar-SA"/>
        </w:rPr>
        <w:t>表3-11燃油锅炉出口监测结果</w:t>
      </w:r>
    </w:p>
    <w:tbl>
      <w:tblPr>
        <w:tblStyle w:val="53"/>
        <w:tblW w:w="0" w:type="auto"/>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704"/>
        <w:gridCol w:w="1704"/>
        <w:gridCol w:w="1704"/>
        <w:gridCol w:w="1705"/>
        <w:gridCol w:w="1705"/>
      </w:tblGrid>
      <w:tr w14:paraId="3B3D5E9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704" w:type="dxa"/>
            <w:tcBorders>
              <w:tl2br w:val="nil"/>
              <w:tr2bl w:val="nil"/>
            </w:tcBorders>
            <w:vAlign w:val="center"/>
          </w:tcPr>
          <w:p w14:paraId="2FEA397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监测时间</w:t>
            </w:r>
          </w:p>
        </w:tc>
        <w:tc>
          <w:tcPr>
            <w:tcW w:w="1704" w:type="dxa"/>
            <w:tcBorders>
              <w:tl2br w:val="nil"/>
              <w:tr2bl w:val="nil"/>
            </w:tcBorders>
            <w:vAlign w:val="center"/>
          </w:tcPr>
          <w:p w14:paraId="61CF15D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烟气流量m3/h</w:t>
            </w:r>
          </w:p>
        </w:tc>
        <w:tc>
          <w:tcPr>
            <w:tcW w:w="1704" w:type="dxa"/>
            <w:tcBorders>
              <w:tl2br w:val="nil"/>
              <w:tr2bl w:val="nil"/>
            </w:tcBorders>
            <w:vAlign w:val="center"/>
          </w:tcPr>
          <w:p w14:paraId="70497C0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烟尘折算浓度最大值mg/m3</w:t>
            </w:r>
          </w:p>
        </w:tc>
        <w:tc>
          <w:tcPr>
            <w:tcW w:w="1705" w:type="dxa"/>
            <w:tcBorders>
              <w:tl2br w:val="nil"/>
              <w:tr2bl w:val="nil"/>
            </w:tcBorders>
            <w:vAlign w:val="center"/>
          </w:tcPr>
          <w:p w14:paraId="2FEED5F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SO2折算浓度最大值mg/m3</w:t>
            </w:r>
          </w:p>
        </w:tc>
        <w:tc>
          <w:tcPr>
            <w:tcW w:w="1705" w:type="dxa"/>
            <w:tcBorders>
              <w:tl2br w:val="nil"/>
              <w:tr2bl w:val="nil"/>
            </w:tcBorders>
            <w:vAlign w:val="center"/>
          </w:tcPr>
          <w:p w14:paraId="7DD6DFD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NOx折算浓度最大值mg/m3</w:t>
            </w:r>
          </w:p>
        </w:tc>
      </w:tr>
      <w:tr w14:paraId="128E48C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704" w:type="dxa"/>
            <w:tcBorders>
              <w:tl2br w:val="nil"/>
              <w:tr2bl w:val="nil"/>
            </w:tcBorders>
            <w:vAlign w:val="center"/>
          </w:tcPr>
          <w:p w14:paraId="492C028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2017.3.27</w:t>
            </w:r>
          </w:p>
        </w:tc>
        <w:tc>
          <w:tcPr>
            <w:tcW w:w="1704" w:type="dxa"/>
            <w:tcBorders>
              <w:tl2br w:val="nil"/>
              <w:tr2bl w:val="nil"/>
            </w:tcBorders>
            <w:vAlign w:val="center"/>
          </w:tcPr>
          <w:p w14:paraId="39F7537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1482</w:t>
            </w:r>
          </w:p>
        </w:tc>
        <w:tc>
          <w:tcPr>
            <w:tcW w:w="1704" w:type="dxa"/>
            <w:tcBorders>
              <w:tl2br w:val="nil"/>
              <w:tr2bl w:val="nil"/>
            </w:tcBorders>
            <w:vAlign w:val="center"/>
          </w:tcPr>
          <w:p w14:paraId="65458A1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27.29</w:t>
            </w:r>
          </w:p>
        </w:tc>
        <w:tc>
          <w:tcPr>
            <w:tcW w:w="1705" w:type="dxa"/>
            <w:tcBorders>
              <w:tl2br w:val="nil"/>
              <w:tr2bl w:val="nil"/>
            </w:tcBorders>
            <w:vAlign w:val="center"/>
          </w:tcPr>
          <w:p w14:paraId="2721F88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21.34</w:t>
            </w:r>
          </w:p>
        </w:tc>
        <w:tc>
          <w:tcPr>
            <w:tcW w:w="1705" w:type="dxa"/>
            <w:tcBorders>
              <w:tl2br w:val="nil"/>
              <w:tr2bl w:val="nil"/>
            </w:tcBorders>
            <w:vAlign w:val="center"/>
          </w:tcPr>
          <w:p w14:paraId="225F19E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71.84</w:t>
            </w:r>
          </w:p>
        </w:tc>
      </w:tr>
      <w:tr w14:paraId="72F09C4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704" w:type="dxa"/>
            <w:tcBorders>
              <w:tl2br w:val="nil"/>
              <w:tr2bl w:val="nil"/>
            </w:tcBorders>
            <w:vAlign w:val="center"/>
          </w:tcPr>
          <w:p w14:paraId="7EF165F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2017.3.28</w:t>
            </w:r>
          </w:p>
        </w:tc>
        <w:tc>
          <w:tcPr>
            <w:tcW w:w="1704" w:type="dxa"/>
            <w:tcBorders>
              <w:tl2br w:val="nil"/>
              <w:tr2bl w:val="nil"/>
            </w:tcBorders>
            <w:vAlign w:val="center"/>
          </w:tcPr>
          <w:p w14:paraId="3D37504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1875</w:t>
            </w:r>
          </w:p>
        </w:tc>
        <w:tc>
          <w:tcPr>
            <w:tcW w:w="1704" w:type="dxa"/>
            <w:tcBorders>
              <w:tl2br w:val="nil"/>
              <w:tr2bl w:val="nil"/>
            </w:tcBorders>
            <w:vAlign w:val="center"/>
          </w:tcPr>
          <w:p w14:paraId="0068F0C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27.52</w:t>
            </w:r>
          </w:p>
        </w:tc>
        <w:tc>
          <w:tcPr>
            <w:tcW w:w="1705" w:type="dxa"/>
            <w:tcBorders>
              <w:tl2br w:val="nil"/>
              <w:tr2bl w:val="nil"/>
            </w:tcBorders>
            <w:vAlign w:val="center"/>
          </w:tcPr>
          <w:p w14:paraId="3F2B89F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21.60</w:t>
            </w:r>
          </w:p>
        </w:tc>
        <w:tc>
          <w:tcPr>
            <w:tcW w:w="1705" w:type="dxa"/>
            <w:tcBorders>
              <w:tl2br w:val="nil"/>
              <w:tr2bl w:val="nil"/>
            </w:tcBorders>
            <w:vAlign w:val="center"/>
          </w:tcPr>
          <w:p w14:paraId="02CE33F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76.03</w:t>
            </w:r>
          </w:p>
        </w:tc>
      </w:tr>
    </w:tbl>
    <w:p w14:paraId="640E72E3">
      <w:pPr>
        <w:rPr>
          <w:rFonts w:hint="eastAsia"/>
          <w:lang w:val="en-US" w:eastAsia="zh-CN"/>
        </w:rPr>
      </w:pPr>
      <w:r>
        <w:rPr>
          <w:rFonts w:hint="eastAsia"/>
          <w:lang w:val="en-US" w:eastAsia="zh-CN"/>
        </w:rPr>
        <w:t>同时对项目现有中频炉集气罩出口进行监测，监测结果如下表所示。</w:t>
      </w:r>
    </w:p>
    <w:p w14:paraId="6381863C">
      <w:pPr>
        <w:pStyle w:val="31"/>
        <w:spacing w:line="240" w:lineRule="auto"/>
        <w:ind w:left="0" w:leftChars="0" w:firstLine="0" w:firstLineChars="0"/>
        <w:jc w:val="center"/>
        <w:rPr>
          <w:rFonts w:hint="eastAsia" w:ascii="黑体" w:hAnsi="黑体" w:eastAsia="黑体" w:cs="黑体"/>
          <w:kern w:val="2"/>
          <w:sz w:val="21"/>
          <w:szCs w:val="21"/>
          <w:lang w:val="en-US" w:eastAsia="zh-CN" w:bidi="ar-SA"/>
        </w:rPr>
      </w:pPr>
      <w:r>
        <w:rPr>
          <w:rFonts w:hint="eastAsia" w:ascii="黑体" w:hAnsi="黑体" w:eastAsia="黑体" w:cs="黑体"/>
          <w:kern w:val="2"/>
          <w:sz w:val="21"/>
          <w:szCs w:val="21"/>
          <w:lang w:val="en-US" w:eastAsia="zh-CN" w:bidi="ar-SA"/>
        </w:rPr>
        <w:t>表3-12集气罩出口监测结果</w:t>
      </w:r>
    </w:p>
    <w:tbl>
      <w:tblPr>
        <w:tblStyle w:val="53"/>
        <w:tblW w:w="4998"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2839"/>
        <w:gridCol w:w="2840"/>
        <w:gridCol w:w="2840"/>
      </w:tblGrid>
      <w:tr w14:paraId="673C38E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666" w:type="pct"/>
            <w:tcBorders>
              <w:tl2br w:val="nil"/>
              <w:tr2bl w:val="nil"/>
            </w:tcBorders>
            <w:vAlign w:val="center"/>
          </w:tcPr>
          <w:p w14:paraId="6AB6DAF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监测时间</w:t>
            </w:r>
          </w:p>
        </w:tc>
        <w:tc>
          <w:tcPr>
            <w:tcW w:w="1666" w:type="pct"/>
            <w:tcBorders>
              <w:tl2br w:val="nil"/>
              <w:tr2bl w:val="nil"/>
            </w:tcBorders>
            <w:vAlign w:val="center"/>
          </w:tcPr>
          <w:p w14:paraId="0B74D81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烟气流量m3/h</w:t>
            </w:r>
          </w:p>
        </w:tc>
        <w:tc>
          <w:tcPr>
            <w:tcW w:w="1666" w:type="pct"/>
            <w:tcBorders>
              <w:tl2br w:val="nil"/>
              <w:tr2bl w:val="nil"/>
            </w:tcBorders>
            <w:vAlign w:val="center"/>
          </w:tcPr>
          <w:p w14:paraId="6C29299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sz w:val="21"/>
                <w:szCs w:val="21"/>
                <w:vertAlign w:val="baseline"/>
                <w:lang w:val="en-US" w:eastAsia="zh-CN"/>
              </w:rPr>
            </w:pPr>
            <w:r>
              <w:rPr>
                <w:rFonts w:hint="eastAsia" w:ascii="宋体" w:hAnsi="宋体" w:cs="宋体"/>
                <w:sz w:val="21"/>
                <w:szCs w:val="21"/>
                <w:vertAlign w:val="baseline"/>
                <w:lang w:val="en-US" w:eastAsia="zh-CN"/>
              </w:rPr>
              <w:t>颗粒物实测浓度mg/m3</w:t>
            </w:r>
          </w:p>
        </w:tc>
      </w:tr>
      <w:tr w14:paraId="65096A1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666" w:type="pct"/>
            <w:tcBorders>
              <w:tl2br w:val="nil"/>
              <w:tr2bl w:val="nil"/>
            </w:tcBorders>
            <w:vAlign w:val="center"/>
          </w:tcPr>
          <w:p w14:paraId="19A2D30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2017.3.27</w:t>
            </w:r>
          </w:p>
        </w:tc>
        <w:tc>
          <w:tcPr>
            <w:tcW w:w="1666" w:type="pct"/>
            <w:tcBorders>
              <w:tl2br w:val="nil"/>
              <w:tr2bl w:val="nil"/>
            </w:tcBorders>
            <w:vAlign w:val="center"/>
          </w:tcPr>
          <w:p w14:paraId="02CF0A5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sz w:val="21"/>
                <w:szCs w:val="21"/>
                <w:vertAlign w:val="baseline"/>
                <w:lang w:val="en-US" w:eastAsia="zh-CN"/>
              </w:rPr>
            </w:pPr>
            <w:r>
              <w:rPr>
                <w:rFonts w:hint="eastAsia" w:ascii="宋体" w:hAnsi="宋体" w:cs="宋体"/>
                <w:sz w:val="21"/>
                <w:szCs w:val="21"/>
                <w:vertAlign w:val="baseline"/>
                <w:lang w:val="en-US" w:eastAsia="zh-CN"/>
              </w:rPr>
              <w:t>9399</w:t>
            </w:r>
          </w:p>
        </w:tc>
        <w:tc>
          <w:tcPr>
            <w:tcW w:w="1666" w:type="pct"/>
            <w:tcBorders>
              <w:tl2br w:val="nil"/>
              <w:tr2bl w:val="nil"/>
            </w:tcBorders>
            <w:vAlign w:val="center"/>
          </w:tcPr>
          <w:p w14:paraId="12D85E1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sz w:val="21"/>
                <w:szCs w:val="21"/>
                <w:vertAlign w:val="baseline"/>
                <w:lang w:val="en-US" w:eastAsia="zh-CN"/>
              </w:rPr>
            </w:pPr>
            <w:r>
              <w:rPr>
                <w:rFonts w:hint="eastAsia" w:ascii="宋体" w:hAnsi="宋体" w:cs="宋体"/>
                <w:sz w:val="21"/>
                <w:szCs w:val="21"/>
                <w:vertAlign w:val="baseline"/>
                <w:lang w:val="en-US" w:eastAsia="zh-CN"/>
              </w:rPr>
              <w:t>12.68</w:t>
            </w:r>
          </w:p>
        </w:tc>
      </w:tr>
      <w:tr w14:paraId="3573ED3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666" w:type="pct"/>
            <w:tcBorders>
              <w:tl2br w:val="nil"/>
              <w:tr2bl w:val="nil"/>
            </w:tcBorders>
            <w:vAlign w:val="center"/>
          </w:tcPr>
          <w:p w14:paraId="61666EF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2017.3.28</w:t>
            </w:r>
          </w:p>
        </w:tc>
        <w:tc>
          <w:tcPr>
            <w:tcW w:w="1666" w:type="pct"/>
            <w:tcBorders>
              <w:tl2br w:val="nil"/>
              <w:tr2bl w:val="nil"/>
            </w:tcBorders>
            <w:vAlign w:val="center"/>
          </w:tcPr>
          <w:p w14:paraId="41EA429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sz w:val="21"/>
                <w:szCs w:val="21"/>
                <w:vertAlign w:val="baseline"/>
                <w:lang w:val="en-US" w:eastAsia="zh-CN"/>
              </w:rPr>
            </w:pPr>
            <w:r>
              <w:rPr>
                <w:rFonts w:hint="eastAsia" w:ascii="宋体" w:hAnsi="宋体" w:cs="宋体"/>
                <w:sz w:val="21"/>
                <w:szCs w:val="21"/>
                <w:vertAlign w:val="baseline"/>
                <w:lang w:val="en-US" w:eastAsia="zh-CN"/>
              </w:rPr>
              <w:t>9813</w:t>
            </w:r>
          </w:p>
        </w:tc>
        <w:tc>
          <w:tcPr>
            <w:tcW w:w="1666" w:type="pct"/>
            <w:tcBorders>
              <w:tl2br w:val="nil"/>
              <w:tr2bl w:val="nil"/>
            </w:tcBorders>
            <w:vAlign w:val="center"/>
          </w:tcPr>
          <w:p w14:paraId="57C0B21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sz w:val="21"/>
                <w:szCs w:val="21"/>
                <w:vertAlign w:val="baseline"/>
                <w:lang w:val="en-US" w:eastAsia="zh-CN"/>
              </w:rPr>
            </w:pPr>
            <w:r>
              <w:rPr>
                <w:rFonts w:hint="eastAsia" w:ascii="宋体" w:hAnsi="宋体" w:cs="宋体"/>
                <w:sz w:val="21"/>
                <w:szCs w:val="21"/>
                <w:vertAlign w:val="baseline"/>
                <w:lang w:val="en-US" w:eastAsia="zh-CN"/>
              </w:rPr>
              <w:t>13.74</w:t>
            </w:r>
          </w:p>
        </w:tc>
      </w:tr>
    </w:tbl>
    <w:p w14:paraId="51DD8B45">
      <w:pPr>
        <w:bidi w:val="0"/>
        <w:rPr>
          <w:rFonts w:hint="eastAsia"/>
          <w:lang w:val="en-US" w:eastAsia="zh-CN"/>
        </w:rPr>
      </w:pPr>
      <w:r>
        <w:rPr>
          <w:rFonts w:hint="eastAsia"/>
          <w:lang w:val="en-US" w:eastAsia="zh-CN"/>
        </w:rPr>
        <w:t>验收监测期间，对厂界无组织废气进行监测，监测结果如下表所示。</w:t>
      </w:r>
    </w:p>
    <w:p w14:paraId="37A3BC41">
      <w:pPr>
        <w:pStyle w:val="31"/>
        <w:spacing w:line="240" w:lineRule="auto"/>
        <w:ind w:left="0" w:leftChars="0" w:firstLine="0" w:firstLineChars="0"/>
        <w:jc w:val="center"/>
        <w:rPr>
          <w:rFonts w:hint="eastAsia" w:ascii="黑体" w:hAnsi="黑体" w:eastAsia="黑体" w:cs="黑体"/>
          <w:kern w:val="2"/>
          <w:sz w:val="21"/>
          <w:szCs w:val="21"/>
          <w:lang w:val="en-US" w:eastAsia="zh-CN" w:bidi="ar-SA"/>
        </w:rPr>
      </w:pPr>
      <w:r>
        <w:rPr>
          <w:rFonts w:hint="eastAsia" w:ascii="黑体" w:hAnsi="黑体" w:eastAsia="黑体" w:cs="黑体"/>
          <w:kern w:val="2"/>
          <w:sz w:val="21"/>
          <w:szCs w:val="21"/>
          <w:lang w:val="en-US" w:eastAsia="zh-CN" w:bidi="ar-SA"/>
        </w:rPr>
        <w:t>表3-13厂界无组织废气监测结果</w:t>
      </w:r>
    </w:p>
    <w:tbl>
      <w:tblPr>
        <w:tblStyle w:val="53"/>
        <w:tblW w:w="4999"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4259"/>
        <w:gridCol w:w="4261"/>
      </w:tblGrid>
      <w:tr w14:paraId="19A50E3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499" w:type="pct"/>
            <w:tcBorders>
              <w:tl2br w:val="nil"/>
              <w:tr2bl w:val="nil"/>
            </w:tcBorders>
            <w:vAlign w:val="center"/>
          </w:tcPr>
          <w:p w14:paraId="247328C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监测时间</w:t>
            </w:r>
          </w:p>
        </w:tc>
        <w:tc>
          <w:tcPr>
            <w:tcW w:w="2500" w:type="pct"/>
            <w:tcBorders>
              <w:tl2br w:val="nil"/>
              <w:tr2bl w:val="nil"/>
            </w:tcBorders>
            <w:vAlign w:val="center"/>
          </w:tcPr>
          <w:p w14:paraId="6DF001C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sz w:val="21"/>
                <w:szCs w:val="21"/>
                <w:vertAlign w:val="baseline"/>
                <w:lang w:val="en-US" w:eastAsia="zh-CN"/>
              </w:rPr>
            </w:pPr>
            <w:r>
              <w:rPr>
                <w:rFonts w:hint="eastAsia" w:ascii="宋体" w:hAnsi="宋体" w:cs="宋体"/>
                <w:sz w:val="21"/>
                <w:szCs w:val="21"/>
                <w:vertAlign w:val="baseline"/>
                <w:lang w:val="en-US" w:eastAsia="zh-CN"/>
              </w:rPr>
              <w:t>颗粒物实测浓度mg/m3</w:t>
            </w:r>
          </w:p>
        </w:tc>
      </w:tr>
      <w:tr w14:paraId="0F899FF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499" w:type="pct"/>
            <w:tcBorders>
              <w:tl2br w:val="nil"/>
              <w:tr2bl w:val="nil"/>
            </w:tcBorders>
            <w:vAlign w:val="center"/>
          </w:tcPr>
          <w:p w14:paraId="27AE7C9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2017.3.27</w:t>
            </w:r>
          </w:p>
        </w:tc>
        <w:tc>
          <w:tcPr>
            <w:tcW w:w="2500" w:type="pct"/>
            <w:tcBorders>
              <w:tl2br w:val="nil"/>
              <w:tr2bl w:val="nil"/>
            </w:tcBorders>
            <w:vAlign w:val="center"/>
          </w:tcPr>
          <w:p w14:paraId="7CCA0FF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sz w:val="21"/>
                <w:szCs w:val="21"/>
                <w:vertAlign w:val="baseline"/>
                <w:lang w:val="en-US" w:eastAsia="zh-CN"/>
              </w:rPr>
            </w:pPr>
            <w:r>
              <w:rPr>
                <w:rFonts w:hint="eastAsia" w:ascii="宋体" w:hAnsi="宋体" w:cs="宋体"/>
                <w:sz w:val="21"/>
                <w:szCs w:val="21"/>
                <w:vertAlign w:val="baseline"/>
                <w:lang w:val="en-US" w:eastAsia="zh-CN"/>
              </w:rPr>
              <w:t>0.148</w:t>
            </w:r>
          </w:p>
        </w:tc>
      </w:tr>
      <w:tr w14:paraId="6A8B963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499" w:type="pct"/>
            <w:tcBorders>
              <w:tl2br w:val="nil"/>
              <w:tr2bl w:val="nil"/>
            </w:tcBorders>
            <w:vAlign w:val="center"/>
          </w:tcPr>
          <w:p w14:paraId="771BED7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2017.3.28</w:t>
            </w:r>
          </w:p>
        </w:tc>
        <w:tc>
          <w:tcPr>
            <w:tcW w:w="2500" w:type="pct"/>
            <w:tcBorders>
              <w:tl2br w:val="nil"/>
              <w:tr2bl w:val="nil"/>
            </w:tcBorders>
            <w:vAlign w:val="center"/>
          </w:tcPr>
          <w:p w14:paraId="055940D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sz w:val="21"/>
                <w:szCs w:val="21"/>
                <w:vertAlign w:val="baseline"/>
                <w:lang w:val="en-US" w:eastAsia="zh-CN"/>
              </w:rPr>
            </w:pPr>
            <w:r>
              <w:rPr>
                <w:rFonts w:hint="eastAsia" w:ascii="宋体" w:hAnsi="宋体" w:cs="宋体"/>
                <w:sz w:val="21"/>
                <w:szCs w:val="21"/>
                <w:vertAlign w:val="baseline"/>
                <w:lang w:val="en-US" w:eastAsia="zh-CN"/>
              </w:rPr>
              <w:t>0.151</w:t>
            </w:r>
          </w:p>
        </w:tc>
      </w:tr>
    </w:tbl>
    <w:p w14:paraId="17378895">
      <w:pPr>
        <w:bidi w:val="0"/>
        <w:rPr>
          <w:rFonts w:hint="eastAsia"/>
          <w:lang w:val="en-US" w:eastAsia="zh-CN"/>
        </w:rPr>
      </w:pPr>
      <w:r>
        <w:rPr>
          <w:rFonts w:hint="eastAsia"/>
          <w:lang w:val="en-US" w:eastAsia="zh-CN"/>
        </w:rPr>
        <w:t>根据燃油锅炉出口监测结果，燃油锅炉烟尘、二氧化硫、氮氧化物均满足《锅炉大气污染物排放标准》（GB13271-2014）表2规定的标准限值。</w:t>
      </w:r>
    </w:p>
    <w:p w14:paraId="2F3061DE">
      <w:pPr>
        <w:bidi w:val="0"/>
        <w:rPr>
          <w:rFonts w:hint="eastAsia"/>
          <w:lang w:val="en-US" w:eastAsia="zh-CN"/>
        </w:rPr>
      </w:pPr>
      <w:r>
        <w:rPr>
          <w:rFonts w:hint="eastAsia"/>
          <w:lang w:val="en-US" w:eastAsia="zh-CN"/>
        </w:rPr>
        <w:t>中频炉集气罩出口颗粒物浓度满足《大气污染物综合排放标准》（GB16297-1996）中规定的排放限值。厂界四周无组织排放颗粒物满足《大气污染物综合排放标准》（GB16297-1996）中规定的排放限值。</w:t>
      </w:r>
    </w:p>
    <w:p w14:paraId="32B87F6D">
      <w:pPr>
        <w:pStyle w:val="5"/>
        <w:bidi w:val="0"/>
        <w:rPr>
          <w:rFonts w:hint="eastAsia"/>
          <w:lang w:val="en-US" w:eastAsia="zh-CN"/>
        </w:rPr>
      </w:pPr>
      <w:r>
        <w:rPr>
          <w:rFonts w:hint="eastAsia"/>
          <w:lang w:val="en-US" w:eastAsia="zh-CN"/>
        </w:rPr>
        <w:t>3.8.2噪声</w:t>
      </w:r>
    </w:p>
    <w:p w14:paraId="20249FAA">
      <w:pPr>
        <w:bidi w:val="0"/>
        <w:rPr>
          <w:rFonts w:hint="eastAsia"/>
          <w:lang w:val="en-US" w:eastAsia="zh-CN"/>
        </w:rPr>
      </w:pPr>
      <w:r>
        <w:rPr>
          <w:rFonts w:hint="eastAsia"/>
          <w:lang w:val="en-US" w:eastAsia="zh-CN"/>
        </w:rPr>
        <w:t>验收期间对厂界噪声进行监测，监测结果如下表所示。</w:t>
      </w:r>
    </w:p>
    <w:p w14:paraId="523FF1C8">
      <w:pPr>
        <w:pStyle w:val="31"/>
        <w:spacing w:line="240" w:lineRule="auto"/>
        <w:ind w:left="0" w:leftChars="0" w:firstLine="0" w:firstLineChars="0"/>
        <w:jc w:val="center"/>
        <w:rPr>
          <w:rFonts w:hint="eastAsia" w:ascii="黑体" w:hAnsi="黑体" w:eastAsia="黑体" w:cs="黑体"/>
          <w:kern w:val="2"/>
          <w:sz w:val="21"/>
          <w:szCs w:val="21"/>
          <w:lang w:val="en-US" w:eastAsia="zh-CN" w:bidi="ar-SA"/>
        </w:rPr>
      </w:pPr>
      <w:r>
        <w:rPr>
          <w:rFonts w:hint="eastAsia" w:ascii="黑体" w:hAnsi="黑体" w:eastAsia="黑体" w:cs="黑体"/>
          <w:kern w:val="2"/>
          <w:sz w:val="21"/>
          <w:szCs w:val="21"/>
          <w:lang w:val="en-US" w:eastAsia="zh-CN" w:bidi="ar-SA"/>
        </w:rPr>
        <w:t>表3-14厂界噪声监测结果</w:t>
      </w:r>
    </w:p>
    <w:tbl>
      <w:tblPr>
        <w:tblStyle w:val="53"/>
        <w:tblW w:w="4998"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2837"/>
        <w:gridCol w:w="2841"/>
        <w:gridCol w:w="2841"/>
      </w:tblGrid>
      <w:tr w14:paraId="110AB05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665" w:type="pct"/>
            <w:vMerge w:val="restart"/>
            <w:tcBorders>
              <w:tl2br w:val="nil"/>
              <w:tr2bl w:val="nil"/>
            </w:tcBorders>
            <w:vAlign w:val="center"/>
          </w:tcPr>
          <w:p w14:paraId="05F40EB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监测时间</w:t>
            </w:r>
          </w:p>
        </w:tc>
        <w:tc>
          <w:tcPr>
            <w:tcW w:w="3334" w:type="pct"/>
            <w:gridSpan w:val="2"/>
            <w:tcBorders>
              <w:tl2br w:val="nil"/>
              <w:tr2bl w:val="nil"/>
            </w:tcBorders>
            <w:vAlign w:val="center"/>
          </w:tcPr>
          <w:p w14:paraId="54DE23E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监测结果最大值dB（A）</w:t>
            </w:r>
          </w:p>
        </w:tc>
      </w:tr>
      <w:tr w14:paraId="2CE7973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665" w:type="pct"/>
            <w:vMerge w:val="continue"/>
            <w:tcBorders>
              <w:tl2br w:val="nil"/>
              <w:tr2bl w:val="nil"/>
            </w:tcBorders>
            <w:vAlign w:val="center"/>
          </w:tcPr>
          <w:p w14:paraId="569598C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lang w:val="en-US" w:eastAsia="zh-CN"/>
              </w:rPr>
            </w:pPr>
          </w:p>
        </w:tc>
        <w:tc>
          <w:tcPr>
            <w:tcW w:w="1667" w:type="pct"/>
            <w:tcBorders>
              <w:tl2br w:val="nil"/>
              <w:tr2bl w:val="nil"/>
            </w:tcBorders>
            <w:vAlign w:val="center"/>
          </w:tcPr>
          <w:p w14:paraId="66E5018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昼间</w:t>
            </w:r>
          </w:p>
        </w:tc>
        <w:tc>
          <w:tcPr>
            <w:tcW w:w="1667" w:type="pct"/>
            <w:tcBorders>
              <w:tl2br w:val="nil"/>
              <w:tr2bl w:val="nil"/>
            </w:tcBorders>
            <w:vAlign w:val="center"/>
          </w:tcPr>
          <w:p w14:paraId="12837A6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夜间</w:t>
            </w:r>
          </w:p>
        </w:tc>
      </w:tr>
      <w:tr w14:paraId="307E0B4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665" w:type="pct"/>
            <w:tcBorders>
              <w:tl2br w:val="nil"/>
              <w:tr2bl w:val="nil"/>
            </w:tcBorders>
            <w:vAlign w:val="center"/>
          </w:tcPr>
          <w:p w14:paraId="59D420C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cs="宋体"/>
                <w:sz w:val="21"/>
                <w:szCs w:val="21"/>
                <w:vertAlign w:val="baseline"/>
                <w:lang w:val="en-US" w:eastAsia="zh-CN"/>
              </w:rPr>
              <w:t>东厂界</w:t>
            </w:r>
          </w:p>
        </w:tc>
        <w:tc>
          <w:tcPr>
            <w:tcW w:w="1667" w:type="pct"/>
            <w:tcBorders>
              <w:tl2br w:val="nil"/>
              <w:tr2bl w:val="nil"/>
            </w:tcBorders>
            <w:vAlign w:val="center"/>
          </w:tcPr>
          <w:p w14:paraId="1E5EF22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sz w:val="21"/>
                <w:szCs w:val="21"/>
                <w:vertAlign w:val="baseline"/>
                <w:lang w:val="en-US" w:eastAsia="zh-CN"/>
              </w:rPr>
            </w:pPr>
            <w:r>
              <w:rPr>
                <w:rFonts w:hint="eastAsia" w:ascii="宋体" w:hAnsi="宋体" w:cs="宋体"/>
                <w:sz w:val="21"/>
                <w:szCs w:val="21"/>
                <w:vertAlign w:val="baseline"/>
                <w:lang w:val="en-US" w:eastAsia="zh-CN"/>
              </w:rPr>
              <w:t>54.4</w:t>
            </w:r>
          </w:p>
        </w:tc>
        <w:tc>
          <w:tcPr>
            <w:tcW w:w="1667" w:type="pct"/>
            <w:tcBorders>
              <w:tl2br w:val="nil"/>
              <w:tr2bl w:val="nil"/>
            </w:tcBorders>
            <w:vAlign w:val="center"/>
          </w:tcPr>
          <w:p w14:paraId="30FF51A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sz w:val="21"/>
                <w:szCs w:val="21"/>
                <w:vertAlign w:val="baseline"/>
                <w:lang w:val="en-US" w:eastAsia="zh-CN"/>
              </w:rPr>
            </w:pPr>
            <w:r>
              <w:rPr>
                <w:rFonts w:hint="eastAsia" w:ascii="宋体" w:hAnsi="宋体" w:cs="宋体"/>
                <w:sz w:val="21"/>
                <w:szCs w:val="21"/>
                <w:vertAlign w:val="baseline"/>
                <w:lang w:val="en-US" w:eastAsia="zh-CN"/>
              </w:rPr>
              <w:t>49.2</w:t>
            </w:r>
          </w:p>
        </w:tc>
      </w:tr>
      <w:tr w14:paraId="1617B72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665" w:type="pct"/>
            <w:tcBorders>
              <w:tl2br w:val="nil"/>
              <w:tr2bl w:val="nil"/>
            </w:tcBorders>
            <w:vAlign w:val="center"/>
          </w:tcPr>
          <w:p w14:paraId="179A6D9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cs="宋体"/>
                <w:sz w:val="21"/>
                <w:szCs w:val="21"/>
                <w:vertAlign w:val="baseline"/>
                <w:lang w:val="en-US" w:eastAsia="zh-CN"/>
              </w:rPr>
              <w:t>南厂界</w:t>
            </w:r>
          </w:p>
        </w:tc>
        <w:tc>
          <w:tcPr>
            <w:tcW w:w="1667" w:type="pct"/>
            <w:tcBorders>
              <w:tl2br w:val="nil"/>
              <w:tr2bl w:val="nil"/>
            </w:tcBorders>
            <w:vAlign w:val="center"/>
          </w:tcPr>
          <w:p w14:paraId="52F963E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sz w:val="21"/>
                <w:szCs w:val="21"/>
                <w:vertAlign w:val="baseline"/>
                <w:lang w:val="en-US" w:eastAsia="zh-CN"/>
              </w:rPr>
            </w:pPr>
            <w:r>
              <w:rPr>
                <w:rFonts w:hint="eastAsia" w:ascii="宋体" w:hAnsi="宋体" w:cs="宋体"/>
                <w:sz w:val="21"/>
                <w:szCs w:val="21"/>
                <w:vertAlign w:val="baseline"/>
                <w:lang w:val="en-US" w:eastAsia="zh-CN"/>
              </w:rPr>
              <w:t>57.1</w:t>
            </w:r>
          </w:p>
        </w:tc>
        <w:tc>
          <w:tcPr>
            <w:tcW w:w="1667" w:type="pct"/>
            <w:tcBorders>
              <w:tl2br w:val="nil"/>
              <w:tr2bl w:val="nil"/>
            </w:tcBorders>
            <w:vAlign w:val="center"/>
          </w:tcPr>
          <w:p w14:paraId="328A067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sz w:val="21"/>
                <w:szCs w:val="21"/>
                <w:vertAlign w:val="baseline"/>
                <w:lang w:val="en-US" w:eastAsia="zh-CN"/>
              </w:rPr>
            </w:pPr>
            <w:r>
              <w:rPr>
                <w:rFonts w:hint="eastAsia" w:ascii="宋体" w:hAnsi="宋体" w:cs="宋体"/>
                <w:sz w:val="21"/>
                <w:szCs w:val="21"/>
                <w:vertAlign w:val="baseline"/>
                <w:lang w:val="en-US" w:eastAsia="zh-CN"/>
              </w:rPr>
              <w:t>40.5</w:t>
            </w:r>
          </w:p>
        </w:tc>
      </w:tr>
      <w:tr w14:paraId="7F8B675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665" w:type="pct"/>
            <w:tcBorders>
              <w:tl2br w:val="nil"/>
              <w:tr2bl w:val="nil"/>
            </w:tcBorders>
            <w:vAlign w:val="center"/>
          </w:tcPr>
          <w:p w14:paraId="20924F4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西厂界</w:t>
            </w:r>
          </w:p>
        </w:tc>
        <w:tc>
          <w:tcPr>
            <w:tcW w:w="1667" w:type="pct"/>
            <w:tcBorders>
              <w:tl2br w:val="nil"/>
              <w:tr2bl w:val="nil"/>
            </w:tcBorders>
            <w:vAlign w:val="center"/>
          </w:tcPr>
          <w:p w14:paraId="0DEF6E9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55.8</w:t>
            </w:r>
          </w:p>
        </w:tc>
        <w:tc>
          <w:tcPr>
            <w:tcW w:w="1667" w:type="pct"/>
            <w:tcBorders>
              <w:tl2br w:val="nil"/>
              <w:tr2bl w:val="nil"/>
            </w:tcBorders>
            <w:vAlign w:val="center"/>
          </w:tcPr>
          <w:p w14:paraId="3E3615E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46.7</w:t>
            </w:r>
          </w:p>
        </w:tc>
      </w:tr>
      <w:tr w14:paraId="690966B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665" w:type="pct"/>
            <w:tcBorders>
              <w:tl2br w:val="nil"/>
              <w:tr2bl w:val="nil"/>
            </w:tcBorders>
            <w:vAlign w:val="center"/>
          </w:tcPr>
          <w:p w14:paraId="2CFE380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北厂界</w:t>
            </w:r>
          </w:p>
        </w:tc>
        <w:tc>
          <w:tcPr>
            <w:tcW w:w="1667" w:type="pct"/>
            <w:tcBorders>
              <w:tl2br w:val="nil"/>
              <w:tr2bl w:val="nil"/>
            </w:tcBorders>
            <w:vAlign w:val="center"/>
          </w:tcPr>
          <w:p w14:paraId="1B275A3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57.3</w:t>
            </w:r>
          </w:p>
        </w:tc>
        <w:tc>
          <w:tcPr>
            <w:tcW w:w="1667" w:type="pct"/>
            <w:tcBorders>
              <w:tl2br w:val="nil"/>
              <w:tr2bl w:val="nil"/>
            </w:tcBorders>
            <w:vAlign w:val="center"/>
          </w:tcPr>
          <w:p w14:paraId="273A0CF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41.4</w:t>
            </w:r>
          </w:p>
        </w:tc>
      </w:tr>
    </w:tbl>
    <w:p w14:paraId="511059DA">
      <w:pPr>
        <w:bidi w:val="0"/>
        <w:rPr>
          <w:rFonts w:hint="default"/>
          <w:lang w:val="en-US" w:eastAsia="zh-CN"/>
        </w:rPr>
      </w:pPr>
      <w:r>
        <w:rPr>
          <w:rFonts w:hint="eastAsia"/>
          <w:lang w:val="en-US" w:eastAsia="zh-CN"/>
        </w:rPr>
        <w:t>验收期间厂界四周噪声值满足《工业企业厂界噪声标准》（GB12348-2008）相应2类标准限值。</w:t>
      </w:r>
    </w:p>
    <w:p w14:paraId="51138FB2">
      <w:pPr>
        <w:pStyle w:val="3"/>
        <w:rPr>
          <w:color w:val="auto"/>
          <w:highlight w:val="none"/>
        </w:rPr>
      </w:pPr>
      <w:bookmarkStart w:id="329" w:name="_Toc6775"/>
      <w:bookmarkStart w:id="330" w:name="_Toc5317"/>
      <w:bookmarkStart w:id="331" w:name="_Toc29043"/>
      <w:r>
        <w:rPr>
          <w:rFonts w:hint="eastAsia"/>
          <w:color w:val="auto"/>
          <w:highlight w:val="none"/>
          <w:lang w:val="en-US" w:eastAsia="zh-CN"/>
        </w:rPr>
        <w:t>3.9</w:t>
      </w:r>
      <w:r>
        <w:rPr>
          <w:color w:val="auto"/>
          <w:highlight w:val="none"/>
        </w:rPr>
        <w:t>以新带老</w:t>
      </w:r>
      <w:bookmarkEnd w:id="329"/>
      <w:bookmarkEnd w:id="330"/>
      <w:bookmarkEnd w:id="331"/>
    </w:p>
    <w:p w14:paraId="3E622B4B">
      <w:pPr>
        <w:rPr>
          <w:rFonts w:hint="eastAsia" w:ascii="Times New Roman" w:hAnsi="Times New Roman" w:cs="Times New Roman"/>
          <w:color w:val="auto"/>
          <w:highlight w:val="none"/>
          <w:lang w:eastAsia="zh-CN"/>
        </w:rPr>
      </w:pPr>
      <w:r>
        <w:rPr>
          <w:rFonts w:hint="eastAsia" w:ascii="Times New Roman" w:hAnsi="Times New Roman" w:cs="Times New Roman"/>
          <w:color w:val="auto"/>
          <w:highlight w:val="none"/>
          <w:lang w:eastAsia="zh-CN"/>
        </w:rPr>
        <w:t>本项目现有环境问题主要为：</w:t>
      </w:r>
    </w:p>
    <w:p w14:paraId="476A15D1">
      <w:pPr>
        <w:rPr>
          <w:rFonts w:hint="eastAsia"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1、根据《环境保护图形标志实施细则（试行）》企业现有废气排放口未设置图形标志牌。</w:t>
      </w:r>
    </w:p>
    <w:p w14:paraId="427022BA">
      <w:pPr>
        <w:bidi w:val="0"/>
        <w:rPr>
          <w:rFonts w:hint="default"/>
          <w:lang w:val="en-US" w:eastAsia="zh-CN"/>
        </w:rPr>
      </w:pPr>
      <w:r>
        <w:rPr>
          <w:rFonts w:hint="eastAsia"/>
          <w:lang w:val="en-US" w:eastAsia="zh-CN"/>
        </w:rPr>
        <w:t>2、企业目前尚未编制应急预案，同时未设置完备的突发环境事件应急救援物资。</w:t>
      </w:r>
    </w:p>
    <w:p w14:paraId="04444820">
      <w:pPr>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3、对照《固定污染源排污许可分类管理名录（2019）》，企业目前尚未办理排污许可登记。</w:t>
      </w:r>
    </w:p>
    <w:p w14:paraId="451DBD65">
      <w:pPr>
        <w:rPr>
          <w:color w:val="auto"/>
          <w:highlight w:val="none"/>
        </w:rPr>
      </w:pPr>
      <w:r>
        <w:rPr>
          <w:color w:val="auto"/>
          <w:highlight w:val="none"/>
        </w:rPr>
        <w:t>根据现有工程存在的问题，本项目提出以下以新带老措施：</w:t>
      </w:r>
    </w:p>
    <w:p w14:paraId="57C5E93D">
      <w:pPr>
        <w:rPr>
          <w:rFonts w:hint="eastAsia"/>
          <w:color w:val="auto"/>
          <w:highlight w:val="none"/>
        </w:rPr>
      </w:pPr>
      <w:r>
        <w:rPr>
          <w:color w:val="auto"/>
          <w:highlight w:val="none"/>
        </w:rPr>
        <w:t>1、</w:t>
      </w:r>
      <w:r>
        <w:rPr>
          <w:rFonts w:hint="eastAsia"/>
          <w:color w:val="auto"/>
          <w:highlight w:val="none"/>
          <w:lang w:eastAsia="zh-CN"/>
        </w:rPr>
        <w:t>企业现有废气排放口未设置图形标志牌，此次扩建对原有排放口进行规范化管理，</w:t>
      </w:r>
      <w:r>
        <w:t>固定噪声源、固体废物贮存和排气筒必须按照国家和辽宁省的有关规定进行建设，应符合“一明显、二合理、三便于”的要求，即环保标志明显，排污口设置合理，便于采集样品、便于监测计量、便于公众参与和监督管理。同时要求按照国家环保总局制定的《环境保护图形标志实施细则（试行）》的规定，设置与排污口相应的图形标志牌</w:t>
      </w:r>
      <w:r>
        <w:rPr>
          <w:rFonts w:hint="eastAsia"/>
          <w:color w:val="auto"/>
          <w:highlight w:val="none"/>
        </w:rPr>
        <w:t>。</w:t>
      </w:r>
    </w:p>
    <w:p w14:paraId="68F195EB">
      <w:pPr>
        <w:bidi w:val="0"/>
        <w:rPr>
          <w:rFonts w:hint="default"/>
          <w:lang w:val="en-US" w:eastAsia="zh-CN"/>
        </w:rPr>
      </w:pPr>
      <w:r>
        <w:rPr>
          <w:rFonts w:hint="eastAsia"/>
          <w:lang w:val="en-US" w:eastAsia="zh-CN"/>
        </w:rPr>
        <w:t>2、企业目前未设置完备的突发环境事件应急救援物资，为建立完善的应急组织机构，此次扩建，企业完善突发环境事件应急管理，</w:t>
      </w:r>
      <w:r>
        <w:rPr>
          <w:rFonts w:hint="default"/>
          <w:lang w:val="en-US" w:eastAsia="zh-CN"/>
        </w:rPr>
        <w:t>为了有效地处理风险事故，应有切实可行的处置措施</w:t>
      </w:r>
      <w:r>
        <w:rPr>
          <w:rFonts w:hint="eastAsia"/>
          <w:lang w:val="en-US" w:eastAsia="zh-CN"/>
        </w:rPr>
        <w:t>，编制突发环境事件应急预案，并完善</w:t>
      </w:r>
      <w:r>
        <w:rPr>
          <w:rFonts w:hint="default"/>
          <w:lang w:val="en-US" w:eastAsia="zh-CN"/>
        </w:rPr>
        <w:t>项目风险事故应急措施包括设备器材、事故现场指挥、救护及通讯等系统的建立、现场应急措施方案、事故危害监测队伍、现场撤离和善后措施方案等。</w:t>
      </w:r>
    </w:p>
    <w:p w14:paraId="632D54B7">
      <w:pPr>
        <w:bidi w:val="0"/>
        <w:rPr>
          <w:rFonts w:hint="eastAsia" w:eastAsia="仿宋_GB2312"/>
          <w:lang w:val="en-US" w:eastAsia="zh-CN"/>
        </w:rPr>
      </w:pPr>
      <w:r>
        <w:rPr>
          <w:rFonts w:hint="eastAsia"/>
          <w:lang w:val="en-US" w:eastAsia="zh-CN"/>
        </w:rPr>
        <w:t>3、对照《固定污染源排污许可分类管理名录（2019）》，现有项目属于有色金属压延加工中其他类项目，为登记管理类，企业目前尚未办理排污许可；待本项目取得环评批复后，企业需按照</w:t>
      </w:r>
      <w:r>
        <w:rPr>
          <w:rFonts w:hint="eastAsia"/>
        </w:rPr>
        <w:t>《排污许可管理办法（试行）》</w:t>
      </w:r>
      <w:r>
        <w:rPr>
          <w:rFonts w:hint="eastAsia"/>
          <w:lang w:eastAsia="zh-CN"/>
        </w:rPr>
        <w:t>以及</w:t>
      </w:r>
      <w:r>
        <w:rPr>
          <w:rFonts w:hint="eastAsia"/>
          <w:lang w:val="en-US" w:eastAsia="zh-CN"/>
        </w:rPr>
        <w:t>《固定污染源排污许可分类管理名录（2019）》重新核定企业排污许可管理级别，并根据</w:t>
      </w:r>
      <w:r>
        <w:rPr>
          <w:rFonts w:hint="eastAsia"/>
          <w:lang w:eastAsia="zh-CN"/>
        </w:rPr>
        <w:t>相关要求，开展排污许可申报工作，取得排污许可证。</w:t>
      </w:r>
    </w:p>
    <w:p w14:paraId="5749F5A9">
      <w:pPr>
        <w:rPr>
          <w:rFonts w:hint="eastAsia"/>
          <w:color w:val="auto"/>
          <w:highlight w:val="none"/>
          <w:lang w:val="en-US" w:eastAsia="zh-CN"/>
        </w:rPr>
      </w:pPr>
    </w:p>
    <w:p w14:paraId="4B70D05A">
      <w:pPr>
        <w:rPr>
          <w:rFonts w:hint="eastAsia"/>
          <w:color w:val="auto"/>
          <w:highlight w:val="none"/>
          <w:lang w:val="en-US" w:eastAsia="zh-CN"/>
        </w:rPr>
      </w:pPr>
    </w:p>
    <w:p w14:paraId="49775C9E">
      <w:pPr>
        <w:rPr>
          <w:rFonts w:hint="eastAsia"/>
          <w:color w:val="auto"/>
          <w:highlight w:val="none"/>
          <w:lang w:val="en-US" w:eastAsia="zh-CN"/>
        </w:rPr>
      </w:pPr>
    </w:p>
    <w:bookmarkEnd w:id="146"/>
    <w:p w14:paraId="2D40D18E">
      <w:pPr>
        <w:pStyle w:val="2"/>
        <w:kinsoku/>
        <w:wordWrap/>
        <w:overflowPunct/>
        <w:topLinePunct w:val="0"/>
        <w:autoSpaceDE/>
        <w:autoSpaceDN/>
        <w:bidi w:val="0"/>
        <w:adjustRightInd/>
        <w:snapToGrid/>
        <w:spacing w:before="0" w:after="0"/>
        <w:textAlignment w:val="auto"/>
        <w:rPr>
          <w:rFonts w:ascii="Times New Roman" w:hAnsi="Times New Roman" w:cs="Times New Roman"/>
          <w:color w:val="auto"/>
        </w:rPr>
      </w:pPr>
      <w:bookmarkStart w:id="332" w:name="_Toc12227"/>
      <w:r>
        <w:rPr>
          <w:rFonts w:hint="eastAsia" w:ascii="Times New Roman" w:hAnsi="Times New Roman" w:cs="Times New Roman"/>
          <w:color w:val="auto"/>
          <w:lang w:val="en-US" w:eastAsia="zh-CN"/>
        </w:rPr>
        <w:t>4</w:t>
      </w:r>
      <w:r>
        <w:rPr>
          <w:rFonts w:ascii="Times New Roman" w:hAnsi="Times New Roman" w:cs="Times New Roman"/>
          <w:color w:val="auto"/>
        </w:rPr>
        <w:t>建设项目概况</w:t>
      </w:r>
      <w:bookmarkEnd w:id="332"/>
    </w:p>
    <w:p w14:paraId="44D039F1">
      <w:pPr>
        <w:pStyle w:val="3"/>
        <w:kinsoku/>
        <w:wordWrap/>
        <w:overflowPunct/>
        <w:topLinePunct w:val="0"/>
        <w:autoSpaceDE/>
        <w:autoSpaceDN/>
        <w:bidi w:val="0"/>
        <w:adjustRightInd/>
        <w:snapToGrid/>
        <w:spacing w:before="0" w:after="0"/>
        <w:textAlignment w:val="auto"/>
        <w:rPr>
          <w:color w:val="auto"/>
        </w:rPr>
      </w:pPr>
      <w:bookmarkStart w:id="333" w:name="_Toc124134073"/>
      <w:bookmarkStart w:id="334" w:name="_Toc208640192"/>
      <w:bookmarkStart w:id="335" w:name="_Toc477421997"/>
      <w:bookmarkStart w:id="336" w:name="_Toc15427"/>
      <w:r>
        <w:rPr>
          <w:rFonts w:hint="eastAsia"/>
          <w:color w:val="auto"/>
          <w:lang w:val="en-US" w:eastAsia="zh-CN"/>
        </w:rPr>
        <w:t>4</w:t>
      </w:r>
      <w:r>
        <w:rPr>
          <w:color w:val="auto"/>
        </w:rPr>
        <w:t>.1项目概况</w:t>
      </w:r>
      <w:bookmarkEnd w:id="333"/>
      <w:bookmarkEnd w:id="334"/>
      <w:bookmarkEnd w:id="335"/>
      <w:bookmarkEnd w:id="336"/>
    </w:p>
    <w:p w14:paraId="43A8804F">
      <w:pPr>
        <w:kinsoku/>
        <w:wordWrap/>
        <w:overflowPunct/>
        <w:topLinePunct w:val="0"/>
        <w:autoSpaceDE/>
        <w:autoSpaceDN/>
        <w:bidi w:val="0"/>
        <w:adjustRightInd/>
        <w:snapToGrid/>
        <w:textAlignment w:val="auto"/>
      </w:pPr>
      <w:r>
        <w:t>项目名称：</w:t>
      </w:r>
      <w:r>
        <w:rPr>
          <w:rFonts w:hint="eastAsia"/>
          <w:lang w:eastAsia="zh-CN"/>
        </w:rPr>
        <w:t>本溪佰汇铜业有限公司环保型铜排表面处理自动生产线项目</w:t>
      </w:r>
      <w:r>
        <w:t>；</w:t>
      </w:r>
    </w:p>
    <w:p w14:paraId="73307706">
      <w:pPr>
        <w:kinsoku/>
        <w:wordWrap/>
        <w:overflowPunct/>
        <w:topLinePunct w:val="0"/>
        <w:autoSpaceDE/>
        <w:autoSpaceDN/>
        <w:bidi w:val="0"/>
        <w:adjustRightInd/>
        <w:snapToGrid/>
        <w:textAlignment w:val="auto"/>
      </w:pPr>
      <w:r>
        <w:t>建设性质：</w:t>
      </w:r>
      <w:r>
        <w:rPr>
          <w:rFonts w:hint="eastAsia"/>
          <w:lang w:eastAsia="zh-CN"/>
        </w:rPr>
        <w:t>扩</w:t>
      </w:r>
      <w:r>
        <w:t>建；</w:t>
      </w:r>
    </w:p>
    <w:p w14:paraId="6FD8674A">
      <w:pPr>
        <w:kinsoku/>
        <w:wordWrap/>
        <w:overflowPunct/>
        <w:topLinePunct w:val="0"/>
        <w:autoSpaceDE/>
        <w:autoSpaceDN/>
        <w:bidi w:val="0"/>
        <w:adjustRightInd/>
        <w:snapToGrid/>
        <w:textAlignment w:val="auto"/>
      </w:pPr>
      <w:r>
        <w:t>建设单位：</w:t>
      </w:r>
      <w:r>
        <w:rPr>
          <w:rFonts w:hint="eastAsia"/>
          <w:lang w:eastAsia="zh-CN"/>
        </w:rPr>
        <w:t>本溪佰汇铜业有限公司</w:t>
      </w:r>
      <w:r>
        <w:t>；</w:t>
      </w:r>
    </w:p>
    <w:p w14:paraId="13D45004">
      <w:pPr>
        <w:kinsoku/>
        <w:wordWrap/>
        <w:overflowPunct/>
        <w:topLinePunct w:val="0"/>
        <w:autoSpaceDE/>
        <w:autoSpaceDN/>
        <w:bidi w:val="0"/>
        <w:adjustRightInd/>
        <w:snapToGrid/>
        <w:textAlignment w:val="auto"/>
        <w:rPr>
          <w:rFonts w:hint="default"/>
          <w:lang w:val="en-US" w:eastAsia="zh-CN"/>
        </w:rPr>
      </w:pPr>
      <w:r>
        <w:rPr>
          <w:rFonts w:hint="eastAsia"/>
          <w:lang w:eastAsia="zh-CN"/>
        </w:rPr>
        <w:t>行业类别：</w:t>
      </w:r>
      <w:r>
        <w:rPr>
          <w:rFonts w:hint="eastAsia"/>
          <w:lang w:val="en-US" w:eastAsia="zh-CN"/>
        </w:rPr>
        <w:t>C3360金属表面处理</w:t>
      </w:r>
    </w:p>
    <w:p w14:paraId="081950EC">
      <w:pPr>
        <w:kinsoku/>
        <w:wordWrap/>
        <w:overflowPunct/>
        <w:topLinePunct w:val="0"/>
        <w:autoSpaceDE/>
        <w:autoSpaceDN/>
        <w:bidi w:val="0"/>
        <w:adjustRightInd/>
        <w:snapToGrid/>
        <w:spacing w:line="360" w:lineRule="auto"/>
        <w:textAlignment w:val="auto"/>
      </w:pPr>
      <w:r>
        <w:t>总投资：建设项目总投资</w:t>
      </w:r>
      <w:r>
        <w:rPr>
          <w:rFonts w:hint="eastAsia"/>
          <w:lang w:val="en-US" w:eastAsia="zh-CN"/>
        </w:rPr>
        <w:t>330</w:t>
      </w:r>
      <w:r>
        <w:t>万元；</w:t>
      </w:r>
    </w:p>
    <w:p w14:paraId="43C79A30">
      <w:pPr>
        <w:kinsoku/>
        <w:wordWrap/>
        <w:overflowPunct/>
        <w:topLinePunct w:val="0"/>
        <w:autoSpaceDE/>
        <w:autoSpaceDN/>
        <w:bidi w:val="0"/>
        <w:adjustRightInd/>
        <w:snapToGrid/>
        <w:spacing w:line="360" w:lineRule="auto"/>
        <w:textAlignment w:val="auto"/>
      </w:pPr>
      <w:r>
        <w:t>建设地点：</w:t>
      </w:r>
      <w:r>
        <w:rPr>
          <w:rFonts w:hint="eastAsia"/>
          <w:lang w:eastAsia="zh-CN"/>
        </w:rPr>
        <w:t>本溪市溪湖区东风街道办事处新合村辽宁（本溪湖）再生资源产业园园区内，本溪佰汇铜业有限公司现有标准化厂房内（厂区用地为工业用地），相关用地证明文件见附件</w:t>
      </w:r>
      <w:r>
        <w:t>。</w:t>
      </w:r>
    </w:p>
    <w:p w14:paraId="3EBCCA72">
      <w:pPr>
        <w:kinsoku/>
        <w:wordWrap/>
        <w:overflowPunct/>
        <w:topLinePunct w:val="0"/>
        <w:autoSpaceDE/>
        <w:autoSpaceDN/>
        <w:bidi w:val="0"/>
        <w:adjustRightInd/>
        <w:snapToGrid/>
        <w:spacing w:line="360" w:lineRule="auto"/>
        <w:textAlignment w:val="auto"/>
      </w:pPr>
      <w:r>
        <w:t>建设周期：工程预计建设期为</w:t>
      </w:r>
      <w:r>
        <w:rPr>
          <w:rFonts w:hint="eastAsia"/>
          <w:lang w:val="en-US" w:eastAsia="zh-CN"/>
        </w:rPr>
        <w:t>2</w:t>
      </w:r>
      <w:r>
        <w:t>个月，开工时间预计20</w:t>
      </w:r>
      <w:r>
        <w:rPr>
          <w:rFonts w:hint="eastAsia"/>
          <w:lang w:val="en-US" w:eastAsia="zh-CN"/>
        </w:rPr>
        <w:t>20</w:t>
      </w:r>
      <w:r>
        <w:t>年</w:t>
      </w:r>
      <w:r>
        <w:rPr>
          <w:rFonts w:hint="eastAsia"/>
          <w:lang w:val="en-US" w:eastAsia="zh-CN"/>
        </w:rPr>
        <w:t>6</w:t>
      </w:r>
      <w:r>
        <w:t>月，竣工时间2020年</w:t>
      </w:r>
      <w:r>
        <w:rPr>
          <w:rFonts w:hint="eastAsia"/>
          <w:lang w:val="en-US" w:eastAsia="zh-CN"/>
        </w:rPr>
        <w:t>7</w:t>
      </w:r>
      <w:r>
        <w:t>月；</w:t>
      </w:r>
    </w:p>
    <w:p w14:paraId="0E8D27A3">
      <w:pPr>
        <w:kinsoku/>
        <w:wordWrap/>
        <w:overflowPunct/>
        <w:topLinePunct w:val="0"/>
        <w:autoSpaceDE/>
        <w:autoSpaceDN/>
        <w:bidi w:val="0"/>
        <w:adjustRightInd/>
        <w:snapToGrid/>
        <w:spacing w:line="360" w:lineRule="auto"/>
        <w:textAlignment w:val="auto"/>
      </w:pPr>
      <w:r>
        <w:t>劳动定员及工作制度：项目劳动定员1</w:t>
      </w:r>
      <w:r>
        <w:rPr>
          <w:rFonts w:hint="eastAsia"/>
          <w:lang w:val="en-US" w:eastAsia="zh-CN"/>
        </w:rPr>
        <w:t>0</w:t>
      </w:r>
      <w:r>
        <w:t>人，全年运行3</w:t>
      </w:r>
      <w:r>
        <w:rPr>
          <w:rFonts w:hint="eastAsia"/>
          <w:lang w:val="en-US" w:eastAsia="zh-CN"/>
        </w:rPr>
        <w:t>00</w:t>
      </w:r>
      <w:r>
        <w:t>天，</w:t>
      </w:r>
      <w:r>
        <w:rPr>
          <w:rFonts w:hint="eastAsia"/>
          <w:lang w:eastAsia="zh-CN"/>
        </w:rPr>
        <w:t>白班制</w:t>
      </w:r>
      <w:r>
        <w:t>，8小时/班。</w:t>
      </w:r>
    </w:p>
    <w:p w14:paraId="0D079B9D">
      <w:pPr>
        <w:pStyle w:val="3"/>
        <w:kinsoku/>
        <w:wordWrap/>
        <w:overflowPunct/>
        <w:topLinePunct w:val="0"/>
        <w:autoSpaceDE/>
        <w:autoSpaceDN/>
        <w:bidi w:val="0"/>
        <w:adjustRightInd/>
        <w:snapToGrid/>
        <w:spacing w:before="0" w:after="0" w:line="360" w:lineRule="auto"/>
        <w:textAlignment w:val="auto"/>
        <w:rPr>
          <w:color w:val="auto"/>
        </w:rPr>
      </w:pPr>
      <w:bookmarkStart w:id="337" w:name="_Toc3462"/>
      <w:r>
        <w:rPr>
          <w:rFonts w:hint="eastAsia"/>
          <w:color w:val="auto"/>
          <w:lang w:val="en-US" w:eastAsia="zh-CN"/>
        </w:rPr>
        <w:t>4</w:t>
      </w:r>
      <w:r>
        <w:rPr>
          <w:color w:val="auto"/>
        </w:rPr>
        <w:t>.2建设规模及内容</w:t>
      </w:r>
      <w:bookmarkEnd w:id="337"/>
    </w:p>
    <w:p w14:paraId="0C6131B5">
      <w:pPr>
        <w:pStyle w:val="5"/>
        <w:kinsoku/>
        <w:wordWrap/>
        <w:overflowPunct/>
        <w:topLinePunct w:val="0"/>
        <w:autoSpaceDE/>
        <w:autoSpaceDN/>
        <w:bidi w:val="0"/>
        <w:adjustRightInd/>
        <w:snapToGrid/>
        <w:spacing w:before="0" w:after="0"/>
        <w:textAlignment w:val="auto"/>
        <w:rPr>
          <w:rFonts w:hint="default"/>
          <w:lang w:val="en-US" w:eastAsia="zh-CN"/>
        </w:rPr>
      </w:pPr>
      <w:r>
        <w:rPr>
          <w:rFonts w:hint="eastAsia"/>
          <w:lang w:val="en-US" w:eastAsia="zh-CN"/>
        </w:rPr>
        <w:t>4.2.1项目基本组成</w:t>
      </w:r>
    </w:p>
    <w:p w14:paraId="113C8623">
      <w:pPr>
        <w:kinsoku/>
        <w:wordWrap/>
        <w:overflowPunct/>
        <w:topLinePunct w:val="0"/>
        <w:autoSpaceDE/>
        <w:autoSpaceDN/>
        <w:bidi w:val="0"/>
        <w:adjustRightInd/>
        <w:snapToGrid/>
        <w:spacing w:line="360" w:lineRule="auto"/>
        <w:ind w:firstLine="480" w:firstLineChars="200"/>
        <w:textAlignment w:val="auto"/>
      </w:pPr>
      <w:r>
        <w:rPr>
          <w:rFonts w:hint="eastAsia"/>
          <w:lang w:eastAsia="zh-CN"/>
        </w:rPr>
        <w:t>本溪佰汇铜业有限公司环保型铜排表面处理自动生产线项目建设铜表面处理生产线一条，本项目生产车间位于佰汇铜业有限公司现有厂区内，</w:t>
      </w:r>
      <w:r>
        <w:t>项目组成如下表所示。</w:t>
      </w:r>
    </w:p>
    <w:p w14:paraId="6E42CD97">
      <w:pPr>
        <w:pStyle w:val="270"/>
        <w:spacing w:before="120"/>
        <w:rPr>
          <w:rFonts w:hint="eastAsia" w:ascii="黑体" w:hAnsi="黑体" w:eastAsia="黑体" w:cs="黑体"/>
          <w:b w:val="0"/>
          <w:bCs w:val="0"/>
          <w:color w:val="auto"/>
          <w:shd w:val="clear" w:color="auto" w:fill="auto"/>
        </w:rPr>
      </w:pPr>
    </w:p>
    <w:p w14:paraId="6FB705C7">
      <w:pPr>
        <w:pStyle w:val="270"/>
        <w:spacing w:before="120"/>
        <w:rPr>
          <w:rFonts w:hint="eastAsia" w:ascii="黑体" w:hAnsi="黑体" w:eastAsia="黑体" w:cs="黑体"/>
          <w:b w:val="0"/>
          <w:bCs w:val="0"/>
          <w:color w:val="auto"/>
          <w:shd w:val="clear" w:color="auto" w:fill="auto"/>
        </w:rPr>
      </w:pPr>
    </w:p>
    <w:p w14:paraId="3331D930">
      <w:pPr>
        <w:pStyle w:val="270"/>
        <w:spacing w:before="120"/>
        <w:rPr>
          <w:rFonts w:hint="eastAsia" w:ascii="黑体" w:hAnsi="黑体" w:eastAsia="黑体" w:cs="黑体"/>
          <w:b w:val="0"/>
          <w:bCs w:val="0"/>
          <w:color w:val="auto"/>
          <w:shd w:val="clear" w:color="auto" w:fill="auto"/>
        </w:rPr>
      </w:pPr>
    </w:p>
    <w:p w14:paraId="09EBDEB3">
      <w:pPr>
        <w:pStyle w:val="270"/>
        <w:spacing w:before="120"/>
        <w:rPr>
          <w:rFonts w:hint="eastAsia" w:ascii="黑体" w:hAnsi="黑体" w:eastAsia="黑体" w:cs="黑体"/>
          <w:b w:val="0"/>
          <w:bCs w:val="0"/>
          <w:color w:val="auto"/>
          <w:shd w:val="clear" w:color="auto" w:fill="auto"/>
        </w:rPr>
      </w:pPr>
    </w:p>
    <w:p w14:paraId="23636DE5">
      <w:pPr>
        <w:pStyle w:val="270"/>
        <w:spacing w:before="120"/>
        <w:rPr>
          <w:rFonts w:hint="eastAsia" w:ascii="黑体" w:hAnsi="黑体" w:eastAsia="黑体" w:cs="黑体"/>
          <w:b w:val="0"/>
          <w:bCs w:val="0"/>
          <w:color w:val="auto"/>
          <w:shd w:val="clear" w:color="auto" w:fill="auto"/>
        </w:rPr>
      </w:pPr>
    </w:p>
    <w:p w14:paraId="5A2A6CE6">
      <w:pPr>
        <w:pStyle w:val="270"/>
        <w:spacing w:before="120"/>
        <w:rPr>
          <w:rFonts w:hint="eastAsia" w:ascii="黑体" w:hAnsi="黑体" w:eastAsia="黑体" w:cs="黑体"/>
          <w:b w:val="0"/>
          <w:bCs w:val="0"/>
          <w:color w:val="auto"/>
          <w:shd w:val="clear" w:color="auto" w:fill="auto"/>
        </w:rPr>
      </w:pPr>
    </w:p>
    <w:p w14:paraId="42E1D844">
      <w:pPr>
        <w:pStyle w:val="270"/>
        <w:spacing w:before="120"/>
        <w:rPr>
          <w:rFonts w:hint="eastAsia" w:ascii="黑体" w:hAnsi="黑体" w:eastAsia="黑体" w:cs="黑体"/>
          <w:b w:val="0"/>
          <w:bCs w:val="0"/>
          <w:color w:val="auto"/>
          <w:shd w:val="clear" w:color="auto" w:fill="auto"/>
        </w:rPr>
      </w:pPr>
    </w:p>
    <w:p w14:paraId="7D386EEC">
      <w:pPr>
        <w:pStyle w:val="270"/>
        <w:spacing w:before="120"/>
        <w:rPr>
          <w:rFonts w:hint="eastAsia" w:ascii="黑体" w:hAnsi="黑体" w:eastAsia="黑体" w:cs="黑体"/>
          <w:b w:val="0"/>
          <w:bCs w:val="0"/>
          <w:color w:val="auto"/>
          <w:shd w:val="clear" w:color="auto" w:fill="auto"/>
        </w:rPr>
      </w:pPr>
    </w:p>
    <w:p w14:paraId="6FA2BEE0">
      <w:pPr>
        <w:pStyle w:val="270"/>
        <w:spacing w:before="120"/>
        <w:rPr>
          <w:rFonts w:hint="eastAsia" w:ascii="黑体" w:hAnsi="黑体" w:eastAsia="黑体" w:cs="黑体"/>
          <w:b w:val="0"/>
          <w:bCs w:val="0"/>
          <w:color w:val="auto"/>
          <w:shd w:val="clear" w:color="auto" w:fill="auto"/>
        </w:rPr>
      </w:pPr>
    </w:p>
    <w:p w14:paraId="47550C64">
      <w:pPr>
        <w:pStyle w:val="270"/>
        <w:spacing w:before="120"/>
        <w:rPr>
          <w:rFonts w:hint="eastAsia" w:ascii="黑体" w:hAnsi="黑体" w:eastAsia="黑体" w:cs="黑体"/>
          <w:b w:val="0"/>
          <w:bCs w:val="0"/>
          <w:color w:val="auto"/>
          <w:shd w:val="clear" w:color="auto" w:fill="auto"/>
        </w:rPr>
      </w:pPr>
    </w:p>
    <w:p w14:paraId="162D7BC4">
      <w:pPr>
        <w:pStyle w:val="270"/>
        <w:spacing w:before="120"/>
        <w:rPr>
          <w:rFonts w:hint="eastAsia" w:ascii="黑体" w:hAnsi="黑体" w:eastAsia="黑体" w:cs="黑体"/>
          <w:b w:val="0"/>
          <w:bCs w:val="0"/>
          <w:color w:val="auto"/>
          <w:shd w:val="clear" w:color="auto" w:fill="auto"/>
        </w:rPr>
      </w:pPr>
    </w:p>
    <w:p w14:paraId="40E4554C">
      <w:pPr>
        <w:pStyle w:val="270"/>
        <w:spacing w:before="120"/>
        <w:rPr>
          <w:rFonts w:hint="eastAsia" w:ascii="黑体" w:hAnsi="黑体" w:eastAsia="黑体" w:cs="黑体"/>
          <w:b w:val="0"/>
          <w:bCs w:val="0"/>
          <w:color w:val="auto"/>
          <w:shd w:val="clear" w:color="auto" w:fill="auto"/>
        </w:rPr>
      </w:pPr>
    </w:p>
    <w:p w14:paraId="4BC54562">
      <w:pPr>
        <w:pStyle w:val="270"/>
        <w:spacing w:before="120"/>
        <w:rPr>
          <w:rFonts w:hint="eastAsia" w:ascii="黑体" w:hAnsi="黑体" w:eastAsia="黑体" w:cs="黑体"/>
          <w:b w:val="0"/>
          <w:bCs w:val="0"/>
          <w:color w:val="auto"/>
          <w:shd w:val="clear" w:color="auto" w:fill="auto"/>
        </w:rPr>
      </w:pPr>
    </w:p>
    <w:p w14:paraId="02924DB3">
      <w:pPr>
        <w:pStyle w:val="270"/>
        <w:spacing w:before="120"/>
        <w:rPr>
          <w:color w:val="auto"/>
          <w:shd w:val="clear" w:color="auto" w:fill="auto"/>
        </w:rPr>
      </w:pPr>
      <w:r>
        <w:rPr>
          <w:rFonts w:hint="eastAsia" w:ascii="黑体" w:hAnsi="黑体" w:eastAsia="黑体" w:cs="黑体"/>
          <w:b w:val="0"/>
          <w:bCs w:val="0"/>
          <w:color w:val="auto"/>
          <w:shd w:val="clear" w:color="auto" w:fill="auto"/>
        </w:rPr>
        <w:t>表</w:t>
      </w:r>
      <w:r>
        <w:rPr>
          <w:rFonts w:hint="eastAsia" w:ascii="黑体" w:hAnsi="黑体" w:eastAsia="黑体" w:cs="黑体"/>
          <w:b w:val="0"/>
          <w:bCs w:val="0"/>
          <w:color w:val="auto"/>
          <w:shd w:val="clear" w:color="auto" w:fill="auto"/>
          <w:lang w:val="en-US" w:eastAsia="zh-CN"/>
        </w:rPr>
        <w:t>4-1</w:t>
      </w:r>
      <w:r>
        <w:rPr>
          <w:rFonts w:hint="eastAsia" w:ascii="黑体" w:hAnsi="黑体" w:eastAsia="黑体" w:cs="黑体"/>
          <w:b w:val="0"/>
          <w:bCs w:val="0"/>
          <w:color w:val="auto"/>
          <w:shd w:val="clear" w:color="auto" w:fill="auto"/>
        </w:rPr>
        <w:t>项目组成一览表</w:t>
      </w:r>
    </w:p>
    <w:tbl>
      <w:tblPr>
        <w:tblStyle w:val="52"/>
        <w:tblW w:w="4998" w:type="pct"/>
        <w:tblInd w:w="0" w:type="dxa"/>
        <w:tblBorders>
          <w:top w:val="single" w:color="auto" w:sz="12" w:space="0"/>
          <w:left w:val="none" w:color="auto" w:sz="0" w:space="0"/>
          <w:bottom w:val="single" w:color="auto" w:sz="12" w:space="0"/>
          <w:right w:val="none" w:color="auto" w:sz="0" w:space="0"/>
          <w:insideH w:val="single" w:color="auto" w:sz="4" w:space="0"/>
          <w:insideV w:val="single" w:color="000000" w:sz="4" w:space="0"/>
        </w:tblBorders>
        <w:tblLayout w:type="autofit"/>
        <w:tblCellMar>
          <w:top w:w="0" w:type="dxa"/>
          <w:left w:w="0" w:type="dxa"/>
          <w:bottom w:w="0" w:type="dxa"/>
          <w:right w:w="0" w:type="dxa"/>
        </w:tblCellMar>
      </w:tblPr>
      <w:tblGrid>
        <w:gridCol w:w="546"/>
        <w:gridCol w:w="1174"/>
        <w:gridCol w:w="5440"/>
        <w:gridCol w:w="1143"/>
      </w:tblGrid>
      <w:tr w14:paraId="2964EF1B">
        <w:tblPrEx>
          <w:tblBorders>
            <w:top w:val="single" w:color="auto" w:sz="12" w:space="0"/>
            <w:left w:val="none" w:color="auto" w:sz="0" w:space="0"/>
            <w:bottom w:val="single" w:color="auto" w:sz="12" w:space="0"/>
            <w:right w:val="none" w:color="auto" w:sz="0" w:space="0"/>
            <w:insideH w:val="single" w:color="auto" w:sz="4" w:space="0"/>
            <w:insideV w:val="single" w:color="000000" w:sz="4" w:space="0"/>
          </w:tblBorders>
          <w:tblCellMar>
            <w:top w:w="0" w:type="dxa"/>
            <w:left w:w="0" w:type="dxa"/>
            <w:bottom w:w="0" w:type="dxa"/>
            <w:right w:w="0" w:type="dxa"/>
          </w:tblCellMar>
        </w:tblPrEx>
        <w:trPr>
          <w:trHeight w:val="423" w:hRule="atLeast"/>
          <w:tblHeader/>
        </w:trPr>
        <w:tc>
          <w:tcPr>
            <w:tcW w:w="329" w:type="pct"/>
            <w:tcBorders>
              <w:tl2br w:val="nil"/>
              <w:tr2bl w:val="nil"/>
            </w:tcBorders>
            <w:vAlign w:val="center"/>
          </w:tcPr>
          <w:p w14:paraId="56AFA64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eastAsiaTheme="minorEastAsia"/>
                <w:sz w:val="21"/>
                <w:szCs w:val="21"/>
              </w:rPr>
            </w:pPr>
            <w:r>
              <w:rPr>
                <w:rFonts w:eastAsiaTheme="minorEastAsia"/>
                <w:sz w:val="21"/>
                <w:szCs w:val="21"/>
              </w:rPr>
              <w:t>工程类别</w:t>
            </w:r>
          </w:p>
        </w:tc>
        <w:tc>
          <w:tcPr>
            <w:tcW w:w="706" w:type="pct"/>
            <w:tcBorders>
              <w:tl2br w:val="nil"/>
              <w:tr2bl w:val="nil"/>
            </w:tcBorders>
            <w:vAlign w:val="center"/>
          </w:tcPr>
          <w:p w14:paraId="5DBF69D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eastAsiaTheme="minorEastAsia"/>
                <w:position w:val="-1"/>
                <w:sz w:val="21"/>
                <w:szCs w:val="21"/>
              </w:rPr>
            </w:pPr>
            <w:r>
              <w:rPr>
                <w:rFonts w:eastAsiaTheme="minorEastAsia"/>
                <w:position w:val="-1"/>
                <w:sz w:val="21"/>
                <w:szCs w:val="21"/>
              </w:rPr>
              <w:t>项目名称</w:t>
            </w:r>
          </w:p>
        </w:tc>
        <w:tc>
          <w:tcPr>
            <w:tcW w:w="3275" w:type="pct"/>
            <w:tcBorders>
              <w:tl2br w:val="nil"/>
              <w:tr2bl w:val="nil"/>
            </w:tcBorders>
            <w:vAlign w:val="center"/>
          </w:tcPr>
          <w:p w14:paraId="638F7EC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eastAsiaTheme="minorEastAsia"/>
                <w:sz w:val="21"/>
                <w:szCs w:val="21"/>
              </w:rPr>
            </w:pPr>
            <w:r>
              <w:rPr>
                <w:rFonts w:eastAsiaTheme="minorEastAsia"/>
                <w:sz w:val="21"/>
                <w:szCs w:val="21"/>
              </w:rPr>
              <w:t>建设内容</w:t>
            </w:r>
          </w:p>
        </w:tc>
        <w:tc>
          <w:tcPr>
            <w:tcW w:w="688" w:type="pct"/>
            <w:tcBorders>
              <w:tl2br w:val="nil"/>
              <w:tr2bl w:val="nil"/>
            </w:tcBorders>
            <w:vAlign w:val="center"/>
          </w:tcPr>
          <w:p w14:paraId="55643D0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eastAsiaTheme="minorEastAsia"/>
                <w:sz w:val="21"/>
                <w:szCs w:val="21"/>
                <w:lang w:eastAsia="zh-CN"/>
              </w:rPr>
            </w:pPr>
            <w:r>
              <w:rPr>
                <w:rFonts w:hint="eastAsia" w:eastAsiaTheme="minorEastAsia"/>
                <w:sz w:val="21"/>
                <w:szCs w:val="21"/>
                <w:lang w:eastAsia="zh-CN"/>
              </w:rPr>
              <w:t>备注</w:t>
            </w:r>
          </w:p>
        </w:tc>
      </w:tr>
      <w:tr w14:paraId="17B3A6A5">
        <w:tblPrEx>
          <w:tblBorders>
            <w:top w:val="single" w:color="auto" w:sz="12" w:space="0"/>
            <w:left w:val="none" w:color="auto" w:sz="0" w:space="0"/>
            <w:bottom w:val="single" w:color="auto" w:sz="12" w:space="0"/>
            <w:right w:val="none" w:color="auto" w:sz="0" w:space="0"/>
            <w:insideH w:val="single" w:color="auto" w:sz="4" w:space="0"/>
            <w:insideV w:val="single" w:color="000000" w:sz="4" w:space="0"/>
          </w:tblBorders>
          <w:tblCellMar>
            <w:top w:w="0" w:type="dxa"/>
            <w:left w:w="0" w:type="dxa"/>
            <w:bottom w:w="0" w:type="dxa"/>
            <w:right w:w="0" w:type="dxa"/>
          </w:tblCellMar>
        </w:tblPrEx>
        <w:trPr>
          <w:trHeight w:val="423" w:hRule="atLeast"/>
          <w:tblHeader/>
        </w:trPr>
        <w:tc>
          <w:tcPr>
            <w:tcW w:w="1036" w:type="pct"/>
            <w:gridSpan w:val="2"/>
            <w:tcBorders>
              <w:tl2br w:val="nil"/>
              <w:tr2bl w:val="nil"/>
            </w:tcBorders>
            <w:vAlign w:val="center"/>
          </w:tcPr>
          <w:p w14:paraId="37CC1AD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eastAsiaTheme="minorEastAsia"/>
                <w:position w:val="-1"/>
                <w:sz w:val="21"/>
                <w:szCs w:val="21"/>
              </w:rPr>
            </w:pPr>
            <w:r>
              <w:rPr>
                <w:rFonts w:hint="eastAsia" w:eastAsiaTheme="minorEastAsia"/>
                <w:sz w:val="21"/>
                <w:szCs w:val="21"/>
                <w:lang w:eastAsia="zh-CN"/>
              </w:rPr>
              <w:t>车间占地面积</w:t>
            </w:r>
          </w:p>
        </w:tc>
        <w:tc>
          <w:tcPr>
            <w:tcW w:w="3275" w:type="pct"/>
            <w:tcBorders>
              <w:tl2br w:val="nil"/>
              <w:tr2bl w:val="nil"/>
            </w:tcBorders>
            <w:vAlign w:val="center"/>
          </w:tcPr>
          <w:p w14:paraId="45232A1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Theme="minorEastAsia"/>
                <w:sz w:val="21"/>
                <w:szCs w:val="21"/>
                <w:lang w:val="en-US" w:eastAsia="zh-CN"/>
              </w:rPr>
            </w:pPr>
            <w:r>
              <w:rPr>
                <w:rFonts w:hint="eastAsia" w:eastAsiaTheme="minorEastAsia"/>
                <w:sz w:val="21"/>
                <w:szCs w:val="21"/>
                <w:lang w:val="en-US" w:eastAsia="zh-CN"/>
              </w:rPr>
              <w:t>4737.66m2</w:t>
            </w:r>
          </w:p>
        </w:tc>
        <w:tc>
          <w:tcPr>
            <w:tcW w:w="688" w:type="pct"/>
            <w:vMerge w:val="restart"/>
            <w:tcBorders>
              <w:tl2br w:val="nil"/>
              <w:tr2bl w:val="nil"/>
            </w:tcBorders>
            <w:vAlign w:val="center"/>
          </w:tcPr>
          <w:p w14:paraId="35CAAAD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eastAsiaTheme="minorEastAsia"/>
                <w:sz w:val="21"/>
                <w:szCs w:val="21"/>
                <w:lang w:val="en-US" w:eastAsia="zh-CN"/>
              </w:rPr>
            </w:pPr>
            <w:r>
              <w:rPr>
                <w:rFonts w:hint="eastAsia" w:eastAsiaTheme="minorEastAsia"/>
                <w:sz w:val="21"/>
                <w:szCs w:val="21"/>
                <w:lang w:val="en-US" w:eastAsia="zh-CN"/>
              </w:rPr>
              <w:t>依托现有厂房</w:t>
            </w:r>
          </w:p>
        </w:tc>
      </w:tr>
      <w:tr w14:paraId="4AA92288">
        <w:tblPrEx>
          <w:tblBorders>
            <w:top w:val="single" w:color="auto" w:sz="12" w:space="0"/>
            <w:left w:val="none" w:color="auto" w:sz="0" w:space="0"/>
            <w:bottom w:val="single" w:color="auto" w:sz="12" w:space="0"/>
            <w:right w:val="none" w:color="auto" w:sz="0" w:space="0"/>
            <w:insideH w:val="single" w:color="auto" w:sz="4" w:space="0"/>
            <w:insideV w:val="single" w:color="000000" w:sz="4" w:space="0"/>
          </w:tblBorders>
          <w:tblCellMar>
            <w:top w:w="0" w:type="dxa"/>
            <w:left w:w="0" w:type="dxa"/>
            <w:bottom w:w="0" w:type="dxa"/>
            <w:right w:w="0" w:type="dxa"/>
          </w:tblCellMar>
        </w:tblPrEx>
        <w:trPr>
          <w:trHeight w:val="423" w:hRule="atLeast"/>
          <w:tblHeader/>
        </w:trPr>
        <w:tc>
          <w:tcPr>
            <w:tcW w:w="1036" w:type="pct"/>
            <w:gridSpan w:val="2"/>
            <w:tcBorders>
              <w:tl2br w:val="nil"/>
              <w:tr2bl w:val="nil"/>
            </w:tcBorders>
            <w:vAlign w:val="center"/>
          </w:tcPr>
          <w:p w14:paraId="4907937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eastAsiaTheme="minorEastAsia"/>
                <w:sz w:val="21"/>
                <w:szCs w:val="21"/>
                <w:lang w:eastAsia="zh-CN"/>
              </w:rPr>
            </w:pPr>
            <w:r>
              <w:rPr>
                <w:rFonts w:hint="eastAsia" w:eastAsiaTheme="minorEastAsia"/>
                <w:sz w:val="21"/>
                <w:szCs w:val="21"/>
                <w:lang w:eastAsia="zh-CN"/>
              </w:rPr>
              <w:t>主要建设内容</w:t>
            </w:r>
          </w:p>
        </w:tc>
        <w:tc>
          <w:tcPr>
            <w:tcW w:w="3275" w:type="pct"/>
            <w:tcBorders>
              <w:tl2br w:val="nil"/>
              <w:tr2bl w:val="nil"/>
            </w:tcBorders>
            <w:vAlign w:val="center"/>
          </w:tcPr>
          <w:p w14:paraId="646674A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eastAsiaTheme="minorEastAsia"/>
                <w:sz w:val="21"/>
                <w:szCs w:val="21"/>
                <w:lang w:val="en-US" w:eastAsia="zh-CN"/>
              </w:rPr>
            </w:pPr>
            <w:r>
              <w:rPr>
                <w:rFonts w:hint="eastAsia" w:eastAsiaTheme="minorEastAsia"/>
                <w:sz w:val="21"/>
                <w:szCs w:val="21"/>
                <w:lang w:val="en-US" w:eastAsia="zh-CN"/>
              </w:rPr>
              <w:t>项目利用厂区内现有标准化厂房，仅进行车间内设备安装，主要建设内容为安装铜排表面处理生产线一条；其他生活、办公设施依托企业现有设施。</w:t>
            </w:r>
          </w:p>
        </w:tc>
        <w:tc>
          <w:tcPr>
            <w:tcW w:w="688" w:type="pct"/>
            <w:vMerge w:val="continue"/>
            <w:tcBorders>
              <w:tl2br w:val="nil"/>
              <w:tr2bl w:val="nil"/>
            </w:tcBorders>
            <w:vAlign w:val="center"/>
          </w:tcPr>
          <w:p w14:paraId="09BC28A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eastAsiaTheme="minorEastAsia"/>
                <w:sz w:val="21"/>
                <w:szCs w:val="21"/>
                <w:lang w:val="en-US" w:eastAsia="zh-CN"/>
              </w:rPr>
            </w:pPr>
          </w:p>
        </w:tc>
      </w:tr>
      <w:tr w14:paraId="2C92179B">
        <w:tblPrEx>
          <w:tblBorders>
            <w:top w:val="single" w:color="auto" w:sz="12" w:space="0"/>
            <w:left w:val="none" w:color="auto" w:sz="0" w:space="0"/>
            <w:bottom w:val="single" w:color="auto" w:sz="12" w:space="0"/>
            <w:right w:val="none" w:color="auto" w:sz="0" w:space="0"/>
            <w:insideH w:val="single" w:color="auto" w:sz="4" w:space="0"/>
            <w:insideV w:val="single" w:color="000000" w:sz="4" w:space="0"/>
          </w:tblBorders>
          <w:tblCellMar>
            <w:top w:w="0" w:type="dxa"/>
            <w:left w:w="0" w:type="dxa"/>
            <w:bottom w:w="0" w:type="dxa"/>
            <w:right w:w="0" w:type="dxa"/>
          </w:tblCellMar>
        </w:tblPrEx>
        <w:trPr>
          <w:trHeight w:val="706" w:hRule="atLeast"/>
        </w:trPr>
        <w:tc>
          <w:tcPr>
            <w:tcW w:w="329" w:type="pct"/>
            <w:tcBorders>
              <w:tl2br w:val="nil"/>
              <w:tr2bl w:val="nil"/>
            </w:tcBorders>
            <w:vAlign w:val="center"/>
          </w:tcPr>
          <w:p w14:paraId="70E3E6B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eastAsiaTheme="minorEastAsia"/>
                <w:sz w:val="21"/>
                <w:szCs w:val="21"/>
              </w:rPr>
            </w:pPr>
            <w:r>
              <w:rPr>
                <w:rFonts w:eastAsiaTheme="minorEastAsia"/>
                <w:sz w:val="21"/>
                <w:szCs w:val="21"/>
              </w:rPr>
              <w:t>主体工程</w:t>
            </w:r>
          </w:p>
        </w:tc>
        <w:tc>
          <w:tcPr>
            <w:tcW w:w="706" w:type="pct"/>
            <w:tcBorders>
              <w:tl2br w:val="nil"/>
              <w:tr2bl w:val="nil"/>
            </w:tcBorders>
            <w:vAlign w:val="center"/>
          </w:tcPr>
          <w:p w14:paraId="2880C8E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eastAsiaTheme="minorEastAsia"/>
                <w:sz w:val="21"/>
                <w:szCs w:val="21"/>
                <w:lang w:eastAsia="zh-CN"/>
              </w:rPr>
            </w:pPr>
            <w:r>
              <w:rPr>
                <w:rFonts w:hint="eastAsia" w:eastAsiaTheme="minorEastAsia"/>
                <w:sz w:val="21"/>
                <w:szCs w:val="21"/>
                <w:lang w:eastAsia="zh-CN"/>
              </w:rPr>
              <w:t>生产系统</w:t>
            </w:r>
          </w:p>
        </w:tc>
        <w:tc>
          <w:tcPr>
            <w:tcW w:w="3275" w:type="pct"/>
            <w:tcBorders>
              <w:tl2br w:val="nil"/>
              <w:tr2bl w:val="nil"/>
            </w:tcBorders>
            <w:vAlign w:val="center"/>
          </w:tcPr>
          <w:p w14:paraId="27B2744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Theme="minorEastAsia"/>
                <w:sz w:val="21"/>
                <w:szCs w:val="21"/>
                <w:lang w:val="en-US"/>
              </w:rPr>
            </w:pPr>
            <w:r>
              <w:rPr>
                <w:rFonts w:hint="eastAsia" w:eastAsiaTheme="minorEastAsia"/>
                <w:sz w:val="21"/>
                <w:szCs w:val="21"/>
                <w:lang w:val="en-US" w:eastAsia="zh-CN"/>
              </w:rPr>
              <w:t>建设铜排表面处理生产线一条，设计生产产能3000t/a，每天1班8小时制，年生产天数300d。</w:t>
            </w:r>
          </w:p>
        </w:tc>
        <w:tc>
          <w:tcPr>
            <w:tcW w:w="688" w:type="pct"/>
            <w:tcBorders>
              <w:tl2br w:val="nil"/>
              <w:tr2bl w:val="nil"/>
            </w:tcBorders>
            <w:vAlign w:val="center"/>
          </w:tcPr>
          <w:p w14:paraId="634A3E6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Theme="minorEastAsia"/>
                <w:sz w:val="21"/>
                <w:szCs w:val="21"/>
                <w:lang w:val="en-US" w:eastAsia="zh-CN"/>
              </w:rPr>
            </w:pPr>
            <w:r>
              <w:rPr>
                <w:rFonts w:hint="eastAsia" w:eastAsiaTheme="minorEastAsia"/>
                <w:sz w:val="21"/>
                <w:szCs w:val="21"/>
                <w:lang w:val="en-US" w:eastAsia="zh-CN"/>
              </w:rPr>
              <w:t>——</w:t>
            </w:r>
          </w:p>
        </w:tc>
      </w:tr>
      <w:tr w14:paraId="3FC0C84F">
        <w:tblPrEx>
          <w:tblBorders>
            <w:top w:val="single" w:color="auto" w:sz="12" w:space="0"/>
            <w:left w:val="none" w:color="auto" w:sz="0" w:space="0"/>
            <w:bottom w:val="single" w:color="auto" w:sz="12" w:space="0"/>
            <w:right w:val="none" w:color="auto" w:sz="0" w:space="0"/>
            <w:insideH w:val="single" w:color="auto" w:sz="4" w:space="0"/>
            <w:insideV w:val="single" w:color="000000" w:sz="4" w:space="0"/>
          </w:tblBorders>
          <w:tblCellMar>
            <w:top w:w="0" w:type="dxa"/>
            <w:left w:w="0" w:type="dxa"/>
            <w:bottom w:w="0" w:type="dxa"/>
            <w:right w:w="0" w:type="dxa"/>
          </w:tblCellMar>
        </w:tblPrEx>
        <w:trPr>
          <w:trHeight w:val="559" w:hRule="atLeast"/>
        </w:trPr>
        <w:tc>
          <w:tcPr>
            <w:tcW w:w="329" w:type="pct"/>
            <w:vMerge w:val="restart"/>
            <w:tcBorders>
              <w:tl2br w:val="nil"/>
              <w:tr2bl w:val="nil"/>
            </w:tcBorders>
            <w:vAlign w:val="center"/>
          </w:tcPr>
          <w:p w14:paraId="3FEEB4C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eastAsiaTheme="minorEastAsia"/>
                <w:sz w:val="21"/>
                <w:szCs w:val="21"/>
                <w:lang w:eastAsia="zh-CN"/>
              </w:rPr>
            </w:pPr>
            <w:r>
              <w:rPr>
                <w:rFonts w:hint="eastAsia" w:eastAsiaTheme="minorEastAsia"/>
                <w:sz w:val="21"/>
                <w:szCs w:val="21"/>
                <w:lang w:eastAsia="zh-CN"/>
              </w:rPr>
              <w:t>储运工程</w:t>
            </w:r>
          </w:p>
        </w:tc>
        <w:tc>
          <w:tcPr>
            <w:tcW w:w="706" w:type="pct"/>
            <w:tcBorders>
              <w:tl2br w:val="nil"/>
              <w:tr2bl w:val="nil"/>
            </w:tcBorders>
            <w:vAlign w:val="center"/>
          </w:tcPr>
          <w:p w14:paraId="116AAE3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eastAsiaTheme="minorEastAsia"/>
                <w:sz w:val="21"/>
                <w:szCs w:val="21"/>
                <w:lang w:eastAsia="zh-CN"/>
              </w:rPr>
            </w:pPr>
            <w:r>
              <w:rPr>
                <w:rFonts w:hint="eastAsia" w:eastAsiaTheme="minorEastAsia"/>
                <w:sz w:val="21"/>
                <w:szCs w:val="21"/>
                <w:lang w:eastAsia="zh-CN"/>
              </w:rPr>
              <w:t>化学品存放库</w:t>
            </w:r>
          </w:p>
        </w:tc>
        <w:tc>
          <w:tcPr>
            <w:tcW w:w="3275" w:type="pct"/>
            <w:tcBorders>
              <w:tl2br w:val="nil"/>
              <w:tr2bl w:val="nil"/>
            </w:tcBorders>
            <w:vAlign w:val="center"/>
          </w:tcPr>
          <w:p w14:paraId="1DE86B3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eastAsiaTheme="minorEastAsia"/>
                <w:sz w:val="21"/>
                <w:szCs w:val="21"/>
                <w:lang w:eastAsia="zh-CN"/>
              </w:rPr>
            </w:pPr>
            <w:r>
              <w:rPr>
                <w:rFonts w:hint="eastAsia" w:eastAsiaTheme="minorEastAsia"/>
                <w:sz w:val="21"/>
                <w:szCs w:val="21"/>
                <w:lang w:eastAsia="zh-CN"/>
              </w:rPr>
              <w:t>化学品定期外购，存放于车间化学品暂存间</w:t>
            </w:r>
          </w:p>
        </w:tc>
        <w:tc>
          <w:tcPr>
            <w:tcW w:w="688" w:type="pct"/>
            <w:tcBorders>
              <w:tl2br w:val="nil"/>
              <w:tr2bl w:val="nil"/>
            </w:tcBorders>
            <w:vAlign w:val="center"/>
          </w:tcPr>
          <w:p w14:paraId="577DF0D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eastAsiaTheme="minorEastAsia"/>
                <w:sz w:val="21"/>
                <w:szCs w:val="21"/>
                <w:lang w:eastAsia="zh-CN"/>
              </w:rPr>
            </w:pPr>
            <w:r>
              <w:rPr>
                <w:rFonts w:hint="eastAsia" w:eastAsiaTheme="minorEastAsia"/>
                <w:sz w:val="21"/>
                <w:szCs w:val="21"/>
                <w:lang w:eastAsia="zh-CN"/>
              </w:rPr>
              <w:t>现有车间内新建</w:t>
            </w:r>
          </w:p>
        </w:tc>
      </w:tr>
      <w:tr w14:paraId="7182F618">
        <w:tblPrEx>
          <w:tblBorders>
            <w:top w:val="single" w:color="auto" w:sz="12" w:space="0"/>
            <w:left w:val="none" w:color="auto" w:sz="0" w:space="0"/>
            <w:bottom w:val="single" w:color="auto" w:sz="12" w:space="0"/>
            <w:right w:val="none" w:color="auto" w:sz="0" w:space="0"/>
            <w:insideH w:val="single" w:color="auto" w:sz="4" w:space="0"/>
            <w:insideV w:val="single" w:color="000000" w:sz="4" w:space="0"/>
          </w:tblBorders>
          <w:tblCellMar>
            <w:top w:w="0" w:type="dxa"/>
            <w:left w:w="0" w:type="dxa"/>
            <w:bottom w:w="0" w:type="dxa"/>
            <w:right w:w="0" w:type="dxa"/>
          </w:tblCellMar>
        </w:tblPrEx>
        <w:trPr>
          <w:trHeight w:val="559" w:hRule="atLeast"/>
        </w:trPr>
        <w:tc>
          <w:tcPr>
            <w:tcW w:w="329" w:type="pct"/>
            <w:vMerge w:val="continue"/>
            <w:tcBorders>
              <w:tl2br w:val="nil"/>
              <w:tr2bl w:val="nil"/>
            </w:tcBorders>
            <w:vAlign w:val="center"/>
          </w:tcPr>
          <w:p w14:paraId="6C03ECC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eastAsiaTheme="minorEastAsia"/>
                <w:sz w:val="21"/>
                <w:szCs w:val="21"/>
                <w:lang w:eastAsia="zh-CN"/>
              </w:rPr>
            </w:pPr>
          </w:p>
        </w:tc>
        <w:tc>
          <w:tcPr>
            <w:tcW w:w="706" w:type="pct"/>
            <w:tcBorders>
              <w:tl2br w:val="nil"/>
              <w:tr2bl w:val="nil"/>
            </w:tcBorders>
            <w:vAlign w:val="center"/>
          </w:tcPr>
          <w:p w14:paraId="2C320D8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eastAsiaTheme="minorEastAsia"/>
                <w:position w:val="-1"/>
                <w:sz w:val="21"/>
                <w:szCs w:val="21"/>
                <w:lang w:eastAsia="zh-CN"/>
              </w:rPr>
            </w:pPr>
            <w:r>
              <w:rPr>
                <w:rFonts w:hint="eastAsia" w:eastAsiaTheme="minorEastAsia"/>
                <w:position w:val="-1"/>
                <w:sz w:val="21"/>
                <w:szCs w:val="21"/>
                <w:lang w:eastAsia="zh-CN"/>
              </w:rPr>
              <w:t>产品仓库</w:t>
            </w:r>
          </w:p>
        </w:tc>
        <w:tc>
          <w:tcPr>
            <w:tcW w:w="3275" w:type="pct"/>
            <w:tcBorders>
              <w:tl2br w:val="nil"/>
              <w:tr2bl w:val="nil"/>
            </w:tcBorders>
            <w:vAlign w:val="center"/>
          </w:tcPr>
          <w:p w14:paraId="4FDF79C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eastAsiaTheme="minorEastAsia"/>
                <w:sz w:val="21"/>
                <w:szCs w:val="21"/>
                <w:lang w:eastAsia="zh-CN"/>
              </w:rPr>
            </w:pPr>
            <w:r>
              <w:rPr>
                <w:rFonts w:hint="eastAsia" w:eastAsiaTheme="minorEastAsia"/>
                <w:sz w:val="21"/>
                <w:szCs w:val="21"/>
                <w:lang w:eastAsia="zh-CN"/>
              </w:rPr>
              <w:t>车间设置有产品库房</w:t>
            </w:r>
          </w:p>
        </w:tc>
        <w:tc>
          <w:tcPr>
            <w:tcW w:w="688" w:type="pct"/>
            <w:tcBorders>
              <w:tl2br w:val="nil"/>
              <w:tr2bl w:val="nil"/>
            </w:tcBorders>
            <w:vAlign w:val="center"/>
          </w:tcPr>
          <w:p w14:paraId="3295249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eastAsiaTheme="minorEastAsia"/>
                <w:sz w:val="21"/>
                <w:szCs w:val="21"/>
                <w:lang w:eastAsia="zh-CN"/>
              </w:rPr>
            </w:pPr>
            <w:r>
              <w:rPr>
                <w:rFonts w:hint="eastAsia" w:eastAsiaTheme="minorEastAsia"/>
                <w:sz w:val="21"/>
                <w:szCs w:val="21"/>
                <w:lang w:eastAsia="zh-CN"/>
              </w:rPr>
              <w:t>现有车间内新建</w:t>
            </w:r>
          </w:p>
        </w:tc>
      </w:tr>
      <w:tr w14:paraId="6D931715">
        <w:tblPrEx>
          <w:tblBorders>
            <w:top w:val="single" w:color="auto" w:sz="12" w:space="0"/>
            <w:left w:val="none" w:color="auto" w:sz="0" w:space="0"/>
            <w:bottom w:val="single" w:color="auto" w:sz="12" w:space="0"/>
            <w:right w:val="none" w:color="auto" w:sz="0" w:space="0"/>
            <w:insideH w:val="single" w:color="auto" w:sz="4" w:space="0"/>
            <w:insideV w:val="single" w:color="000000" w:sz="4" w:space="0"/>
          </w:tblBorders>
          <w:tblCellMar>
            <w:top w:w="0" w:type="dxa"/>
            <w:left w:w="0" w:type="dxa"/>
            <w:bottom w:w="0" w:type="dxa"/>
            <w:right w:w="0" w:type="dxa"/>
          </w:tblCellMar>
        </w:tblPrEx>
        <w:trPr>
          <w:trHeight w:val="559" w:hRule="atLeast"/>
        </w:trPr>
        <w:tc>
          <w:tcPr>
            <w:tcW w:w="329" w:type="pct"/>
            <w:vMerge w:val="continue"/>
            <w:tcBorders>
              <w:tl2br w:val="nil"/>
              <w:tr2bl w:val="nil"/>
            </w:tcBorders>
            <w:vAlign w:val="center"/>
          </w:tcPr>
          <w:p w14:paraId="18F593D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eastAsiaTheme="minorEastAsia"/>
                <w:sz w:val="21"/>
                <w:szCs w:val="21"/>
                <w:lang w:eastAsia="zh-CN"/>
              </w:rPr>
            </w:pPr>
          </w:p>
        </w:tc>
        <w:tc>
          <w:tcPr>
            <w:tcW w:w="706" w:type="pct"/>
            <w:tcBorders>
              <w:tl2br w:val="nil"/>
              <w:tr2bl w:val="nil"/>
            </w:tcBorders>
            <w:vAlign w:val="center"/>
          </w:tcPr>
          <w:p w14:paraId="5D902D2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eastAsiaTheme="minorEastAsia"/>
                <w:position w:val="-1"/>
                <w:sz w:val="21"/>
                <w:szCs w:val="21"/>
                <w:lang w:eastAsia="zh-CN"/>
              </w:rPr>
            </w:pPr>
            <w:r>
              <w:rPr>
                <w:rFonts w:hint="eastAsia" w:eastAsiaTheme="minorEastAsia"/>
                <w:position w:val="-1"/>
                <w:sz w:val="21"/>
                <w:szCs w:val="21"/>
                <w:lang w:eastAsia="zh-CN"/>
              </w:rPr>
              <w:t>运输</w:t>
            </w:r>
          </w:p>
        </w:tc>
        <w:tc>
          <w:tcPr>
            <w:tcW w:w="3275" w:type="pct"/>
            <w:tcBorders>
              <w:tl2br w:val="nil"/>
              <w:tr2bl w:val="nil"/>
            </w:tcBorders>
            <w:vAlign w:val="center"/>
          </w:tcPr>
          <w:p w14:paraId="3A75127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eastAsiaTheme="minorEastAsia"/>
                <w:sz w:val="21"/>
                <w:szCs w:val="21"/>
                <w:lang w:eastAsia="zh-CN"/>
              </w:rPr>
            </w:pPr>
            <w:r>
              <w:rPr>
                <w:rFonts w:hint="eastAsia" w:eastAsiaTheme="minorEastAsia"/>
                <w:sz w:val="21"/>
                <w:szCs w:val="21"/>
                <w:lang w:eastAsia="zh-CN"/>
              </w:rPr>
              <w:t>原辅材料和产品均通过汽车运输</w:t>
            </w:r>
          </w:p>
        </w:tc>
        <w:tc>
          <w:tcPr>
            <w:tcW w:w="688" w:type="pct"/>
            <w:tcBorders>
              <w:tl2br w:val="nil"/>
              <w:tr2bl w:val="nil"/>
            </w:tcBorders>
            <w:vAlign w:val="center"/>
          </w:tcPr>
          <w:p w14:paraId="1304F5E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eastAsiaTheme="minorEastAsia"/>
                <w:sz w:val="21"/>
                <w:szCs w:val="21"/>
                <w:lang w:eastAsia="zh-CN"/>
              </w:rPr>
            </w:pPr>
            <w:r>
              <w:rPr>
                <w:rFonts w:hint="eastAsia" w:eastAsiaTheme="minorEastAsia"/>
                <w:sz w:val="21"/>
                <w:szCs w:val="21"/>
                <w:lang w:val="en-US" w:eastAsia="zh-CN"/>
              </w:rPr>
              <w:t>——</w:t>
            </w:r>
          </w:p>
        </w:tc>
      </w:tr>
      <w:tr w14:paraId="566E4069">
        <w:tblPrEx>
          <w:tblBorders>
            <w:top w:val="single" w:color="auto" w:sz="12" w:space="0"/>
            <w:left w:val="none" w:color="auto" w:sz="0" w:space="0"/>
            <w:bottom w:val="single" w:color="auto" w:sz="12" w:space="0"/>
            <w:right w:val="none" w:color="auto" w:sz="0" w:space="0"/>
            <w:insideH w:val="single" w:color="auto" w:sz="4" w:space="0"/>
            <w:insideV w:val="single" w:color="000000" w:sz="4" w:space="0"/>
          </w:tblBorders>
          <w:tblCellMar>
            <w:top w:w="0" w:type="dxa"/>
            <w:left w:w="0" w:type="dxa"/>
            <w:bottom w:w="0" w:type="dxa"/>
            <w:right w:w="0" w:type="dxa"/>
          </w:tblCellMar>
        </w:tblPrEx>
        <w:trPr>
          <w:trHeight w:val="413" w:hRule="atLeast"/>
        </w:trPr>
        <w:tc>
          <w:tcPr>
            <w:tcW w:w="329" w:type="pct"/>
            <w:vMerge w:val="restart"/>
            <w:tcBorders>
              <w:tl2br w:val="nil"/>
              <w:tr2bl w:val="nil"/>
            </w:tcBorders>
            <w:vAlign w:val="center"/>
          </w:tcPr>
          <w:p w14:paraId="64AF4FD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eastAsiaTheme="minorEastAsia"/>
                <w:sz w:val="21"/>
                <w:szCs w:val="21"/>
              </w:rPr>
            </w:pPr>
            <w:r>
              <w:rPr>
                <w:rFonts w:eastAsiaTheme="minorEastAsia"/>
                <w:sz w:val="21"/>
                <w:szCs w:val="21"/>
              </w:rPr>
              <w:t>公</w:t>
            </w:r>
            <w:r>
              <w:rPr>
                <w:rFonts w:eastAsiaTheme="minorEastAsia"/>
                <w:spacing w:val="2"/>
                <w:sz w:val="21"/>
                <w:szCs w:val="21"/>
              </w:rPr>
              <w:t>用</w:t>
            </w:r>
            <w:r>
              <w:rPr>
                <w:rFonts w:eastAsiaTheme="minorEastAsia"/>
                <w:sz w:val="21"/>
                <w:szCs w:val="21"/>
              </w:rPr>
              <w:t>工程</w:t>
            </w:r>
          </w:p>
        </w:tc>
        <w:tc>
          <w:tcPr>
            <w:tcW w:w="706" w:type="pct"/>
            <w:tcBorders>
              <w:tl2br w:val="nil"/>
              <w:tr2bl w:val="nil"/>
            </w:tcBorders>
            <w:vAlign w:val="center"/>
          </w:tcPr>
          <w:p w14:paraId="1EDB338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eastAsiaTheme="minorEastAsia"/>
                <w:sz w:val="21"/>
                <w:szCs w:val="21"/>
                <w:lang w:eastAsia="zh-CN"/>
              </w:rPr>
            </w:pPr>
            <w:r>
              <w:rPr>
                <w:rFonts w:hint="eastAsia" w:eastAsiaTheme="minorEastAsia"/>
                <w:sz w:val="21"/>
                <w:szCs w:val="21"/>
                <w:lang w:eastAsia="zh-CN"/>
              </w:rPr>
              <w:t>办公生活设施</w:t>
            </w:r>
          </w:p>
        </w:tc>
        <w:tc>
          <w:tcPr>
            <w:tcW w:w="3275" w:type="pct"/>
            <w:tcBorders>
              <w:tl2br w:val="nil"/>
              <w:tr2bl w:val="nil"/>
            </w:tcBorders>
            <w:vAlign w:val="center"/>
          </w:tcPr>
          <w:p w14:paraId="6893E35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eastAsiaTheme="minorEastAsia"/>
                <w:sz w:val="21"/>
                <w:szCs w:val="21"/>
                <w:lang w:eastAsia="zh-CN"/>
              </w:rPr>
            </w:pPr>
            <w:r>
              <w:rPr>
                <w:rFonts w:hint="eastAsia" w:eastAsiaTheme="minorEastAsia"/>
                <w:sz w:val="21"/>
                <w:szCs w:val="21"/>
                <w:lang w:eastAsia="zh-CN"/>
              </w:rPr>
              <w:t>依托企业现有生活设施</w:t>
            </w:r>
          </w:p>
        </w:tc>
        <w:tc>
          <w:tcPr>
            <w:tcW w:w="688" w:type="pct"/>
            <w:tcBorders>
              <w:tl2br w:val="nil"/>
              <w:tr2bl w:val="nil"/>
            </w:tcBorders>
            <w:vAlign w:val="center"/>
          </w:tcPr>
          <w:p w14:paraId="77E3497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eastAsiaTheme="minorEastAsia"/>
                <w:sz w:val="21"/>
                <w:szCs w:val="21"/>
                <w:lang w:eastAsia="zh-CN"/>
              </w:rPr>
            </w:pPr>
            <w:r>
              <w:rPr>
                <w:rFonts w:hint="eastAsia" w:eastAsiaTheme="minorEastAsia"/>
                <w:sz w:val="21"/>
                <w:szCs w:val="21"/>
                <w:lang w:eastAsia="zh-CN"/>
              </w:rPr>
              <w:t>依托现有</w:t>
            </w:r>
          </w:p>
        </w:tc>
      </w:tr>
      <w:tr w14:paraId="47FCADFA">
        <w:tblPrEx>
          <w:tblBorders>
            <w:top w:val="single" w:color="auto" w:sz="12" w:space="0"/>
            <w:left w:val="none" w:color="auto" w:sz="0" w:space="0"/>
            <w:bottom w:val="single" w:color="auto" w:sz="12" w:space="0"/>
            <w:right w:val="none" w:color="auto" w:sz="0" w:space="0"/>
            <w:insideH w:val="single" w:color="auto" w:sz="4" w:space="0"/>
            <w:insideV w:val="single" w:color="000000" w:sz="4" w:space="0"/>
          </w:tblBorders>
          <w:tblCellMar>
            <w:top w:w="0" w:type="dxa"/>
            <w:left w:w="0" w:type="dxa"/>
            <w:bottom w:w="0" w:type="dxa"/>
            <w:right w:w="0" w:type="dxa"/>
          </w:tblCellMar>
        </w:tblPrEx>
        <w:trPr>
          <w:trHeight w:val="413" w:hRule="atLeast"/>
        </w:trPr>
        <w:tc>
          <w:tcPr>
            <w:tcW w:w="329" w:type="pct"/>
            <w:vMerge w:val="continue"/>
            <w:tcBorders>
              <w:tl2br w:val="nil"/>
              <w:tr2bl w:val="nil"/>
            </w:tcBorders>
            <w:vAlign w:val="center"/>
          </w:tcPr>
          <w:p w14:paraId="20ADDD9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eastAsiaTheme="minorEastAsia"/>
                <w:sz w:val="21"/>
                <w:szCs w:val="21"/>
              </w:rPr>
            </w:pPr>
          </w:p>
        </w:tc>
        <w:tc>
          <w:tcPr>
            <w:tcW w:w="706" w:type="pct"/>
            <w:tcBorders>
              <w:tl2br w:val="nil"/>
              <w:tr2bl w:val="nil"/>
            </w:tcBorders>
            <w:vAlign w:val="center"/>
          </w:tcPr>
          <w:p w14:paraId="354A391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eastAsiaTheme="minorEastAsia"/>
                <w:sz w:val="21"/>
                <w:szCs w:val="21"/>
                <w:lang w:eastAsia="zh-CN"/>
              </w:rPr>
            </w:pPr>
            <w:r>
              <w:rPr>
                <w:rFonts w:hint="eastAsia" w:eastAsiaTheme="minorEastAsia"/>
                <w:sz w:val="21"/>
                <w:szCs w:val="21"/>
                <w:lang w:eastAsia="zh-CN"/>
              </w:rPr>
              <w:t>供水</w:t>
            </w:r>
          </w:p>
        </w:tc>
        <w:tc>
          <w:tcPr>
            <w:tcW w:w="3275" w:type="pct"/>
            <w:tcBorders>
              <w:tl2br w:val="nil"/>
              <w:tr2bl w:val="nil"/>
            </w:tcBorders>
            <w:vAlign w:val="center"/>
          </w:tcPr>
          <w:p w14:paraId="3064900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eastAsiaTheme="minorEastAsia"/>
                <w:sz w:val="21"/>
                <w:szCs w:val="21"/>
                <w:lang w:eastAsia="zh-CN"/>
              </w:rPr>
            </w:pPr>
            <w:r>
              <w:rPr>
                <w:rFonts w:hint="eastAsia" w:eastAsiaTheme="minorEastAsia"/>
                <w:sz w:val="21"/>
                <w:szCs w:val="21"/>
                <w:lang w:eastAsia="zh-CN"/>
              </w:rPr>
              <w:t>用水来自市政自来水，供水能力满足要求</w:t>
            </w:r>
          </w:p>
        </w:tc>
        <w:tc>
          <w:tcPr>
            <w:tcW w:w="688" w:type="pct"/>
            <w:tcBorders>
              <w:tl2br w:val="nil"/>
              <w:tr2bl w:val="nil"/>
            </w:tcBorders>
            <w:vAlign w:val="center"/>
          </w:tcPr>
          <w:p w14:paraId="195D5F6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eastAsiaTheme="minorEastAsia"/>
                <w:sz w:val="21"/>
                <w:szCs w:val="21"/>
                <w:lang w:eastAsia="zh-CN"/>
              </w:rPr>
            </w:pPr>
            <w:r>
              <w:rPr>
                <w:rFonts w:hint="eastAsia" w:eastAsiaTheme="minorEastAsia"/>
                <w:sz w:val="21"/>
                <w:szCs w:val="21"/>
                <w:lang w:eastAsia="zh-CN"/>
              </w:rPr>
              <w:t>依托现有</w:t>
            </w:r>
          </w:p>
        </w:tc>
      </w:tr>
      <w:tr w14:paraId="26994BAB">
        <w:tblPrEx>
          <w:tblBorders>
            <w:top w:val="single" w:color="auto" w:sz="12" w:space="0"/>
            <w:left w:val="none" w:color="auto" w:sz="0" w:space="0"/>
            <w:bottom w:val="single" w:color="auto" w:sz="12" w:space="0"/>
            <w:right w:val="none" w:color="auto" w:sz="0" w:space="0"/>
            <w:insideH w:val="single" w:color="auto" w:sz="4" w:space="0"/>
            <w:insideV w:val="single" w:color="000000" w:sz="4" w:space="0"/>
          </w:tblBorders>
          <w:tblCellMar>
            <w:top w:w="0" w:type="dxa"/>
            <w:left w:w="0" w:type="dxa"/>
            <w:bottom w:w="0" w:type="dxa"/>
            <w:right w:w="0" w:type="dxa"/>
          </w:tblCellMar>
        </w:tblPrEx>
        <w:trPr>
          <w:trHeight w:val="397" w:hRule="atLeast"/>
        </w:trPr>
        <w:tc>
          <w:tcPr>
            <w:tcW w:w="329" w:type="pct"/>
            <w:vMerge w:val="continue"/>
            <w:tcBorders>
              <w:tl2br w:val="nil"/>
              <w:tr2bl w:val="nil"/>
            </w:tcBorders>
            <w:vAlign w:val="center"/>
          </w:tcPr>
          <w:p w14:paraId="57E1282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eastAsiaTheme="minorEastAsia"/>
                <w:sz w:val="21"/>
                <w:szCs w:val="21"/>
              </w:rPr>
            </w:pPr>
          </w:p>
        </w:tc>
        <w:tc>
          <w:tcPr>
            <w:tcW w:w="706" w:type="pct"/>
            <w:tcBorders>
              <w:tl2br w:val="nil"/>
              <w:tr2bl w:val="nil"/>
            </w:tcBorders>
            <w:vAlign w:val="center"/>
          </w:tcPr>
          <w:p w14:paraId="19C7435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eastAsiaTheme="minorEastAsia"/>
                <w:sz w:val="21"/>
                <w:szCs w:val="21"/>
                <w:lang w:eastAsia="zh-CN"/>
              </w:rPr>
            </w:pPr>
            <w:r>
              <w:rPr>
                <w:rFonts w:hint="eastAsia" w:eastAsiaTheme="minorEastAsia"/>
                <w:sz w:val="21"/>
                <w:szCs w:val="21"/>
                <w:lang w:eastAsia="zh-CN"/>
              </w:rPr>
              <w:t>供电</w:t>
            </w:r>
          </w:p>
        </w:tc>
        <w:tc>
          <w:tcPr>
            <w:tcW w:w="3275" w:type="pct"/>
            <w:tcBorders>
              <w:tl2br w:val="nil"/>
              <w:tr2bl w:val="nil"/>
            </w:tcBorders>
            <w:vAlign w:val="center"/>
          </w:tcPr>
          <w:p w14:paraId="392D3B8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Theme="minorEastAsia"/>
                <w:sz w:val="21"/>
                <w:szCs w:val="21"/>
                <w:lang w:val="en-US" w:eastAsia="zh-CN"/>
              </w:rPr>
            </w:pPr>
            <w:r>
              <w:rPr>
                <w:rFonts w:hint="eastAsia" w:eastAsiaTheme="minorEastAsia"/>
                <w:sz w:val="21"/>
                <w:szCs w:val="21"/>
                <w:lang w:eastAsia="zh-CN"/>
              </w:rPr>
              <w:t>供电来自市政电网，用电量</w:t>
            </w:r>
            <w:r>
              <w:rPr>
                <w:rFonts w:hint="eastAsia" w:eastAsiaTheme="minorEastAsia"/>
                <w:sz w:val="21"/>
                <w:szCs w:val="21"/>
                <w:lang w:val="en-US" w:eastAsia="zh-CN"/>
              </w:rPr>
              <w:t>30000KW/a</w:t>
            </w:r>
          </w:p>
        </w:tc>
        <w:tc>
          <w:tcPr>
            <w:tcW w:w="688" w:type="pct"/>
            <w:tcBorders>
              <w:tl2br w:val="nil"/>
              <w:tr2bl w:val="nil"/>
            </w:tcBorders>
            <w:vAlign w:val="center"/>
          </w:tcPr>
          <w:p w14:paraId="605972F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eastAsiaTheme="minorEastAsia"/>
                <w:sz w:val="21"/>
                <w:szCs w:val="21"/>
                <w:lang w:eastAsia="zh-CN"/>
              </w:rPr>
            </w:pPr>
            <w:r>
              <w:rPr>
                <w:rFonts w:hint="eastAsia" w:eastAsiaTheme="minorEastAsia"/>
                <w:sz w:val="21"/>
                <w:szCs w:val="21"/>
                <w:lang w:eastAsia="zh-CN"/>
              </w:rPr>
              <w:t>依托现有</w:t>
            </w:r>
          </w:p>
        </w:tc>
      </w:tr>
      <w:tr w14:paraId="6818653C">
        <w:tblPrEx>
          <w:tblBorders>
            <w:top w:val="single" w:color="auto" w:sz="12" w:space="0"/>
            <w:left w:val="none" w:color="auto" w:sz="0" w:space="0"/>
            <w:bottom w:val="single" w:color="auto" w:sz="12" w:space="0"/>
            <w:right w:val="none" w:color="auto" w:sz="0" w:space="0"/>
            <w:insideH w:val="single" w:color="auto" w:sz="4" w:space="0"/>
            <w:insideV w:val="single" w:color="000000" w:sz="4" w:space="0"/>
          </w:tblBorders>
          <w:tblCellMar>
            <w:top w:w="0" w:type="dxa"/>
            <w:left w:w="0" w:type="dxa"/>
            <w:bottom w:w="0" w:type="dxa"/>
            <w:right w:w="0" w:type="dxa"/>
          </w:tblCellMar>
        </w:tblPrEx>
        <w:trPr>
          <w:trHeight w:val="407" w:hRule="atLeast"/>
        </w:trPr>
        <w:tc>
          <w:tcPr>
            <w:tcW w:w="329" w:type="pct"/>
            <w:vMerge w:val="restart"/>
            <w:tcBorders>
              <w:tl2br w:val="nil"/>
              <w:tr2bl w:val="nil"/>
            </w:tcBorders>
            <w:vAlign w:val="center"/>
          </w:tcPr>
          <w:p w14:paraId="20A184C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eastAsiaTheme="minorEastAsia"/>
                <w:sz w:val="21"/>
                <w:szCs w:val="21"/>
              </w:rPr>
            </w:pPr>
            <w:r>
              <w:rPr>
                <w:rFonts w:eastAsiaTheme="minorEastAsia"/>
                <w:sz w:val="21"/>
                <w:szCs w:val="21"/>
              </w:rPr>
              <w:t>环</w:t>
            </w:r>
            <w:r>
              <w:rPr>
                <w:rFonts w:eastAsiaTheme="minorEastAsia"/>
                <w:spacing w:val="2"/>
                <w:sz w:val="21"/>
                <w:szCs w:val="21"/>
              </w:rPr>
              <w:t>保</w:t>
            </w:r>
            <w:r>
              <w:rPr>
                <w:rFonts w:eastAsiaTheme="minorEastAsia"/>
                <w:sz w:val="21"/>
                <w:szCs w:val="21"/>
              </w:rPr>
              <w:t>工程</w:t>
            </w:r>
          </w:p>
        </w:tc>
        <w:tc>
          <w:tcPr>
            <w:tcW w:w="706" w:type="pct"/>
            <w:tcBorders>
              <w:tl2br w:val="nil"/>
              <w:tr2bl w:val="nil"/>
            </w:tcBorders>
            <w:vAlign w:val="center"/>
          </w:tcPr>
          <w:p w14:paraId="5B9C8BE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eastAsiaTheme="minorEastAsia"/>
                <w:sz w:val="21"/>
                <w:szCs w:val="21"/>
              </w:rPr>
            </w:pPr>
            <w:r>
              <w:rPr>
                <w:rFonts w:eastAsiaTheme="minorEastAsia"/>
                <w:sz w:val="21"/>
                <w:szCs w:val="21"/>
              </w:rPr>
              <w:t>废水</w:t>
            </w:r>
          </w:p>
        </w:tc>
        <w:tc>
          <w:tcPr>
            <w:tcW w:w="3275" w:type="pct"/>
            <w:tcBorders>
              <w:tl2br w:val="nil"/>
              <w:tr2bl w:val="nil"/>
            </w:tcBorders>
            <w:vAlign w:val="center"/>
          </w:tcPr>
          <w:p w14:paraId="74695B8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eastAsiaTheme="minorEastAsia"/>
                <w:sz w:val="21"/>
                <w:szCs w:val="21"/>
                <w:lang w:eastAsia="zh-CN"/>
              </w:rPr>
            </w:pPr>
            <w:r>
              <w:rPr>
                <w:rFonts w:hint="eastAsia" w:eastAsiaTheme="minorEastAsia"/>
                <w:sz w:val="21"/>
                <w:szCs w:val="21"/>
                <w:lang w:eastAsia="zh-CN"/>
              </w:rPr>
              <w:t>企业设置废水过滤处理系统，采取离子交换工艺对水洗等工序产生的生产废水进行处理，处理后回用，不外排。</w:t>
            </w:r>
          </w:p>
        </w:tc>
        <w:tc>
          <w:tcPr>
            <w:tcW w:w="688" w:type="pct"/>
            <w:tcBorders>
              <w:tl2br w:val="nil"/>
              <w:tr2bl w:val="nil"/>
            </w:tcBorders>
            <w:vAlign w:val="center"/>
          </w:tcPr>
          <w:p w14:paraId="03D317A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eastAsiaTheme="minorEastAsia"/>
                <w:sz w:val="21"/>
                <w:szCs w:val="21"/>
                <w:lang w:eastAsia="zh-CN"/>
              </w:rPr>
            </w:pPr>
            <w:r>
              <w:rPr>
                <w:rFonts w:hint="eastAsia" w:eastAsiaTheme="minorEastAsia"/>
                <w:sz w:val="21"/>
                <w:szCs w:val="21"/>
                <w:lang w:eastAsia="zh-CN"/>
              </w:rPr>
              <w:t>现有车间内新建</w:t>
            </w:r>
          </w:p>
        </w:tc>
      </w:tr>
      <w:tr w14:paraId="6DE365B3">
        <w:tblPrEx>
          <w:tblBorders>
            <w:top w:val="single" w:color="auto" w:sz="12" w:space="0"/>
            <w:left w:val="none" w:color="auto" w:sz="0" w:space="0"/>
            <w:bottom w:val="single" w:color="auto" w:sz="12" w:space="0"/>
            <w:right w:val="none" w:color="auto" w:sz="0" w:space="0"/>
            <w:insideH w:val="single" w:color="auto" w:sz="4" w:space="0"/>
            <w:insideV w:val="single" w:color="000000" w:sz="4" w:space="0"/>
          </w:tblBorders>
          <w:tblCellMar>
            <w:top w:w="0" w:type="dxa"/>
            <w:left w:w="0" w:type="dxa"/>
            <w:bottom w:w="0" w:type="dxa"/>
            <w:right w:w="0" w:type="dxa"/>
          </w:tblCellMar>
        </w:tblPrEx>
        <w:trPr>
          <w:trHeight w:val="696" w:hRule="atLeast"/>
        </w:trPr>
        <w:tc>
          <w:tcPr>
            <w:tcW w:w="329" w:type="pct"/>
            <w:vMerge w:val="continue"/>
            <w:tcBorders>
              <w:tl2br w:val="nil"/>
              <w:tr2bl w:val="nil"/>
            </w:tcBorders>
            <w:vAlign w:val="center"/>
          </w:tcPr>
          <w:p w14:paraId="41BD5AF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eastAsiaTheme="minorEastAsia"/>
                <w:b/>
                <w:sz w:val="21"/>
                <w:szCs w:val="21"/>
              </w:rPr>
            </w:pPr>
          </w:p>
        </w:tc>
        <w:tc>
          <w:tcPr>
            <w:tcW w:w="706" w:type="pct"/>
            <w:tcBorders>
              <w:tl2br w:val="nil"/>
              <w:tr2bl w:val="nil"/>
            </w:tcBorders>
            <w:vAlign w:val="center"/>
          </w:tcPr>
          <w:p w14:paraId="29380E3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eastAsiaTheme="minorEastAsia"/>
                <w:sz w:val="21"/>
                <w:szCs w:val="21"/>
              </w:rPr>
            </w:pPr>
            <w:r>
              <w:rPr>
                <w:rFonts w:eastAsiaTheme="minorEastAsia"/>
                <w:sz w:val="21"/>
                <w:szCs w:val="21"/>
              </w:rPr>
              <w:t>废气</w:t>
            </w:r>
          </w:p>
        </w:tc>
        <w:tc>
          <w:tcPr>
            <w:tcW w:w="3275" w:type="pct"/>
            <w:tcBorders>
              <w:tl2br w:val="nil"/>
              <w:tr2bl w:val="nil"/>
            </w:tcBorders>
            <w:vAlign w:val="center"/>
          </w:tcPr>
          <w:p w14:paraId="45793C2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Theme="minorEastAsia"/>
                <w:sz w:val="21"/>
                <w:szCs w:val="21"/>
                <w:lang w:val="en-US" w:eastAsia="zh-CN"/>
              </w:rPr>
            </w:pPr>
            <w:r>
              <w:rPr>
                <w:rFonts w:hint="eastAsia" w:eastAsiaTheme="minorEastAsia"/>
                <w:sz w:val="21"/>
                <w:szCs w:val="21"/>
                <w:highlight w:val="none"/>
                <w:lang w:eastAsia="zh-CN"/>
              </w:rPr>
              <w:t>企业生产车间设置废气净化装置，净化后废气经</w:t>
            </w:r>
            <w:r>
              <w:rPr>
                <w:rFonts w:hint="eastAsia" w:eastAsiaTheme="minorEastAsia"/>
                <w:sz w:val="21"/>
                <w:szCs w:val="21"/>
                <w:highlight w:val="none"/>
                <w:lang w:val="en-US" w:eastAsia="zh-CN"/>
              </w:rPr>
              <w:t>15m高排气筒达标排放。</w:t>
            </w:r>
          </w:p>
        </w:tc>
        <w:tc>
          <w:tcPr>
            <w:tcW w:w="688" w:type="pct"/>
            <w:tcBorders>
              <w:tl2br w:val="nil"/>
              <w:tr2bl w:val="nil"/>
            </w:tcBorders>
            <w:vAlign w:val="center"/>
          </w:tcPr>
          <w:p w14:paraId="2E56EF6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eastAsiaTheme="minorEastAsia"/>
                <w:sz w:val="21"/>
                <w:szCs w:val="21"/>
                <w:highlight w:val="none"/>
                <w:lang w:eastAsia="zh-CN"/>
              </w:rPr>
            </w:pPr>
            <w:r>
              <w:rPr>
                <w:rFonts w:hint="eastAsia" w:eastAsiaTheme="minorEastAsia"/>
                <w:sz w:val="21"/>
                <w:szCs w:val="21"/>
                <w:lang w:eastAsia="zh-CN"/>
              </w:rPr>
              <w:t>现有车间内新建</w:t>
            </w:r>
          </w:p>
        </w:tc>
      </w:tr>
      <w:tr w14:paraId="6BC6CCD9">
        <w:tblPrEx>
          <w:tblBorders>
            <w:top w:val="single" w:color="auto" w:sz="12" w:space="0"/>
            <w:left w:val="none" w:color="auto" w:sz="0" w:space="0"/>
            <w:bottom w:val="single" w:color="auto" w:sz="12" w:space="0"/>
            <w:right w:val="none" w:color="auto" w:sz="0" w:space="0"/>
            <w:insideH w:val="single" w:color="auto" w:sz="4" w:space="0"/>
            <w:insideV w:val="single" w:color="000000" w:sz="4" w:space="0"/>
          </w:tblBorders>
          <w:tblCellMar>
            <w:top w:w="0" w:type="dxa"/>
            <w:left w:w="0" w:type="dxa"/>
            <w:bottom w:w="0" w:type="dxa"/>
            <w:right w:w="0" w:type="dxa"/>
          </w:tblCellMar>
        </w:tblPrEx>
        <w:trPr>
          <w:trHeight w:val="411" w:hRule="atLeast"/>
        </w:trPr>
        <w:tc>
          <w:tcPr>
            <w:tcW w:w="329" w:type="pct"/>
            <w:vMerge w:val="continue"/>
            <w:tcBorders>
              <w:tl2br w:val="nil"/>
              <w:tr2bl w:val="nil"/>
            </w:tcBorders>
            <w:vAlign w:val="center"/>
          </w:tcPr>
          <w:p w14:paraId="7B1C36E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eastAsiaTheme="minorEastAsia"/>
                <w:b/>
                <w:sz w:val="21"/>
                <w:szCs w:val="21"/>
              </w:rPr>
            </w:pPr>
          </w:p>
        </w:tc>
        <w:tc>
          <w:tcPr>
            <w:tcW w:w="706" w:type="pct"/>
            <w:tcBorders>
              <w:tl2br w:val="nil"/>
              <w:tr2bl w:val="nil"/>
            </w:tcBorders>
            <w:vAlign w:val="center"/>
          </w:tcPr>
          <w:p w14:paraId="505E592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eastAsiaTheme="minorEastAsia"/>
                <w:sz w:val="21"/>
                <w:szCs w:val="21"/>
              </w:rPr>
            </w:pPr>
            <w:r>
              <w:rPr>
                <w:rFonts w:eastAsiaTheme="minorEastAsia"/>
                <w:sz w:val="21"/>
                <w:szCs w:val="21"/>
              </w:rPr>
              <w:t>固废</w:t>
            </w:r>
          </w:p>
        </w:tc>
        <w:tc>
          <w:tcPr>
            <w:tcW w:w="3275" w:type="pct"/>
            <w:tcBorders>
              <w:tl2br w:val="nil"/>
              <w:tr2bl w:val="nil"/>
            </w:tcBorders>
            <w:vAlign w:val="center"/>
          </w:tcPr>
          <w:p w14:paraId="44F0B7A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eastAsiaTheme="minorEastAsia"/>
                <w:sz w:val="21"/>
                <w:szCs w:val="21"/>
                <w:lang w:eastAsia="zh-CN"/>
              </w:rPr>
            </w:pPr>
            <w:r>
              <w:rPr>
                <w:rFonts w:hint="eastAsia" w:eastAsiaTheme="minorEastAsia"/>
                <w:sz w:val="21"/>
                <w:szCs w:val="21"/>
                <w:lang w:eastAsia="zh-CN"/>
              </w:rPr>
              <w:t>车间设置危险废物暂存间，生产过程中产生的危废经暂存间暂存后交由资质单位处置。</w:t>
            </w:r>
          </w:p>
        </w:tc>
        <w:tc>
          <w:tcPr>
            <w:tcW w:w="688" w:type="pct"/>
            <w:tcBorders>
              <w:tl2br w:val="nil"/>
              <w:tr2bl w:val="nil"/>
            </w:tcBorders>
            <w:vAlign w:val="center"/>
          </w:tcPr>
          <w:p w14:paraId="438AED5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eastAsiaTheme="minorEastAsia"/>
                <w:sz w:val="21"/>
                <w:szCs w:val="21"/>
                <w:lang w:eastAsia="zh-CN"/>
              </w:rPr>
            </w:pPr>
            <w:r>
              <w:rPr>
                <w:rFonts w:hint="eastAsia" w:eastAsiaTheme="minorEastAsia"/>
                <w:sz w:val="21"/>
                <w:szCs w:val="21"/>
                <w:lang w:eastAsia="zh-CN"/>
              </w:rPr>
              <w:t>现有车间内新建</w:t>
            </w:r>
          </w:p>
        </w:tc>
      </w:tr>
      <w:tr w14:paraId="4682139F">
        <w:tblPrEx>
          <w:tblBorders>
            <w:top w:val="single" w:color="auto" w:sz="12" w:space="0"/>
            <w:left w:val="none" w:color="auto" w:sz="0" w:space="0"/>
            <w:bottom w:val="single" w:color="auto" w:sz="12" w:space="0"/>
            <w:right w:val="none" w:color="auto" w:sz="0" w:space="0"/>
            <w:insideH w:val="single" w:color="auto" w:sz="4" w:space="0"/>
            <w:insideV w:val="single" w:color="000000" w:sz="4" w:space="0"/>
          </w:tblBorders>
          <w:tblCellMar>
            <w:top w:w="0" w:type="dxa"/>
            <w:left w:w="0" w:type="dxa"/>
            <w:bottom w:w="0" w:type="dxa"/>
            <w:right w:w="0" w:type="dxa"/>
          </w:tblCellMar>
        </w:tblPrEx>
        <w:trPr>
          <w:trHeight w:val="410" w:hRule="atLeast"/>
        </w:trPr>
        <w:tc>
          <w:tcPr>
            <w:tcW w:w="329" w:type="pct"/>
            <w:vMerge w:val="continue"/>
            <w:tcBorders>
              <w:tl2br w:val="nil"/>
              <w:tr2bl w:val="nil"/>
            </w:tcBorders>
            <w:vAlign w:val="center"/>
          </w:tcPr>
          <w:p w14:paraId="38A1B5D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eastAsiaTheme="minorEastAsia"/>
                <w:b/>
                <w:sz w:val="21"/>
                <w:szCs w:val="21"/>
              </w:rPr>
            </w:pPr>
          </w:p>
        </w:tc>
        <w:tc>
          <w:tcPr>
            <w:tcW w:w="706" w:type="pct"/>
            <w:tcBorders>
              <w:tl2br w:val="nil"/>
              <w:tr2bl w:val="nil"/>
            </w:tcBorders>
            <w:vAlign w:val="center"/>
          </w:tcPr>
          <w:p w14:paraId="314A438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eastAsiaTheme="minorEastAsia"/>
                <w:sz w:val="21"/>
                <w:szCs w:val="21"/>
              </w:rPr>
            </w:pPr>
            <w:r>
              <w:rPr>
                <w:rFonts w:eastAsiaTheme="minorEastAsia"/>
                <w:sz w:val="21"/>
                <w:szCs w:val="21"/>
              </w:rPr>
              <w:t>噪声</w:t>
            </w:r>
          </w:p>
        </w:tc>
        <w:tc>
          <w:tcPr>
            <w:tcW w:w="3275" w:type="pct"/>
            <w:tcBorders>
              <w:tl2br w:val="nil"/>
              <w:tr2bl w:val="nil"/>
            </w:tcBorders>
            <w:vAlign w:val="center"/>
          </w:tcPr>
          <w:p w14:paraId="6AB2D5D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eastAsiaTheme="minorEastAsia"/>
                <w:sz w:val="21"/>
                <w:szCs w:val="21"/>
              </w:rPr>
            </w:pPr>
            <w:r>
              <w:rPr>
                <w:rFonts w:eastAsiaTheme="minorEastAsia"/>
                <w:sz w:val="21"/>
                <w:szCs w:val="21"/>
              </w:rPr>
              <w:t>选用低噪声设备，采取隔声、减振等措施</w:t>
            </w:r>
          </w:p>
        </w:tc>
        <w:tc>
          <w:tcPr>
            <w:tcW w:w="688" w:type="pct"/>
            <w:tcBorders>
              <w:tl2br w:val="nil"/>
              <w:tr2bl w:val="nil"/>
            </w:tcBorders>
            <w:vAlign w:val="center"/>
          </w:tcPr>
          <w:p w14:paraId="000DD0D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eastAsiaTheme="minorEastAsia"/>
                <w:sz w:val="21"/>
                <w:szCs w:val="21"/>
              </w:rPr>
            </w:pPr>
            <w:r>
              <w:rPr>
                <w:rFonts w:hint="eastAsia" w:eastAsiaTheme="minorEastAsia"/>
                <w:sz w:val="21"/>
                <w:szCs w:val="21"/>
                <w:lang w:eastAsia="zh-CN"/>
              </w:rPr>
              <w:t>现有车间内新建</w:t>
            </w:r>
          </w:p>
        </w:tc>
      </w:tr>
      <w:tr w14:paraId="01C7F053">
        <w:tblPrEx>
          <w:tblBorders>
            <w:top w:val="single" w:color="auto" w:sz="12" w:space="0"/>
            <w:left w:val="none" w:color="auto" w:sz="0" w:space="0"/>
            <w:bottom w:val="single" w:color="auto" w:sz="12" w:space="0"/>
            <w:right w:val="none" w:color="auto" w:sz="0" w:space="0"/>
            <w:insideH w:val="single" w:color="auto" w:sz="4" w:space="0"/>
            <w:insideV w:val="single" w:color="000000" w:sz="4" w:space="0"/>
          </w:tblBorders>
          <w:tblCellMar>
            <w:top w:w="0" w:type="dxa"/>
            <w:left w:w="0" w:type="dxa"/>
            <w:bottom w:w="0" w:type="dxa"/>
            <w:right w:w="0" w:type="dxa"/>
          </w:tblCellMar>
        </w:tblPrEx>
        <w:trPr>
          <w:trHeight w:val="416" w:hRule="atLeast"/>
        </w:trPr>
        <w:tc>
          <w:tcPr>
            <w:tcW w:w="329" w:type="pct"/>
            <w:vMerge w:val="continue"/>
            <w:tcBorders>
              <w:tl2br w:val="nil"/>
              <w:tr2bl w:val="nil"/>
            </w:tcBorders>
            <w:vAlign w:val="center"/>
          </w:tcPr>
          <w:p w14:paraId="601837F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eastAsiaTheme="minorEastAsia"/>
                <w:b/>
                <w:sz w:val="21"/>
                <w:szCs w:val="21"/>
              </w:rPr>
            </w:pPr>
          </w:p>
        </w:tc>
        <w:tc>
          <w:tcPr>
            <w:tcW w:w="706" w:type="pct"/>
            <w:tcBorders>
              <w:tl2br w:val="nil"/>
              <w:tr2bl w:val="nil"/>
            </w:tcBorders>
            <w:vAlign w:val="center"/>
          </w:tcPr>
          <w:p w14:paraId="0907E70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eastAsiaTheme="minorEastAsia"/>
                <w:sz w:val="21"/>
                <w:szCs w:val="21"/>
                <w:lang w:eastAsia="zh-CN"/>
              </w:rPr>
            </w:pPr>
            <w:r>
              <w:rPr>
                <w:rFonts w:hint="eastAsia" w:eastAsiaTheme="minorEastAsia"/>
                <w:sz w:val="21"/>
                <w:szCs w:val="21"/>
                <w:lang w:eastAsia="zh-CN"/>
              </w:rPr>
              <w:t>防渗措施</w:t>
            </w:r>
          </w:p>
        </w:tc>
        <w:tc>
          <w:tcPr>
            <w:tcW w:w="3275" w:type="pct"/>
            <w:tcBorders>
              <w:tl2br w:val="nil"/>
              <w:tr2bl w:val="nil"/>
            </w:tcBorders>
            <w:vAlign w:val="center"/>
          </w:tcPr>
          <w:p w14:paraId="17DEB03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eastAsiaTheme="minorEastAsia"/>
                <w:sz w:val="21"/>
                <w:szCs w:val="21"/>
              </w:rPr>
            </w:pPr>
            <w:r>
              <w:rPr>
                <w:rFonts w:hint="eastAsia" w:eastAsiaTheme="minorEastAsia"/>
                <w:sz w:val="21"/>
                <w:szCs w:val="21"/>
              </w:rPr>
              <w:t>车间地面和车间内侧从地面约高1m的墙体表面按重点防渗区进行防渗，车间废水分类收集</w:t>
            </w:r>
            <w:r>
              <w:rPr>
                <w:rFonts w:hint="eastAsia" w:eastAsiaTheme="minorEastAsia"/>
                <w:sz w:val="21"/>
                <w:szCs w:val="21"/>
                <w:lang w:eastAsia="zh-CN"/>
              </w:rPr>
              <w:t>区</w:t>
            </w:r>
            <w:r>
              <w:rPr>
                <w:rFonts w:hint="eastAsia" w:eastAsiaTheme="minorEastAsia"/>
                <w:sz w:val="21"/>
                <w:szCs w:val="21"/>
              </w:rPr>
              <w:t>按特殊防渗区进行防渗</w:t>
            </w:r>
          </w:p>
        </w:tc>
        <w:tc>
          <w:tcPr>
            <w:tcW w:w="688" w:type="pct"/>
            <w:tcBorders>
              <w:tl2br w:val="nil"/>
              <w:tr2bl w:val="nil"/>
            </w:tcBorders>
            <w:vAlign w:val="center"/>
          </w:tcPr>
          <w:p w14:paraId="32A23E7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eastAsiaTheme="minorEastAsia"/>
                <w:sz w:val="21"/>
                <w:szCs w:val="21"/>
              </w:rPr>
            </w:pPr>
            <w:r>
              <w:rPr>
                <w:rFonts w:hint="eastAsia" w:eastAsiaTheme="minorEastAsia"/>
                <w:sz w:val="21"/>
                <w:szCs w:val="21"/>
                <w:lang w:eastAsia="zh-CN"/>
              </w:rPr>
              <w:t>现有车间内新建</w:t>
            </w:r>
          </w:p>
        </w:tc>
      </w:tr>
      <w:tr w14:paraId="39864B6D">
        <w:tblPrEx>
          <w:tblBorders>
            <w:top w:val="single" w:color="auto" w:sz="12" w:space="0"/>
            <w:left w:val="none" w:color="auto" w:sz="0" w:space="0"/>
            <w:bottom w:val="single" w:color="auto" w:sz="12" w:space="0"/>
            <w:right w:val="none" w:color="auto" w:sz="0" w:space="0"/>
            <w:insideH w:val="single" w:color="auto" w:sz="4" w:space="0"/>
            <w:insideV w:val="single" w:color="000000" w:sz="4" w:space="0"/>
          </w:tblBorders>
          <w:tblCellMar>
            <w:top w:w="0" w:type="dxa"/>
            <w:left w:w="0" w:type="dxa"/>
            <w:bottom w:w="0" w:type="dxa"/>
            <w:right w:w="0" w:type="dxa"/>
          </w:tblCellMar>
        </w:tblPrEx>
        <w:trPr>
          <w:trHeight w:val="416" w:hRule="atLeast"/>
        </w:trPr>
        <w:tc>
          <w:tcPr>
            <w:tcW w:w="329" w:type="pct"/>
            <w:vMerge w:val="continue"/>
            <w:tcBorders>
              <w:tl2br w:val="nil"/>
              <w:tr2bl w:val="nil"/>
            </w:tcBorders>
            <w:vAlign w:val="center"/>
          </w:tcPr>
          <w:p w14:paraId="14A8246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eastAsiaTheme="minorEastAsia"/>
                <w:b/>
                <w:sz w:val="21"/>
                <w:szCs w:val="21"/>
              </w:rPr>
            </w:pPr>
          </w:p>
        </w:tc>
        <w:tc>
          <w:tcPr>
            <w:tcW w:w="706" w:type="pct"/>
            <w:tcBorders>
              <w:tl2br w:val="nil"/>
              <w:tr2bl w:val="nil"/>
            </w:tcBorders>
            <w:vAlign w:val="center"/>
          </w:tcPr>
          <w:p w14:paraId="65F0443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eastAsiaTheme="minorEastAsia"/>
                <w:sz w:val="21"/>
                <w:szCs w:val="21"/>
                <w:lang w:eastAsia="zh-CN"/>
              </w:rPr>
            </w:pPr>
            <w:r>
              <w:rPr>
                <w:rFonts w:hint="eastAsia" w:eastAsiaTheme="minorEastAsia"/>
                <w:sz w:val="21"/>
                <w:szCs w:val="21"/>
                <w:lang w:eastAsia="zh-CN"/>
              </w:rPr>
              <w:t>风险防范</w:t>
            </w:r>
          </w:p>
        </w:tc>
        <w:tc>
          <w:tcPr>
            <w:tcW w:w="3275" w:type="pct"/>
            <w:tcBorders>
              <w:tl2br w:val="nil"/>
              <w:tr2bl w:val="nil"/>
            </w:tcBorders>
            <w:vAlign w:val="center"/>
          </w:tcPr>
          <w:p w14:paraId="48FB3B4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eastAsiaTheme="minorEastAsia"/>
                <w:sz w:val="21"/>
                <w:szCs w:val="21"/>
              </w:rPr>
            </w:pPr>
            <w:r>
              <w:rPr>
                <w:rFonts w:hint="eastAsia" w:eastAsiaTheme="minorEastAsia"/>
                <w:sz w:val="21"/>
                <w:szCs w:val="21"/>
              </w:rPr>
              <w:t>车间化学品暂放处和危险固废暂时存放处设置防盗门，安排专人负责管理，防止因化学品和危险固废遗失而造成的环境污染。车间设置风险应急设备和器材，风险应急设备和器材定期更换。</w:t>
            </w:r>
          </w:p>
        </w:tc>
        <w:tc>
          <w:tcPr>
            <w:tcW w:w="688" w:type="pct"/>
            <w:tcBorders>
              <w:tl2br w:val="nil"/>
              <w:tr2bl w:val="nil"/>
            </w:tcBorders>
            <w:vAlign w:val="center"/>
          </w:tcPr>
          <w:p w14:paraId="0E31A86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eastAsiaTheme="minorEastAsia"/>
                <w:sz w:val="21"/>
                <w:szCs w:val="21"/>
              </w:rPr>
            </w:pPr>
            <w:r>
              <w:rPr>
                <w:rFonts w:hint="eastAsia" w:eastAsiaTheme="minorEastAsia"/>
                <w:sz w:val="21"/>
                <w:szCs w:val="21"/>
                <w:lang w:eastAsia="zh-CN"/>
              </w:rPr>
              <w:t>现有车间内新建</w:t>
            </w:r>
          </w:p>
        </w:tc>
      </w:tr>
      <w:tr w14:paraId="61C1491A">
        <w:tblPrEx>
          <w:tblBorders>
            <w:top w:val="single" w:color="auto" w:sz="12" w:space="0"/>
            <w:left w:val="none" w:color="auto" w:sz="0" w:space="0"/>
            <w:bottom w:val="single" w:color="auto" w:sz="12" w:space="0"/>
            <w:right w:val="none" w:color="auto" w:sz="0" w:space="0"/>
            <w:insideH w:val="single" w:color="auto" w:sz="4" w:space="0"/>
            <w:insideV w:val="single" w:color="000000" w:sz="4" w:space="0"/>
          </w:tblBorders>
          <w:tblCellMar>
            <w:top w:w="0" w:type="dxa"/>
            <w:left w:w="0" w:type="dxa"/>
            <w:bottom w:w="0" w:type="dxa"/>
            <w:right w:w="0" w:type="dxa"/>
          </w:tblCellMar>
        </w:tblPrEx>
        <w:trPr>
          <w:trHeight w:val="706" w:hRule="atLeast"/>
        </w:trPr>
        <w:tc>
          <w:tcPr>
            <w:tcW w:w="329" w:type="pct"/>
            <w:vMerge w:val="continue"/>
            <w:tcBorders>
              <w:tl2br w:val="nil"/>
              <w:tr2bl w:val="nil"/>
            </w:tcBorders>
            <w:vAlign w:val="center"/>
          </w:tcPr>
          <w:p w14:paraId="55F6A8E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eastAsiaTheme="minorEastAsia"/>
                <w:b/>
                <w:sz w:val="21"/>
                <w:szCs w:val="21"/>
              </w:rPr>
            </w:pPr>
          </w:p>
        </w:tc>
        <w:tc>
          <w:tcPr>
            <w:tcW w:w="706" w:type="pct"/>
            <w:tcBorders>
              <w:tl2br w:val="nil"/>
              <w:tr2bl w:val="nil"/>
            </w:tcBorders>
            <w:vAlign w:val="center"/>
          </w:tcPr>
          <w:p w14:paraId="24B0937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eastAsiaTheme="minorEastAsia"/>
                <w:sz w:val="21"/>
                <w:szCs w:val="21"/>
              </w:rPr>
            </w:pPr>
            <w:r>
              <w:rPr>
                <w:rFonts w:eastAsiaTheme="minorEastAsia"/>
                <w:sz w:val="21"/>
                <w:szCs w:val="21"/>
              </w:rPr>
              <w:t>监测体系</w:t>
            </w:r>
          </w:p>
        </w:tc>
        <w:tc>
          <w:tcPr>
            <w:tcW w:w="3275" w:type="pct"/>
            <w:tcBorders>
              <w:tl2br w:val="nil"/>
              <w:tr2bl w:val="nil"/>
            </w:tcBorders>
            <w:vAlign w:val="center"/>
          </w:tcPr>
          <w:p w14:paraId="323C7B8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eastAsiaTheme="minorEastAsia"/>
                <w:sz w:val="21"/>
                <w:szCs w:val="21"/>
              </w:rPr>
            </w:pPr>
            <w:r>
              <w:rPr>
                <w:rFonts w:hint="eastAsia" w:eastAsiaTheme="minorEastAsia"/>
                <w:sz w:val="21"/>
                <w:szCs w:val="21"/>
                <w:lang w:eastAsia="zh-CN"/>
              </w:rPr>
              <w:t>制定环境监测制度</w:t>
            </w:r>
            <w:r>
              <w:rPr>
                <w:rFonts w:eastAsiaTheme="minorEastAsia"/>
                <w:sz w:val="21"/>
                <w:szCs w:val="21"/>
              </w:rPr>
              <w:t>，排污口规范化、环保机构设置、环保制度、监测分析仪器等</w:t>
            </w:r>
          </w:p>
        </w:tc>
        <w:tc>
          <w:tcPr>
            <w:tcW w:w="688" w:type="pct"/>
            <w:tcBorders>
              <w:tl2br w:val="nil"/>
              <w:tr2bl w:val="nil"/>
            </w:tcBorders>
            <w:vAlign w:val="center"/>
          </w:tcPr>
          <w:p w14:paraId="155472E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eastAsiaTheme="minorEastAsia"/>
                <w:sz w:val="21"/>
                <w:szCs w:val="21"/>
                <w:lang w:eastAsia="zh-CN"/>
              </w:rPr>
            </w:pPr>
            <w:r>
              <w:rPr>
                <w:rFonts w:hint="eastAsia" w:eastAsiaTheme="minorEastAsia"/>
                <w:sz w:val="21"/>
                <w:szCs w:val="21"/>
                <w:lang w:eastAsia="zh-CN"/>
              </w:rPr>
              <w:t>新建</w:t>
            </w:r>
          </w:p>
        </w:tc>
      </w:tr>
    </w:tbl>
    <w:p w14:paraId="0CCF6A3B">
      <w:pPr>
        <w:pStyle w:val="5"/>
        <w:bidi w:val="0"/>
        <w:rPr>
          <w:rFonts w:hint="eastAsia"/>
          <w:lang w:eastAsia="zh-CN"/>
        </w:rPr>
      </w:pPr>
      <w:r>
        <w:rPr>
          <w:rFonts w:hint="eastAsia"/>
          <w:lang w:val="en-US" w:eastAsia="zh-CN"/>
        </w:rPr>
        <w:t>4</w:t>
      </w:r>
      <w:r>
        <w:t>.</w:t>
      </w:r>
      <w:r>
        <w:rPr>
          <w:rFonts w:hint="eastAsia"/>
          <w:lang w:val="en-US" w:eastAsia="zh-CN"/>
        </w:rPr>
        <w:t>2.2</w:t>
      </w:r>
      <w:r>
        <w:rPr>
          <w:rFonts w:hint="eastAsia"/>
          <w:lang w:eastAsia="zh-CN"/>
        </w:rPr>
        <w:t>产品方案</w:t>
      </w:r>
    </w:p>
    <w:p w14:paraId="5A6B921F">
      <w:pPr>
        <w:ind w:firstLine="480" w:firstLineChars="200"/>
      </w:pPr>
      <w:r>
        <w:rPr>
          <w:rFonts w:hint="eastAsia"/>
          <w:bCs/>
          <w:lang w:eastAsia="zh-CN"/>
        </w:rPr>
        <w:t>企业主要产品为镀锡铜排、铜棒，本项目处理的镀件为《本溪佰汇铜业有限公司采用先进连续挤压生产工艺项目》生产的铜排、铜棒，具体产品方案如下表所示</w:t>
      </w:r>
      <w:r>
        <w:rPr>
          <w:bCs/>
        </w:rPr>
        <w:t>。</w:t>
      </w:r>
    </w:p>
    <w:p w14:paraId="297A542B">
      <w:pPr>
        <w:spacing w:line="240" w:lineRule="auto"/>
        <w:jc w:val="center"/>
        <w:rPr>
          <w:rFonts w:hint="eastAsia" w:ascii="黑体" w:hAnsi="黑体" w:eastAsia="黑体" w:cs="黑体"/>
          <w:b w:val="0"/>
          <w:bCs w:val="0"/>
          <w:sz w:val="21"/>
          <w:szCs w:val="21"/>
        </w:rPr>
      </w:pPr>
    </w:p>
    <w:p w14:paraId="5E3EB486">
      <w:pPr>
        <w:spacing w:line="240" w:lineRule="auto"/>
        <w:jc w:val="center"/>
        <w:rPr>
          <w:rFonts w:hint="eastAsia" w:ascii="黑体" w:hAnsi="黑体" w:eastAsia="黑体" w:cs="黑体"/>
          <w:b w:val="0"/>
          <w:bCs w:val="0"/>
          <w:sz w:val="21"/>
          <w:szCs w:val="21"/>
        </w:rPr>
      </w:pPr>
    </w:p>
    <w:p w14:paraId="790FC8BA">
      <w:pPr>
        <w:spacing w:line="240" w:lineRule="auto"/>
        <w:jc w:val="center"/>
        <w:rPr>
          <w:rFonts w:hint="eastAsia" w:ascii="黑体" w:hAnsi="黑体" w:eastAsia="黑体" w:cs="黑体"/>
          <w:b w:val="0"/>
          <w:bCs w:val="0"/>
          <w:sz w:val="21"/>
          <w:szCs w:val="21"/>
        </w:rPr>
      </w:pPr>
    </w:p>
    <w:p w14:paraId="447B2DF1">
      <w:pPr>
        <w:spacing w:line="240" w:lineRule="auto"/>
        <w:jc w:val="center"/>
        <w:rPr>
          <w:rFonts w:hint="eastAsia" w:ascii="黑体" w:hAnsi="黑体" w:eastAsia="黑体" w:cs="黑体"/>
          <w:b w:val="0"/>
          <w:bCs w:val="0"/>
          <w:sz w:val="21"/>
          <w:szCs w:val="21"/>
        </w:rPr>
      </w:pPr>
      <w:r>
        <w:rPr>
          <w:rFonts w:hint="eastAsia" w:ascii="黑体" w:hAnsi="黑体" w:eastAsia="黑体" w:cs="黑体"/>
          <w:b w:val="0"/>
          <w:bCs w:val="0"/>
          <w:sz w:val="21"/>
          <w:szCs w:val="21"/>
        </w:rPr>
        <w:t>表</w:t>
      </w:r>
      <w:r>
        <w:rPr>
          <w:rFonts w:hint="eastAsia" w:ascii="黑体" w:hAnsi="黑体" w:eastAsia="黑体" w:cs="黑体"/>
          <w:b w:val="0"/>
          <w:bCs w:val="0"/>
          <w:sz w:val="21"/>
          <w:szCs w:val="21"/>
          <w:lang w:val="en-US" w:eastAsia="zh-CN"/>
        </w:rPr>
        <w:t>4-2</w:t>
      </w:r>
      <w:r>
        <w:rPr>
          <w:rFonts w:hint="eastAsia" w:ascii="黑体" w:hAnsi="黑体" w:eastAsia="黑体" w:cs="黑体"/>
          <w:b w:val="0"/>
          <w:bCs w:val="0"/>
          <w:sz w:val="21"/>
          <w:szCs w:val="21"/>
          <w:lang w:eastAsia="zh-CN"/>
        </w:rPr>
        <w:t>产品方案</w:t>
      </w:r>
      <w:r>
        <w:rPr>
          <w:rFonts w:hint="eastAsia" w:ascii="黑体" w:hAnsi="黑体" w:eastAsia="黑体" w:cs="黑体"/>
          <w:b w:val="0"/>
          <w:bCs w:val="0"/>
          <w:sz w:val="21"/>
          <w:szCs w:val="21"/>
        </w:rPr>
        <w:t>表</w:t>
      </w:r>
    </w:p>
    <w:tbl>
      <w:tblPr>
        <w:tblStyle w:val="52"/>
        <w:tblW w:w="4998" w:type="pct"/>
        <w:jc w:val="center"/>
        <w:tblBorders>
          <w:top w:val="single" w:color="auto" w:sz="12" w:space="0"/>
          <w:left w:val="none" w:color="auto" w:sz="0" w:space="0"/>
          <w:bottom w:val="single" w:color="auto" w:sz="12" w:space="0"/>
          <w:right w:val="none" w:color="auto" w:sz="0" w:space="0"/>
          <w:insideH w:val="single" w:color="000000" w:sz="8" w:space="0"/>
          <w:insideV w:val="single" w:color="000000" w:sz="8" w:space="0"/>
        </w:tblBorders>
        <w:tblLayout w:type="autofit"/>
        <w:tblCellMar>
          <w:top w:w="0" w:type="dxa"/>
          <w:left w:w="108" w:type="dxa"/>
          <w:bottom w:w="0" w:type="dxa"/>
          <w:right w:w="108" w:type="dxa"/>
        </w:tblCellMar>
      </w:tblPr>
      <w:tblGrid>
        <w:gridCol w:w="2127"/>
        <w:gridCol w:w="2130"/>
        <w:gridCol w:w="2130"/>
        <w:gridCol w:w="2132"/>
      </w:tblGrid>
      <w:tr w14:paraId="260AC0EA">
        <w:tblPrEx>
          <w:tblBorders>
            <w:top w:val="single" w:color="auto" w:sz="12" w:space="0"/>
            <w:left w:val="none" w:color="auto" w:sz="0" w:space="0"/>
            <w:bottom w:val="single" w:color="auto" w:sz="12" w:space="0"/>
            <w:right w:val="none" w:color="auto" w:sz="0" w:space="0"/>
            <w:insideH w:val="single" w:color="000000" w:sz="8" w:space="0"/>
            <w:insideV w:val="single" w:color="000000" w:sz="8" w:space="0"/>
          </w:tblBorders>
          <w:tblCellMar>
            <w:top w:w="0" w:type="dxa"/>
            <w:left w:w="108" w:type="dxa"/>
            <w:bottom w:w="0" w:type="dxa"/>
            <w:right w:w="108" w:type="dxa"/>
          </w:tblCellMar>
        </w:tblPrEx>
        <w:trPr>
          <w:tblHeader/>
          <w:jc w:val="center"/>
        </w:trPr>
        <w:tc>
          <w:tcPr>
            <w:tcW w:w="1248" w:type="pct"/>
            <w:shd w:val="clear" w:color="auto" w:fill="auto"/>
            <w:vAlign w:val="center"/>
          </w:tcPr>
          <w:p w14:paraId="2A9C8EB9">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序号</w:t>
            </w:r>
          </w:p>
        </w:tc>
        <w:tc>
          <w:tcPr>
            <w:tcW w:w="1250" w:type="pct"/>
            <w:shd w:val="clear" w:color="auto" w:fill="auto"/>
            <w:vAlign w:val="center"/>
          </w:tcPr>
          <w:p w14:paraId="781D790E">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eastAsia="zh-CN"/>
              </w:rPr>
              <w:t>产品</w:t>
            </w:r>
            <w:r>
              <w:rPr>
                <w:rFonts w:hint="eastAsia" w:ascii="宋体" w:hAnsi="宋体" w:eastAsia="宋体" w:cs="宋体"/>
                <w:color w:val="000000"/>
                <w:kern w:val="0"/>
                <w:sz w:val="21"/>
                <w:szCs w:val="21"/>
              </w:rPr>
              <w:t>名称</w:t>
            </w:r>
          </w:p>
        </w:tc>
        <w:tc>
          <w:tcPr>
            <w:tcW w:w="1250" w:type="pct"/>
            <w:shd w:val="clear" w:color="auto" w:fill="auto"/>
            <w:vAlign w:val="center"/>
          </w:tcPr>
          <w:p w14:paraId="7B0E9E25">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kern w:val="0"/>
                <w:sz w:val="21"/>
                <w:szCs w:val="21"/>
                <w:lang w:eastAsia="zh-CN"/>
              </w:rPr>
            </w:pPr>
            <w:r>
              <w:rPr>
                <w:rFonts w:hint="eastAsia" w:ascii="宋体" w:hAnsi="宋体" w:eastAsia="宋体" w:cs="宋体"/>
                <w:color w:val="000000"/>
                <w:kern w:val="0"/>
                <w:sz w:val="21"/>
                <w:szCs w:val="21"/>
                <w:lang w:eastAsia="zh-CN"/>
              </w:rPr>
              <w:t>设计产能</w:t>
            </w:r>
          </w:p>
        </w:tc>
        <w:tc>
          <w:tcPr>
            <w:tcW w:w="1251" w:type="pct"/>
            <w:shd w:val="clear" w:color="auto" w:fill="auto"/>
            <w:vAlign w:val="center"/>
          </w:tcPr>
          <w:p w14:paraId="1BF8C54F">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kern w:val="0"/>
                <w:sz w:val="21"/>
                <w:szCs w:val="21"/>
                <w:lang w:eastAsia="zh-CN"/>
              </w:rPr>
            </w:pPr>
            <w:r>
              <w:rPr>
                <w:rFonts w:hint="eastAsia" w:ascii="宋体" w:hAnsi="宋体" w:cs="宋体"/>
                <w:color w:val="000000"/>
                <w:kern w:val="0"/>
                <w:sz w:val="21"/>
                <w:szCs w:val="21"/>
                <w:lang w:eastAsia="zh-CN"/>
              </w:rPr>
              <w:t>折算镀件面积</w:t>
            </w:r>
          </w:p>
        </w:tc>
      </w:tr>
      <w:tr w14:paraId="7FDAEF37">
        <w:tblPrEx>
          <w:tblBorders>
            <w:top w:val="single" w:color="auto" w:sz="12" w:space="0"/>
            <w:left w:val="none" w:color="auto" w:sz="0" w:space="0"/>
            <w:bottom w:val="single" w:color="auto" w:sz="12" w:space="0"/>
            <w:right w:val="none" w:color="auto" w:sz="0" w:space="0"/>
            <w:insideH w:val="single" w:color="000000" w:sz="8" w:space="0"/>
            <w:insideV w:val="single" w:color="000000" w:sz="8" w:space="0"/>
          </w:tblBorders>
          <w:tblCellMar>
            <w:top w:w="0" w:type="dxa"/>
            <w:left w:w="108" w:type="dxa"/>
            <w:bottom w:w="0" w:type="dxa"/>
            <w:right w:w="108" w:type="dxa"/>
          </w:tblCellMar>
        </w:tblPrEx>
        <w:trPr>
          <w:trHeight w:val="312" w:hRule="atLeast"/>
          <w:jc w:val="center"/>
        </w:trPr>
        <w:tc>
          <w:tcPr>
            <w:tcW w:w="1248" w:type="pct"/>
            <w:shd w:val="clear" w:color="auto" w:fill="auto"/>
            <w:vAlign w:val="center"/>
          </w:tcPr>
          <w:p w14:paraId="2E068C63">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1</w:t>
            </w:r>
          </w:p>
        </w:tc>
        <w:tc>
          <w:tcPr>
            <w:tcW w:w="1250" w:type="pct"/>
            <w:shd w:val="clear" w:color="auto" w:fill="auto"/>
            <w:vAlign w:val="center"/>
          </w:tcPr>
          <w:p w14:paraId="7DE0125F">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kern w:val="0"/>
                <w:sz w:val="21"/>
                <w:szCs w:val="21"/>
                <w:lang w:eastAsia="zh-CN"/>
              </w:rPr>
            </w:pPr>
            <w:r>
              <w:rPr>
                <w:rFonts w:hint="eastAsia" w:ascii="宋体" w:hAnsi="宋体" w:eastAsia="宋体" w:cs="宋体"/>
                <w:color w:val="000000"/>
                <w:kern w:val="0"/>
                <w:sz w:val="21"/>
                <w:szCs w:val="21"/>
                <w:lang w:eastAsia="zh-CN"/>
              </w:rPr>
              <w:t>镀锡铜排</w:t>
            </w:r>
          </w:p>
        </w:tc>
        <w:tc>
          <w:tcPr>
            <w:tcW w:w="1250" w:type="pct"/>
            <w:shd w:val="clear" w:color="auto" w:fill="auto"/>
            <w:vAlign w:val="center"/>
          </w:tcPr>
          <w:p w14:paraId="462EEE46">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kern w:val="0"/>
                <w:sz w:val="21"/>
                <w:szCs w:val="21"/>
                <w:lang w:val="en-US" w:eastAsia="zh-CN"/>
              </w:rPr>
            </w:pPr>
            <w:r>
              <w:rPr>
                <w:rFonts w:hint="eastAsia" w:ascii="宋体" w:hAnsi="宋体" w:cs="宋体"/>
                <w:color w:val="000000"/>
                <w:kern w:val="0"/>
                <w:sz w:val="21"/>
                <w:szCs w:val="21"/>
                <w:lang w:val="en-US" w:eastAsia="zh-CN"/>
              </w:rPr>
              <w:t>2</w:t>
            </w:r>
            <w:r>
              <w:rPr>
                <w:rFonts w:hint="eastAsia" w:ascii="宋体" w:hAnsi="宋体" w:eastAsia="宋体" w:cs="宋体"/>
                <w:color w:val="000000"/>
                <w:kern w:val="0"/>
                <w:sz w:val="21"/>
                <w:szCs w:val="21"/>
                <w:lang w:val="en-US" w:eastAsia="zh-CN"/>
              </w:rPr>
              <w:t>000t/a</w:t>
            </w:r>
          </w:p>
        </w:tc>
        <w:tc>
          <w:tcPr>
            <w:tcW w:w="1251" w:type="pct"/>
            <w:vMerge w:val="restart"/>
            <w:shd w:val="clear" w:color="auto" w:fill="auto"/>
            <w:vAlign w:val="center"/>
          </w:tcPr>
          <w:p w14:paraId="444C1E7B">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kern w:val="0"/>
                <w:sz w:val="21"/>
                <w:szCs w:val="21"/>
                <w:lang w:val="en-US" w:eastAsia="zh-CN"/>
              </w:rPr>
            </w:pPr>
            <w:r>
              <w:rPr>
                <w:rFonts w:hint="eastAsia" w:ascii="宋体" w:hAnsi="宋体" w:cs="宋体"/>
                <w:color w:val="000000"/>
                <w:kern w:val="0"/>
                <w:sz w:val="21"/>
                <w:szCs w:val="21"/>
                <w:lang w:val="en-US" w:eastAsia="zh-CN"/>
              </w:rPr>
              <w:t>1万m</w:t>
            </w:r>
            <w:r>
              <w:rPr>
                <w:rFonts w:hint="eastAsia" w:ascii="宋体" w:hAnsi="宋体" w:cs="宋体"/>
                <w:color w:val="000000"/>
                <w:kern w:val="0"/>
                <w:sz w:val="21"/>
                <w:szCs w:val="21"/>
                <w:vertAlign w:val="superscript"/>
                <w:lang w:val="en-US" w:eastAsia="zh-CN"/>
              </w:rPr>
              <w:t>2</w:t>
            </w:r>
            <w:r>
              <w:rPr>
                <w:rFonts w:hint="eastAsia" w:ascii="宋体" w:hAnsi="宋体" w:cs="宋体"/>
                <w:color w:val="000000"/>
                <w:kern w:val="0"/>
                <w:sz w:val="21"/>
                <w:szCs w:val="21"/>
                <w:vertAlign w:val="baseline"/>
                <w:lang w:val="en-US" w:eastAsia="zh-CN"/>
              </w:rPr>
              <w:t>/a</w:t>
            </w:r>
          </w:p>
        </w:tc>
      </w:tr>
      <w:tr w14:paraId="4024420E">
        <w:tblPrEx>
          <w:tblBorders>
            <w:top w:val="single" w:color="auto" w:sz="12" w:space="0"/>
            <w:left w:val="none" w:color="auto" w:sz="0" w:space="0"/>
            <w:bottom w:val="single" w:color="auto" w:sz="12" w:space="0"/>
            <w:right w:val="none" w:color="auto" w:sz="0" w:space="0"/>
            <w:insideH w:val="single" w:color="000000" w:sz="8" w:space="0"/>
            <w:insideV w:val="single" w:color="000000" w:sz="8" w:space="0"/>
          </w:tblBorders>
          <w:tblCellMar>
            <w:top w:w="0" w:type="dxa"/>
            <w:left w:w="108" w:type="dxa"/>
            <w:bottom w:w="0" w:type="dxa"/>
            <w:right w:w="108" w:type="dxa"/>
          </w:tblCellMar>
        </w:tblPrEx>
        <w:trPr>
          <w:trHeight w:val="312" w:hRule="atLeast"/>
          <w:jc w:val="center"/>
        </w:trPr>
        <w:tc>
          <w:tcPr>
            <w:tcW w:w="1248" w:type="pct"/>
            <w:shd w:val="clear" w:color="auto" w:fill="auto"/>
            <w:vAlign w:val="center"/>
          </w:tcPr>
          <w:p w14:paraId="063BED12">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kern w:val="0"/>
                <w:sz w:val="21"/>
                <w:szCs w:val="21"/>
                <w:lang w:val="en-US" w:eastAsia="zh-CN"/>
              </w:rPr>
            </w:pPr>
            <w:r>
              <w:rPr>
                <w:rFonts w:hint="eastAsia" w:ascii="宋体" w:hAnsi="宋体" w:cs="宋体"/>
                <w:color w:val="000000"/>
                <w:kern w:val="0"/>
                <w:sz w:val="21"/>
                <w:szCs w:val="21"/>
                <w:lang w:val="en-US" w:eastAsia="zh-CN"/>
              </w:rPr>
              <w:t>2</w:t>
            </w:r>
          </w:p>
        </w:tc>
        <w:tc>
          <w:tcPr>
            <w:tcW w:w="1250" w:type="pct"/>
            <w:shd w:val="clear" w:color="auto" w:fill="auto"/>
            <w:vAlign w:val="center"/>
          </w:tcPr>
          <w:p w14:paraId="08F43964">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kern w:val="0"/>
                <w:sz w:val="21"/>
                <w:szCs w:val="21"/>
                <w:lang w:eastAsia="zh-CN"/>
              </w:rPr>
            </w:pPr>
            <w:r>
              <w:rPr>
                <w:rFonts w:hint="eastAsia" w:ascii="宋体" w:hAnsi="宋体" w:cs="宋体"/>
                <w:color w:val="000000"/>
                <w:kern w:val="0"/>
                <w:sz w:val="21"/>
                <w:szCs w:val="21"/>
                <w:lang w:eastAsia="zh-CN"/>
              </w:rPr>
              <w:t>镀锡铜棒</w:t>
            </w:r>
          </w:p>
        </w:tc>
        <w:tc>
          <w:tcPr>
            <w:tcW w:w="1250" w:type="pct"/>
            <w:shd w:val="clear" w:color="auto" w:fill="auto"/>
            <w:vAlign w:val="center"/>
          </w:tcPr>
          <w:p w14:paraId="656A06D3">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kern w:val="0"/>
                <w:sz w:val="21"/>
                <w:szCs w:val="21"/>
                <w:lang w:val="en-US" w:eastAsia="zh-CN"/>
              </w:rPr>
            </w:pPr>
            <w:r>
              <w:rPr>
                <w:rFonts w:hint="eastAsia" w:ascii="宋体" w:hAnsi="宋体" w:cs="宋体"/>
                <w:color w:val="000000"/>
                <w:kern w:val="0"/>
                <w:sz w:val="21"/>
                <w:szCs w:val="21"/>
                <w:lang w:val="en-US" w:eastAsia="zh-CN"/>
              </w:rPr>
              <w:t>1000</w:t>
            </w:r>
            <w:r>
              <w:rPr>
                <w:rFonts w:hint="eastAsia" w:ascii="宋体" w:hAnsi="宋体" w:eastAsia="宋体" w:cs="宋体"/>
                <w:color w:val="000000"/>
                <w:kern w:val="0"/>
                <w:sz w:val="21"/>
                <w:szCs w:val="21"/>
                <w:lang w:val="en-US" w:eastAsia="zh-CN"/>
              </w:rPr>
              <w:t>t/a</w:t>
            </w:r>
          </w:p>
        </w:tc>
        <w:tc>
          <w:tcPr>
            <w:tcW w:w="1251" w:type="pct"/>
            <w:vMerge w:val="continue"/>
            <w:shd w:val="clear" w:color="auto" w:fill="auto"/>
            <w:vAlign w:val="center"/>
          </w:tcPr>
          <w:p w14:paraId="04AF227D">
            <w:pPr>
              <w:keepNext w:val="0"/>
              <w:keepLines w:val="0"/>
              <w:pageBreakBefore w:val="0"/>
              <w:widowControl/>
              <w:kinsoku/>
              <w:wordWrap/>
              <w:overflowPunct/>
              <w:topLinePunct w:val="0"/>
              <w:autoSpaceDE/>
              <w:autoSpaceDN/>
              <w:bidi w:val="0"/>
              <w:adjustRightInd/>
              <w:snapToGrid/>
              <w:spacing w:line="240" w:lineRule="auto"/>
              <w:ind w:firstLine="0" w:firstLineChars="0"/>
              <w:jc w:val="both"/>
              <w:textAlignment w:val="auto"/>
              <w:rPr>
                <w:rFonts w:hint="eastAsia" w:ascii="宋体" w:hAnsi="宋体" w:eastAsia="宋体" w:cs="宋体"/>
                <w:color w:val="000000"/>
                <w:kern w:val="0"/>
                <w:sz w:val="21"/>
                <w:szCs w:val="21"/>
              </w:rPr>
            </w:pPr>
          </w:p>
        </w:tc>
      </w:tr>
    </w:tbl>
    <w:p w14:paraId="56E2DEDB">
      <w:pPr>
        <w:bidi w:val="0"/>
        <w:spacing w:line="240" w:lineRule="auto"/>
        <w:rPr>
          <w:rFonts w:hint="eastAsia" w:ascii="宋体" w:hAnsi="宋体" w:eastAsia="宋体" w:cs="宋体"/>
          <w:sz w:val="21"/>
          <w:szCs w:val="21"/>
          <w:lang w:val="en-US" w:eastAsia="zh-CN"/>
        </w:rPr>
      </w:pPr>
      <w:r>
        <w:rPr>
          <w:rFonts w:hint="eastAsia" w:ascii="宋体" w:hAnsi="宋体" w:eastAsia="宋体" w:cs="宋体"/>
          <w:sz w:val="21"/>
          <w:szCs w:val="21"/>
          <w:lang w:eastAsia="zh-CN"/>
        </w:rPr>
        <w:t>本项目为铜件表面镀锡，镀锡工艺主要作用为使得铜件具有抗腐蚀、抗氧化作用，镀层厚度在</w:t>
      </w:r>
      <w:r>
        <w:rPr>
          <w:rFonts w:hint="eastAsia" w:ascii="宋体" w:hAnsi="宋体" w:eastAsia="宋体" w:cs="宋体"/>
          <w:sz w:val="21"/>
          <w:szCs w:val="21"/>
          <w:lang w:val="en-US" w:eastAsia="zh-CN"/>
        </w:rPr>
        <w:t>3</w:t>
      </w:r>
      <w:r>
        <w:rPr>
          <w:rFonts w:hint="eastAsia" w:ascii="宋体" w:hAnsi="宋体" w:eastAsia="宋体" w:cs="宋体"/>
          <w:i w:val="0"/>
          <w:caps w:val="0"/>
          <w:color w:val="333333"/>
          <w:spacing w:val="0"/>
          <w:sz w:val="21"/>
          <w:szCs w:val="21"/>
          <w:shd w:val="clear" w:fill="FFFFFF"/>
        </w:rPr>
        <w:t>um</w:t>
      </w:r>
      <w:r>
        <w:rPr>
          <w:rFonts w:hint="eastAsia" w:ascii="宋体" w:hAnsi="宋体" w:eastAsia="宋体" w:cs="宋体"/>
          <w:sz w:val="21"/>
          <w:szCs w:val="21"/>
          <w:lang w:val="en-US" w:eastAsia="zh-CN"/>
        </w:rPr>
        <w:t>-6</w:t>
      </w:r>
      <w:r>
        <w:rPr>
          <w:rFonts w:hint="eastAsia" w:ascii="宋体" w:hAnsi="宋体" w:eastAsia="宋体" w:cs="宋体"/>
          <w:i w:val="0"/>
          <w:caps w:val="0"/>
          <w:color w:val="333333"/>
          <w:spacing w:val="0"/>
          <w:sz w:val="21"/>
          <w:szCs w:val="21"/>
          <w:shd w:val="clear" w:fill="FFFFFF"/>
        </w:rPr>
        <w:t>um</w:t>
      </w:r>
      <w:r>
        <w:rPr>
          <w:rFonts w:hint="eastAsia" w:ascii="宋体" w:hAnsi="宋体" w:eastAsia="宋体" w:cs="宋体"/>
          <w:i w:val="0"/>
          <w:caps w:val="0"/>
          <w:color w:val="333333"/>
          <w:spacing w:val="0"/>
          <w:sz w:val="21"/>
          <w:szCs w:val="21"/>
          <w:shd w:val="clear" w:fill="FFFFFF"/>
          <w:lang w:eastAsia="zh-CN"/>
        </w:rPr>
        <w:t>左右，同时也可根据订单具体要求进行适当调整。镀锡工序操作执行《金属覆盖层</w:t>
      </w:r>
      <w:r>
        <w:rPr>
          <w:rFonts w:hint="eastAsia" w:ascii="宋体" w:hAnsi="宋体" w:eastAsia="宋体" w:cs="宋体"/>
          <w:i w:val="0"/>
          <w:caps w:val="0"/>
          <w:color w:val="333333"/>
          <w:spacing w:val="0"/>
          <w:sz w:val="21"/>
          <w:szCs w:val="21"/>
          <w:shd w:val="clear" w:fill="FFFFFF"/>
          <w:lang w:val="en-US" w:eastAsia="zh-CN"/>
        </w:rPr>
        <w:t xml:space="preserve"> 锡电镀层技术规范和试验方法</w:t>
      </w:r>
      <w:r>
        <w:rPr>
          <w:rFonts w:hint="eastAsia" w:ascii="宋体" w:hAnsi="宋体" w:eastAsia="宋体" w:cs="宋体"/>
          <w:i w:val="0"/>
          <w:caps w:val="0"/>
          <w:color w:val="333333"/>
          <w:spacing w:val="0"/>
          <w:sz w:val="21"/>
          <w:szCs w:val="21"/>
          <w:shd w:val="clear" w:fill="FFFFFF"/>
          <w:lang w:eastAsia="zh-CN"/>
        </w:rPr>
        <w:t>》（</w:t>
      </w:r>
      <w:r>
        <w:rPr>
          <w:rFonts w:hint="eastAsia" w:ascii="宋体" w:hAnsi="宋体" w:eastAsia="宋体" w:cs="宋体"/>
          <w:i w:val="0"/>
          <w:caps w:val="0"/>
          <w:color w:val="333333"/>
          <w:spacing w:val="0"/>
          <w:sz w:val="21"/>
          <w:szCs w:val="21"/>
          <w:shd w:val="clear" w:fill="FFFFFF"/>
          <w:lang w:val="en-US" w:eastAsia="zh-CN"/>
        </w:rPr>
        <w:t>GB/T12599-2002</w:t>
      </w:r>
      <w:r>
        <w:rPr>
          <w:rFonts w:hint="eastAsia" w:ascii="宋体" w:hAnsi="宋体" w:eastAsia="宋体" w:cs="宋体"/>
          <w:i w:val="0"/>
          <w:caps w:val="0"/>
          <w:color w:val="333333"/>
          <w:spacing w:val="0"/>
          <w:sz w:val="21"/>
          <w:szCs w:val="21"/>
          <w:shd w:val="clear" w:fill="FFFFFF"/>
          <w:lang w:eastAsia="zh-CN"/>
        </w:rPr>
        <w:t>）。</w:t>
      </w:r>
    </w:p>
    <w:p w14:paraId="4E21BAF9">
      <w:pPr>
        <w:pStyle w:val="5"/>
        <w:bidi w:val="0"/>
      </w:pPr>
      <w:r>
        <w:rPr>
          <w:rFonts w:hint="eastAsia"/>
          <w:lang w:val="en-US" w:eastAsia="zh-CN"/>
        </w:rPr>
        <w:t>4.2.3项目主要生产设备</w:t>
      </w:r>
    </w:p>
    <w:p w14:paraId="4DA94A8E">
      <w:pPr>
        <w:rPr>
          <w:rFonts w:hint="eastAsia"/>
          <w:lang w:eastAsia="zh-CN"/>
        </w:rPr>
      </w:pPr>
      <w:r>
        <w:rPr>
          <w:rFonts w:hint="eastAsia"/>
          <w:lang w:eastAsia="zh-CN"/>
        </w:rPr>
        <w:t>项目主要生产设备如下表所示。</w:t>
      </w:r>
    </w:p>
    <w:p w14:paraId="0C47CAEA">
      <w:pPr>
        <w:bidi w:val="0"/>
        <w:spacing w:line="240" w:lineRule="auto"/>
        <w:ind w:left="0" w:leftChars="0" w:firstLine="0" w:firstLineChars="0"/>
        <w:jc w:val="center"/>
        <w:rPr>
          <w:rFonts w:hint="eastAsia"/>
          <w:lang w:val="en-US" w:eastAsia="zh-CN"/>
        </w:rPr>
      </w:pPr>
      <w:r>
        <w:rPr>
          <w:rFonts w:hint="eastAsia" w:ascii="黑体" w:hAnsi="黑体" w:eastAsia="黑体" w:cs="黑体"/>
          <w:sz w:val="21"/>
          <w:szCs w:val="21"/>
          <w:lang w:eastAsia="zh-CN"/>
        </w:rPr>
        <w:t>表</w:t>
      </w:r>
      <w:r>
        <w:rPr>
          <w:rFonts w:hint="eastAsia" w:ascii="黑体" w:hAnsi="黑体" w:eastAsia="黑体" w:cs="黑体"/>
          <w:sz w:val="21"/>
          <w:szCs w:val="21"/>
          <w:lang w:val="en-US" w:eastAsia="zh-CN"/>
        </w:rPr>
        <w:t>4-3项目主要生产设备明细表</w:t>
      </w:r>
    </w:p>
    <w:tbl>
      <w:tblPr>
        <w:tblStyle w:val="53"/>
        <w:tblW w:w="0" w:type="auto"/>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955"/>
        <w:gridCol w:w="1637"/>
        <w:gridCol w:w="2988"/>
        <w:gridCol w:w="993"/>
        <w:gridCol w:w="1949"/>
      </w:tblGrid>
      <w:tr w14:paraId="5AB138F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55" w:type="dxa"/>
            <w:tcBorders>
              <w:tl2br w:val="nil"/>
              <w:tr2bl w:val="nil"/>
            </w:tcBorders>
            <w:vAlign w:val="center"/>
          </w:tcPr>
          <w:p w14:paraId="747177E3">
            <w:pPr>
              <w:pStyle w:val="72"/>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序号</w:t>
            </w:r>
          </w:p>
        </w:tc>
        <w:tc>
          <w:tcPr>
            <w:tcW w:w="1637" w:type="dxa"/>
            <w:tcBorders>
              <w:tl2br w:val="nil"/>
              <w:tr2bl w:val="nil"/>
            </w:tcBorders>
            <w:vAlign w:val="center"/>
          </w:tcPr>
          <w:p w14:paraId="5A96ED28">
            <w:pPr>
              <w:pStyle w:val="72"/>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设备名称</w:t>
            </w:r>
          </w:p>
        </w:tc>
        <w:tc>
          <w:tcPr>
            <w:tcW w:w="2988" w:type="dxa"/>
            <w:tcBorders>
              <w:tl2br w:val="nil"/>
              <w:tr2bl w:val="nil"/>
            </w:tcBorders>
            <w:vAlign w:val="center"/>
          </w:tcPr>
          <w:p w14:paraId="7458D048">
            <w:pPr>
              <w:pStyle w:val="72"/>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尺寸（m）</w:t>
            </w:r>
          </w:p>
        </w:tc>
        <w:tc>
          <w:tcPr>
            <w:tcW w:w="993" w:type="dxa"/>
            <w:tcBorders>
              <w:tl2br w:val="nil"/>
              <w:tr2bl w:val="nil"/>
            </w:tcBorders>
            <w:vAlign w:val="center"/>
          </w:tcPr>
          <w:p w14:paraId="5F342626">
            <w:pPr>
              <w:pStyle w:val="72"/>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数量</w:t>
            </w:r>
          </w:p>
        </w:tc>
        <w:tc>
          <w:tcPr>
            <w:tcW w:w="1949" w:type="dxa"/>
            <w:tcBorders>
              <w:tl2br w:val="nil"/>
              <w:tr2bl w:val="nil"/>
            </w:tcBorders>
            <w:vAlign w:val="center"/>
          </w:tcPr>
          <w:p w14:paraId="1F163CE5">
            <w:pPr>
              <w:pStyle w:val="72"/>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备注</w:t>
            </w:r>
          </w:p>
        </w:tc>
      </w:tr>
      <w:tr w14:paraId="1B50938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55" w:type="dxa"/>
            <w:tcBorders>
              <w:tl2br w:val="nil"/>
              <w:tr2bl w:val="nil"/>
            </w:tcBorders>
            <w:vAlign w:val="center"/>
          </w:tcPr>
          <w:p w14:paraId="0BCF2A3F">
            <w:pPr>
              <w:pStyle w:val="72"/>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w:t>
            </w:r>
          </w:p>
        </w:tc>
        <w:tc>
          <w:tcPr>
            <w:tcW w:w="1637" w:type="dxa"/>
            <w:tcBorders>
              <w:tl2br w:val="nil"/>
              <w:tr2bl w:val="nil"/>
            </w:tcBorders>
            <w:vAlign w:val="center"/>
          </w:tcPr>
          <w:p w14:paraId="61FE44FC">
            <w:pPr>
              <w:pStyle w:val="72"/>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电解除油槽</w:t>
            </w:r>
          </w:p>
        </w:tc>
        <w:tc>
          <w:tcPr>
            <w:tcW w:w="2988" w:type="dxa"/>
            <w:tcBorders>
              <w:tl2br w:val="nil"/>
              <w:tr2bl w:val="nil"/>
            </w:tcBorders>
            <w:vAlign w:val="center"/>
          </w:tcPr>
          <w:p w14:paraId="47D46496">
            <w:pPr>
              <w:pStyle w:val="72"/>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1.9×0.7×0.95（m）</w:t>
            </w:r>
          </w:p>
        </w:tc>
        <w:tc>
          <w:tcPr>
            <w:tcW w:w="993" w:type="dxa"/>
            <w:tcBorders>
              <w:tl2br w:val="nil"/>
              <w:tr2bl w:val="nil"/>
            </w:tcBorders>
            <w:vAlign w:val="center"/>
          </w:tcPr>
          <w:p w14:paraId="14824BE7">
            <w:pPr>
              <w:pStyle w:val="72"/>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w:t>
            </w:r>
          </w:p>
        </w:tc>
        <w:tc>
          <w:tcPr>
            <w:tcW w:w="1949" w:type="dxa"/>
            <w:tcBorders>
              <w:tl2br w:val="nil"/>
              <w:tr2bl w:val="nil"/>
            </w:tcBorders>
            <w:vAlign w:val="center"/>
          </w:tcPr>
          <w:p w14:paraId="42C85175">
            <w:pPr>
              <w:pStyle w:val="72"/>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vertAlign w:val="baseline"/>
                <w:lang w:val="en-US" w:eastAsia="zh-CN"/>
              </w:rPr>
            </w:pPr>
          </w:p>
        </w:tc>
      </w:tr>
      <w:tr w14:paraId="52DA5B5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55" w:type="dxa"/>
            <w:tcBorders>
              <w:tl2br w:val="nil"/>
              <w:tr2bl w:val="nil"/>
            </w:tcBorders>
            <w:vAlign w:val="center"/>
          </w:tcPr>
          <w:p w14:paraId="6B241F2B">
            <w:pPr>
              <w:pStyle w:val="72"/>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w:t>
            </w:r>
          </w:p>
        </w:tc>
        <w:tc>
          <w:tcPr>
            <w:tcW w:w="1637" w:type="dxa"/>
            <w:tcBorders>
              <w:tl2br w:val="nil"/>
              <w:tr2bl w:val="nil"/>
            </w:tcBorders>
            <w:vAlign w:val="center"/>
          </w:tcPr>
          <w:p w14:paraId="7E3691C3">
            <w:pPr>
              <w:pStyle w:val="72"/>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水洗槽</w:t>
            </w:r>
          </w:p>
        </w:tc>
        <w:tc>
          <w:tcPr>
            <w:tcW w:w="2988" w:type="dxa"/>
            <w:tcBorders>
              <w:tl2br w:val="nil"/>
              <w:tr2bl w:val="nil"/>
            </w:tcBorders>
            <w:vAlign w:val="center"/>
          </w:tcPr>
          <w:p w14:paraId="402B3FEC">
            <w:pPr>
              <w:pStyle w:val="72"/>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1.9×0.55×0.95（m）</w:t>
            </w:r>
          </w:p>
        </w:tc>
        <w:tc>
          <w:tcPr>
            <w:tcW w:w="993" w:type="dxa"/>
            <w:tcBorders>
              <w:tl2br w:val="nil"/>
              <w:tr2bl w:val="nil"/>
            </w:tcBorders>
            <w:vAlign w:val="center"/>
          </w:tcPr>
          <w:p w14:paraId="6D41BF6B">
            <w:pPr>
              <w:pStyle w:val="72"/>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w:t>
            </w:r>
          </w:p>
        </w:tc>
        <w:tc>
          <w:tcPr>
            <w:tcW w:w="1949" w:type="dxa"/>
            <w:tcBorders>
              <w:tl2br w:val="nil"/>
              <w:tr2bl w:val="nil"/>
            </w:tcBorders>
            <w:vAlign w:val="center"/>
          </w:tcPr>
          <w:p w14:paraId="5FF46060">
            <w:pPr>
              <w:pStyle w:val="72"/>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自来水喷淋水洗</w:t>
            </w:r>
          </w:p>
        </w:tc>
      </w:tr>
      <w:tr w14:paraId="24C97F6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55" w:type="dxa"/>
            <w:tcBorders>
              <w:tl2br w:val="nil"/>
              <w:tr2bl w:val="nil"/>
            </w:tcBorders>
            <w:vAlign w:val="center"/>
          </w:tcPr>
          <w:p w14:paraId="13014F1B">
            <w:pPr>
              <w:pStyle w:val="72"/>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3</w:t>
            </w:r>
          </w:p>
        </w:tc>
        <w:tc>
          <w:tcPr>
            <w:tcW w:w="1637" w:type="dxa"/>
            <w:tcBorders>
              <w:tl2br w:val="nil"/>
              <w:tr2bl w:val="nil"/>
            </w:tcBorders>
            <w:vAlign w:val="center"/>
          </w:tcPr>
          <w:p w14:paraId="79DCD093">
            <w:pPr>
              <w:pStyle w:val="72"/>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镀锡槽</w:t>
            </w:r>
          </w:p>
        </w:tc>
        <w:tc>
          <w:tcPr>
            <w:tcW w:w="2988" w:type="dxa"/>
            <w:tcBorders>
              <w:tl2br w:val="nil"/>
              <w:tr2bl w:val="nil"/>
            </w:tcBorders>
            <w:vAlign w:val="center"/>
          </w:tcPr>
          <w:p w14:paraId="25AC4910">
            <w:pPr>
              <w:pStyle w:val="72"/>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1.9×0.8×0.95（m）</w:t>
            </w:r>
          </w:p>
        </w:tc>
        <w:tc>
          <w:tcPr>
            <w:tcW w:w="993" w:type="dxa"/>
            <w:tcBorders>
              <w:tl2br w:val="nil"/>
              <w:tr2bl w:val="nil"/>
            </w:tcBorders>
            <w:vAlign w:val="center"/>
          </w:tcPr>
          <w:p w14:paraId="049F50F6">
            <w:pPr>
              <w:pStyle w:val="72"/>
              <w:keepNext w:val="0"/>
              <w:keepLines w:val="0"/>
              <w:pageBreakBefore w:val="0"/>
              <w:widowControl w:val="0"/>
              <w:kinsoku/>
              <w:wordWrap/>
              <w:overflowPunct/>
              <w:topLinePunct w:val="0"/>
              <w:autoSpaceDE/>
              <w:autoSpaceDN/>
              <w:bidi w:val="0"/>
              <w:adjustRightInd/>
              <w:snapToGrid/>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w:t>
            </w:r>
          </w:p>
        </w:tc>
        <w:tc>
          <w:tcPr>
            <w:tcW w:w="1949" w:type="dxa"/>
            <w:tcBorders>
              <w:tl2br w:val="nil"/>
              <w:tr2bl w:val="nil"/>
            </w:tcBorders>
            <w:vAlign w:val="center"/>
          </w:tcPr>
          <w:p w14:paraId="5D74B546">
            <w:pPr>
              <w:pStyle w:val="72"/>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vertAlign w:val="baseline"/>
                <w:lang w:val="en-US" w:eastAsia="zh-CN"/>
              </w:rPr>
            </w:pPr>
          </w:p>
        </w:tc>
      </w:tr>
      <w:tr w14:paraId="354CCFA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55" w:type="dxa"/>
            <w:tcBorders>
              <w:tl2br w:val="nil"/>
              <w:tr2bl w:val="nil"/>
            </w:tcBorders>
            <w:vAlign w:val="center"/>
          </w:tcPr>
          <w:p w14:paraId="5B9E949F">
            <w:pPr>
              <w:pStyle w:val="72"/>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4</w:t>
            </w:r>
          </w:p>
        </w:tc>
        <w:tc>
          <w:tcPr>
            <w:tcW w:w="1637" w:type="dxa"/>
            <w:tcBorders>
              <w:tl2br w:val="nil"/>
              <w:tr2bl w:val="nil"/>
            </w:tcBorders>
            <w:vAlign w:val="center"/>
          </w:tcPr>
          <w:p w14:paraId="1531F16D">
            <w:pPr>
              <w:pStyle w:val="72"/>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热风烘干槽</w:t>
            </w:r>
          </w:p>
        </w:tc>
        <w:tc>
          <w:tcPr>
            <w:tcW w:w="2988" w:type="dxa"/>
            <w:tcBorders>
              <w:tl2br w:val="nil"/>
              <w:tr2bl w:val="nil"/>
            </w:tcBorders>
            <w:vAlign w:val="center"/>
          </w:tcPr>
          <w:p w14:paraId="21D815ED">
            <w:pPr>
              <w:pStyle w:val="72"/>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1.9×0.55×0.95（m）</w:t>
            </w:r>
          </w:p>
        </w:tc>
        <w:tc>
          <w:tcPr>
            <w:tcW w:w="993" w:type="dxa"/>
            <w:tcBorders>
              <w:tl2br w:val="nil"/>
              <w:tr2bl w:val="nil"/>
            </w:tcBorders>
            <w:vAlign w:val="center"/>
          </w:tcPr>
          <w:p w14:paraId="5F147319">
            <w:pPr>
              <w:pStyle w:val="72"/>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w:t>
            </w:r>
          </w:p>
        </w:tc>
        <w:tc>
          <w:tcPr>
            <w:tcW w:w="1949" w:type="dxa"/>
            <w:tcBorders>
              <w:tl2br w:val="nil"/>
              <w:tr2bl w:val="nil"/>
            </w:tcBorders>
            <w:vAlign w:val="center"/>
          </w:tcPr>
          <w:p w14:paraId="49B8BCE4">
            <w:pPr>
              <w:pStyle w:val="72"/>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电热风烘干</w:t>
            </w:r>
          </w:p>
        </w:tc>
      </w:tr>
      <w:tr w14:paraId="49B8315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55" w:type="dxa"/>
            <w:tcBorders>
              <w:tl2br w:val="nil"/>
              <w:tr2bl w:val="nil"/>
            </w:tcBorders>
            <w:vAlign w:val="center"/>
          </w:tcPr>
          <w:p w14:paraId="0822DEC9">
            <w:pPr>
              <w:pStyle w:val="72"/>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5</w:t>
            </w:r>
          </w:p>
        </w:tc>
        <w:tc>
          <w:tcPr>
            <w:tcW w:w="1637" w:type="dxa"/>
            <w:tcBorders>
              <w:tl2br w:val="nil"/>
              <w:tr2bl w:val="nil"/>
            </w:tcBorders>
            <w:vAlign w:val="center"/>
          </w:tcPr>
          <w:p w14:paraId="0C488BCC">
            <w:pPr>
              <w:pStyle w:val="72"/>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铜排进料输送系统</w:t>
            </w:r>
          </w:p>
        </w:tc>
        <w:tc>
          <w:tcPr>
            <w:tcW w:w="2988" w:type="dxa"/>
            <w:tcBorders>
              <w:tl2br w:val="nil"/>
              <w:tr2bl w:val="nil"/>
            </w:tcBorders>
            <w:vAlign w:val="center"/>
          </w:tcPr>
          <w:p w14:paraId="4F7614DA">
            <w:pPr>
              <w:pStyle w:val="72"/>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5.5（m）</w:t>
            </w:r>
          </w:p>
        </w:tc>
        <w:tc>
          <w:tcPr>
            <w:tcW w:w="993" w:type="dxa"/>
            <w:tcBorders>
              <w:tl2br w:val="nil"/>
              <w:tr2bl w:val="nil"/>
            </w:tcBorders>
            <w:vAlign w:val="center"/>
          </w:tcPr>
          <w:p w14:paraId="20BD4DF0">
            <w:pPr>
              <w:pStyle w:val="72"/>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w:t>
            </w:r>
          </w:p>
        </w:tc>
        <w:tc>
          <w:tcPr>
            <w:tcW w:w="1949" w:type="dxa"/>
            <w:tcBorders>
              <w:tl2br w:val="nil"/>
              <w:tr2bl w:val="nil"/>
            </w:tcBorders>
            <w:vAlign w:val="center"/>
          </w:tcPr>
          <w:p w14:paraId="66D8ECC8">
            <w:pPr>
              <w:pStyle w:val="72"/>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vertAlign w:val="baseline"/>
                <w:lang w:val="en-US" w:eastAsia="zh-CN"/>
              </w:rPr>
            </w:pPr>
          </w:p>
        </w:tc>
      </w:tr>
      <w:tr w14:paraId="24BFAD1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55" w:type="dxa"/>
            <w:tcBorders>
              <w:tl2br w:val="nil"/>
              <w:tr2bl w:val="nil"/>
            </w:tcBorders>
            <w:vAlign w:val="center"/>
          </w:tcPr>
          <w:p w14:paraId="12983998">
            <w:pPr>
              <w:pStyle w:val="72"/>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6</w:t>
            </w:r>
          </w:p>
        </w:tc>
        <w:tc>
          <w:tcPr>
            <w:tcW w:w="1637" w:type="dxa"/>
            <w:tcBorders>
              <w:tl2br w:val="nil"/>
              <w:tr2bl w:val="nil"/>
            </w:tcBorders>
            <w:vAlign w:val="center"/>
          </w:tcPr>
          <w:p w14:paraId="448D6144">
            <w:pPr>
              <w:pStyle w:val="72"/>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电气控制系统</w:t>
            </w:r>
          </w:p>
        </w:tc>
        <w:tc>
          <w:tcPr>
            <w:tcW w:w="2988" w:type="dxa"/>
            <w:tcBorders>
              <w:tl2br w:val="nil"/>
              <w:tr2bl w:val="nil"/>
            </w:tcBorders>
            <w:vAlign w:val="center"/>
          </w:tcPr>
          <w:p w14:paraId="2DBC8E3F">
            <w:pPr>
              <w:pStyle w:val="72"/>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w:t>
            </w:r>
          </w:p>
        </w:tc>
        <w:tc>
          <w:tcPr>
            <w:tcW w:w="993" w:type="dxa"/>
            <w:tcBorders>
              <w:tl2br w:val="nil"/>
              <w:tr2bl w:val="nil"/>
            </w:tcBorders>
            <w:vAlign w:val="center"/>
          </w:tcPr>
          <w:p w14:paraId="14266772">
            <w:pPr>
              <w:pStyle w:val="72"/>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w:t>
            </w:r>
          </w:p>
        </w:tc>
        <w:tc>
          <w:tcPr>
            <w:tcW w:w="1949" w:type="dxa"/>
            <w:tcBorders>
              <w:tl2br w:val="nil"/>
              <w:tr2bl w:val="nil"/>
            </w:tcBorders>
            <w:vAlign w:val="center"/>
          </w:tcPr>
          <w:p w14:paraId="19AD95B1">
            <w:pPr>
              <w:pStyle w:val="72"/>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vertAlign w:val="baseline"/>
                <w:lang w:val="en-US" w:eastAsia="zh-CN"/>
              </w:rPr>
            </w:pPr>
          </w:p>
        </w:tc>
      </w:tr>
      <w:tr w14:paraId="29332B8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55" w:type="dxa"/>
            <w:tcBorders>
              <w:tl2br w:val="nil"/>
              <w:tr2bl w:val="nil"/>
            </w:tcBorders>
            <w:vAlign w:val="center"/>
          </w:tcPr>
          <w:p w14:paraId="32E495E8">
            <w:pPr>
              <w:pStyle w:val="72"/>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7</w:t>
            </w:r>
          </w:p>
        </w:tc>
        <w:tc>
          <w:tcPr>
            <w:tcW w:w="1637" w:type="dxa"/>
            <w:tcBorders>
              <w:tl2br w:val="nil"/>
              <w:tr2bl w:val="nil"/>
            </w:tcBorders>
            <w:vAlign w:val="center"/>
          </w:tcPr>
          <w:p w14:paraId="74B4B2B8">
            <w:pPr>
              <w:pStyle w:val="72"/>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整流器</w:t>
            </w:r>
          </w:p>
        </w:tc>
        <w:tc>
          <w:tcPr>
            <w:tcW w:w="2988" w:type="dxa"/>
            <w:tcBorders>
              <w:tl2br w:val="nil"/>
              <w:tr2bl w:val="nil"/>
            </w:tcBorders>
            <w:vAlign w:val="center"/>
          </w:tcPr>
          <w:p w14:paraId="50C6326C">
            <w:pPr>
              <w:pStyle w:val="72"/>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12V1500A</w:t>
            </w:r>
          </w:p>
        </w:tc>
        <w:tc>
          <w:tcPr>
            <w:tcW w:w="993" w:type="dxa"/>
            <w:tcBorders>
              <w:tl2br w:val="nil"/>
              <w:tr2bl w:val="nil"/>
            </w:tcBorders>
            <w:vAlign w:val="center"/>
          </w:tcPr>
          <w:p w14:paraId="1CA51B0B">
            <w:pPr>
              <w:pStyle w:val="72"/>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5台</w:t>
            </w:r>
          </w:p>
        </w:tc>
        <w:tc>
          <w:tcPr>
            <w:tcW w:w="1949" w:type="dxa"/>
            <w:tcBorders>
              <w:tl2br w:val="nil"/>
              <w:tr2bl w:val="nil"/>
            </w:tcBorders>
            <w:vAlign w:val="center"/>
          </w:tcPr>
          <w:p w14:paraId="434C437E">
            <w:pPr>
              <w:pStyle w:val="72"/>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vertAlign w:val="baseline"/>
                <w:lang w:val="en-US" w:eastAsia="zh-CN"/>
              </w:rPr>
            </w:pPr>
          </w:p>
        </w:tc>
      </w:tr>
      <w:tr w14:paraId="33DF9F3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55" w:type="dxa"/>
            <w:tcBorders>
              <w:tl2br w:val="nil"/>
              <w:tr2bl w:val="nil"/>
            </w:tcBorders>
            <w:vAlign w:val="center"/>
          </w:tcPr>
          <w:p w14:paraId="7F92D760">
            <w:pPr>
              <w:pStyle w:val="72"/>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8</w:t>
            </w:r>
          </w:p>
        </w:tc>
        <w:tc>
          <w:tcPr>
            <w:tcW w:w="1637" w:type="dxa"/>
            <w:tcBorders>
              <w:tl2br w:val="nil"/>
              <w:tr2bl w:val="nil"/>
            </w:tcBorders>
            <w:vAlign w:val="center"/>
          </w:tcPr>
          <w:p w14:paraId="3C56652D">
            <w:pPr>
              <w:pStyle w:val="72"/>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整流器</w:t>
            </w:r>
          </w:p>
        </w:tc>
        <w:tc>
          <w:tcPr>
            <w:tcW w:w="2988" w:type="dxa"/>
            <w:tcBorders>
              <w:tl2br w:val="nil"/>
              <w:tr2bl w:val="nil"/>
            </w:tcBorders>
            <w:vAlign w:val="center"/>
          </w:tcPr>
          <w:p w14:paraId="7503C817">
            <w:pPr>
              <w:pStyle w:val="72"/>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12V500A</w:t>
            </w:r>
          </w:p>
        </w:tc>
        <w:tc>
          <w:tcPr>
            <w:tcW w:w="993" w:type="dxa"/>
            <w:tcBorders>
              <w:tl2br w:val="nil"/>
              <w:tr2bl w:val="nil"/>
            </w:tcBorders>
            <w:vAlign w:val="center"/>
          </w:tcPr>
          <w:p w14:paraId="71855E9E">
            <w:pPr>
              <w:pStyle w:val="72"/>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3台</w:t>
            </w:r>
          </w:p>
        </w:tc>
        <w:tc>
          <w:tcPr>
            <w:tcW w:w="1949" w:type="dxa"/>
            <w:tcBorders>
              <w:tl2br w:val="nil"/>
              <w:tr2bl w:val="nil"/>
            </w:tcBorders>
            <w:vAlign w:val="center"/>
          </w:tcPr>
          <w:p w14:paraId="03F38BA0">
            <w:pPr>
              <w:pStyle w:val="72"/>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vertAlign w:val="baseline"/>
                <w:lang w:val="en-US" w:eastAsia="zh-CN"/>
              </w:rPr>
            </w:pPr>
          </w:p>
        </w:tc>
      </w:tr>
      <w:tr w14:paraId="2C5F210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55" w:type="dxa"/>
            <w:tcBorders>
              <w:tl2br w:val="nil"/>
              <w:tr2bl w:val="nil"/>
            </w:tcBorders>
            <w:vAlign w:val="center"/>
          </w:tcPr>
          <w:p w14:paraId="28D0B56D">
            <w:pPr>
              <w:pStyle w:val="72"/>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9</w:t>
            </w:r>
          </w:p>
        </w:tc>
        <w:tc>
          <w:tcPr>
            <w:tcW w:w="1637" w:type="dxa"/>
            <w:tcBorders>
              <w:tl2br w:val="nil"/>
              <w:tr2bl w:val="nil"/>
            </w:tcBorders>
            <w:vAlign w:val="center"/>
          </w:tcPr>
          <w:p w14:paraId="3550E1CC">
            <w:pPr>
              <w:pStyle w:val="72"/>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过滤机</w:t>
            </w:r>
          </w:p>
        </w:tc>
        <w:tc>
          <w:tcPr>
            <w:tcW w:w="2988" w:type="dxa"/>
            <w:tcBorders>
              <w:tl2br w:val="nil"/>
              <w:tr2bl w:val="nil"/>
            </w:tcBorders>
            <w:vAlign w:val="center"/>
          </w:tcPr>
          <w:p w14:paraId="0DFAB88B">
            <w:pPr>
              <w:pStyle w:val="72"/>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3HP</w:t>
            </w:r>
          </w:p>
        </w:tc>
        <w:tc>
          <w:tcPr>
            <w:tcW w:w="993" w:type="dxa"/>
            <w:tcBorders>
              <w:tl2br w:val="nil"/>
              <w:tr2bl w:val="nil"/>
            </w:tcBorders>
            <w:vAlign w:val="center"/>
          </w:tcPr>
          <w:p w14:paraId="5CA5E45F">
            <w:pPr>
              <w:pStyle w:val="72"/>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5</w:t>
            </w:r>
          </w:p>
        </w:tc>
        <w:tc>
          <w:tcPr>
            <w:tcW w:w="1949" w:type="dxa"/>
            <w:tcBorders>
              <w:tl2br w:val="nil"/>
              <w:tr2bl w:val="nil"/>
            </w:tcBorders>
            <w:vAlign w:val="center"/>
          </w:tcPr>
          <w:p w14:paraId="529B6860">
            <w:pPr>
              <w:pStyle w:val="72"/>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vertAlign w:val="baseline"/>
                <w:lang w:val="en-US" w:eastAsia="zh-CN"/>
              </w:rPr>
            </w:pPr>
          </w:p>
        </w:tc>
      </w:tr>
    </w:tbl>
    <w:p w14:paraId="3C1EE3D0">
      <w:pPr>
        <w:pStyle w:val="72"/>
        <w:rPr>
          <w:rFonts w:hint="default"/>
          <w:lang w:val="en-US" w:eastAsia="zh-CN"/>
        </w:rPr>
      </w:pPr>
    </w:p>
    <w:p w14:paraId="25AEEDCE">
      <w:pPr>
        <w:pStyle w:val="3"/>
        <w:pageBreakBefore w:val="0"/>
        <w:kinsoku/>
        <w:wordWrap/>
        <w:overflowPunct/>
        <w:topLinePunct w:val="0"/>
        <w:autoSpaceDE/>
        <w:autoSpaceDN/>
        <w:bidi w:val="0"/>
        <w:adjustRightInd/>
        <w:snapToGrid/>
        <w:textAlignment w:val="auto"/>
        <w:rPr>
          <w:color w:val="auto"/>
        </w:rPr>
      </w:pPr>
      <w:bookmarkStart w:id="338" w:name="_Toc18408"/>
      <w:r>
        <w:rPr>
          <w:rFonts w:hint="eastAsia"/>
          <w:color w:val="auto"/>
          <w:lang w:val="en-US" w:eastAsia="zh-CN"/>
        </w:rPr>
        <w:t>4</w:t>
      </w:r>
      <w:r>
        <w:rPr>
          <w:color w:val="auto"/>
        </w:rPr>
        <w:t>.</w:t>
      </w:r>
      <w:r>
        <w:rPr>
          <w:rFonts w:hint="eastAsia"/>
          <w:color w:val="auto"/>
          <w:lang w:val="en-US" w:eastAsia="zh-CN"/>
        </w:rPr>
        <w:t>3</w:t>
      </w:r>
      <w:r>
        <w:rPr>
          <w:color w:val="auto"/>
        </w:rPr>
        <w:t>主要原辅料</w:t>
      </w:r>
      <w:bookmarkEnd w:id="338"/>
    </w:p>
    <w:p w14:paraId="473E109C">
      <w:pPr>
        <w:pStyle w:val="5"/>
        <w:pageBreakBefore w:val="0"/>
        <w:kinsoku/>
        <w:wordWrap/>
        <w:overflowPunct/>
        <w:topLinePunct w:val="0"/>
        <w:autoSpaceDE/>
        <w:autoSpaceDN/>
        <w:bidi w:val="0"/>
        <w:adjustRightInd/>
        <w:snapToGrid/>
        <w:spacing w:before="0" w:after="0"/>
        <w:textAlignment w:val="auto"/>
        <w:rPr>
          <w:rFonts w:hint="default"/>
          <w:lang w:val="en-US" w:eastAsia="zh-CN"/>
        </w:rPr>
      </w:pPr>
      <w:r>
        <w:rPr>
          <w:rFonts w:hint="eastAsia"/>
          <w:lang w:val="en-US" w:eastAsia="zh-CN"/>
        </w:rPr>
        <w:t>4.3.1项目主要原辅材料消耗</w:t>
      </w:r>
    </w:p>
    <w:p w14:paraId="04A593CD">
      <w:pPr>
        <w:pageBreakBefore w:val="0"/>
        <w:kinsoku/>
        <w:wordWrap/>
        <w:overflowPunct/>
        <w:topLinePunct w:val="0"/>
        <w:autoSpaceDE/>
        <w:autoSpaceDN/>
        <w:bidi w:val="0"/>
        <w:adjustRightInd/>
        <w:snapToGrid/>
        <w:ind w:firstLine="480" w:firstLineChars="200"/>
        <w:textAlignment w:val="auto"/>
        <w:rPr>
          <w:bCs/>
        </w:rPr>
      </w:pPr>
      <w:r>
        <w:rPr>
          <w:bCs/>
        </w:rPr>
        <w:t>本项目营运期原辅材料消耗情况见下表。</w:t>
      </w:r>
    </w:p>
    <w:p w14:paraId="5585A775">
      <w:pPr>
        <w:pStyle w:val="270"/>
        <w:spacing w:before="120"/>
        <w:rPr>
          <w:color w:val="auto"/>
          <w:shd w:val="clear" w:color="auto" w:fill="auto"/>
        </w:rPr>
      </w:pPr>
      <w:r>
        <w:rPr>
          <w:rFonts w:hint="eastAsia" w:ascii="黑体" w:hAnsi="黑体" w:eastAsia="黑体" w:cs="黑体"/>
          <w:b w:val="0"/>
          <w:bCs w:val="0"/>
          <w:color w:val="auto"/>
          <w:shd w:val="clear" w:color="auto" w:fill="auto"/>
        </w:rPr>
        <w:t>表</w:t>
      </w:r>
      <w:r>
        <w:rPr>
          <w:rFonts w:hint="eastAsia" w:ascii="黑体" w:hAnsi="黑体" w:eastAsia="黑体" w:cs="黑体"/>
          <w:b w:val="0"/>
          <w:bCs w:val="0"/>
          <w:color w:val="auto"/>
          <w:shd w:val="clear" w:color="auto" w:fill="auto"/>
          <w:lang w:val="en-US" w:eastAsia="zh-CN"/>
        </w:rPr>
        <w:t>4-4</w:t>
      </w:r>
      <w:r>
        <w:rPr>
          <w:rFonts w:hint="eastAsia" w:ascii="黑体" w:hAnsi="黑体" w:eastAsia="黑体" w:cs="黑体"/>
          <w:b w:val="0"/>
          <w:bCs w:val="0"/>
          <w:color w:val="auto"/>
          <w:shd w:val="clear" w:color="auto" w:fill="auto"/>
        </w:rPr>
        <w:t>主要原辅材料消耗一览表</w:t>
      </w:r>
    </w:p>
    <w:tbl>
      <w:tblPr>
        <w:tblStyle w:val="52"/>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701"/>
        <w:gridCol w:w="2481"/>
        <w:gridCol w:w="2159"/>
        <w:gridCol w:w="1159"/>
        <w:gridCol w:w="2022"/>
      </w:tblGrid>
      <w:tr w14:paraId="41E479C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11" w:type="pct"/>
            <w:vAlign w:val="center"/>
          </w:tcPr>
          <w:p w14:paraId="3BFC54B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序号</w:t>
            </w:r>
          </w:p>
        </w:tc>
        <w:tc>
          <w:tcPr>
            <w:tcW w:w="1455" w:type="pct"/>
            <w:shd w:val="clear" w:color="auto" w:fill="auto"/>
            <w:vAlign w:val="center"/>
          </w:tcPr>
          <w:p w14:paraId="5778A1D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kern w:val="0"/>
                <w:sz w:val="21"/>
                <w:szCs w:val="21"/>
                <w:lang w:eastAsia="zh-CN"/>
              </w:rPr>
            </w:pPr>
            <w:r>
              <w:rPr>
                <w:rFonts w:hint="eastAsia" w:ascii="宋体" w:hAnsi="宋体" w:eastAsia="宋体" w:cs="宋体"/>
                <w:kern w:val="0"/>
                <w:sz w:val="21"/>
                <w:szCs w:val="21"/>
                <w:lang w:eastAsia="zh-CN"/>
              </w:rPr>
              <w:t>工序名称</w:t>
            </w:r>
          </w:p>
        </w:tc>
        <w:tc>
          <w:tcPr>
            <w:tcW w:w="1266" w:type="pct"/>
            <w:shd w:val="clear" w:color="auto" w:fill="auto"/>
            <w:vAlign w:val="center"/>
          </w:tcPr>
          <w:p w14:paraId="562FAC4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kern w:val="0"/>
                <w:sz w:val="21"/>
                <w:szCs w:val="21"/>
                <w:lang w:eastAsia="zh-CN"/>
              </w:rPr>
            </w:pPr>
            <w:r>
              <w:rPr>
                <w:rFonts w:hint="eastAsia" w:ascii="宋体" w:hAnsi="宋体" w:eastAsia="宋体" w:cs="宋体"/>
                <w:kern w:val="0"/>
                <w:sz w:val="21"/>
                <w:szCs w:val="21"/>
                <w:lang w:eastAsia="zh-CN"/>
              </w:rPr>
              <w:t>主要原辅料</w:t>
            </w:r>
          </w:p>
        </w:tc>
        <w:tc>
          <w:tcPr>
            <w:tcW w:w="680" w:type="pct"/>
            <w:shd w:val="clear" w:color="auto" w:fill="auto"/>
            <w:vAlign w:val="center"/>
          </w:tcPr>
          <w:p w14:paraId="3393FD6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kern w:val="0"/>
                <w:sz w:val="21"/>
                <w:szCs w:val="21"/>
                <w:lang w:eastAsia="zh-CN"/>
              </w:rPr>
            </w:pPr>
            <w:r>
              <w:rPr>
                <w:rFonts w:hint="eastAsia" w:ascii="宋体" w:hAnsi="宋体" w:eastAsia="宋体" w:cs="宋体"/>
                <w:kern w:val="0"/>
                <w:sz w:val="21"/>
                <w:szCs w:val="21"/>
                <w:lang w:eastAsia="zh-CN"/>
              </w:rPr>
              <w:t>使用量</w:t>
            </w:r>
          </w:p>
        </w:tc>
        <w:tc>
          <w:tcPr>
            <w:tcW w:w="1186" w:type="pct"/>
            <w:shd w:val="clear" w:color="auto" w:fill="auto"/>
            <w:vAlign w:val="center"/>
          </w:tcPr>
          <w:p w14:paraId="0EA6DBC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kern w:val="0"/>
                <w:sz w:val="21"/>
                <w:szCs w:val="21"/>
                <w:lang w:eastAsia="zh-CN"/>
              </w:rPr>
            </w:pPr>
            <w:r>
              <w:rPr>
                <w:rFonts w:hint="eastAsia" w:ascii="宋体" w:hAnsi="宋体" w:eastAsia="宋体" w:cs="宋体"/>
                <w:kern w:val="0"/>
                <w:sz w:val="21"/>
                <w:szCs w:val="21"/>
                <w:lang w:eastAsia="zh-CN"/>
              </w:rPr>
              <w:t>备注</w:t>
            </w:r>
          </w:p>
        </w:tc>
      </w:tr>
      <w:tr w14:paraId="6DDDA2B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11" w:type="pct"/>
            <w:vAlign w:val="center"/>
          </w:tcPr>
          <w:p w14:paraId="3F0FB47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1</w:t>
            </w:r>
          </w:p>
        </w:tc>
        <w:tc>
          <w:tcPr>
            <w:tcW w:w="1455" w:type="pct"/>
            <w:shd w:val="clear" w:color="auto" w:fill="auto"/>
            <w:vAlign w:val="center"/>
          </w:tcPr>
          <w:p w14:paraId="24ECB5B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kern w:val="0"/>
                <w:sz w:val="21"/>
                <w:szCs w:val="21"/>
                <w:lang w:eastAsia="zh-CN"/>
              </w:rPr>
            </w:pPr>
            <w:r>
              <w:rPr>
                <w:rFonts w:hint="eastAsia" w:ascii="宋体" w:hAnsi="宋体" w:eastAsia="宋体" w:cs="宋体"/>
                <w:kern w:val="0"/>
                <w:sz w:val="21"/>
                <w:szCs w:val="21"/>
                <w:lang w:eastAsia="zh-CN"/>
              </w:rPr>
              <w:t>电解脱脂槽</w:t>
            </w:r>
          </w:p>
        </w:tc>
        <w:tc>
          <w:tcPr>
            <w:tcW w:w="1266" w:type="pct"/>
            <w:shd w:val="clear" w:color="auto" w:fill="auto"/>
            <w:vAlign w:val="center"/>
          </w:tcPr>
          <w:p w14:paraId="73D4268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10%脱脂剂</w:t>
            </w:r>
          </w:p>
        </w:tc>
        <w:tc>
          <w:tcPr>
            <w:tcW w:w="680" w:type="pct"/>
            <w:shd w:val="clear" w:color="auto" w:fill="auto"/>
            <w:vAlign w:val="center"/>
          </w:tcPr>
          <w:p w14:paraId="3942D71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40kg/a</w:t>
            </w:r>
          </w:p>
        </w:tc>
        <w:tc>
          <w:tcPr>
            <w:tcW w:w="1186" w:type="pct"/>
            <w:shd w:val="clear" w:color="auto" w:fill="auto"/>
            <w:vAlign w:val="center"/>
          </w:tcPr>
          <w:p w14:paraId="4A7DDD5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kern w:val="0"/>
                <w:sz w:val="21"/>
                <w:szCs w:val="21"/>
                <w:lang w:eastAsia="zh-CN"/>
              </w:rPr>
            </w:pPr>
            <w:r>
              <w:rPr>
                <w:rFonts w:hint="eastAsia" w:ascii="宋体" w:hAnsi="宋体" w:eastAsia="宋体" w:cs="宋体"/>
                <w:kern w:val="0"/>
                <w:sz w:val="21"/>
                <w:szCs w:val="21"/>
                <w:lang w:eastAsia="zh-CN"/>
              </w:rPr>
              <w:t>——</w:t>
            </w:r>
          </w:p>
        </w:tc>
      </w:tr>
      <w:tr w14:paraId="3A6D9F7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11" w:type="pct"/>
            <w:vAlign w:val="center"/>
          </w:tcPr>
          <w:p w14:paraId="4A5FD85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2</w:t>
            </w:r>
          </w:p>
        </w:tc>
        <w:tc>
          <w:tcPr>
            <w:tcW w:w="1455" w:type="pct"/>
            <w:shd w:val="clear" w:color="auto" w:fill="auto"/>
            <w:vAlign w:val="center"/>
          </w:tcPr>
          <w:p w14:paraId="60E5847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kern w:val="0"/>
                <w:sz w:val="21"/>
                <w:szCs w:val="21"/>
                <w:lang w:eastAsia="zh-CN"/>
              </w:rPr>
            </w:pPr>
            <w:r>
              <w:rPr>
                <w:rFonts w:hint="eastAsia" w:ascii="宋体" w:hAnsi="宋体" w:eastAsia="宋体" w:cs="宋体"/>
                <w:kern w:val="0"/>
                <w:sz w:val="21"/>
                <w:szCs w:val="21"/>
                <w:lang w:eastAsia="zh-CN"/>
              </w:rPr>
              <w:t>活化槽</w:t>
            </w:r>
          </w:p>
        </w:tc>
        <w:tc>
          <w:tcPr>
            <w:tcW w:w="1266" w:type="pct"/>
            <w:shd w:val="clear" w:color="auto" w:fill="auto"/>
            <w:noWrap/>
            <w:vAlign w:val="center"/>
          </w:tcPr>
          <w:p w14:paraId="367BE09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5%甲基磺酸</w:t>
            </w:r>
          </w:p>
        </w:tc>
        <w:tc>
          <w:tcPr>
            <w:tcW w:w="680" w:type="pct"/>
            <w:shd w:val="clear" w:color="auto" w:fill="auto"/>
            <w:noWrap/>
            <w:vAlign w:val="center"/>
          </w:tcPr>
          <w:p w14:paraId="462D2C5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5kg/a</w:t>
            </w:r>
          </w:p>
        </w:tc>
        <w:tc>
          <w:tcPr>
            <w:tcW w:w="1186" w:type="pct"/>
            <w:shd w:val="clear" w:color="auto" w:fill="auto"/>
            <w:vAlign w:val="center"/>
          </w:tcPr>
          <w:p w14:paraId="4D5725A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lang w:eastAsia="zh-CN"/>
              </w:rPr>
              <w:t>——</w:t>
            </w:r>
          </w:p>
        </w:tc>
      </w:tr>
      <w:tr w14:paraId="1968CE5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11" w:type="pct"/>
            <w:vMerge w:val="restart"/>
            <w:vAlign w:val="center"/>
          </w:tcPr>
          <w:p w14:paraId="5DDF7F9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3</w:t>
            </w:r>
          </w:p>
        </w:tc>
        <w:tc>
          <w:tcPr>
            <w:tcW w:w="1455" w:type="pct"/>
            <w:vMerge w:val="restart"/>
            <w:shd w:val="clear" w:color="auto" w:fill="auto"/>
            <w:vAlign w:val="center"/>
          </w:tcPr>
          <w:p w14:paraId="2BF0FF8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kern w:val="0"/>
                <w:sz w:val="21"/>
                <w:szCs w:val="21"/>
                <w:lang w:eastAsia="zh-CN"/>
              </w:rPr>
            </w:pPr>
            <w:r>
              <w:rPr>
                <w:rFonts w:hint="eastAsia" w:ascii="宋体" w:hAnsi="宋体" w:eastAsia="宋体" w:cs="宋体"/>
                <w:kern w:val="0"/>
                <w:sz w:val="21"/>
                <w:szCs w:val="21"/>
                <w:lang w:eastAsia="zh-CN"/>
              </w:rPr>
              <w:t>镀锡槽</w:t>
            </w:r>
          </w:p>
        </w:tc>
        <w:tc>
          <w:tcPr>
            <w:tcW w:w="1266" w:type="pct"/>
            <w:shd w:val="clear" w:color="auto" w:fill="auto"/>
            <w:noWrap/>
            <w:vAlign w:val="center"/>
          </w:tcPr>
          <w:p w14:paraId="74157DB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甲基磺酸锡15-25g/L</w:t>
            </w:r>
          </w:p>
        </w:tc>
        <w:tc>
          <w:tcPr>
            <w:tcW w:w="680" w:type="pct"/>
            <w:shd w:val="clear" w:color="auto" w:fill="auto"/>
            <w:noWrap/>
            <w:vAlign w:val="center"/>
          </w:tcPr>
          <w:p w14:paraId="08B8898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290kg/a</w:t>
            </w:r>
          </w:p>
        </w:tc>
        <w:tc>
          <w:tcPr>
            <w:tcW w:w="1186" w:type="pct"/>
            <w:shd w:val="clear" w:color="auto" w:fill="auto"/>
            <w:vAlign w:val="center"/>
          </w:tcPr>
          <w:p w14:paraId="20C8F133">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kern w:val="0"/>
                <w:sz w:val="21"/>
                <w:szCs w:val="21"/>
                <w:lang w:eastAsia="zh-CN"/>
              </w:rPr>
            </w:pPr>
            <w:r>
              <w:rPr>
                <w:rFonts w:hint="eastAsia" w:ascii="宋体" w:hAnsi="宋体" w:eastAsia="宋体" w:cs="宋体"/>
                <w:kern w:val="0"/>
                <w:sz w:val="21"/>
                <w:szCs w:val="21"/>
                <w:lang w:eastAsia="zh-CN"/>
              </w:rPr>
              <w:t>镀锡阴极</w:t>
            </w:r>
          </w:p>
        </w:tc>
      </w:tr>
      <w:tr w14:paraId="5E356E8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11" w:type="pct"/>
            <w:vMerge w:val="continue"/>
            <w:vAlign w:val="center"/>
          </w:tcPr>
          <w:p w14:paraId="767747A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kern w:val="0"/>
                <w:sz w:val="21"/>
                <w:szCs w:val="21"/>
              </w:rPr>
            </w:pPr>
          </w:p>
        </w:tc>
        <w:tc>
          <w:tcPr>
            <w:tcW w:w="1455" w:type="pct"/>
            <w:vMerge w:val="continue"/>
            <w:shd w:val="clear" w:color="auto" w:fill="auto"/>
            <w:vAlign w:val="center"/>
          </w:tcPr>
          <w:p w14:paraId="5363B26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kern w:val="0"/>
                <w:sz w:val="21"/>
                <w:szCs w:val="21"/>
              </w:rPr>
            </w:pPr>
          </w:p>
        </w:tc>
        <w:tc>
          <w:tcPr>
            <w:tcW w:w="1266" w:type="pct"/>
            <w:shd w:val="clear" w:color="auto" w:fill="auto"/>
            <w:noWrap/>
            <w:vAlign w:val="center"/>
          </w:tcPr>
          <w:p w14:paraId="3F36DE8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甲基磺酸120-160g/L</w:t>
            </w:r>
          </w:p>
        </w:tc>
        <w:tc>
          <w:tcPr>
            <w:tcW w:w="680" w:type="pct"/>
            <w:shd w:val="clear" w:color="auto" w:fill="auto"/>
            <w:noWrap/>
            <w:vAlign w:val="center"/>
          </w:tcPr>
          <w:p w14:paraId="7A160F4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350kg/a</w:t>
            </w:r>
          </w:p>
        </w:tc>
        <w:tc>
          <w:tcPr>
            <w:tcW w:w="1186" w:type="pct"/>
            <w:shd w:val="clear" w:color="auto" w:fill="auto"/>
            <w:vAlign w:val="center"/>
          </w:tcPr>
          <w:p w14:paraId="4337F51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lang w:eastAsia="zh-CN"/>
              </w:rPr>
              <w:t>——</w:t>
            </w:r>
          </w:p>
        </w:tc>
      </w:tr>
      <w:tr w14:paraId="6F564F0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11" w:type="pct"/>
            <w:vMerge w:val="continue"/>
            <w:vAlign w:val="center"/>
          </w:tcPr>
          <w:p w14:paraId="0E3E552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kern w:val="0"/>
                <w:sz w:val="21"/>
                <w:szCs w:val="21"/>
              </w:rPr>
            </w:pPr>
          </w:p>
        </w:tc>
        <w:tc>
          <w:tcPr>
            <w:tcW w:w="1455" w:type="pct"/>
            <w:vMerge w:val="continue"/>
            <w:shd w:val="clear" w:color="auto" w:fill="auto"/>
            <w:vAlign w:val="center"/>
          </w:tcPr>
          <w:p w14:paraId="0F466F6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kern w:val="0"/>
                <w:sz w:val="21"/>
                <w:szCs w:val="21"/>
              </w:rPr>
            </w:pPr>
          </w:p>
        </w:tc>
        <w:tc>
          <w:tcPr>
            <w:tcW w:w="1266" w:type="pct"/>
            <w:shd w:val="clear" w:color="auto" w:fill="auto"/>
            <w:noWrap/>
            <w:vAlign w:val="center"/>
          </w:tcPr>
          <w:p w14:paraId="38BA5F26">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kern w:val="0"/>
                <w:sz w:val="21"/>
                <w:szCs w:val="21"/>
                <w:lang w:eastAsia="zh-CN"/>
              </w:rPr>
            </w:pPr>
            <w:r>
              <w:rPr>
                <w:rFonts w:hint="eastAsia" w:ascii="宋体" w:hAnsi="宋体" w:eastAsia="宋体" w:cs="宋体"/>
                <w:kern w:val="0"/>
                <w:sz w:val="21"/>
                <w:szCs w:val="21"/>
                <w:lang w:eastAsia="zh-CN"/>
              </w:rPr>
              <w:t>镀锡光亮剂</w:t>
            </w:r>
          </w:p>
        </w:tc>
        <w:tc>
          <w:tcPr>
            <w:tcW w:w="680" w:type="pct"/>
            <w:shd w:val="clear" w:color="auto" w:fill="auto"/>
            <w:noWrap/>
            <w:vAlign w:val="center"/>
          </w:tcPr>
          <w:p w14:paraId="098765F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60kg/a</w:t>
            </w:r>
          </w:p>
        </w:tc>
        <w:tc>
          <w:tcPr>
            <w:tcW w:w="1186" w:type="pct"/>
            <w:shd w:val="clear" w:color="auto" w:fill="auto"/>
            <w:vAlign w:val="center"/>
          </w:tcPr>
          <w:p w14:paraId="1AF694A1">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lang w:eastAsia="zh-CN"/>
              </w:rPr>
              <w:t>——</w:t>
            </w:r>
          </w:p>
        </w:tc>
      </w:tr>
      <w:tr w14:paraId="5F21F2E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11" w:type="pct"/>
            <w:vMerge w:val="continue"/>
            <w:vAlign w:val="center"/>
          </w:tcPr>
          <w:p w14:paraId="4D6B745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kern w:val="0"/>
                <w:sz w:val="21"/>
                <w:szCs w:val="21"/>
              </w:rPr>
            </w:pPr>
          </w:p>
        </w:tc>
        <w:tc>
          <w:tcPr>
            <w:tcW w:w="1455" w:type="pct"/>
            <w:vMerge w:val="continue"/>
            <w:shd w:val="clear" w:color="auto" w:fill="auto"/>
            <w:vAlign w:val="center"/>
          </w:tcPr>
          <w:p w14:paraId="5A5F16E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kern w:val="0"/>
                <w:sz w:val="21"/>
                <w:szCs w:val="21"/>
              </w:rPr>
            </w:pPr>
          </w:p>
        </w:tc>
        <w:tc>
          <w:tcPr>
            <w:tcW w:w="1266" w:type="pct"/>
            <w:shd w:val="clear" w:color="auto" w:fill="auto"/>
            <w:noWrap/>
            <w:vAlign w:val="center"/>
          </w:tcPr>
          <w:p w14:paraId="2A2E644F">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锡块</w:t>
            </w:r>
          </w:p>
        </w:tc>
        <w:tc>
          <w:tcPr>
            <w:tcW w:w="680" w:type="pct"/>
            <w:shd w:val="clear" w:color="auto" w:fill="auto"/>
            <w:noWrap/>
            <w:vAlign w:val="center"/>
          </w:tcPr>
          <w:p w14:paraId="1553C93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40kg/a</w:t>
            </w:r>
          </w:p>
        </w:tc>
        <w:tc>
          <w:tcPr>
            <w:tcW w:w="1186" w:type="pct"/>
            <w:shd w:val="clear" w:color="auto" w:fill="auto"/>
            <w:vAlign w:val="center"/>
          </w:tcPr>
          <w:p w14:paraId="0E4C5985">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kern w:val="0"/>
                <w:sz w:val="21"/>
                <w:szCs w:val="21"/>
                <w:lang w:eastAsia="zh-CN"/>
              </w:rPr>
            </w:pPr>
            <w:r>
              <w:rPr>
                <w:rFonts w:hint="eastAsia" w:ascii="宋体" w:hAnsi="宋体" w:eastAsia="宋体" w:cs="宋体"/>
                <w:kern w:val="0"/>
                <w:sz w:val="21"/>
                <w:szCs w:val="21"/>
                <w:lang w:eastAsia="zh-CN"/>
              </w:rPr>
              <w:t>镀锡阳极</w:t>
            </w:r>
          </w:p>
        </w:tc>
      </w:tr>
      <w:tr w14:paraId="7EF1F3D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11" w:type="pct"/>
            <w:vAlign w:val="center"/>
          </w:tcPr>
          <w:p w14:paraId="7787149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4</w:t>
            </w:r>
          </w:p>
        </w:tc>
        <w:tc>
          <w:tcPr>
            <w:tcW w:w="1455" w:type="pct"/>
            <w:shd w:val="clear" w:color="auto" w:fill="auto"/>
            <w:vAlign w:val="center"/>
          </w:tcPr>
          <w:p w14:paraId="5429131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kern w:val="0"/>
                <w:sz w:val="21"/>
                <w:szCs w:val="21"/>
                <w:lang w:eastAsia="zh-CN"/>
              </w:rPr>
            </w:pPr>
            <w:r>
              <w:rPr>
                <w:rFonts w:hint="eastAsia" w:ascii="宋体" w:hAnsi="宋体" w:eastAsia="宋体" w:cs="宋体"/>
                <w:kern w:val="0"/>
                <w:sz w:val="21"/>
                <w:szCs w:val="21"/>
                <w:lang w:eastAsia="zh-CN"/>
              </w:rPr>
              <w:t>废水处理</w:t>
            </w:r>
          </w:p>
        </w:tc>
        <w:tc>
          <w:tcPr>
            <w:tcW w:w="1266" w:type="pct"/>
            <w:shd w:val="clear" w:color="auto" w:fill="auto"/>
            <w:noWrap/>
            <w:vAlign w:val="center"/>
          </w:tcPr>
          <w:p w14:paraId="62422ADC">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离子交换树脂</w:t>
            </w:r>
          </w:p>
        </w:tc>
        <w:tc>
          <w:tcPr>
            <w:tcW w:w="680" w:type="pct"/>
            <w:shd w:val="clear" w:color="auto" w:fill="auto"/>
            <w:noWrap/>
            <w:vAlign w:val="center"/>
          </w:tcPr>
          <w:p w14:paraId="45C49B4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kern w:val="0"/>
                <w:sz w:val="21"/>
                <w:szCs w:val="21"/>
                <w:lang w:val="en-US" w:eastAsia="zh-CN"/>
              </w:rPr>
            </w:pPr>
            <w:r>
              <w:rPr>
                <w:rFonts w:hint="eastAsia" w:ascii="宋体" w:hAnsi="宋体" w:cs="宋体"/>
                <w:kern w:val="0"/>
                <w:sz w:val="21"/>
                <w:szCs w:val="21"/>
                <w:lang w:val="en-US" w:eastAsia="zh-CN"/>
              </w:rPr>
              <w:t>40</w:t>
            </w:r>
            <w:r>
              <w:rPr>
                <w:rFonts w:hint="eastAsia" w:ascii="宋体" w:hAnsi="宋体" w:eastAsia="宋体" w:cs="宋体"/>
                <w:kern w:val="0"/>
                <w:sz w:val="21"/>
                <w:szCs w:val="21"/>
                <w:lang w:val="en-US" w:eastAsia="zh-CN"/>
              </w:rPr>
              <w:t>kg/a</w:t>
            </w:r>
          </w:p>
        </w:tc>
        <w:tc>
          <w:tcPr>
            <w:tcW w:w="1186" w:type="pct"/>
            <w:shd w:val="clear" w:color="auto" w:fill="auto"/>
            <w:vAlign w:val="center"/>
          </w:tcPr>
          <w:p w14:paraId="7065800C">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lang w:eastAsia="zh-CN"/>
              </w:rPr>
              <w:t>——</w:t>
            </w:r>
          </w:p>
        </w:tc>
      </w:tr>
    </w:tbl>
    <w:p w14:paraId="767539B6">
      <w:pPr>
        <w:pStyle w:val="5"/>
        <w:bidi w:val="0"/>
        <w:rPr>
          <w:rFonts w:hint="default"/>
          <w:lang w:val="en-US" w:eastAsia="zh-CN"/>
        </w:rPr>
      </w:pPr>
      <w:r>
        <w:rPr>
          <w:rFonts w:hint="eastAsia"/>
          <w:lang w:val="en-US" w:eastAsia="zh-CN"/>
        </w:rPr>
        <w:t>4.3.2主要原辅材料贮存情况</w:t>
      </w:r>
    </w:p>
    <w:p w14:paraId="5EE2287D">
      <w:pPr>
        <w:pStyle w:val="435"/>
        <w:rPr>
          <w:rFonts w:hint="eastAsia" w:ascii="Times New Roman" w:hAnsi="Times New Roman" w:cs="Times New Roman"/>
          <w:lang w:eastAsia="zh-CN"/>
        </w:rPr>
      </w:pPr>
      <w:r>
        <w:rPr>
          <w:rFonts w:hint="eastAsia" w:ascii="Times New Roman" w:hAnsi="Times New Roman" w:cs="Times New Roman"/>
          <w:lang w:eastAsia="zh-CN"/>
        </w:rPr>
        <w:t>项目主要原辅材料贮存情况如下表所示。</w:t>
      </w:r>
    </w:p>
    <w:p w14:paraId="52F10C50">
      <w:pPr>
        <w:pStyle w:val="435"/>
        <w:spacing w:line="240" w:lineRule="auto"/>
        <w:ind w:left="0" w:leftChars="0" w:firstLine="0" w:firstLineChars="0"/>
        <w:jc w:val="center"/>
        <w:rPr>
          <w:rFonts w:hint="eastAsia" w:ascii="黑体" w:hAnsi="黑体" w:eastAsia="黑体" w:cs="黑体"/>
          <w:sz w:val="21"/>
          <w:szCs w:val="21"/>
          <w:lang w:val="en-US" w:eastAsia="zh-CN"/>
        </w:rPr>
      </w:pPr>
      <w:r>
        <w:rPr>
          <w:rFonts w:hint="eastAsia" w:ascii="黑体" w:hAnsi="黑体" w:eastAsia="黑体" w:cs="黑体"/>
          <w:sz w:val="21"/>
          <w:szCs w:val="21"/>
          <w:lang w:eastAsia="zh-CN"/>
        </w:rPr>
        <w:t>表</w:t>
      </w:r>
      <w:r>
        <w:rPr>
          <w:rFonts w:hint="eastAsia" w:ascii="黑体" w:hAnsi="黑体" w:eastAsia="黑体" w:cs="黑体"/>
          <w:sz w:val="21"/>
          <w:szCs w:val="21"/>
          <w:lang w:val="en-US" w:eastAsia="zh-CN"/>
        </w:rPr>
        <w:t>4-5主要原辅材料贮存情况表</w:t>
      </w:r>
    </w:p>
    <w:tbl>
      <w:tblPr>
        <w:tblStyle w:val="53"/>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616"/>
        <w:gridCol w:w="2220"/>
        <w:gridCol w:w="1419"/>
        <w:gridCol w:w="1419"/>
        <w:gridCol w:w="742"/>
        <w:gridCol w:w="1076"/>
        <w:gridCol w:w="1030"/>
      </w:tblGrid>
      <w:tr w14:paraId="259ACFC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61" w:type="pct"/>
            <w:tcBorders>
              <w:tl2br w:val="nil"/>
              <w:tr2bl w:val="nil"/>
            </w:tcBorders>
            <w:vAlign w:val="center"/>
          </w:tcPr>
          <w:p w14:paraId="7F7BCA59">
            <w:pPr>
              <w:pStyle w:val="4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序号</w:t>
            </w:r>
          </w:p>
        </w:tc>
        <w:tc>
          <w:tcPr>
            <w:tcW w:w="1302" w:type="pct"/>
            <w:tcBorders>
              <w:tl2br w:val="nil"/>
              <w:tr2bl w:val="nil"/>
            </w:tcBorders>
            <w:vAlign w:val="center"/>
          </w:tcPr>
          <w:p w14:paraId="44338F90">
            <w:pPr>
              <w:pStyle w:val="4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材料名称</w:t>
            </w:r>
          </w:p>
        </w:tc>
        <w:tc>
          <w:tcPr>
            <w:tcW w:w="832" w:type="pct"/>
            <w:tcBorders>
              <w:tl2br w:val="nil"/>
              <w:tr2bl w:val="nil"/>
            </w:tcBorders>
            <w:vAlign w:val="center"/>
          </w:tcPr>
          <w:p w14:paraId="1668EFD8">
            <w:pPr>
              <w:pStyle w:val="4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年消耗量</w:t>
            </w:r>
          </w:p>
        </w:tc>
        <w:tc>
          <w:tcPr>
            <w:tcW w:w="1267" w:type="pct"/>
            <w:gridSpan w:val="2"/>
            <w:tcBorders>
              <w:tl2br w:val="nil"/>
              <w:tr2bl w:val="nil"/>
            </w:tcBorders>
            <w:vAlign w:val="center"/>
          </w:tcPr>
          <w:p w14:paraId="72867B47">
            <w:pPr>
              <w:pStyle w:val="4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组分及规格</w:t>
            </w:r>
          </w:p>
        </w:tc>
        <w:tc>
          <w:tcPr>
            <w:tcW w:w="631" w:type="pct"/>
            <w:tcBorders>
              <w:tl2br w:val="nil"/>
              <w:tr2bl w:val="nil"/>
            </w:tcBorders>
            <w:vAlign w:val="center"/>
          </w:tcPr>
          <w:p w14:paraId="644673EA">
            <w:pPr>
              <w:pStyle w:val="4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包装方式</w:t>
            </w:r>
          </w:p>
        </w:tc>
        <w:tc>
          <w:tcPr>
            <w:tcW w:w="604" w:type="pct"/>
            <w:tcBorders>
              <w:tl2br w:val="nil"/>
              <w:tr2bl w:val="nil"/>
            </w:tcBorders>
            <w:vAlign w:val="center"/>
          </w:tcPr>
          <w:p w14:paraId="2FCCCE8A">
            <w:pPr>
              <w:pStyle w:val="4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贮存方式</w:t>
            </w:r>
          </w:p>
        </w:tc>
      </w:tr>
      <w:tr w14:paraId="3DBCAD2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61" w:type="pct"/>
            <w:tcBorders>
              <w:tl2br w:val="nil"/>
              <w:tr2bl w:val="nil"/>
            </w:tcBorders>
            <w:vAlign w:val="center"/>
          </w:tcPr>
          <w:p w14:paraId="208A773C">
            <w:pPr>
              <w:pStyle w:val="4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w:t>
            </w:r>
          </w:p>
        </w:tc>
        <w:tc>
          <w:tcPr>
            <w:tcW w:w="1302" w:type="pct"/>
            <w:tcBorders>
              <w:tl2br w:val="nil"/>
              <w:tr2bl w:val="nil"/>
            </w:tcBorders>
            <w:vAlign w:val="center"/>
          </w:tcPr>
          <w:p w14:paraId="60237AB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kern w:val="0"/>
                <w:sz w:val="21"/>
                <w:szCs w:val="21"/>
                <w:lang w:val="en-US" w:eastAsia="zh-CN"/>
              </w:rPr>
              <w:t>10%脱脂剂</w:t>
            </w:r>
          </w:p>
        </w:tc>
        <w:tc>
          <w:tcPr>
            <w:tcW w:w="832" w:type="pct"/>
            <w:tcBorders>
              <w:tl2br w:val="nil"/>
              <w:tr2bl w:val="nil"/>
            </w:tcBorders>
            <w:vAlign w:val="center"/>
          </w:tcPr>
          <w:p w14:paraId="32B276B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kern w:val="0"/>
                <w:sz w:val="21"/>
                <w:szCs w:val="21"/>
                <w:lang w:val="en-US" w:eastAsia="zh-CN"/>
              </w:rPr>
              <w:t>40kg/a</w:t>
            </w:r>
          </w:p>
        </w:tc>
        <w:tc>
          <w:tcPr>
            <w:tcW w:w="832" w:type="pct"/>
            <w:tcBorders>
              <w:tl2br w:val="nil"/>
              <w:tr2bl w:val="nil"/>
            </w:tcBorders>
            <w:vAlign w:val="center"/>
          </w:tcPr>
          <w:p w14:paraId="08A8A72F">
            <w:pPr>
              <w:pStyle w:val="4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NaOH、Na</w:t>
            </w:r>
            <w:r>
              <w:rPr>
                <w:rFonts w:hint="eastAsia" w:ascii="宋体" w:hAnsi="宋体" w:eastAsia="宋体" w:cs="宋体"/>
                <w:sz w:val="21"/>
                <w:szCs w:val="21"/>
                <w:vertAlign w:val="subscript"/>
                <w:lang w:val="en-US" w:eastAsia="zh-CN"/>
              </w:rPr>
              <w:t>2</w:t>
            </w:r>
            <w:r>
              <w:rPr>
                <w:rFonts w:hint="eastAsia" w:ascii="宋体" w:hAnsi="宋体" w:eastAsia="宋体" w:cs="宋体"/>
                <w:sz w:val="21"/>
                <w:szCs w:val="21"/>
                <w:vertAlign w:val="baseline"/>
                <w:lang w:val="en-US" w:eastAsia="zh-CN"/>
              </w:rPr>
              <w:t>CO</w:t>
            </w:r>
            <w:r>
              <w:rPr>
                <w:rFonts w:hint="eastAsia" w:ascii="宋体" w:hAnsi="宋体" w:eastAsia="宋体" w:cs="宋体"/>
                <w:sz w:val="21"/>
                <w:szCs w:val="21"/>
                <w:vertAlign w:val="subscript"/>
                <w:lang w:val="en-US" w:eastAsia="zh-CN"/>
              </w:rPr>
              <w:t>3</w:t>
            </w:r>
          </w:p>
        </w:tc>
        <w:tc>
          <w:tcPr>
            <w:tcW w:w="435" w:type="pct"/>
            <w:tcBorders>
              <w:tl2br w:val="nil"/>
              <w:tr2bl w:val="nil"/>
            </w:tcBorders>
            <w:vAlign w:val="center"/>
          </w:tcPr>
          <w:p w14:paraId="0B4091B2">
            <w:pPr>
              <w:pStyle w:val="4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99.8%</w:t>
            </w:r>
          </w:p>
        </w:tc>
        <w:tc>
          <w:tcPr>
            <w:tcW w:w="631" w:type="pct"/>
            <w:tcBorders>
              <w:tl2br w:val="nil"/>
              <w:tr2bl w:val="nil"/>
            </w:tcBorders>
            <w:vAlign w:val="center"/>
          </w:tcPr>
          <w:p w14:paraId="79E3C650">
            <w:pPr>
              <w:pStyle w:val="4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袋装固体</w:t>
            </w:r>
          </w:p>
        </w:tc>
        <w:tc>
          <w:tcPr>
            <w:tcW w:w="604" w:type="pct"/>
            <w:vMerge w:val="restart"/>
            <w:tcBorders>
              <w:tl2br w:val="nil"/>
              <w:tr2bl w:val="nil"/>
            </w:tcBorders>
            <w:vAlign w:val="center"/>
          </w:tcPr>
          <w:p w14:paraId="793E1B06">
            <w:pPr>
              <w:pStyle w:val="4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化学品定期外购，存放于车间化学品暂存处</w:t>
            </w:r>
          </w:p>
        </w:tc>
      </w:tr>
      <w:tr w14:paraId="1DA3C2F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61" w:type="pct"/>
            <w:tcBorders>
              <w:tl2br w:val="nil"/>
              <w:tr2bl w:val="nil"/>
            </w:tcBorders>
            <w:vAlign w:val="center"/>
          </w:tcPr>
          <w:p w14:paraId="7487C9A7">
            <w:pPr>
              <w:pStyle w:val="4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w:t>
            </w:r>
          </w:p>
        </w:tc>
        <w:tc>
          <w:tcPr>
            <w:tcW w:w="1302" w:type="pct"/>
            <w:tcBorders>
              <w:tl2br w:val="nil"/>
              <w:tr2bl w:val="nil"/>
            </w:tcBorders>
            <w:vAlign w:val="center"/>
          </w:tcPr>
          <w:p w14:paraId="5F6FB7D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kern w:val="0"/>
                <w:sz w:val="21"/>
                <w:szCs w:val="21"/>
                <w:lang w:val="en-US" w:eastAsia="zh-CN"/>
              </w:rPr>
              <w:t>甲基磺酸</w:t>
            </w:r>
          </w:p>
        </w:tc>
        <w:tc>
          <w:tcPr>
            <w:tcW w:w="832" w:type="pct"/>
            <w:tcBorders>
              <w:tl2br w:val="nil"/>
              <w:tr2bl w:val="nil"/>
            </w:tcBorders>
            <w:vAlign w:val="center"/>
          </w:tcPr>
          <w:p w14:paraId="69DD90F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cs="宋体"/>
                <w:kern w:val="0"/>
                <w:sz w:val="21"/>
                <w:szCs w:val="21"/>
                <w:lang w:val="en-US" w:eastAsia="zh-CN"/>
              </w:rPr>
              <w:t>35</w:t>
            </w:r>
            <w:r>
              <w:rPr>
                <w:rFonts w:hint="eastAsia" w:ascii="宋体" w:hAnsi="宋体" w:eastAsia="宋体" w:cs="宋体"/>
                <w:kern w:val="0"/>
                <w:sz w:val="21"/>
                <w:szCs w:val="21"/>
                <w:lang w:val="en-US" w:eastAsia="zh-CN"/>
              </w:rPr>
              <w:t>5kg/a</w:t>
            </w:r>
          </w:p>
        </w:tc>
        <w:tc>
          <w:tcPr>
            <w:tcW w:w="832" w:type="pct"/>
            <w:tcBorders>
              <w:tl2br w:val="nil"/>
              <w:tr2bl w:val="nil"/>
            </w:tcBorders>
            <w:vAlign w:val="center"/>
          </w:tcPr>
          <w:p w14:paraId="470C95E6">
            <w:pPr>
              <w:pStyle w:val="4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CH</w:t>
            </w:r>
            <w:r>
              <w:rPr>
                <w:rFonts w:hint="eastAsia" w:ascii="宋体" w:hAnsi="宋体" w:eastAsia="宋体" w:cs="宋体"/>
                <w:sz w:val="21"/>
                <w:szCs w:val="21"/>
                <w:vertAlign w:val="subscript"/>
                <w:lang w:val="en-US" w:eastAsia="zh-CN"/>
              </w:rPr>
              <w:t>4</w:t>
            </w:r>
            <w:r>
              <w:rPr>
                <w:rFonts w:hint="eastAsia" w:ascii="宋体" w:hAnsi="宋体" w:eastAsia="宋体" w:cs="宋体"/>
                <w:sz w:val="21"/>
                <w:szCs w:val="21"/>
                <w:vertAlign w:val="baseline"/>
                <w:lang w:val="en-US" w:eastAsia="zh-CN"/>
              </w:rPr>
              <w:t>O</w:t>
            </w:r>
            <w:r>
              <w:rPr>
                <w:rFonts w:hint="eastAsia" w:ascii="宋体" w:hAnsi="宋体" w:eastAsia="宋体" w:cs="宋体"/>
                <w:sz w:val="21"/>
                <w:szCs w:val="21"/>
                <w:vertAlign w:val="subscript"/>
                <w:lang w:val="en-US" w:eastAsia="zh-CN"/>
              </w:rPr>
              <w:t>3</w:t>
            </w:r>
            <w:r>
              <w:rPr>
                <w:rFonts w:hint="eastAsia" w:ascii="宋体" w:hAnsi="宋体" w:eastAsia="宋体" w:cs="宋体"/>
                <w:sz w:val="21"/>
                <w:szCs w:val="21"/>
                <w:vertAlign w:val="baseline"/>
                <w:lang w:val="en-US" w:eastAsia="zh-CN"/>
              </w:rPr>
              <w:t>S</w:t>
            </w:r>
          </w:p>
        </w:tc>
        <w:tc>
          <w:tcPr>
            <w:tcW w:w="435" w:type="pct"/>
            <w:tcBorders>
              <w:tl2br w:val="nil"/>
              <w:tr2bl w:val="nil"/>
            </w:tcBorders>
            <w:vAlign w:val="center"/>
          </w:tcPr>
          <w:p w14:paraId="0BD720D9">
            <w:pPr>
              <w:pStyle w:val="4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70%</w:t>
            </w:r>
          </w:p>
        </w:tc>
        <w:tc>
          <w:tcPr>
            <w:tcW w:w="631" w:type="pct"/>
            <w:tcBorders>
              <w:tl2br w:val="nil"/>
              <w:tr2bl w:val="nil"/>
            </w:tcBorders>
            <w:vAlign w:val="center"/>
          </w:tcPr>
          <w:p w14:paraId="61CEAB86">
            <w:pPr>
              <w:pStyle w:val="4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桶装液体</w:t>
            </w:r>
          </w:p>
        </w:tc>
        <w:tc>
          <w:tcPr>
            <w:tcW w:w="604" w:type="pct"/>
            <w:vMerge w:val="continue"/>
            <w:tcBorders>
              <w:tl2br w:val="nil"/>
              <w:tr2bl w:val="nil"/>
            </w:tcBorders>
            <w:vAlign w:val="center"/>
          </w:tcPr>
          <w:p w14:paraId="57252D21">
            <w:pPr>
              <w:pStyle w:val="4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lang w:val="en-US" w:eastAsia="zh-CN"/>
              </w:rPr>
            </w:pPr>
          </w:p>
        </w:tc>
      </w:tr>
      <w:tr w14:paraId="277E562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61" w:type="pct"/>
            <w:tcBorders>
              <w:tl2br w:val="nil"/>
              <w:tr2bl w:val="nil"/>
            </w:tcBorders>
            <w:vAlign w:val="center"/>
          </w:tcPr>
          <w:p w14:paraId="359CD014">
            <w:pPr>
              <w:pStyle w:val="4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3</w:t>
            </w:r>
          </w:p>
        </w:tc>
        <w:tc>
          <w:tcPr>
            <w:tcW w:w="1302" w:type="pct"/>
            <w:tcBorders>
              <w:tl2br w:val="nil"/>
              <w:tr2bl w:val="nil"/>
            </w:tcBorders>
            <w:vAlign w:val="center"/>
          </w:tcPr>
          <w:p w14:paraId="6D06FBA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kern w:val="0"/>
                <w:sz w:val="21"/>
                <w:szCs w:val="21"/>
                <w:lang w:val="en-US" w:eastAsia="zh-CN"/>
              </w:rPr>
              <w:t>甲基磺酸锡</w:t>
            </w:r>
          </w:p>
        </w:tc>
        <w:tc>
          <w:tcPr>
            <w:tcW w:w="832" w:type="pct"/>
            <w:tcBorders>
              <w:tl2br w:val="nil"/>
              <w:tr2bl w:val="nil"/>
            </w:tcBorders>
            <w:vAlign w:val="center"/>
          </w:tcPr>
          <w:p w14:paraId="7D9293D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kern w:val="0"/>
                <w:sz w:val="21"/>
                <w:szCs w:val="21"/>
                <w:lang w:val="en-US" w:eastAsia="zh-CN"/>
              </w:rPr>
              <w:t>290kg/a</w:t>
            </w:r>
          </w:p>
        </w:tc>
        <w:tc>
          <w:tcPr>
            <w:tcW w:w="832" w:type="pct"/>
            <w:tcBorders>
              <w:tl2br w:val="nil"/>
              <w:tr2bl w:val="nil"/>
            </w:tcBorders>
            <w:vAlign w:val="center"/>
          </w:tcPr>
          <w:p w14:paraId="61716DEB">
            <w:pPr>
              <w:pStyle w:val="4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kern w:val="0"/>
                <w:sz w:val="21"/>
                <w:szCs w:val="21"/>
                <w:lang w:val="en-US" w:eastAsia="zh-CN"/>
              </w:rPr>
              <w:t>甲基磺酸锡</w:t>
            </w:r>
          </w:p>
        </w:tc>
        <w:tc>
          <w:tcPr>
            <w:tcW w:w="435" w:type="pct"/>
            <w:tcBorders>
              <w:tl2br w:val="nil"/>
              <w:tr2bl w:val="nil"/>
            </w:tcBorders>
            <w:vAlign w:val="center"/>
          </w:tcPr>
          <w:p w14:paraId="60E5361F">
            <w:pPr>
              <w:pStyle w:val="4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50.3%</w:t>
            </w:r>
          </w:p>
        </w:tc>
        <w:tc>
          <w:tcPr>
            <w:tcW w:w="631" w:type="pct"/>
            <w:tcBorders>
              <w:tl2br w:val="nil"/>
              <w:tr2bl w:val="nil"/>
            </w:tcBorders>
            <w:vAlign w:val="center"/>
          </w:tcPr>
          <w:p w14:paraId="6DC1A6E6">
            <w:pPr>
              <w:pStyle w:val="4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桶装液体</w:t>
            </w:r>
          </w:p>
        </w:tc>
        <w:tc>
          <w:tcPr>
            <w:tcW w:w="604" w:type="pct"/>
            <w:vMerge w:val="continue"/>
            <w:tcBorders>
              <w:tl2br w:val="nil"/>
              <w:tr2bl w:val="nil"/>
            </w:tcBorders>
            <w:vAlign w:val="center"/>
          </w:tcPr>
          <w:p w14:paraId="67053A59">
            <w:pPr>
              <w:pStyle w:val="4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lang w:val="en-US" w:eastAsia="zh-CN"/>
              </w:rPr>
            </w:pPr>
          </w:p>
        </w:tc>
      </w:tr>
      <w:tr w14:paraId="5CD7000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61" w:type="pct"/>
            <w:tcBorders>
              <w:tl2br w:val="nil"/>
              <w:tr2bl w:val="nil"/>
            </w:tcBorders>
            <w:vAlign w:val="center"/>
          </w:tcPr>
          <w:p w14:paraId="00B8B7E6">
            <w:pPr>
              <w:pStyle w:val="4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4</w:t>
            </w:r>
          </w:p>
        </w:tc>
        <w:tc>
          <w:tcPr>
            <w:tcW w:w="1302" w:type="pct"/>
            <w:tcBorders>
              <w:tl2br w:val="nil"/>
              <w:tr2bl w:val="nil"/>
            </w:tcBorders>
            <w:vAlign w:val="center"/>
          </w:tcPr>
          <w:p w14:paraId="35C643BB">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kern w:val="0"/>
                <w:sz w:val="21"/>
                <w:szCs w:val="21"/>
                <w:lang w:eastAsia="zh-CN"/>
              </w:rPr>
              <w:t>镀锡光亮剂</w:t>
            </w:r>
          </w:p>
        </w:tc>
        <w:tc>
          <w:tcPr>
            <w:tcW w:w="832" w:type="pct"/>
            <w:tcBorders>
              <w:tl2br w:val="nil"/>
              <w:tr2bl w:val="nil"/>
            </w:tcBorders>
            <w:vAlign w:val="center"/>
          </w:tcPr>
          <w:p w14:paraId="1625630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kern w:val="0"/>
                <w:sz w:val="21"/>
                <w:szCs w:val="21"/>
                <w:lang w:val="en-US" w:eastAsia="zh-CN"/>
              </w:rPr>
              <w:t>60kg/a</w:t>
            </w:r>
          </w:p>
        </w:tc>
        <w:tc>
          <w:tcPr>
            <w:tcW w:w="1267" w:type="pct"/>
            <w:gridSpan w:val="2"/>
            <w:tcBorders>
              <w:tl2br w:val="nil"/>
              <w:tr2bl w:val="nil"/>
            </w:tcBorders>
            <w:vAlign w:val="center"/>
          </w:tcPr>
          <w:p w14:paraId="11E91631">
            <w:pPr>
              <w:pStyle w:val="4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含有烯基的有机羟基化合物和醛类化合物</w:t>
            </w:r>
          </w:p>
        </w:tc>
        <w:tc>
          <w:tcPr>
            <w:tcW w:w="631" w:type="pct"/>
            <w:tcBorders>
              <w:tl2br w:val="nil"/>
              <w:tr2bl w:val="nil"/>
            </w:tcBorders>
            <w:vAlign w:val="center"/>
          </w:tcPr>
          <w:p w14:paraId="05F81AA3">
            <w:pPr>
              <w:pStyle w:val="4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桶装液体</w:t>
            </w:r>
          </w:p>
        </w:tc>
        <w:tc>
          <w:tcPr>
            <w:tcW w:w="604" w:type="pct"/>
            <w:vMerge w:val="continue"/>
            <w:tcBorders>
              <w:tl2br w:val="nil"/>
              <w:tr2bl w:val="nil"/>
            </w:tcBorders>
            <w:vAlign w:val="center"/>
          </w:tcPr>
          <w:p w14:paraId="580D456B">
            <w:pPr>
              <w:pStyle w:val="4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lang w:val="en-US" w:eastAsia="zh-CN"/>
              </w:rPr>
            </w:pPr>
          </w:p>
        </w:tc>
      </w:tr>
      <w:tr w14:paraId="273377A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61" w:type="pct"/>
            <w:tcBorders>
              <w:tl2br w:val="nil"/>
              <w:tr2bl w:val="nil"/>
            </w:tcBorders>
            <w:vAlign w:val="center"/>
          </w:tcPr>
          <w:p w14:paraId="6AA13FFB">
            <w:pPr>
              <w:pStyle w:val="4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5</w:t>
            </w:r>
          </w:p>
        </w:tc>
        <w:tc>
          <w:tcPr>
            <w:tcW w:w="1302" w:type="pct"/>
            <w:tcBorders>
              <w:tl2br w:val="nil"/>
              <w:tr2bl w:val="nil"/>
            </w:tcBorders>
            <w:vAlign w:val="center"/>
          </w:tcPr>
          <w:p w14:paraId="73FB1C15">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kern w:val="0"/>
                <w:sz w:val="21"/>
                <w:szCs w:val="21"/>
                <w:lang w:val="en-US" w:eastAsia="zh-CN"/>
              </w:rPr>
              <w:t>锡块</w:t>
            </w:r>
          </w:p>
        </w:tc>
        <w:tc>
          <w:tcPr>
            <w:tcW w:w="832" w:type="pct"/>
            <w:tcBorders>
              <w:tl2br w:val="nil"/>
              <w:tr2bl w:val="nil"/>
            </w:tcBorders>
            <w:vAlign w:val="center"/>
          </w:tcPr>
          <w:p w14:paraId="005B08A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kern w:val="0"/>
                <w:sz w:val="21"/>
                <w:szCs w:val="21"/>
                <w:lang w:val="en-US" w:eastAsia="zh-CN"/>
              </w:rPr>
              <w:t>40kg/a</w:t>
            </w:r>
          </w:p>
        </w:tc>
        <w:tc>
          <w:tcPr>
            <w:tcW w:w="832" w:type="pct"/>
            <w:tcBorders>
              <w:tl2br w:val="nil"/>
              <w:tr2bl w:val="nil"/>
            </w:tcBorders>
            <w:vAlign w:val="center"/>
          </w:tcPr>
          <w:p w14:paraId="2384DDD9">
            <w:pPr>
              <w:pStyle w:val="4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金属锡</w:t>
            </w:r>
          </w:p>
        </w:tc>
        <w:tc>
          <w:tcPr>
            <w:tcW w:w="435" w:type="pct"/>
            <w:tcBorders>
              <w:tl2br w:val="nil"/>
              <w:tr2bl w:val="nil"/>
            </w:tcBorders>
            <w:vAlign w:val="center"/>
          </w:tcPr>
          <w:p w14:paraId="07A1917E">
            <w:pPr>
              <w:pStyle w:val="4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99.9%</w:t>
            </w:r>
          </w:p>
        </w:tc>
        <w:tc>
          <w:tcPr>
            <w:tcW w:w="631" w:type="pct"/>
            <w:tcBorders>
              <w:tl2br w:val="nil"/>
              <w:tr2bl w:val="nil"/>
            </w:tcBorders>
            <w:vAlign w:val="center"/>
          </w:tcPr>
          <w:p w14:paraId="452B74A4">
            <w:pPr>
              <w:pStyle w:val="4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w:t>
            </w:r>
          </w:p>
        </w:tc>
        <w:tc>
          <w:tcPr>
            <w:tcW w:w="604" w:type="pct"/>
            <w:vMerge w:val="continue"/>
            <w:tcBorders>
              <w:tl2br w:val="nil"/>
              <w:tr2bl w:val="nil"/>
            </w:tcBorders>
            <w:vAlign w:val="center"/>
          </w:tcPr>
          <w:p w14:paraId="59826AC0">
            <w:pPr>
              <w:pStyle w:val="4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lang w:val="en-US" w:eastAsia="zh-CN"/>
              </w:rPr>
            </w:pPr>
          </w:p>
        </w:tc>
      </w:tr>
      <w:tr w14:paraId="7053740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61" w:type="pct"/>
            <w:tcBorders>
              <w:tl2br w:val="nil"/>
              <w:tr2bl w:val="nil"/>
            </w:tcBorders>
            <w:vAlign w:val="center"/>
          </w:tcPr>
          <w:p w14:paraId="5E4A334B">
            <w:pPr>
              <w:pStyle w:val="4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6</w:t>
            </w:r>
          </w:p>
        </w:tc>
        <w:tc>
          <w:tcPr>
            <w:tcW w:w="1302" w:type="pct"/>
            <w:tcBorders>
              <w:tl2br w:val="nil"/>
              <w:tr2bl w:val="nil"/>
            </w:tcBorders>
            <w:vAlign w:val="center"/>
          </w:tcPr>
          <w:p w14:paraId="3E84C6B8">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kern w:val="0"/>
                <w:sz w:val="21"/>
                <w:szCs w:val="21"/>
                <w:lang w:val="en-US" w:eastAsia="zh-CN"/>
              </w:rPr>
              <w:t>离子交换树脂</w:t>
            </w:r>
          </w:p>
        </w:tc>
        <w:tc>
          <w:tcPr>
            <w:tcW w:w="832" w:type="pct"/>
            <w:tcBorders>
              <w:tl2br w:val="nil"/>
              <w:tr2bl w:val="nil"/>
            </w:tcBorders>
            <w:vAlign w:val="center"/>
          </w:tcPr>
          <w:p w14:paraId="7CC6A2D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cs="宋体"/>
                <w:kern w:val="0"/>
                <w:sz w:val="21"/>
                <w:szCs w:val="21"/>
                <w:lang w:val="en-US" w:eastAsia="zh-CN"/>
              </w:rPr>
              <w:t>40</w:t>
            </w:r>
            <w:r>
              <w:rPr>
                <w:rFonts w:hint="eastAsia" w:ascii="宋体" w:hAnsi="宋体" w:eastAsia="宋体" w:cs="宋体"/>
                <w:kern w:val="0"/>
                <w:sz w:val="21"/>
                <w:szCs w:val="21"/>
                <w:lang w:val="en-US" w:eastAsia="zh-CN"/>
              </w:rPr>
              <w:t>kg/a</w:t>
            </w:r>
          </w:p>
        </w:tc>
        <w:tc>
          <w:tcPr>
            <w:tcW w:w="1267" w:type="pct"/>
            <w:gridSpan w:val="2"/>
            <w:tcBorders>
              <w:tl2br w:val="nil"/>
              <w:tr2bl w:val="nil"/>
            </w:tcBorders>
            <w:vAlign w:val="center"/>
          </w:tcPr>
          <w:p w14:paraId="677C6C3B">
            <w:pPr>
              <w:pStyle w:val="4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苯乙烯系树脂</w:t>
            </w:r>
          </w:p>
        </w:tc>
        <w:tc>
          <w:tcPr>
            <w:tcW w:w="631" w:type="pct"/>
            <w:tcBorders>
              <w:tl2br w:val="nil"/>
              <w:tr2bl w:val="nil"/>
            </w:tcBorders>
            <w:vAlign w:val="center"/>
          </w:tcPr>
          <w:p w14:paraId="2059FA3F">
            <w:pPr>
              <w:pStyle w:val="4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w:t>
            </w:r>
          </w:p>
        </w:tc>
        <w:tc>
          <w:tcPr>
            <w:tcW w:w="604" w:type="pct"/>
            <w:vMerge w:val="continue"/>
            <w:tcBorders>
              <w:tl2br w:val="nil"/>
              <w:tr2bl w:val="nil"/>
            </w:tcBorders>
            <w:vAlign w:val="center"/>
          </w:tcPr>
          <w:p w14:paraId="5792B742">
            <w:pPr>
              <w:pStyle w:val="4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lang w:val="en-US" w:eastAsia="zh-CN"/>
              </w:rPr>
            </w:pPr>
          </w:p>
        </w:tc>
      </w:tr>
    </w:tbl>
    <w:p w14:paraId="5CE8865C">
      <w:pPr>
        <w:bidi w:val="0"/>
        <w:rPr>
          <w:rFonts w:hint="eastAsia"/>
          <w:lang w:val="en-US" w:eastAsia="zh-CN"/>
        </w:rPr>
      </w:pPr>
      <w:r>
        <w:rPr>
          <w:rFonts w:hint="eastAsia" w:ascii="宋体" w:hAnsi="宋体" w:eastAsia="宋体" w:cs="宋体"/>
          <w:kern w:val="0"/>
          <w:sz w:val="21"/>
          <w:szCs w:val="21"/>
          <w:vertAlign w:val="baseline"/>
          <w:lang w:val="en-US" w:eastAsia="zh-CN" w:bidi="ar-SA"/>
        </w:rPr>
        <w:t>（本项目使用的脱脂剂为</w:t>
      </w:r>
      <w:r>
        <w:rPr>
          <w:rFonts w:hint="eastAsia" w:ascii="宋体" w:hAnsi="宋体" w:cs="宋体"/>
          <w:kern w:val="0"/>
          <w:sz w:val="21"/>
          <w:szCs w:val="21"/>
          <w:vertAlign w:val="baseline"/>
          <w:lang w:val="en-US" w:eastAsia="zh-CN" w:bidi="ar-SA"/>
        </w:rPr>
        <w:t>厂家配制好的成品试剂，不进行现场配制。</w:t>
      </w:r>
      <w:r>
        <w:rPr>
          <w:rFonts w:hint="eastAsia" w:ascii="宋体" w:hAnsi="宋体" w:eastAsia="宋体" w:cs="宋体"/>
          <w:kern w:val="0"/>
          <w:sz w:val="21"/>
          <w:szCs w:val="21"/>
          <w:vertAlign w:val="baseline"/>
          <w:lang w:val="en-US" w:eastAsia="zh-CN" w:bidi="ar-SA"/>
        </w:rPr>
        <w:t>）</w:t>
      </w:r>
    </w:p>
    <w:p w14:paraId="4AEA6E8D">
      <w:pPr>
        <w:pStyle w:val="5"/>
        <w:bidi w:val="0"/>
        <w:rPr>
          <w:rFonts w:hint="eastAsia"/>
          <w:lang w:val="en-US" w:eastAsia="zh-CN"/>
        </w:rPr>
      </w:pPr>
      <w:r>
        <w:rPr>
          <w:rFonts w:hint="eastAsia"/>
          <w:lang w:val="en-US" w:eastAsia="zh-CN"/>
        </w:rPr>
        <w:t>4.3.3主要物料理化性质和毒理特性</w:t>
      </w:r>
    </w:p>
    <w:p w14:paraId="28007D37">
      <w:pPr>
        <w:bidi w:val="0"/>
        <w:rPr>
          <w:rFonts w:hint="eastAsia"/>
          <w:lang w:val="en-US" w:eastAsia="zh-CN"/>
        </w:rPr>
      </w:pPr>
      <w:r>
        <w:rPr>
          <w:rFonts w:hint="eastAsia"/>
          <w:lang w:val="en-US" w:eastAsia="zh-CN"/>
        </w:rPr>
        <w:t>本项目主要物料理化性质及毒性见下表。</w:t>
      </w:r>
    </w:p>
    <w:p w14:paraId="3BC886D4">
      <w:pPr>
        <w:pStyle w:val="72"/>
        <w:jc w:val="center"/>
        <w:rPr>
          <w:rFonts w:hint="eastAsia" w:ascii="黑体" w:hAnsi="黑体" w:eastAsia="黑体" w:cs="黑体"/>
          <w:kern w:val="0"/>
          <w:sz w:val="21"/>
          <w:szCs w:val="21"/>
          <w:lang w:val="en-US" w:eastAsia="zh-CN" w:bidi="ar-SA"/>
        </w:rPr>
      </w:pPr>
      <w:r>
        <w:rPr>
          <w:rFonts w:hint="eastAsia" w:ascii="黑体" w:hAnsi="黑体" w:eastAsia="黑体" w:cs="黑体"/>
          <w:kern w:val="0"/>
          <w:sz w:val="21"/>
          <w:szCs w:val="21"/>
          <w:lang w:val="en-US" w:eastAsia="zh-CN" w:bidi="ar-SA"/>
        </w:rPr>
        <w:t>表4-6项目主要物料理化性质</w:t>
      </w:r>
    </w:p>
    <w:tbl>
      <w:tblPr>
        <w:tblStyle w:val="53"/>
        <w:tblW w:w="0" w:type="auto"/>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505"/>
        <w:gridCol w:w="975"/>
        <w:gridCol w:w="4125"/>
        <w:gridCol w:w="2917"/>
      </w:tblGrid>
      <w:tr w14:paraId="7E27A35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05" w:type="dxa"/>
            <w:tcBorders>
              <w:tl2br w:val="nil"/>
              <w:tr2bl w:val="nil"/>
            </w:tcBorders>
            <w:vAlign w:val="center"/>
          </w:tcPr>
          <w:p w14:paraId="6A335FB3">
            <w:pPr>
              <w:pStyle w:val="72"/>
              <w:jc w:val="center"/>
              <w:rPr>
                <w:rFonts w:hint="eastAsia" w:ascii="宋体" w:hAnsi="宋体" w:eastAsia="宋体" w:cs="宋体"/>
                <w:kern w:val="0"/>
                <w:sz w:val="21"/>
                <w:szCs w:val="21"/>
                <w:vertAlign w:val="baseline"/>
                <w:lang w:val="en-US" w:eastAsia="zh-CN" w:bidi="ar-SA"/>
              </w:rPr>
            </w:pPr>
            <w:r>
              <w:rPr>
                <w:rFonts w:hint="eastAsia" w:ascii="宋体" w:hAnsi="宋体" w:eastAsia="宋体" w:cs="宋体"/>
                <w:kern w:val="0"/>
                <w:sz w:val="21"/>
                <w:szCs w:val="21"/>
                <w:vertAlign w:val="baseline"/>
                <w:lang w:val="en-US" w:eastAsia="zh-CN" w:bidi="ar-SA"/>
              </w:rPr>
              <w:t>序号</w:t>
            </w:r>
          </w:p>
        </w:tc>
        <w:tc>
          <w:tcPr>
            <w:tcW w:w="975" w:type="dxa"/>
            <w:tcBorders>
              <w:tl2br w:val="nil"/>
              <w:tr2bl w:val="nil"/>
            </w:tcBorders>
            <w:vAlign w:val="center"/>
          </w:tcPr>
          <w:p w14:paraId="7022CF95">
            <w:pPr>
              <w:pStyle w:val="72"/>
              <w:jc w:val="center"/>
              <w:rPr>
                <w:rFonts w:hint="eastAsia" w:ascii="宋体" w:hAnsi="宋体" w:eastAsia="宋体" w:cs="宋体"/>
                <w:kern w:val="0"/>
                <w:sz w:val="21"/>
                <w:szCs w:val="21"/>
                <w:vertAlign w:val="baseline"/>
                <w:lang w:val="en-US" w:eastAsia="zh-CN" w:bidi="ar-SA"/>
              </w:rPr>
            </w:pPr>
            <w:r>
              <w:rPr>
                <w:rFonts w:hint="eastAsia" w:ascii="宋体" w:hAnsi="宋体" w:eastAsia="宋体" w:cs="宋体"/>
                <w:kern w:val="0"/>
                <w:sz w:val="21"/>
                <w:szCs w:val="21"/>
                <w:vertAlign w:val="baseline"/>
                <w:lang w:val="en-US" w:eastAsia="zh-CN" w:bidi="ar-SA"/>
              </w:rPr>
              <w:t>名称</w:t>
            </w:r>
          </w:p>
        </w:tc>
        <w:tc>
          <w:tcPr>
            <w:tcW w:w="4125" w:type="dxa"/>
            <w:tcBorders>
              <w:tl2br w:val="nil"/>
              <w:tr2bl w:val="nil"/>
            </w:tcBorders>
            <w:vAlign w:val="center"/>
          </w:tcPr>
          <w:p w14:paraId="5BB9602C">
            <w:pPr>
              <w:pStyle w:val="72"/>
              <w:jc w:val="center"/>
              <w:rPr>
                <w:rFonts w:hint="eastAsia" w:ascii="宋体" w:hAnsi="宋体" w:eastAsia="宋体" w:cs="宋体"/>
                <w:kern w:val="0"/>
                <w:sz w:val="21"/>
                <w:szCs w:val="21"/>
                <w:vertAlign w:val="baseline"/>
                <w:lang w:val="en-US" w:eastAsia="zh-CN" w:bidi="ar-SA"/>
              </w:rPr>
            </w:pPr>
            <w:r>
              <w:rPr>
                <w:rFonts w:hint="eastAsia" w:ascii="宋体" w:hAnsi="宋体" w:eastAsia="宋体" w:cs="宋体"/>
                <w:kern w:val="0"/>
                <w:sz w:val="21"/>
                <w:szCs w:val="21"/>
                <w:vertAlign w:val="baseline"/>
                <w:lang w:val="en-US" w:eastAsia="zh-CN" w:bidi="ar-SA"/>
              </w:rPr>
              <w:t>理化性质</w:t>
            </w:r>
          </w:p>
        </w:tc>
        <w:tc>
          <w:tcPr>
            <w:tcW w:w="2917" w:type="dxa"/>
            <w:tcBorders>
              <w:tl2br w:val="nil"/>
              <w:tr2bl w:val="nil"/>
            </w:tcBorders>
            <w:vAlign w:val="center"/>
          </w:tcPr>
          <w:p w14:paraId="18066001">
            <w:pPr>
              <w:pStyle w:val="72"/>
              <w:jc w:val="center"/>
              <w:rPr>
                <w:rFonts w:hint="eastAsia" w:ascii="宋体" w:hAnsi="宋体" w:eastAsia="宋体" w:cs="宋体"/>
                <w:kern w:val="0"/>
                <w:sz w:val="21"/>
                <w:szCs w:val="21"/>
                <w:vertAlign w:val="baseline"/>
                <w:lang w:val="en-US" w:eastAsia="zh-CN" w:bidi="ar-SA"/>
              </w:rPr>
            </w:pPr>
            <w:r>
              <w:rPr>
                <w:rFonts w:hint="eastAsia" w:ascii="宋体" w:hAnsi="宋体" w:eastAsia="宋体" w:cs="宋体"/>
                <w:kern w:val="0"/>
                <w:sz w:val="21"/>
                <w:szCs w:val="21"/>
                <w:vertAlign w:val="baseline"/>
                <w:lang w:val="en-US" w:eastAsia="zh-CN" w:bidi="ar-SA"/>
              </w:rPr>
              <w:t>毒理毒性</w:t>
            </w:r>
          </w:p>
        </w:tc>
      </w:tr>
      <w:tr w14:paraId="1ADF169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05" w:type="dxa"/>
            <w:tcBorders>
              <w:tl2br w:val="nil"/>
              <w:tr2bl w:val="nil"/>
            </w:tcBorders>
            <w:vAlign w:val="center"/>
          </w:tcPr>
          <w:p w14:paraId="6E0A8ABD">
            <w:pPr>
              <w:pStyle w:val="72"/>
              <w:jc w:val="center"/>
              <w:rPr>
                <w:rFonts w:hint="default" w:ascii="宋体" w:hAnsi="宋体" w:eastAsia="宋体" w:cs="宋体"/>
                <w:kern w:val="0"/>
                <w:sz w:val="21"/>
                <w:szCs w:val="21"/>
                <w:vertAlign w:val="baseline"/>
                <w:lang w:val="en-US" w:eastAsia="zh-CN" w:bidi="ar-SA"/>
              </w:rPr>
            </w:pPr>
            <w:r>
              <w:rPr>
                <w:rFonts w:hint="eastAsia" w:ascii="宋体" w:hAnsi="宋体" w:eastAsia="宋体" w:cs="宋体"/>
                <w:kern w:val="0"/>
                <w:sz w:val="21"/>
                <w:szCs w:val="21"/>
                <w:vertAlign w:val="baseline"/>
                <w:lang w:val="en-US" w:eastAsia="zh-CN" w:bidi="ar-SA"/>
              </w:rPr>
              <w:t>1</w:t>
            </w:r>
          </w:p>
        </w:tc>
        <w:tc>
          <w:tcPr>
            <w:tcW w:w="975" w:type="dxa"/>
            <w:tcBorders>
              <w:tl2br w:val="nil"/>
              <w:tr2bl w:val="nil"/>
            </w:tcBorders>
            <w:vAlign w:val="center"/>
          </w:tcPr>
          <w:p w14:paraId="690F94B4">
            <w:pPr>
              <w:pStyle w:val="72"/>
              <w:jc w:val="center"/>
              <w:rPr>
                <w:rFonts w:hint="eastAsia" w:ascii="宋体" w:hAnsi="宋体" w:eastAsia="宋体" w:cs="宋体"/>
                <w:kern w:val="0"/>
                <w:sz w:val="21"/>
                <w:szCs w:val="21"/>
                <w:vertAlign w:val="baseline"/>
                <w:lang w:val="en-US" w:eastAsia="zh-CN" w:bidi="ar-SA"/>
              </w:rPr>
            </w:pPr>
            <w:r>
              <w:rPr>
                <w:rFonts w:hint="eastAsia" w:ascii="宋体" w:hAnsi="宋体" w:eastAsia="宋体" w:cs="宋体"/>
                <w:kern w:val="0"/>
                <w:sz w:val="21"/>
                <w:szCs w:val="21"/>
                <w:vertAlign w:val="baseline"/>
                <w:lang w:val="en-US" w:eastAsia="zh-CN" w:bidi="ar-SA"/>
              </w:rPr>
              <w:t>脱脂剂</w:t>
            </w:r>
          </w:p>
        </w:tc>
        <w:tc>
          <w:tcPr>
            <w:tcW w:w="4125" w:type="dxa"/>
            <w:tcBorders>
              <w:tl2br w:val="nil"/>
              <w:tr2bl w:val="nil"/>
            </w:tcBorders>
            <w:vAlign w:val="center"/>
          </w:tcPr>
          <w:p w14:paraId="5124F452">
            <w:pPr>
              <w:pStyle w:val="72"/>
              <w:jc w:val="center"/>
              <w:rPr>
                <w:rFonts w:hint="eastAsia" w:ascii="宋体" w:hAnsi="宋体" w:eastAsia="宋体" w:cs="宋体"/>
                <w:kern w:val="0"/>
                <w:sz w:val="21"/>
                <w:szCs w:val="21"/>
                <w:vertAlign w:val="baseline"/>
                <w:lang w:val="en-US" w:eastAsia="zh-CN" w:bidi="ar-SA"/>
              </w:rPr>
            </w:pPr>
            <w:r>
              <w:rPr>
                <w:rFonts w:hint="eastAsia" w:ascii="宋体" w:hAnsi="宋体" w:eastAsia="宋体" w:cs="宋体"/>
                <w:kern w:val="0"/>
                <w:sz w:val="21"/>
                <w:szCs w:val="21"/>
                <w:vertAlign w:val="baseline"/>
                <w:lang w:val="en-US" w:eastAsia="zh-CN" w:bidi="ar-SA"/>
              </w:rPr>
              <w:t>脱脂剂主要成分为氢氧化钠，氢氧化钠为白色不透明固体，易潮解。分子式NaOH，分子量 40，蒸汽压0.13kpa（739℃），熔点 318.4℃，沸点：1390℃，相对密度（水=1）2.12，易溶于水、乙醇、甘油，不溶于丙酮。危险标记20（碱性腐蚀品）。侵入途径：吸入、食入。</w:t>
            </w:r>
          </w:p>
        </w:tc>
        <w:tc>
          <w:tcPr>
            <w:tcW w:w="2917" w:type="dxa"/>
            <w:tcBorders>
              <w:tl2br w:val="nil"/>
              <w:tr2bl w:val="nil"/>
            </w:tcBorders>
            <w:vAlign w:val="center"/>
          </w:tcPr>
          <w:p w14:paraId="6DE27BCB">
            <w:pPr>
              <w:pStyle w:val="72"/>
              <w:jc w:val="center"/>
              <w:rPr>
                <w:rFonts w:hint="eastAsia" w:ascii="宋体" w:hAnsi="宋体" w:eastAsia="宋体" w:cs="宋体"/>
                <w:kern w:val="0"/>
                <w:sz w:val="21"/>
                <w:szCs w:val="21"/>
                <w:vertAlign w:val="baseline"/>
                <w:lang w:val="en-US" w:eastAsia="zh-CN" w:bidi="ar-SA"/>
              </w:rPr>
            </w:pPr>
            <w:r>
              <w:rPr>
                <w:rFonts w:hint="eastAsia" w:ascii="宋体" w:hAnsi="宋体" w:eastAsia="宋体" w:cs="宋体"/>
                <w:kern w:val="0"/>
                <w:sz w:val="21"/>
                <w:szCs w:val="21"/>
                <w:vertAlign w:val="baseline"/>
                <w:lang w:val="en-US" w:eastAsia="zh-CN" w:bidi="ar-SA"/>
              </w:rPr>
              <w:t>氢氧化钠具强烈刺激和腐蚀性。遇水和水蒸气大量放热，形成腐蚀性溶液。与酸发生中和反应并放热。具有强腐蚀性。燃烧（分解）产物：可能产生有害的毒性烟雾</w:t>
            </w:r>
          </w:p>
        </w:tc>
      </w:tr>
      <w:tr w14:paraId="693570F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05" w:type="dxa"/>
            <w:tcBorders>
              <w:tl2br w:val="nil"/>
              <w:tr2bl w:val="nil"/>
            </w:tcBorders>
            <w:vAlign w:val="center"/>
          </w:tcPr>
          <w:p w14:paraId="2EA0D6B8">
            <w:pPr>
              <w:pStyle w:val="72"/>
              <w:jc w:val="center"/>
              <w:rPr>
                <w:rFonts w:hint="default" w:ascii="宋体" w:hAnsi="宋体" w:eastAsia="宋体" w:cs="宋体"/>
                <w:kern w:val="0"/>
                <w:sz w:val="21"/>
                <w:szCs w:val="21"/>
                <w:vertAlign w:val="baseline"/>
                <w:lang w:val="en-US" w:eastAsia="zh-CN" w:bidi="ar-SA"/>
              </w:rPr>
            </w:pPr>
            <w:r>
              <w:rPr>
                <w:rFonts w:hint="eastAsia" w:ascii="宋体" w:hAnsi="宋体" w:eastAsia="宋体" w:cs="宋体"/>
                <w:kern w:val="0"/>
                <w:sz w:val="21"/>
                <w:szCs w:val="21"/>
                <w:vertAlign w:val="baseline"/>
                <w:lang w:val="en-US" w:eastAsia="zh-CN" w:bidi="ar-SA"/>
              </w:rPr>
              <w:t>2</w:t>
            </w:r>
          </w:p>
        </w:tc>
        <w:tc>
          <w:tcPr>
            <w:tcW w:w="975" w:type="dxa"/>
            <w:tcBorders>
              <w:tl2br w:val="nil"/>
              <w:tr2bl w:val="nil"/>
            </w:tcBorders>
            <w:vAlign w:val="center"/>
          </w:tcPr>
          <w:p w14:paraId="3118CF29">
            <w:pPr>
              <w:pStyle w:val="72"/>
              <w:jc w:val="center"/>
              <w:rPr>
                <w:rFonts w:hint="eastAsia" w:ascii="宋体" w:hAnsi="宋体" w:eastAsia="宋体" w:cs="宋体"/>
                <w:kern w:val="0"/>
                <w:sz w:val="21"/>
                <w:szCs w:val="21"/>
                <w:vertAlign w:val="baseline"/>
                <w:lang w:val="en-US" w:eastAsia="zh-CN" w:bidi="ar-SA"/>
              </w:rPr>
            </w:pPr>
            <w:r>
              <w:rPr>
                <w:rFonts w:hint="eastAsia" w:ascii="宋体" w:hAnsi="宋体" w:eastAsia="宋体" w:cs="宋体"/>
                <w:kern w:val="0"/>
                <w:sz w:val="21"/>
                <w:szCs w:val="21"/>
                <w:vertAlign w:val="baseline"/>
                <w:lang w:val="en-US" w:eastAsia="zh-CN" w:bidi="ar-SA"/>
              </w:rPr>
              <w:t>甲基磺酸</w:t>
            </w:r>
          </w:p>
        </w:tc>
        <w:tc>
          <w:tcPr>
            <w:tcW w:w="4125" w:type="dxa"/>
            <w:tcBorders>
              <w:tl2br w:val="nil"/>
              <w:tr2bl w:val="nil"/>
            </w:tcBorders>
            <w:vAlign w:val="center"/>
          </w:tcPr>
          <w:p w14:paraId="0C215F19">
            <w:pPr>
              <w:pStyle w:val="72"/>
              <w:jc w:val="center"/>
              <w:rPr>
                <w:rFonts w:hint="eastAsia" w:ascii="宋体" w:hAnsi="宋体" w:eastAsia="宋体" w:cs="宋体"/>
                <w:kern w:val="0"/>
                <w:sz w:val="21"/>
                <w:szCs w:val="21"/>
                <w:vertAlign w:val="baseline"/>
                <w:lang w:val="en-US" w:eastAsia="zh-CN" w:bidi="ar-SA"/>
              </w:rPr>
            </w:pPr>
            <w:r>
              <w:rPr>
                <w:rFonts w:hint="eastAsia" w:ascii="宋体" w:hAnsi="宋体" w:eastAsia="宋体" w:cs="宋体"/>
                <w:kern w:val="0"/>
                <w:sz w:val="21"/>
                <w:szCs w:val="21"/>
                <w:vertAlign w:val="baseline"/>
                <w:lang w:val="en-US" w:eastAsia="zh-CN" w:bidi="ar-SA"/>
              </w:rPr>
              <w:t>甲基磺酸又名甲磺酸，外观为无色液体或固体。溶于水、乙醇、乙醚，不溶于苯、甲苯。对沸水、热碱不分解。纯甲基磺酸熔点为19℃，沸点为168℃。相对密度（水=1）1.48；蒸汽密度（空气=1）3.3。遇明火、高热可燃，具吸水性、脱水性、强还原性、腐蚀性、强刺激性，可致人体灼伤。受热燃烧（分解）产物：甲醛和二氧化硫烟雾。</w:t>
            </w:r>
          </w:p>
        </w:tc>
        <w:tc>
          <w:tcPr>
            <w:tcW w:w="2917" w:type="dxa"/>
            <w:tcBorders>
              <w:tl2br w:val="nil"/>
              <w:tr2bl w:val="nil"/>
            </w:tcBorders>
            <w:vAlign w:val="center"/>
          </w:tcPr>
          <w:p w14:paraId="7B2C861A">
            <w:pPr>
              <w:pStyle w:val="72"/>
              <w:jc w:val="center"/>
              <w:rPr>
                <w:rFonts w:hint="eastAsia" w:ascii="宋体" w:hAnsi="宋体" w:eastAsia="宋体" w:cs="宋体"/>
                <w:kern w:val="0"/>
                <w:sz w:val="21"/>
                <w:szCs w:val="21"/>
                <w:vertAlign w:val="baseline"/>
                <w:lang w:val="en-US" w:eastAsia="zh-CN" w:bidi="ar-SA"/>
              </w:rPr>
            </w:pPr>
            <w:r>
              <w:rPr>
                <w:rFonts w:hint="eastAsia" w:ascii="宋体" w:hAnsi="宋体" w:eastAsia="宋体" w:cs="宋体"/>
                <w:kern w:val="0"/>
                <w:sz w:val="21"/>
                <w:szCs w:val="21"/>
                <w:vertAlign w:val="baseline"/>
                <w:lang w:val="en-US" w:eastAsia="zh-CN" w:bidi="ar-SA"/>
              </w:rPr>
              <w:t>本品对粘膜、上呼吸道、眼和皮肤有强烈的刺激性。吸入后，可因喉及支气管的痉挛、炎症、水肿，化学性肺炎或肺水肿而致死。接触后出现烧灼感、咳嗽、喘息、喉炎、气短、头痛、恶心和呕吐。可致灼</w:t>
            </w:r>
          </w:p>
          <w:p w14:paraId="07768F23">
            <w:pPr>
              <w:pStyle w:val="72"/>
              <w:jc w:val="center"/>
              <w:rPr>
                <w:rFonts w:hint="eastAsia" w:ascii="宋体" w:hAnsi="宋体" w:eastAsia="宋体" w:cs="宋体"/>
                <w:kern w:val="0"/>
                <w:sz w:val="21"/>
                <w:szCs w:val="21"/>
                <w:vertAlign w:val="baseline"/>
                <w:lang w:val="en-US" w:eastAsia="zh-CN" w:bidi="ar-SA"/>
              </w:rPr>
            </w:pPr>
            <w:r>
              <w:rPr>
                <w:rFonts w:hint="eastAsia" w:ascii="宋体" w:hAnsi="宋体" w:eastAsia="宋体" w:cs="宋体"/>
                <w:kern w:val="0"/>
                <w:sz w:val="21"/>
                <w:szCs w:val="21"/>
                <w:vertAlign w:val="baseline"/>
                <w:lang w:val="en-US" w:eastAsia="zh-CN" w:bidi="ar-SA"/>
              </w:rPr>
              <w:t>伤。急性毒性：LD 50 200mg/kg（大鼠经口）</w:t>
            </w:r>
          </w:p>
        </w:tc>
      </w:tr>
      <w:tr w14:paraId="2F84614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05" w:type="dxa"/>
            <w:tcBorders>
              <w:tl2br w:val="nil"/>
              <w:tr2bl w:val="nil"/>
            </w:tcBorders>
            <w:vAlign w:val="center"/>
          </w:tcPr>
          <w:p w14:paraId="2181A9D0">
            <w:pPr>
              <w:pStyle w:val="72"/>
              <w:jc w:val="center"/>
              <w:rPr>
                <w:rFonts w:hint="default" w:ascii="宋体" w:hAnsi="宋体" w:eastAsia="宋体" w:cs="宋体"/>
                <w:kern w:val="0"/>
                <w:sz w:val="21"/>
                <w:szCs w:val="21"/>
                <w:vertAlign w:val="baseline"/>
                <w:lang w:val="en-US" w:eastAsia="zh-CN" w:bidi="ar-SA"/>
              </w:rPr>
            </w:pPr>
            <w:r>
              <w:rPr>
                <w:rFonts w:hint="eastAsia" w:ascii="宋体" w:hAnsi="宋体" w:eastAsia="宋体" w:cs="宋体"/>
                <w:kern w:val="0"/>
                <w:sz w:val="21"/>
                <w:szCs w:val="21"/>
                <w:vertAlign w:val="baseline"/>
                <w:lang w:val="en-US" w:eastAsia="zh-CN" w:bidi="ar-SA"/>
              </w:rPr>
              <w:t>3</w:t>
            </w:r>
          </w:p>
        </w:tc>
        <w:tc>
          <w:tcPr>
            <w:tcW w:w="975" w:type="dxa"/>
            <w:tcBorders>
              <w:tl2br w:val="nil"/>
              <w:tr2bl w:val="nil"/>
            </w:tcBorders>
            <w:vAlign w:val="center"/>
          </w:tcPr>
          <w:p w14:paraId="66DE6A8B">
            <w:pPr>
              <w:pStyle w:val="72"/>
              <w:jc w:val="center"/>
              <w:rPr>
                <w:rFonts w:hint="eastAsia" w:ascii="宋体" w:hAnsi="宋体" w:eastAsia="宋体" w:cs="宋体"/>
                <w:kern w:val="0"/>
                <w:sz w:val="21"/>
                <w:szCs w:val="21"/>
                <w:vertAlign w:val="baseline"/>
                <w:lang w:val="en-US" w:eastAsia="zh-CN" w:bidi="ar-SA"/>
              </w:rPr>
            </w:pPr>
            <w:r>
              <w:rPr>
                <w:rFonts w:hint="eastAsia" w:ascii="宋体" w:hAnsi="宋体" w:eastAsia="宋体" w:cs="宋体"/>
                <w:kern w:val="0"/>
                <w:sz w:val="21"/>
                <w:szCs w:val="21"/>
                <w:vertAlign w:val="baseline"/>
                <w:lang w:val="en-US" w:eastAsia="zh-CN" w:bidi="ar-SA"/>
              </w:rPr>
              <w:t>甲基磺</w:t>
            </w:r>
          </w:p>
          <w:p w14:paraId="15AC3DB6">
            <w:pPr>
              <w:pStyle w:val="72"/>
              <w:jc w:val="center"/>
              <w:rPr>
                <w:rFonts w:hint="eastAsia" w:ascii="宋体" w:hAnsi="宋体" w:eastAsia="宋体" w:cs="宋体"/>
                <w:kern w:val="0"/>
                <w:sz w:val="21"/>
                <w:szCs w:val="21"/>
                <w:vertAlign w:val="baseline"/>
                <w:lang w:val="en-US" w:eastAsia="zh-CN" w:bidi="ar-SA"/>
              </w:rPr>
            </w:pPr>
            <w:r>
              <w:rPr>
                <w:rFonts w:hint="eastAsia" w:ascii="宋体" w:hAnsi="宋体" w:eastAsia="宋体" w:cs="宋体"/>
                <w:kern w:val="0"/>
                <w:sz w:val="21"/>
                <w:szCs w:val="21"/>
                <w:vertAlign w:val="baseline"/>
                <w:lang w:val="en-US" w:eastAsia="zh-CN" w:bidi="ar-SA"/>
              </w:rPr>
              <w:t>酸锡</w:t>
            </w:r>
          </w:p>
        </w:tc>
        <w:tc>
          <w:tcPr>
            <w:tcW w:w="4125" w:type="dxa"/>
            <w:tcBorders>
              <w:tl2br w:val="nil"/>
              <w:tr2bl w:val="nil"/>
            </w:tcBorders>
            <w:vAlign w:val="center"/>
          </w:tcPr>
          <w:p w14:paraId="2FB2535F">
            <w:pPr>
              <w:pStyle w:val="72"/>
              <w:jc w:val="center"/>
              <w:rPr>
                <w:rFonts w:hint="eastAsia" w:ascii="宋体" w:hAnsi="宋体" w:eastAsia="宋体" w:cs="宋体"/>
                <w:kern w:val="0"/>
                <w:sz w:val="21"/>
                <w:szCs w:val="21"/>
                <w:vertAlign w:val="baseline"/>
                <w:lang w:val="en-US" w:eastAsia="zh-CN" w:bidi="ar-SA"/>
              </w:rPr>
            </w:pPr>
            <w:r>
              <w:rPr>
                <w:rFonts w:hint="eastAsia" w:ascii="宋体" w:hAnsi="宋体" w:eastAsia="宋体" w:cs="宋体"/>
                <w:kern w:val="0"/>
                <w:sz w:val="21"/>
                <w:szCs w:val="21"/>
                <w:vertAlign w:val="baseline"/>
                <w:lang w:val="en-US" w:eastAsia="zh-CN" w:bidi="ar-SA"/>
              </w:rPr>
              <w:t>甲基磺酸锡又名甲基磺酸亚锡，常温下外观为无色或微黄色透明液体，溶于水，有腐鸡蛋味。熔点-27℃、沸点 103℃。50.3%的甲基磺酸锡水溶液相对水密度 1.55。</w:t>
            </w:r>
          </w:p>
        </w:tc>
        <w:tc>
          <w:tcPr>
            <w:tcW w:w="2917" w:type="dxa"/>
            <w:tcBorders>
              <w:tl2br w:val="nil"/>
              <w:tr2bl w:val="nil"/>
            </w:tcBorders>
            <w:vAlign w:val="center"/>
          </w:tcPr>
          <w:p w14:paraId="5ADAA197">
            <w:pPr>
              <w:pStyle w:val="72"/>
              <w:jc w:val="center"/>
              <w:rPr>
                <w:rFonts w:hint="eastAsia" w:ascii="宋体" w:hAnsi="宋体" w:eastAsia="宋体" w:cs="宋体"/>
                <w:kern w:val="0"/>
                <w:sz w:val="21"/>
                <w:szCs w:val="21"/>
                <w:vertAlign w:val="baseline"/>
                <w:lang w:val="en-US" w:eastAsia="zh-CN" w:bidi="ar-SA"/>
              </w:rPr>
            </w:pPr>
            <w:r>
              <w:rPr>
                <w:rFonts w:hint="eastAsia" w:ascii="宋体" w:hAnsi="宋体" w:eastAsia="宋体" w:cs="宋体"/>
                <w:kern w:val="0"/>
                <w:sz w:val="21"/>
                <w:szCs w:val="21"/>
                <w:vertAlign w:val="baseline"/>
                <w:lang w:val="en-US" w:eastAsia="zh-CN" w:bidi="ar-SA"/>
              </w:rPr>
              <w:t>皮肤、眼睛接触引起刺激。吞食有害。环境危害：对环境有危害。二、毒理学资料及环境行为急性毒性：LD 50 :2991 mg/kg（大鼠经口）燃烧（分解）产物：二氧化硫。</w:t>
            </w:r>
          </w:p>
        </w:tc>
      </w:tr>
      <w:tr w14:paraId="7B20AFB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05" w:type="dxa"/>
            <w:tcBorders>
              <w:tl2br w:val="nil"/>
              <w:tr2bl w:val="nil"/>
            </w:tcBorders>
            <w:vAlign w:val="center"/>
          </w:tcPr>
          <w:p w14:paraId="07AEE8FF">
            <w:pPr>
              <w:pStyle w:val="72"/>
              <w:jc w:val="center"/>
              <w:rPr>
                <w:rFonts w:hint="default" w:ascii="宋体" w:hAnsi="宋体" w:eastAsia="宋体" w:cs="宋体"/>
                <w:kern w:val="0"/>
                <w:sz w:val="21"/>
                <w:szCs w:val="21"/>
                <w:vertAlign w:val="baseline"/>
                <w:lang w:val="en-US" w:eastAsia="zh-CN" w:bidi="ar-SA"/>
              </w:rPr>
            </w:pPr>
            <w:r>
              <w:rPr>
                <w:rFonts w:hint="eastAsia" w:ascii="宋体" w:hAnsi="宋体" w:eastAsia="宋体" w:cs="宋体"/>
                <w:kern w:val="0"/>
                <w:sz w:val="21"/>
                <w:szCs w:val="21"/>
                <w:vertAlign w:val="baseline"/>
                <w:lang w:val="en-US" w:eastAsia="zh-CN" w:bidi="ar-SA"/>
              </w:rPr>
              <w:t>4</w:t>
            </w:r>
          </w:p>
        </w:tc>
        <w:tc>
          <w:tcPr>
            <w:tcW w:w="975" w:type="dxa"/>
            <w:tcBorders>
              <w:tl2br w:val="nil"/>
              <w:tr2bl w:val="nil"/>
            </w:tcBorders>
            <w:vAlign w:val="center"/>
          </w:tcPr>
          <w:p w14:paraId="321AC65A">
            <w:pPr>
              <w:pStyle w:val="72"/>
              <w:jc w:val="center"/>
              <w:rPr>
                <w:rFonts w:hint="eastAsia" w:ascii="宋体" w:hAnsi="宋体" w:eastAsia="宋体" w:cs="宋体"/>
                <w:kern w:val="0"/>
                <w:sz w:val="21"/>
                <w:szCs w:val="21"/>
                <w:vertAlign w:val="baseline"/>
                <w:lang w:val="en-US" w:eastAsia="zh-CN" w:bidi="ar-SA"/>
              </w:rPr>
            </w:pPr>
            <w:r>
              <w:rPr>
                <w:rFonts w:hint="eastAsia" w:ascii="宋体" w:hAnsi="宋体" w:eastAsia="宋体" w:cs="宋体"/>
                <w:kern w:val="0"/>
                <w:sz w:val="21"/>
                <w:szCs w:val="21"/>
                <w:vertAlign w:val="baseline"/>
                <w:lang w:val="en-US" w:eastAsia="zh-CN" w:bidi="ar-SA"/>
              </w:rPr>
              <w:t>镀锡光</w:t>
            </w:r>
          </w:p>
          <w:p w14:paraId="10A7A116">
            <w:pPr>
              <w:pStyle w:val="72"/>
              <w:jc w:val="center"/>
              <w:rPr>
                <w:rFonts w:hint="eastAsia" w:ascii="宋体" w:hAnsi="宋体" w:eastAsia="宋体" w:cs="宋体"/>
                <w:kern w:val="0"/>
                <w:sz w:val="21"/>
                <w:szCs w:val="21"/>
                <w:vertAlign w:val="baseline"/>
                <w:lang w:val="en-US" w:eastAsia="zh-CN" w:bidi="ar-SA"/>
              </w:rPr>
            </w:pPr>
            <w:r>
              <w:rPr>
                <w:rFonts w:hint="eastAsia" w:ascii="宋体" w:hAnsi="宋体" w:eastAsia="宋体" w:cs="宋体"/>
                <w:kern w:val="0"/>
                <w:sz w:val="21"/>
                <w:szCs w:val="21"/>
                <w:vertAlign w:val="baseline"/>
                <w:lang w:val="en-US" w:eastAsia="zh-CN" w:bidi="ar-SA"/>
              </w:rPr>
              <w:t>亮剂</w:t>
            </w:r>
          </w:p>
        </w:tc>
        <w:tc>
          <w:tcPr>
            <w:tcW w:w="4125" w:type="dxa"/>
            <w:tcBorders>
              <w:tl2br w:val="nil"/>
              <w:tr2bl w:val="nil"/>
            </w:tcBorders>
            <w:vAlign w:val="center"/>
          </w:tcPr>
          <w:p w14:paraId="76B0A61C">
            <w:pPr>
              <w:pStyle w:val="72"/>
              <w:jc w:val="center"/>
              <w:rPr>
                <w:rFonts w:hint="eastAsia" w:ascii="宋体" w:hAnsi="宋体" w:eastAsia="宋体" w:cs="宋体"/>
                <w:kern w:val="0"/>
                <w:sz w:val="21"/>
                <w:szCs w:val="21"/>
                <w:vertAlign w:val="baseline"/>
                <w:lang w:val="en-US" w:eastAsia="zh-CN" w:bidi="ar-SA"/>
              </w:rPr>
            </w:pPr>
            <w:r>
              <w:rPr>
                <w:rFonts w:hint="eastAsia" w:ascii="宋体" w:hAnsi="宋体" w:eastAsia="宋体" w:cs="宋体"/>
                <w:kern w:val="0"/>
                <w:sz w:val="21"/>
                <w:szCs w:val="21"/>
                <w:vertAlign w:val="baseline"/>
                <w:lang w:val="en-US" w:eastAsia="zh-CN" w:bidi="ar-SA"/>
              </w:rPr>
              <w:t>一种有机化合物，主要有两大类，一类是一些不饱和的，含有烯基的有机羰基化合物；第二类光亮剂，也称辅助光亮剂，有增光作用，如甲醛、四氢呋喃等。</w:t>
            </w:r>
          </w:p>
        </w:tc>
        <w:tc>
          <w:tcPr>
            <w:tcW w:w="2917" w:type="dxa"/>
            <w:tcBorders>
              <w:tl2br w:val="nil"/>
              <w:tr2bl w:val="nil"/>
            </w:tcBorders>
            <w:vAlign w:val="center"/>
          </w:tcPr>
          <w:p w14:paraId="0D445FE9">
            <w:pPr>
              <w:pStyle w:val="72"/>
              <w:jc w:val="center"/>
              <w:rPr>
                <w:rFonts w:hint="eastAsia" w:ascii="宋体" w:hAnsi="宋体" w:eastAsia="宋体" w:cs="宋体"/>
                <w:kern w:val="0"/>
                <w:sz w:val="21"/>
                <w:szCs w:val="21"/>
                <w:vertAlign w:val="baseline"/>
                <w:lang w:val="en-US" w:eastAsia="zh-CN" w:bidi="ar-SA"/>
              </w:rPr>
            </w:pPr>
            <w:r>
              <w:rPr>
                <w:rFonts w:hint="eastAsia" w:ascii="宋体" w:hAnsi="宋体" w:eastAsia="宋体" w:cs="宋体"/>
                <w:kern w:val="0"/>
                <w:sz w:val="21"/>
                <w:szCs w:val="21"/>
                <w:vertAlign w:val="baseline"/>
                <w:lang w:val="en-US" w:eastAsia="zh-CN" w:bidi="ar-SA"/>
              </w:rPr>
              <w:t>——</w:t>
            </w:r>
          </w:p>
        </w:tc>
      </w:tr>
      <w:tr w14:paraId="064BF95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05" w:type="dxa"/>
            <w:tcBorders>
              <w:tl2br w:val="nil"/>
              <w:tr2bl w:val="nil"/>
            </w:tcBorders>
            <w:vAlign w:val="center"/>
          </w:tcPr>
          <w:p w14:paraId="546B3455">
            <w:pPr>
              <w:pStyle w:val="72"/>
              <w:jc w:val="center"/>
              <w:rPr>
                <w:rFonts w:hint="default" w:ascii="宋体" w:hAnsi="宋体" w:eastAsia="宋体" w:cs="宋体"/>
                <w:kern w:val="0"/>
                <w:sz w:val="21"/>
                <w:szCs w:val="21"/>
                <w:vertAlign w:val="baseline"/>
                <w:lang w:val="en-US" w:eastAsia="zh-CN" w:bidi="ar-SA"/>
              </w:rPr>
            </w:pPr>
            <w:r>
              <w:rPr>
                <w:rFonts w:hint="eastAsia" w:ascii="宋体" w:hAnsi="宋体" w:eastAsia="宋体" w:cs="宋体"/>
                <w:kern w:val="0"/>
                <w:sz w:val="21"/>
                <w:szCs w:val="21"/>
                <w:vertAlign w:val="baseline"/>
                <w:lang w:val="en-US" w:eastAsia="zh-CN" w:bidi="ar-SA"/>
              </w:rPr>
              <w:t>5</w:t>
            </w:r>
          </w:p>
        </w:tc>
        <w:tc>
          <w:tcPr>
            <w:tcW w:w="975" w:type="dxa"/>
            <w:tcBorders>
              <w:tl2br w:val="nil"/>
              <w:tr2bl w:val="nil"/>
            </w:tcBorders>
            <w:vAlign w:val="center"/>
          </w:tcPr>
          <w:p w14:paraId="0A243B84">
            <w:pPr>
              <w:pStyle w:val="72"/>
              <w:jc w:val="center"/>
              <w:rPr>
                <w:rFonts w:hint="eastAsia" w:ascii="宋体" w:hAnsi="宋体" w:eastAsia="宋体" w:cs="宋体"/>
                <w:kern w:val="0"/>
                <w:sz w:val="21"/>
                <w:szCs w:val="21"/>
                <w:vertAlign w:val="baseline"/>
                <w:lang w:val="en-US" w:eastAsia="zh-CN" w:bidi="ar-SA"/>
              </w:rPr>
            </w:pPr>
            <w:r>
              <w:rPr>
                <w:rFonts w:hint="eastAsia" w:ascii="宋体" w:hAnsi="宋体" w:eastAsia="宋体" w:cs="宋体"/>
                <w:kern w:val="0"/>
                <w:sz w:val="21"/>
                <w:szCs w:val="21"/>
                <w:vertAlign w:val="baseline"/>
                <w:lang w:val="en-US" w:eastAsia="zh-CN" w:bidi="ar-SA"/>
              </w:rPr>
              <w:t>锡块</w:t>
            </w:r>
          </w:p>
        </w:tc>
        <w:tc>
          <w:tcPr>
            <w:tcW w:w="4125" w:type="dxa"/>
            <w:tcBorders>
              <w:tl2br w:val="nil"/>
              <w:tr2bl w:val="nil"/>
            </w:tcBorders>
            <w:vAlign w:val="center"/>
          </w:tcPr>
          <w:p w14:paraId="0C249D8F">
            <w:pPr>
              <w:pStyle w:val="72"/>
              <w:jc w:val="center"/>
              <w:rPr>
                <w:rFonts w:hint="eastAsia" w:ascii="宋体" w:hAnsi="宋体" w:eastAsia="宋体" w:cs="宋体"/>
                <w:kern w:val="0"/>
                <w:sz w:val="21"/>
                <w:szCs w:val="21"/>
                <w:vertAlign w:val="baseline"/>
                <w:lang w:val="en-US" w:eastAsia="zh-CN" w:bidi="ar-SA"/>
              </w:rPr>
            </w:pPr>
            <w:r>
              <w:rPr>
                <w:rFonts w:hint="eastAsia" w:ascii="宋体" w:hAnsi="宋体" w:eastAsia="宋体" w:cs="宋体"/>
                <w:kern w:val="0"/>
                <w:sz w:val="21"/>
                <w:szCs w:val="21"/>
                <w:vertAlign w:val="baseline"/>
                <w:lang w:val="en-US" w:eastAsia="zh-CN" w:bidi="ar-SA"/>
              </w:rPr>
              <w:t>成分为金属锡，用作镀锡阳极。一般使用纯度为 99.9%以上的金属锡。</w:t>
            </w:r>
          </w:p>
        </w:tc>
        <w:tc>
          <w:tcPr>
            <w:tcW w:w="2917" w:type="dxa"/>
            <w:tcBorders>
              <w:tl2br w:val="nil"/>
              <w:tr2bl w:val="nil"/>
            </w:tcBorders>
            <w:vAlign w:val="center"/>
          </w:tcPr>
          <w:p w14:paraId="0B517E53">
            <w:pPr>
              <w:pStyle w:val="72"/>
              <w:jc w:val="center"/>
              <w:rPr>
                <w:rFonts w:hint="eastAsia" w:ascii="宋体" w:hAnsi="宋体" w:eastAsia="宋体" w:cs="宋体"/>
                <w:kern w:val="0"/>
                <w:sz w:val="21"/>
                <w:szCs w:val="21"/>
                <w:vertAlign w:val="baseline"/>
                <w:lang w:val="en-US" w:eastAsia="zh-CN" w:bidi="ar-SA"/>
              </w:rPr>
            </w:pPr>
            <w:r>
              <w:rPr>
                <w:rFonts w:hint="eastAsia" w:ascii="宋体" w:hAnsi="宋体" w:eastAsia="宋体" w:cs="宋体"/>
                <w:kern w:val="0"/>
                <w:sz w:val="21"/>
                <w:szCs w:val="21"/>
                <w:vertAlign w:val="baseline"/>
                <w:lang w:val="en-US" w:eastAsia="zh-CN" w:bidi="ar-SA"/>
              </w:rPr>
              <w:t>——</w:t>
            </w:r>
          </w:p>
        </w:tc>
      </w:tr>
    </w:tbl>
    <w:p w14:paraId="268194F6">
      <w:pPr>
        <w:pStyle w:val="72"/>
        <w:jc w:val="center"/>
        <w:rPr>
          <w:rFonts w:hint="default" w:ascii="黑体" w:hAnsi="黑体" w:eastAsia="黑体" w:cs="黑体"/>
          <w:kern w:val="0"/>
          <w:sz w:val="21"/>
          <w:szCs w:val="21"/>
          <w:lang w:val="en-US" w:eastAsia="zh-CN" w:bidi="ar-SA"/>
        </w:rPr>
      </w:pPr>
    </w:p>
    <w:p w14:paraId="5A7CB3B2">
      <w:pPr>
        <w:pStyle w:val="3"/>
        <w:pageBreakBefore w:val="0"/>
        <w:kinsoku/>
        <w:wordWrap/>
        <w:overflowPunct/>
        <w:topLinePunct w:val="0"/>
        <w:autoSpaceDE/>
        <w:autoSpaceDN/>
        <w:bidi w:val="0"/>
        <w:adjustRightInd/>
        <w:snapToGrid/>
        <w:spacing w:before="0" w:after="0" w:line="360" w:lineRule="auto"/>
        <w:textAlignment w:val="auto"/>
        <w:rPr>
          <w:rFonts w:hint="eastAsia"/>
          <w:lang w:eastAsia="zh-CN"/>
        </w:rPr>
      </w:pPr>
      <w:bookmarkStart w:id="339" w:name="_Toc5875"/>
      <w:r>
        <w:rPr>
          <w:rFonts w:hint="eastAsia"/>
          <w:lang w:val="en-US" w:eastAsia="zh-CN"/>
        </w:rPr>
        <w:t>4</w:t>
      </w:r>
      <w:r>
        <w:t>.</w:t>
      </w:r>
      <w:r>
        <w:rPr>
          <w:rFonts w:hint="eastAsia"/>
          <w:lang w:val="en-US" w:eastAsia="zh-CN"/>
        </w:rPr>
        <w:t>4</w:t>
      </w:r>
      <w:r>
        <w:rPr>
          <w:rFonts w:hint="eastAsia"/>
          <w:lang w:eastAsia="zh-CN"/>
        </w:rPr>
        <w:t>项目平面布置</w:t>
      </w:r>
      <w:bookmarkEnd w:id="339"/>
    </w:p>
    <w:p w14:paraId="6DE9FE2B">
      <w:pPr>
        <w:pageBreakBefore w:val="0"/>
        <w:kinsoku/>
        <w:wordWrap/>
        <w:overflowPunct/>
        <w:topLinePunct w:val="0"/>
        <w:autoSpaceDE/>
        <w:autoSpaceDN/>
        <w:bidi w:val="0"/>
        <w:adjustRightInd/>
        <w:snapToGrid/>
        <w:spacing w:line="360" w:lineRule="auto"/>
        <w:textAlignment w:val="auto"/>
        <w:rPr>
          <w:rFonts w:hint="eastAsia"/>
          <w:lang w:eastAsia="zh-CN"/>
        </w:rPr>
      </w:pPr>
      <w:r>
        <w:rPr>
          <w:rFonts w:hint="eastAsia"/>
          <w:lang w:eastAsia="zh-CN"/>
        </w:rPr>
        <w:t>本项目位于本溪市溪湖区东风街道办事处新合村，本溪佰汇铜业有限公司现有标准化厂房内，车间内主要设置生产区、物料贮存区、成品堆存区等，车间具体平面布局如下图所示。</w:t>
      </w:r>
    </w:p>
    <w:p w14:paraId="046F8B62">
      <w:pPr>
        <w:pStyle w:val="72"/>
        <w:rPr>
          <w:rFonts w:hint="eastAsia"/>
          <w:lang w:eastAsia="zh-CN"/>
        </w:rPr>
        <w:sectPr>
          <w:footerReference r:id="rId9" w:type="default"/>
          <w:pgSz w:w="11906" w:h="16838"/>
          <w:pgMar w:top="1440" w:right="1800" w:bottom="1440" w:left="1800" w:header="850" w:footer="964" w:gutter="0"/>
          <w:pgBorders>
            <w:top w:val="none" w:sz="0" w:space="0"/>
            <w:left w:val="none" w:sz="0" w:space="0"/>
            <w:bottom w:val="none" w:sz="0" w:space="0"/>
            <w:right w:val="none" w:sz="0" w:space="0"/>
          </w:pgBorders>
          <w:pgNumType w:fmt="decimal"/>
          <w:cols w:space="425" w:num="1"/>
          <w:docGrid w:linePitch="326" w:charSpace="0"/>
        </w:sectPr>
      </w:pPr>
    </w:p>
    <w:p w14:paraId="089105A2">
      <w:pPr>
        <w:pStyle w:val="72"/>
        <w:jc w:val="center"/>
        <w:rPr>
          <w:rFonts w:hint="eastAsia"/>
          <w:lang w:eastAsia="zh-CN"/>
        </w:rPr>
      </w:pPr>
      <w:r>
        <w:rPr>
          <w:rFonts w:hint="eastAsia"/>
          <w:lang w:eastAsia="zh-CN"/>
        </w:rPr>
        <w:drawing>
          <wp:inline distT="0" distB="0" distL="114300" distR="114300">
            <wp:extent cx="8860155" cy="4982210"/>
            <wp:effectExtent l="0" t="0" r="17145" b="8890"/>
            <wp:docPr id="52" name="图片 52" descr="截图20200522104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descr="截图20200522104921"/>
                    <pic:cNvPicPr>
                      <a:picLocks noChangeAspect="1"/>
                    </pic:cNvPicPr>
                  </pic:nvPicPr>
                  <pic:blipFill>
                    <a:blip r:embed="rId21"/>
                    <a:stretch>
                      <a:fillRect/>
                    </a:stretch>
                  </pic:blipFill>
                  <pic:spPr>
                    <a:xfrm>
                      <a:off x="0" y="0"/>
                      <a:ext cx="8860155" cy="4982210"/>
                    </a:xfrm>
                    <a:prstGeom prst="rect">
                      <a:avLst/>
                    </a:prstGeom>
                  </pic:spPr>
                </pic:pic>
              </a:graphicData>
            </a:graphic>
          </wp:inline>
        </w:drawing>
      </w:r>
    </w:p>
    <w:p w14:paraId="2DCF043A">
      <w:pPr>
        <w:pStyle w:val="72"/>
        <w:jc w:val="center"/>
        <w:rPr>
          <w:rFonts w:hint="eastAsia" w:ascii="黑体" w:hAnsi="黑体" w:eastAsia="黑体" w:cs="黑体"/>
          <w:sz w:val="21"/>
          <w:szCs w:val="21"/>
          <w:lang w:val="en-US" w:eastAsia="zh-CN"/>
        </w:rPr>
        <w:sectPr>
          <w:pgSz w:w="16838" w:h="11906" w:orient="landscape"/>
          <w:pgMar w:top="1800" w:right="1440" w:bottom="1800" w:left="1440" w:header="850" w:footer="964" w:gutter="0"/>
          <w:pgBorders>
            <w:top w:val="none" w:sz="0" w:space="0"/>
            <w:left w:val="none" w:sz="0" w:space="0"/>
            <w:bottom w:val="none" w:sz="0" w:space="0"/>
            <w:right w:val="none" w:sz="0" w:space="0"/>
          </w:pgBorders>
          <w:pgNumType w:fmt="decimal"/>
          <w:cols w:space="425" w:num="1"/>
          <w:docGrid w:linePitch="326" w:charSpace="0"/>
        </w:sectPr>
      </w:pPr>
      <w:r>
        <w:rPr>
          <w:rFonts w:hint="eastAsia" w:ascii="黑体" w:hAnsi="黑体" w:eastAsia="黑体" w:cs="黑体"/>
          <w:sz w:val="21"/>
          <w:szCs w:val="21"/>
          <w:lang w:eastAsia="zh-CN"/>
        </w:rPr>
        <w:t>图</w:t>
      </w:r>
      <w:r>
        <w:rPr>
          <w:rFonts w:hint="eastAsia" w:ascii="黑体" w:hAnsi="黑体" w:eastAsia="黑体" w:cs="黑体"/>
          <w:sz w:val="21"/>
          <w:szCs w:val="21"/>
          <w:lang w:val="en-US" w:eastAsia="zh-CN"/>
        </w:rPr>
        <w:t>4-1厂区平面布置图</w:t>
      </w:r>
    </w:p>
    <w:p w14:paraId="7CF21A3A">
      <w:pPr>
        <w:pStyle w:val="3"/>
        <w:pageBreakBefore w:val="0"/>
        <w:kinsoku/>
        <w:wordWrap/>
        <w:overflowPunct/>
        <w:topLinePunct w:val="0"/>
        <w:autoSpaceDE/>
        <w:autoSpaceDN/>
        <w:bidi w:val="0"/>
        <w:adjustRightInd/>
        <w:snapToGrid/>
        <w:spacing w:before="0" w:after="0" w:line="360" w:lineRule="auto"/>
        <w:textAlignment w:val="auto"/>
      </w:pPr>
      <w:bookmarkStart w:id="340" w:name="_Toc21808"/>
      <w:r>
        <w:rPr>
          <w:rFonts w:hint="eastAsia"/>
          <w:lang w:val="en-US" w:eastAsia="zh-CN"/>
        </w:rPr>
        <w:t>4</w:t>
      </w:r>
      <w:r>
        <w:t>.</w:t>
      </w:r>
      <w:r>
        <w:rPr>
          <w:rFonts w:hint="eastAsia"/>
          <w:lang w:val="en-US" w:eastAsia="zh-CN"/>
        </w:rPr>
        <w:t>5</w:t>
      </w:r>
      <w:r>
        <w:t>公用工程</w:t>
      </w:r>
      <w:bookmarkEnd w:id="340"/>
    </w:p>
    <w:p w14:paraId="020F24FA">
      <w:pPr>
        <w:pStyle w:val="5"/>
        <w:pageBreakBefore w:val="0"/>
        <w:kinsoku/>
        <w:wordWrap/>
        <w:overflowPunct/>
        <w:topLinePunct w:val="0"/>
        <w:autoSpaceDE/>
        <w:autoSpaceDN/>
        <w:bidi w:val="0"/>
        <w:adjustRightInd/>
        <w:snapToGrid/>
        <w:spacing w:before="0" w:after="0" w:line="360" w:lineRule="auto"/>
        <w:textAlignment w:val="auto"/>
      </w:pPr>
      <w:r>
        <w:rPr>
          <w:rFonts w:hint="eastAsia"/>
          <w:lang w:val="en-US" w:eastAsia="zh-CN"/>
        </w:rPr>
        <w:t>4</w:t>
      </w:r>
      <w:r>
        <w:t>.</w:t>
      </w:r>
      <w:r>
        <w:rPr>
          <w:rFonts w:hint="eastAsia"/>
          <w:lang w:val="en-US" w:eastAsia="zh-CN"/>
        </w:rPr>
        <w:t>5</w:t>
      </w:r>
      <w:r>
        <w:t>.1给水</w:t>
      </w:r>
    </w:p>
    <w:p w14:paraId="0DFE4E73">
      <w:pPr>
        <w:pageBreakBefore w:val="0"/>
        <w:kinsoku/>
        <w:wordWrap/>
        <w:overflowPunct/>
        <w:topLinePunct w:val="0"/>
        <w:autoSpaceDE/>
        <w:autoSpaceDN/>
        <w:bidi w:val="0"/>
        <w:adjustRightInd/>
        <w:snapToGrid/>
        <w:spacing w:line="360" w:lineRule="auto"/>
        <w:textAlignment w:val="auto"/>
        <w:rPr>
          <w:rFonts w:hint="default"/>
          <w:lang w:val="en-US"/>
        </w:rPr>
      </w:pPr>
      <w:r>
        <w:rPr>
          <w:rFonts w:hint="eastAsia"/>
          <w:lang w:eastAsia="zh-CN"/>
        </w:rPr>
        <w:t>本项目位于本溪市溪湖区东风街道办事处新合村，本溪佰汇铜业有限公司现有标准化厂房内，本项目用水主要为生活用水和生产用水，用水来自市政给排水管道。</w:t>
      </w:r>
    </w:p>
    <w:p w14:paraId="7366E050">
      <w:pPr>
        <w:pStyle w:val="5"/>
        <w:pageBreakBefore w:val="0"/>
        <w:kinsoku/>
        <w:wordWrap/>
        <w:overflowPunct/>
        <w:topLinePunct w:val="0"/>
        <w:autoSpaceDE/>
        <w:autoSpaceDN/>
        <w:bidi w:val="0"/>
        <w:adjustRightInd/>
        <w:snapToGrid/>
        <w:spacing w:before="0" w:after="0" w:line="360" w:lineRule="auto"/>
        <w:textAlignment w:val="auto"/>
        <w:rPr>
          <w:color w:val="auto"/>
        </w:rPr>
      </w:pPr>
      <w:r>
        <w:rPr>
          <w:rFonts w:hint="eastAsia"/>
          <w:color w:val="auto"/>
          <w:lang w:val="en-US" w:eastAsia="zh-CN"/>
        </w:rPr>
        <w:t>4</w:t>
      </w:r>
      <w:r>
        <w:rPr>
          <w:color w:val="auto"/>
        </w:rPr>
        <w:t>.</w:t>
      </w:r>
      <w:r>
        <w:rPr>
          <w:rFonts w:hint="eastAsia"/>
          <w:color w:val="auto"/>
          <w:lang w:val="en-US" w:eastAsia="zh-CN"/>
        </w:rPr>
        <w:t>5</w:t>
      </w:r>
      <w:r>
        <w:rPr>
          <w:color w:val="auto"/>
        </w:rPr>
        <w:t>.2排水</w:t>
      </w:r>
    </w:p>
    <w:p w14:paraId="126200E6">
      <w:pPr>
        <w:pStyle w:val="266"/>
        <w:pageBreakBefore w:val="0"/>
        <w:kinsoku/>
        <w:wordWrap/>
        <w:overflowPunct/>
        <w:topLinePunct w:val="0"/>
        <w:autoSpaceDE/>
        <w:autoSpaceDN/>
        <w:bidi w:val="0"/>
        <w:adjustRightInd/>
        <w:snapToGrid/>
        <w:spacing w:beforeLines="0" w:line="360" w:lineRule="auto"/>
        <w:ind w:left="0" w:firstLine="480" w:firstLineChars="200"/>
        <w:textAlignment w:val="auto"/>
        <w:rPr>
          <w:rFonts w:hint="eastAsia" w:eastAsia="宋体"/>
          <w:lang w:eastAsia="zh-CN"/>
        </w:rPr>
      </w:pPr>
      <w:r>
        <w:rPr>
          <w:rFonts w:hint="eastAsia"/>
          <w:lang w:eastAsia="zh-CN"/>
        </w:rPr>
        <w:t>项目所在本溪佰汇铜业有限公司厂区采取“雨污分流”，雨水经雨水管网排放</w:t>
      </w:r>
      <w:r>
        <w:t>。</w:t>
      </w:r>
      <w:r>
        <w:rPr>
          <w:rFonts w:hint="eastAsia"/>
          <w:lang w:eastAsia="zh-CN"/>
        </w:rPr>
        <w:t>生产废水经处理后循环使用不外排，生活污水依托厂区现有化粪池，经化粪池处理后用于农肥，不外排。</w:t>
      </w:r>
    </w:p>
    <w:p w14:paraId="21127294">
      <w:pPr>
        <w:pStyle w:val="5"/>
        <w:pageBreakBefore w:val="0"/>
        <w:kinsoku/>
        <w:wordWrap/>
        <w:overflowPunct/>
        <w:topLinePunct w:val="0"/>
        <w:autoSpaceDE/>
        <w:autoSpaceDN/>
        <w:bidi w:val="0"/>
        <w:adjustRightInd/>
        <w:snapToGrid/>
        <w:spacing w:before="0" w:after="0" w:line="360" w:lineRule="auto"/>
        <w:textAlignment w:val="auto"/>
        <w:rPr>
          <w:color w:val="auto"/>
        </w:rPr>
      </w:pPr>
      <w:r>
        <w:rPr>
          <w:rFonts w:hint="eastAsia"/>
          <w:color w:val="auto"/>
          <w:lang w:val="en-US" w:eastAsia="zh-CN"/>
        </w:rPr>
        <w:t>4</w:t>
      </w:r>
      <w:r>
        <w:rPr>
          <w:color w:val="auto"/>
        </w:rPr>
        <w:t>.</w:t>
      </w:r>
      <w:r>
        <w:rPr>
          <w:rFonts w:hint="eastAsia"/>
          <w:color w:val="auto"/>
          <w:lang w:val="en-US" w:eastAsia="zh-CN"/>
        </w:rPr>
        <w:t>5</w:t>
      </w:r>
      <w:r>
        <w:rPr>
          <w:color w:val="auto"/>
        </w:rPr>
        <w:t>.3供电</w:t>
      </w:r>
      <w:r>
        <w:rPr>
          <w:rFonts w:hint="eastAsia"/>
          <w:color w:val="auto"/>
          <w:lang w:eastAsia="zh-CN"/>
        </w:rPr>
        <w:t>和供热</w:t>
      </w:r>
    </w:p>
    <w:p w14:paraId="2FE65F94">
      <w:pPr>
        <w:pStyle w:val="266"/>
        <w:pageBreakBefore w:val="0"/>
        <w:kinsoku/>
        <w:wordWrap/>
        <w:overflowPunct/>
        <w:topLinePunct w:val="0"/>
        <w:autoSpaceDE/>
        <w:autoSpaceDN/>
        <w:bidi w:val="0"/>
        <w:adjustRightInd/>
        <w:snapToGrid/>
        <w:spacing w:beforeLines="0" w:line="360" w:lineRule="auto"/>
        <w:ind w:left="0" w:firstLine="480" w:firstLineChars="200"/>
        <w:textAlignment w:val="auto"/>
      </w:pPr>
      <w:r>
        <w:rPr>
          <w:rFonts w:hint="eastAsia"/>
          <w:lang w:eastAsia="zh-CN"/>
        </w:rPr>
        <w:t>电力由项目所在区域电网提供，生产中供热采用电加热方式</w:t>
      </w:r>
      <w:r>
        <w:t>。</w:t>
      </w:r>
    </w:p>
    <w:p w14:paraId="4D67F014">
      <w:pPr>
        <w:pStyle w:val="5"/>
        <w:pageBreakBefore w:val="0"/>
        <w:kinsoku/>
        <w:wordWrap/>
        <w:overflowPunct/>
        <w:topLinePunct w:val="0"/>
        <w:autoSpaceDE/>
        <w:autoSpaceDN/>
        <w:bidi w:val="0"/>
        <w:adjustRightInd/>
        <w:snapToGrid/>
        <w:spacing w:before="0" w:after="0" w:line="360" w:lineRule="auto"/>
        <w:textAlignment w:val="auto"/>
        <w:rPr>
          <w:rFonts w:hint="eastAsia"/>
          <w:lang w:val="en-US" w:eastAsia="zh-CN"/>
        </w:rPr>
      </w:pPr>
      <w:r>
        <w:rPr>
          <w:rFonts w:hint="eastAsia"/>
          <w:lang w:val="en-US" w:eastAsia="zh-CN"/>
        </w:rPr>
        <w:t>4.5.4储运</w:t>
      </w:r>
    </w:p>
    <w:p w14:paraId="0A5F279A">
      <w:pPr>
        <w:pStyle w:val="266"/>
        <w:pageBreakBefore w:val="0"/>
        <w:kinsoku/>
        <w:wordWrap/>
        <w:overflowPunct/>
        <w:topLinePunct w:val="0"/>
        <w:autoSpaceDE/>
        <w:autoSpaceDN/>
        <w:bidi w:val="0"/>
        <w:adjustRightInd/>
        <w:snapToGrid/>
        <w:spacing w:beforeLines="0" w:line="360" w:lineRule="auto"/>
        <w:ind w:left="0" w:firstLine="480" w:firstLineChars="200"/>
        <w:textAlignment w:val="auto"/>
        <w:rPr>
          <w:rFonts w:hint="default"/>
          <w:lang w:val="en-US" w:eastAsia="zh-CN"/>
        </w:rPr>
      </w:pPr>
      <w:r>
        <w:rPr>
          <w:rFonts w:hint="default"/>
          <w:lang w:val="en-US" w:eastAsia="zh-CN"/>
        </w:rPr>
        <w:t>本项目实施后，厂外运输中，原材料及配套件等由供应商送至，成品则自备运输设备。项目车间内设置原料存放处、成品存放处、化学品暂放处和危险废物暂时存放处。危险废物收集后贮存于车间危险废物暂时存放处，定期交</w:t>
      </w:r>
      <w:r>
        <w:rPr>
          <w:rFonts w:hint="eastAsia"/>
          <w:lang w:val="en-US" w:eastAsia="zh-CN"/>
        </w:rPr>
        <w:t>资质单位</w:t>
      </w:r>
      <w:r>
        <w:rPr>
          <w:rFonts w:hint="default"/>
          <w:lang w:val="en-US" w:eastAsia="zh-CN"/>
        </w:rPr>
        <w:t>处置。</w:t>
      </w:r>
    </w:p>
    <w:p w14:paraId="158B2BEA">
      <w:pPr>
        <w:pStyle w:val="3"/>
        <w:pageBreakBefore w:val="0"/>
        <w:kinsoku/>
        <w:wordWrap/>
        <w:overflowPunct/>
        <w:topLinePunct w:val="0"/>
        <w:autoSpaceDE/>
        <w:autoSpaceDN/>
        <w:bidi w:val="0"/>
        <w:adjustRightInd/>
        <w:snapToGrid/>
        <w:spacing w:before="0" w:after="0" w:line="360" w:lineRule="auto"/>
        <w:textAlignment w:val="auto"/>
        <w:rPr>
          <w:color w:val="auto"/>
        </w:rPr>
      </w:pPr>
      <w:bookmarkStart w:id="341" w:name="_Toc26254"/>
      <w:r>
        <w:rPr>
          <w:rFonts w:hint="eastAsia"/>
          <w:color w:val="auto"/>
          <w:lang w:val="en-US" w:eastAsia="zh-CN"/>
        </w:rPr>
        <w:t>4</w:t>
      </w:r>
      <w:r>
        <w:rPr>
          <w:color w:val="auto"/>
        </w:rPr>
        <w:t>.</w:t>
      </w:r>
      <w:r>
        <w:rPr>
          <w:rFonts w:hint="eastAsia"/>
          <w:color w:val="auto"/>
          <w:lang w:val="en-US" w:eastAsia="zh-CN"/>
        </w:rPr>
        <w:t>6</w:t>
      </w:r>
      <w:r>
        <w:rPr>
          <w:color w:val="auto"/>
        </w:rPr>
        <w:t>工作制度</w:t>
      </w:r>
      <w:bookmarkEnd w:id="341"/>
    </w:p>
    <w:p w14:paraId="108D9378">
      <w:pPr>
        <w:pageBreakBefore w:val="0"/>
        <w:kinsoku/>
        <w:wordWrap/>
        <w:overflowPunct/>
        <w:topLinePunct w:val="0"/>
        <w:autoSpaceDE/>
        <w:autoSpaceDN/>
        <w:bidi w:val="0"/>
        <w:adjustRightInd/>
        <w:snapToGrid/>
        <w:spacing w:line="360" w:lineRule="auto"/>
        <w:ind w:firstLine="480" w:firstLineChars="200"/>
        <w:textAlignment w:val="auto"/>
      </w:pPr>
      <w:r>
        <w:t>本项目年工作日为3</w:t>
      </w:r>
      <w:r>
        <w:rPr>
          <w:rFonts w:hint="eastAsia"/>
          <w:lang w:val="en-US" w:eastAsia="zh-CN"/>
        </w:rPr>
        <w:t>00</w:t>
      </w:r>
      <w:r>
        <w:t>天，主要生产岗位实行“</w:t>
      </w:r>
      <w:r>
        <w:rPr>
          <w:rFonts w:hint="eastAsia"/>
          <w:lang w:eastAsia="zh-CN"/>
        </w:rPr>
        <w:t>一班制</w:t>
      </w:r>
      <w:r>
        <w:t>”，每班</w:t>
      </w:r>
      <w:r>
        <w:rPr>
          <w:rFonts w:hint="eastAsia"/>
          <w:lang w:val="en-US" w:eastAsia="zh-CN"/>
        </w:rPr>
        <w:t>8</w:t>
      </w:r>
      <w:r>
        <w:t>小时。</w:t>
      </w:r>
    </w:p>
    <w:p w14:paraId="243C5E73">
      <w:pPr>
        <w:pageBreakBefore w:val="0"/>
        <w:kinsoku/>
        <w:wordWrap/>
        <w:overflowPunct/>
        <w:topLinePunct w:val="0"/>
        <w:autoSpaceDE/>
        <w:autoSpaceDN/>
        <w:bidi w:val="0"/>
        <w:adjustRightInd/>
        <w:snapToGrid/>
        <w:spacing w:line="360" w:lineRule="auto"/>
        <w:ind w:firstLine="480" w:firstLineChars="200"/>
        <w:textAlignment w:val="auto"/>
      </w:pPr>
      <w:r>
        <w:t>项目建成投入运行后，定员1</w:t>
      </w:r>
      <w:r>
        <w:rPr>
          <w:rFonts w:hint="eastAsia"/>
          <w:lang w:val="en-US" w:eastAsia="zh-CN"/>
        </w:rPr>
        <w:t>0</w:t>
      </w:r>
      <w:r>
        <w:t>人。</w:t>
      </w:r>
    </w:p>
    <w:p w14:paraId="59EA2E55">
      <w:pPr>
        <w:spacing w:line="480" w:lineRule="exact"/>
      </w:pPr>
    </w:p>
    <w:p w14:paraId="689094F6">
      <w:pPr>
        <w:pStyle w:val="2"/>
        <w:widowControl/>
        <w:kinsoku/>
        <w:wordWrap/>
        <w:overflowPunct/>
        <w:topLinePunct w:val="0"/>
        <w:autoSpaceDE/>
        <w:autoSpaceDN/>
        <w:bidi w:val="0"/>
        <w:adjustRightInd/>
        <w:snapToGrid/>
        <w:spacing w:before="0" w:after="0"/>
        <w:textAlignment w:val="auto"/>
        <w:rPr>
          <w:rFonts w:ascii="Times New Roman" w:hAnsi="Times New Roman" w:cs="Times New Roman"/>
        </w:rPr>
      </w:pPr>
      <w:bookmarkStart w:id="342" w:name="_Toc9120"/>
      <w:r>
        <w:rPr>
          <w:rFonts w:hint="eastAsia" w:ascii="Times New Roman" w:hAnsi="Times New Roman" w:cs="Times New Roman"/>
          <w:color w:val="auto"/>
          <w:lang w:val="en-US" w:eastAsia="zh-CN"/>
        </w:rPr>
        <w:t>5</w:t>
      </w:r>
      <w:r>
        <w:rPr>
          <w:rFonts w:ascii="Times New Roman" w:hAnsi="Times New Roman" w:cs="Times New Roman"/>
          <w:color w:val="auto"/>
        </w:rPr>
        <w:t>工程分析</w:t>
      </w:r>
      <w:bookmarkEnd w:id="342"/>
    </w:p>
    <w:p w14:paraId="0F70B694">
      <w:pPr>
        <w:pStyle w:val="3"/>
        <w:widowControl/>
        <w:kinsoku/>
        <w:wordWrap/>
        <w:overflowPunct/>
        <w:topLinePunct w:val="0"/>
        <w:autoSpaceDE/>
        <w:autoSpaceDN/>
        <w:bidi w:val="0"/>
        <w:adjustRightInd/>
        <w:snapToGrid/>
        <w:spacing w:before="0" w:after="0"/>
        <w:textAlignment w:val="auto"/>
        <w:rPr>
          <w:color w:val="auto"/>
        </w:rPr>
      </w:pPr>
      <w:bookmarkStart w:id="343" w:name="_Toc22678"/>
      <w:r>
        <w:rPr>
          <w:rFonts w:hint="eastAsia"/>
          <w:color w:val="auto"/>
          <w:lang w:val="en-US" w:eastAsia="zh-CN"/>
        </w:rPr>
        <w:t>5</w:t>
      </w:r>
      <w:r>
        <w:rPr>
          <w:color w:val="auto"/>
        </w:rPr>
        <w:t>.1施工期工程分析</w:t>
      </w:r>
      <w:bookmarkEnd w:id="343"/>
    </w:p>
    <w:p w14:paraId="43C09326">
      <w:pPr>
        <w:pStyle w:val="5"/>
        <w:widowControl/>
        <w:kinsoku/>
        <w:wordWrap/>
        <w:overflowPunct/>
        <w:topLinePunct w:val="0"/>
        <w:autoSpaceDE/>
        <w:autoSpaceDN/>
        <w:bidi w:val="0"/>
        <w:adjustRightInd/>
        <w:snapToGrid/>
        <w:spacing w:before="0" w:after="0"/>
        <w:textAlignment w:val="auto"/>
        <w:rPr>
          <w:color w:val="auto"/>
        </w:rPr>
      </w:pPr>
      <w:r>
        <w:rPr>
          <w:rFonts w:hint="eastAsia"/>
          <w:color w:val="auto"/>
          <w:lang w:val="en-US" w:eastAsia="zh-CN"/>
        </w:rPr>
        <w:t>5</w:t>
      </w:r>
      <w:r>
        <w:rPr>
          <w:color w:val="auto"/>
        </w:rPr>
        <w:t>.1.1施工期工艺流程</w:t>
      </w:r>
    </w:p>
    <w:p w14:paraId="5283FA45">
      <w:pPr>
        <w:rPr>
          <w:rFonts w:hint="eastAsia"/>
          <w:lang w:eastAsia="zh-CN"/>
        </w:rPr>
      </w:pPr>
      <w:r>
        <w:rPr>
          <w:rFonts w:hint="eastAsia"/>
          <w:lang w:eastAsia="zh-CN"/>
        </w:rPr>
        <w:t>本项目利用本溪佰汇铜业有限公司厂区内现有标准化厂房，施工过程主要为设备安装，具体工艺流程如下图所示。</w:t>
      </w:r>
    </w:p>
    <w:p w14:paraId="43521FA2">
      <w:pPr>
        <w:pStyle w:val="72"/>
        <w:jc w:val="center"/>
        <w:rPr>
          <w:rFonts w:hint="eastAsia"/>
          <w:lang w:eastAsia="zh-CN"/>
        </w:rPr>
      </w:pPr>
      <w:r>
        <w:rPr>
          <w:rFonts w:hint="eastAsia"/>
          <w:lang w:eastAsia="zh-CN"/>
        </w:rPr>
        <w:drawing>
          <wp:inline distT="0" distB="0" distL="114300" distR="114300">
            <wp:extent cx="3562350" cy="2105025"/>
            <wp:effectExtent l="0" t="0" r="0" b="9525"/>
            <wp:docPr id="18" name="图片 18" descr="截图20200407163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截图20200407163403"/>
                    <pic:cNvPicPr>
                      <a:picLocks noChangeAspect="1"/>
                    </pic:cNvPicPr>
                  </pic:nvPicPr>
                  <pic:blipFill>
                    <a:blip r:embed="rId22"/>
                    <a:stretch>
                      <a:fillRect/>
                    </a:stretch>
                  </pic:blipFill>
                  <pic:spPr>
                    <a:xfrm>
                      <a:off x="0" y="0"/>
                      <a:ext cx="3562350" cy="2105025"/>
                    </a:xfrm>
                    <a:prstGeom prst="rect">
                      <a:avLst/>
                    </a:prstGeom>
                  </pic:spPr>
                </pic:pic>
              </a:graphicData>
            </a:graphic>
          </wp:inline>
        </w:drawing>
      </w:r>
    </w:p>
    <w:p w14:paraId="03D6C6F8">
      <w:pPr>
        <w:pStyle w:val="72"/>
        <w:jc w:val="center"/>
        <w:rPr>
          <w:rFonts w:hint="eastAsia" w:ascii="黑体" w:hAnsi="黑体" w:eastAsia="黑体" w:cs="黑体"/>
          <w:sz w:val="21"/>
          <w:szCs w:val="21"/>
          <w:lang w:val="en-US" w:eastAsia="zh-CN"/>
        </w:rPr>
      </w:pPr>
      <w:r>
        <w:rPr>
          <w:rFonts w:hint="eastAsia" w:ascii="黑体" w:hAnsi="黑体" w:eastAsia="黑体" w:cs="黑体"/>
          <w:sz w:val="21"/>
          <w:szCs w:val="21"/>
          <w:lang w:eastAsia="zh-CN"/>
        </w:rPr>
        <w:t>图</w:t>
      </w:r>
      <w:r>
        <w:rPr>
          <w:rFonts w:hint="eastAsia" w:ascii="黑体" w:hAnsi="黑体" w:eastAsia="黑体" w:cs="黑体"/>
          <w:sz w:val="21"/>
          <w:szCs w:val="21"/>
          <w:lang w:val="en-US" w:eastAsia="zh-CN"/>
        </w:rPr>
        <w:t>5-1施工期工艺流程图</w:t>
      </w:r>
    </w:p>
    <w:p w14:paraId="5C2F3FBD">
      <w:pPr>
        <w:pStyle w:val="5"/>
        <w:pageBreakBefore w:val="0"/>
        <w:kinsoku/>
        <w:wordWrap/>
        <w:overflowPunct/>
        <w:topLinePunct w:val="0"/>
        <w:autoSpaceDE/>
        <w:autoSpaceDN/>
        <w:bidi w:val="0"/>
        <w:spacing w:before="0" w:beforeAutospacing="0" w:after="0" w:line="360" w:lineRule="auto"/>
        <w:textAlignment w:val="auto"/>
        <w:rPr>
          <w:color w:val="auto"/>
        </w:rPr>
      </w:pPr>
      <w:r>
        <w:rPr>
          <w:rFonts w:hint="eastAsia"/>
          <w:color w:val="auto"/>
          <w:lang w:val="en-US" w:eastAsia="zh-CN"/>
        </w:rPr>
        <w:t>5</w:t>
      </w:r>
      <w:r>
        <w:rPr>
          <w:color w:val="auto"/>
        </w:rPr>
        <w:t>.1.2施工期主要污染工序</w:t>
      </w:r>
    </w:p>
    <w:p w14:paraId="2665D0D8">
      <w:pPr>
        <w:pageBreakBefore w:val="0"/>
        <w:kinsoku/>
        <w:wordWrap/>
        <w:overflowPunct/>
        <w:topLinePunct w:val="0"/>
        <w:autoSpaceDE/>
        <w:autoSpaceDN/>
        <w:bidi w:val="0"/>
        <w:spacing w:beforeAutospacing="0" w:line="360" w:lineRule="auto"/>
        <w:ind w:firstLine="480" w:firstLineChars="200"/>
        <w:textAlignment w:val="auto"/>
      </w:pPr>
      <w:r>
        <w:t>本项目施工期间，施工机械设备运转以及施工人员的活动会对周围的水、噪声、大气等环境造成暂时性的影响，但这种影响会随着施工的结束而终止。</w:t>
      </w:r>
    </w:p>
    <w:p w14:paraId="358F031A">
      <w:pPr>
        <w:pStyle w:val="6"/>
        <w:bidi w:val="0"/>
      </w:pPr>
      <w:r>
        <w:rPr>
          <w:rFonts w:hint="eastAsia"/>
          <w:lang w:val="en-US" w:eastAsia="zh-CN"/>
        </w:rPr>
        <w:t>5</w:t>
      </w:r>
      <w:r>
        <w:t>.1.2.1废气</w:t>
      </w:r>
    </w:p>
    <w:p w14:paraId="659119A0">
      <w:pPr>
        <w:pageBreakBefore w:val="0"/>
        <w:kinsoku/>
        <w:wordWrap/>
        <w:overflowPunct/>
        <w:topLinePunct w:val="0"/>
        <w:autoSpaceDE/>
        <w:autoSpaceDN/>
        <w:bidi w:val="0"/>
        <w:spacing w:beforeAutospacing="0" w:line="360" w:lineRule="auto"/>
        <w:ind w:firstLine="480" w:firstLineChars="200"/>
        <w:textAlignment w:val="auto"/>
      </w:pPr>
      <w:r>
        <w:t>施工期空气污染源主要有两种，即扬尘源和机动车尾气污染源。</w:t>
      </w:r>
    </w:p>
    <w:p w14:paraId="01666566">
      <w:pPr>
        <w:pageBreakBefore w:val="0"/>
        <w:kinsoku/>
        <w:wordWrap/>
        <w:overflowPunct/>
        <w:topLinePunct w:val="0"/>
        <w:autoSpaceDE/>
        <w:autoSpaceDN/>
        <w:bidi w:val="0"/>
        <w:spacing w:beforeAutospacing="0" w:line="360" w:lineRule="auto"/>
        <w:ind w:firstLine="570"/>
        <w:textAlignment w:val="auto"/>
      </w:pPr>
      <w:r>
        <w:rPr>
          <w:rFonts w:hint="eastAsia"/>
          <w:lang w:eastAsia="zh-CN"/>
        </w:rPr>
        <w:t>（</w:t>
      </w:r>
      <w:r>
        <w:rPr>
          <w:rFonts w:hint="eastAsia"/>
          <w:lang w:val="en-US" w:eastAsia="zh-CN"/>
        </w:rPr>
        <w:t>1</w:t>
      </w:r>
      <w:r>
        <w:rPr>
          <w:rFonts w:hint="eastAsia"/>
          <w:lang w:eastAsia="zh-CN"/>
        </w:rPr>
        <w:t>）</w:t>
      </w:r>
      <w:r>
        <w:t>扬尘</w:t>
      </w:r>
    </w:p>
    <w:p w14:paraId="2A4B9524">
      <w:pPr>
        <w:pageBreakBefore w:val="0"/>
        <w:kinsoku/>
        <w:wordWrap/>
        <w:overflowPunct/>
        <w:topLinePunct w:val="0"/>
        <w:autoSpaceDE/>
        <w:autoSpaceDN/>
        <w:bidi w:val="0"/>
        <w:adjustRightInd w:val="0"/>
        <w:snapToGrid w:val="0"/>
        <w:spacing w:beforeAutospacing="0" w:line="360" w:lineRule="auto"/>
        <w:ind w:firstLine="480" w:firstLineChars="200"/>
        <w:textAlignment w:val="auto"/>
        <w:rPr>
          <w:kern w:val="0"/>
        </w:rPr>
      </w:pPr>
      <w:r>
        <w:rPr>
          <w:kern w:val="0"/>
        </w:rPr>
        <w:t>施工期场地内扬尘主要由以下因素产生：干燥有风天气，运输车辆在施工场地内的道路和裸露施工面行使。</w:t>
      </w:r>
    </w:p>
    <w:p w14:paraId="08C769A2">
      <w:pPr>
        <w:pageBreakBefore w:val="0"/>
        <w:kinsoku/>
        <w:wordWrap/>
        <w:overflowPunct/>
        <w:topLinePunct w:val="0"/>
        <w:autoSpaceDE/>
        <w:autoSpaceDN/>
        <w:bidi w:val="0"/>
        <w:spacing w:beforeAutospacing="0" w:line="360" w:lineRule="auto"/>
        <w:ind w:firstLine="480" w:firstLineChars="200"/>
        <w:textAlignment w:val="auto"/>
      </w:pPr>
      <w:r>
        <w:rPr>
          <w:rFonts w:hint="eastAsia"/>
          <w:lang w:eastAsia="zh-CN"/>
        </w:rPr>
        <w:t>（</w:t>
      </w:r>
      <w:r>
        <w:rPr>
          <w:rFonts w:hint="eastAsia"/>
          <w:lang w:val="en-US" w:eastAsia="zh-CN"/>
        </w:rPr>
        <w:t>2</w:t>
      </w:r>
      <w:r>
        <w:rPr>
          <w:rFonts w:hint="eastAsia"/>
          <w:lang w:eastAsia="zh-CN"/>
        </w:rPr>
        <w:t>）</w:t>
      </w:r>
      <w:r>
        <w:t>汽车尾气</w:t>
      </w:r>
    </w:p>
    <w:p w14:paraId="29543972">
      <w:pPr>
        <w:pageBreakBefore w:val="0"/>
        <w:kinsoku/>
        <w:wordWrap/>
        <w:overflowPunct/>
        <w:topLinePunct w:val="0"/>
        <w:autoSpaceDE/>
        <w:autoSpaceDN/>
        <w:bidi w:val="0"/>
        <w:spacing w:beforeAutospacing="0" w:line="360" w:lineRule="auto"/>
        <w:ind w:firstLine="480" w:firstLineChars="200"/>
        <w:textAlignment w:val="auto"/>
      </w:pPr>
      <w:r>
        <w:rPr>
          <w:kern w:val="0"/>
        </w:rPr>
        <w:t>机动车尾气污染源主要有施工机械和运输车辆等，主要污染物是NOx、CO、HC等。建设项目施工中主要使用燃柴油施工机械、重型运输汽车。类比同类企业，预测本项目日耗柴油量为30kg，汽车尾气主要污染物排放负荷预测结果见下表。</w:t>
      </w:r>
    </w:p>
    <w:p w14:paraId="60778CF3">
      <w:pPr>
        <w:spacing w:line="240" w:lineRule="auto"/>
        <w:jc w:val="center"/>
        <w:rPr>
          <w:b/>
          <w:sz w:val="21"/>
          <w:szCs w:val="21"/>
        </w:rPr>
      </w:pPr>
      <w:r>
        <w:rPr>
          <w:rFonts w:hint="eastAsia" w:ascii="黑体" w:hAnsi="黑体" w:eastAsia="黑体" w:cs="黑体"/>
          <w:b w:val="0"/>
          <w:bCs/>
          <w:sz w:val="21"/>
          <w:szCs w:val="21"/>
        </w:rPr>
        <w:t>表</w:t>
      </w:r>
      <w:r>
        <w:rPr>
          <w:rFonts w:hint="eastAsia" w:ascii="黑体" w:hAnsi="黑体" w:eastAsia="黑体" w:cs="黑体"/>
          <w:b w:val="0"/>
          <w:bCs/>
          <w:sz w:val="21"/>
          <w:szCs w:val="21"/>
          <w:lang w:val="en-US" w:eastAsia="zh-CN"/>
        </w:rPr>
        <w:t>5-1</w:t>
      </w:r>
      <w:r>
        <w:rPr>
          <w:rFonts w:hint="eastAsia" w:ascii="黑体" w:hAnsi="黑体" w:eastAsia="黑体" w:cs="黑体"/>
          <w:b w:val="0"/>
          <w:bCs/>
          <w:sz w:val="21"/>
          <w:szCs w:val="21"/>
        </w:rPr>
        <w:t>污染物负荷预测结果</w:t>
      </w:r>
    </w:p>
    <w:tbl>
      <w:tblPr>
        <w:tblStyle w:val="52"/>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2162"/>
        <w:gridCol w:w="2124"/>
        <w:gridCol w:w="2124"/>
        <w:gridCol w:w="2112"/>
      </w:tblGrid>
      <w:tr w14:paraId="36A58C0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69" w:type="pct"/>
            <w:vAlign w:val="center"/>
          </w:tcPr>
          <w:p w14:paraId="2E74DDD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Cs/>
                <w:sz w:val="21"/>
                <w:szCs w:val="21"/>
              </w:rPr>
            </w:pPr>
            <w:r>
              <w:rPr>
                <w:rFonts w:hint="eastAsia" w:ascii="宋体" w:hAnsi="宋体" w:eastAsia="宋体" w:cs="宋体"/>
                <w:bCs/>
                <w:sz w:val="21"/>
                <w:szCs w:val="21"/>
              </w:rPr>
              <w:t>污染物</w:t>
            </w:r>
          </w:p>
        </w:tc>
        <w:tc>
          <w:tcPr>
            <w:tcW w:w="1246" w:type="pct"/>
            <w:vAlign w:val="center"/>
          </w:tcPr>
          <w:p w14:paraId="0C0B8F3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Cs/>
                <w:sz w:val="21"/>
                <w:szCs w:val="21"/>
              </w:rPr>
            </w:pPr>
            <w:r>
              <w:rPr>
                <w:rFonts w:hint="eastAsia" w:ascii="宋体" w:hAnsi="宋体" w:eastAsia="宋体" w:cs="宋体"/>
                <w:bCs/>
                <w:sz w:val="21"/>
                <w:szCs w:val="21"/>
              </w:rPr>
              <w:t>NOx</w:t>
            </w:r>
          </w:p>
        </w:tc>
        <w:tc>
          <w:tcPr>
            <w:tcW w:w="1246" w:type="pct"/>
            <w:vAlign w:val="center"/>
          </w:tcPr>
          <w:p w14:paraId="45DEB02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Cs/>
                <w:sz w:val="21"/>
                <w:szCs w:val="21"/>
              </w:rPr>
            </w:pPr>
            <w:r>
              <w:rPr>
                <w:rFonts w:hint="eastAsia" w:ascii="宋体" w:hAnsi="宋体" w:eastAsia="宋体" w:cs="宋体"/>
                <w:bCs/>
                <w:sz w:val="21"/>
                <w:szCs w:val="21"/>
              </w:rPr>
              <w:t>CO</w:t>
            </w:r>
          </w:p>
        </w:tc>
        <w:tc>
          <w:tcPr>
            <w:tcW w:w="1239" w:type="pct"/>
            <w:vAlign w:val="center"/>
          </w:tcPr>
          <w:p w14:paraId="40CF16F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Cs/>
                <w:sz w:val="21"/>
                <w:szCs w:val="21"/>
              </w:rPr>
            </w:pPr>
            <w:r>
              <w:rPr>
                <w:rFonts w:hint="eastAsia" w:ascii="宋体" w:hAnsi="宋体" w:eastAsia="宋体" w:cs="宋体"/>
                <w:bCs/>
                <w:sz w:val="21"/>
                <w:szCs w:val="21"/>
              </w:rPr>
              <w:t>HC</w:t>
            </w:r>
          </w:p>
        </w:tc>
      </w:tr>
      <w:tr w14:paraId="59B062D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69" w:type="pct"/>
            <w:vAlign w:val="center"/>
          </w:tcPr>
          <w:p w14:paraId="5125BA5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Cs/>
                <w:sz w:val="21"/>
                <w:szCs w:val="21"/>
              </w:rPr>
            </w:pPr>
            <w:r>
              <w:rPr>
                <w:rFonts w:hint="eastAsia" w:ascii="宋体" w:hAnsi="宋体" w:eastAsia="宋体" w:cs="宋体"/>
                <w:bCs/>
                <w:sz w:val="21"/>
                <w:szCs w:val="21"/>
              </w:rPr>
              <w:t>排放量（kg/d）</w:t>
            </w:r>
          </w:p>
        </w:tc>
        <w:tc>
          <w:tcPr>
            <w:tcW w:w="1246" w:type="pct"/>
            <w:vAlign w:val="center"/>
          </w:tcPr>
          <w:p w14:paraId="2CB3AD3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Cs/>
                <w:sz w:val="21"/>
                <w:szCs w:val="21"/>
              </w:rPr>
            </w:pPr>
            <w:r>
              <w:rPr>
                <w:rFonts w:hint="eastAsia" w:ascii="宋体" w:hAnsi="宋体" w:eastAsia="宋体" w:cs="宋体"/>
                <w:bCs/>
                <w:sz w:val="21"/>
                <w:szCs w:val="21"/>
              </w:rPr>
              <w:t>1.08</w:t>
            </w:r>
          </w:p>
        </w:tc>
        <w:tc>
          <w:tcPr>
            <w:tcW w:w="1246" w:type="pct"/>
            <w:vAlign w:val="center"/>
          </w:tcPr>
          <w:p w14:paraId="505E665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Cs/>
                <w:sz w:val="21"/>
                <w:szCs w:val="21"/>
              </w:rPr>
            </w:pPr>
            <w:r>
              <w:rPr>
                <w:rFonts w:hint="eastAsia" w:ascii="宋体" w:hAnsi="宋体" w:eastAsia="宋体" w:cs="宋体"/>
                <w:bCs/>
                <w:sz w:val="21"/>
                <w:szCs w:val="21"/>
              </w:rPr>
              <w:t>0.75</w:t>
            </w:r>
          </w:p>
        </w:tc>
        <w:tc>
          <w:tcPr>
            <w:tcW w:w="1239" w:type="pct"/>
            <w:vAlign w:val="center"/>
          </w:tcPr>
          <w:p w14:paraId="1F41BD1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Cs/>
                <w:sz w:val="21"/>
                <w:szCs w:val="21"/>
              </w:rPr>
            </w:pPr>
            <w:r>
              <w:rPr>
                <w:rFonts w:hint="eastAsia" w:ascii="宋体" w:hAnsi="宋体" w:eastAsia="宋体" w:cs="宋体"/>
                <w:bCs/>
                <w:sz w:val="21"/>
                <w:szCs w:val="21"/>
              </w:rPr>
              <w:t>0.24</w:t>
            </w:r>
          </w:p>
        </w:tc>
      </w:tr>
    </w:tbl>
    <w:p w14:paraId="43756FC1">
      <w:pPr>
        <w:pStyle w:val="6"/>
        <w:bidi w:val="0"/>
      </w:pPr>
      <w:r>
        <w:rPr>
          <w:rFonts w:hint="eastAsia"/>
          <w:lang w:val="en-US" w:eastAsia="zh-CN"/>
        </w:rPr>
        <w:t>5</w:t>
      </w:r>
      <w:r>
        <w:t>.1.2.2废水</w:t>
      </w:r>
    </w:p>
    <w:p w14:paraId="4135FC90">
      <w:pPr>
        <w:spacing w:before="120" w:beforeLines="50" w:line="360" w:lineRule="auto"/>
        <w:ind w:firstLine="480" w:firstLineChars="200"/>
        <w:rPr>
          <w:kern w:val="0"/>
        </w:rPr>
      </w:pPr>
      <w:r>
        <w:rPr>
          <w:kern w:val="0"/>
        </w:rPr>
        <w:t>施工废水主要来自于施工废水和施工人员产生的生活污水。</w:t>
      </w:r>
    </w:p>
    <w:p w14:paraId="6EB36104">
      <w:pPr>
        <w:spacing w:line="360" w:lineRule="auto"/>
        <w:ind w:firstLine="480" w:firstLineChars="200"/>
        <w:rPr>
          <w:kern w:val="0"/>
        </w:rPr>
      </w:pPr>
      <w:r>
        <w:rPr>
          <w:rFonts w:hint="eastAsia"/>
          <w:kern w:val="0"/>
          <w:lang w:eastAsia="zh-CN"/>
        </w:rPr>
        <w:t>（</w:t>
      </w:r>
      <w:r>
        <w:rPr>
          <w:rFonts w:hint="eastAsia"/>
          <w:kern w:val="0"/>
          <w:lang w:val="en-US" w:eastAsia="zh-CN"/>
        </w:rPr>
        <w:t>1</w:t>
      </w:r>
      <w:r>
        <w:rPr>
          <w:rFonts w:hint="eastAsia"/>
          <w:kern w:val="0"/>
          <w:lang w:eastAsia="zh-CN"/>
        </w:rPr>
        <w:t>）</w:t>
      </w:r>
      <w:r>
        <w:rPr>
          <w:kern w:val="0"/>
        </w:rPr>
        <w:t>施工废水</w:t>
      </w:r>
    </w:p>
    <w:p w14:paraId="1EA27BBE">
      <w:pPr>
        <w:spacing w:line="360" w:lineRule="auto"/>
        <w:ind w:firstLine="480" w:firstLineChars="200"/>
        <w:rPr>
          <w:kern w:val="0"/>
        </w:rPr>
      </w:pPr>
      <w:r>
        <w:rPr>
          <w:kern w:val="0"/>
        </w:rPr>
        <w:t>施工废水主要由运输车辆、施工机械冲洗以及机械修配等产生，产生量约为1m</w:t>
      </w:r>
      <w:r>
        <w:rPr>
          <w:kern w:val="0"/>
          <w:vertAlign w:val="superscript"/>
        </w:rPr>
        <w:t>3</w:t>
      </w:r>
      <w:r>
        <w:rPr>
          <w:kern w:val="0"/>
        </w:rPr>
        <w:t>/d，主要含有砂土、悬浮物、石油类等污染物。</w:t>
      </w:r>
    </w:p>
    <w:p w14:paraId="77835F4C">
      <w:pPr>
        <w:spacing w:line="360" w:lineRule="auto"/>
        <w:ind w:firstLine="480" w:firstLineChars="200"/>
        <w:rPr>
          <w:kern w:val="0"/>
        </w:rPr>
      </w:pPr>
      <w:r>
        <w:rPr>
          <w:kern w:val="0"/>
        </w:rPr>
        <w:t>施工期设置简易沉淀池，施工废水经简单沉淀处理后全部回用于工程建设，禁止随意排放。</w:t>
      </w:r>
    </w:p>
    <w:p w14:paraId="03D0582D">
      <w:pPr>
        <w:spacing w:line="360" w:lineRule="auto"/>
        <w:ind w:firstLine="480" w:firstLineChars="200"/>
        <w:jc w:val="left"/>
      </w:pPr>
      <w:r>
        <w:rPr>
          <w:rFonts w:hint="eastAsia"/>
          <w:lang w:eastAsia="zh-CN"/>
        </w:rPr>
        <w:t>（</w:t>
      </w:r>
      <w:r>
        <w:rPr>
          <w:rFonts w:hint="eastAsia"/>
          <w:lang w:val="en-US" w:eastAsia="zh-CN"/>
        </w:rPr>
        <w:t>2</w:t>
      </w:r>
      <w:r>
        <w:rPr>
          <w:rFonts w:hint="eastAsia"/>
          <w:lang w:eastAsia="zh-CN"/>
        </w:rPr>
        <w:t>）</w:t>
      </w:r>
      <w:r>
        <w:t>施工人员生活污水</w:t>
      </w:r>
    </w:p>
    <w:p w14:paraId="6E434CEF">
      <w:pPr>
        <w:spacing w:line="360" w:lineRule="auto"/>
        <w:ind w:firstLine="480" w:firstLineChars="200"/>
        <w:jc w:val="left"/>
      </w:pPr>
      <w:r>
        <w:rPr>
          <w:kern w:val="0"/>
        </w:rPr>
        <w:t>施工期生活污水主要污染物为COD、NH</w:t>
      </w:r>
      <w:r>
        <w:rPr>
          <w:kern w:val="0"/>
          <w:vertAlign w:val="subscript"/>
        </w:rPr>
        <w:t>3</w:t>
      </w:r>
      <w:r>
        <w:rPr>
          <w:kern w:val="0"/>
        </w:rPr>
        <w:t>-N、SS。施工工期约为1月，</w:t>
      </w:r>
      <w:r>
        <w:rPr>
          <w:smallCaps/>
        </w:rPr>
        <w:t>施工高峰期作业人员约为</w:t>
      </w:r>
      <w:r>
        <w:rPr>
          <w:rFonts w:hint="eastAsia"/>
          <w:smallCaps/>
          <w:lang w:val="en-US" w:eastAsia="zh-CN"/>
        </w:rPr>
        <w:t>1</w:t>
      </w:r>
      <w:r>
        <w:rPr>
          <w:smallCaps/>
        </w:rPr>
        <w:t>0人</w:t>
      </w:r>
      <w:r>
        <w:rPr>
          <w:kern w:val="0"/>
        </w:rPr>
        <w:t>，生活用水量按50L/人•d计，则生活用水量为</w:t>
      </w:r>
      <w:r>
        <w:rPr>
          <w:rFonts w:hint="eastAsia"/>
          <w:kern w:val="0"/>
          <w:lang w:val="en-US" w:eastAsia="zh-CN"/>
        </w:rPr>
        <w:t>0.5</w:t>
      </w:r>
      <w:r>
        <w:rPr>
          <w:kern w:val="0"/>
        </w:rPr>
        <w:t>m</w:t>
      </w:r>
      <w:r>
        <w:rPr>
          <w:kern w:val="0"/>
          <w:vertAlign w:val="superscript"/>
        </w:rPr>
        <w:t>3</w:t>
      </w:r>
      <w:r>
        <w:rPr>
          <w:kern w:val="0"/>
        </w:rPr>
        <w:t>/d，排放系数按0.8计，则施工期生活污水的日排放量为</w:t>
      </w:r>
      <w:r>
        <w:rPr>
          <w:rFonts w:hint="eastAsia"/>
          <w:kern w:val="0"/>
          <w:lang w:val="en-US" w:eastAsia="zh-CN"/>
        </w:rPr>
        <w:t>0.4</w:t>
      </w:r>
      <w:r>
        <w:rPr>
          <w:kern w:val="0"/>
        </w:rPr>
        <w:t>m</w:t>
      </w:r>
      <w:r>
        <w:rPr>
          <w:kern w:val="0"/>
          <w:vertAlign w:val="superscript"/>
        </w:rPr>
        <w:t>3</w:t>
      </w:r>
      <w:r>
        <w:rPr>
          <w:kern w:val="0"/>
        </w:rPr>
        <w:t>/d，总排放量为</w:t>
      </w:r>
      <w:r>
        <w:rPr>
          <w:rFonts w:hint="eastAsia"/>
          <w:kern w:val="0"/>
          <w:lang w:val="en-US" w:eastAsia="zh-CN"/>
        </w:rPr>
        <w:t>12</w:t>
      </w:r>
      <w:r>
        <w:rPr>
          <w:kern w:val="0"/>
        </w:rPr>
        <w:t>m</w:t>
      </w:r>
      <w:r>
        <w:rPr>
          <w:kern w:val="0"/>
          <w:vertAlign w:val="superscript"/>
        </w:rPr>
        <w:t>3</w:t>
      </w:r>
      <w:r>
        <w:rPr>
          <w:kern w:val="0"/>
        </w:rPr>
        <w:t>，主要污染物为</w:t>
      </w:r>
      <w:r>
        <w:t>COD、SS、NH</w:t>
      </w:r>
      <w:r>
        <w:rPr>
          <w:vertAlign w:val="subscript"/>
        </w:rPr>
        <w:t>3</w:t>
      </w:r>
      <w:r>
        <w:t>-N。施工期生活污水</w:t>
      </w:r>
      <w:r>
        <w:rPr>
          <w:rFonts w:hint="eastAsia"/>
          <w:lang w:eastAsia="zh-CN"/>
        </w:rPr>
        <w:t>依托厂区现有生活设施，</w:t>
      </w:r>
      <w:r>
        <w:t>排入厂区旱厕，定期清掏.</w:t>
      </w:r>
    </w:p>
    <w:p w14:paraId="27FC9A60">
      <w:pPr>
        <w:adjustRightInd w:val="0"/>
        <w:snapToGrid w:val="0"/>
        <w:spacing w:line="240" w:lineRule="auto"/>
        <w:jc w:val="center"/>
        <w:rPr>
          <w:b/>
          <w:sz w:val="21"/>
          <w:szCs w:val="21"/>
        </w:rPr>
      </w:pPr>
      <w:r>
        <w:rPr>
          <w:rFonts w:hint="eastAsia" w:ascii="黑体" w:hAnsi="黑体" w:eastAsia="黑体" w:cs="黑体"/>
          <w:b w:val="0"/>
          <w:bCs/>
          <w:sz w:val="21"/>
          <w:szCs w:val="21"/>
        </w:rPr>
        <w:t>表</w:t>
      </w:r>
      <w:r>
        <w:rPr>
          <w:rFonts w:hint="eastAsia" w:ascii="黑体" w:hAnsi="黑体" w:eastAsia="黑体" w:cs="黑体"/>
          <w:b w:val="0"/>
          <w:bCs/>
          <w:sz w:val="21"/>
          <w:szCs w:val="21"/>
          <w:lang w:val="en-US" w:eastAsia="zh-CN"/>
        </w:rPr>
        <w:t>5-2</w:t>
      </w:r>
      <w:r>
        <w:rPr>
          <w:rFonts w:hint="eastAsia" w:ascii="黑体" w:hAnsi="黑体" w:eastAsia="黑体" w:cs="黑体"/>
          <w:b w:val="0"/>
          <w:bCs/>
          <w:sz w:val="21"/>
          <w:szCs w:val="21"/>
        </w:rPr>
        <w:t>施工期生活污水污染负荷预测表</w:t>
      </w:r>
    </w:p>
    <w:tbl>
      <w:tblPr>
        <w:tblStyle w:val="52"/>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2552"/>
        <w:gridCol w:w="1462"/>
        <w:gridCol w:w="1508"/>
        <w:gridCol w:w="1491"/>
        <w:gridCol w:w="1509"/>
      </w:tblGrid>
      <w:tr w14:paraId="09C18A2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497" w:type="pct"/>
            <w:vAlign w:val="center"/>
          </w:tcPr>
          <w:p w14:paraId="3F6E32C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Cs/>
                <w:sz w:val="21"/>
                <w:szCs w:val="21"/>
              </w:rPr>
            </w:pPr>
            <w:r>
              <w:rPr>
                <w:rFonts w:hint="eastAsia" w:ascii="宋体" w:hAnsi="宋体" w:eastAsia="宋体" w:cs="宋体"/>
                <w:bCs/>
                <w:sz w:val="21"/>
                <w:szCs w:val="21"/>
              </w:rPr>
              <w:t>污染物</w:t>
            </w:r>
          </w:p>
        </w:tc>
        <w:tc>
          <w:tcPr>
            <w:tcW w:w="857" w:type="pct"/>
            <w:vAlign w:val="center"/>
          </w:tcPr>
          <w:p w14:paraId="2CA8054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Cs/>
                <w:sz w:val="21"/>
                <w:szCs w:val="21"/>
              </w:rPr>
            </w:pPr>
            <w:r>
              <w:rPr>
                <w:rFonts w:hint="eastAsia" w:ascii="宋体" w:hAnsi="宋体" w:eastAsia="宋体" w:cs="宋体"/>
                <w:bCs/>
                <w:sz w:val="21"/>
                <w:szCs w:val="21"/>
              </w:rPr>
              <w:t>废水量</w:t>
            </w:r>
          </w:p>
        </w:tc>
        <w:tc>
          <w:tcPr>
            <w:tcW w:w="884" w:type="pct"/>
            <w:vAlign w:val="center"/>
          </w:tcPr>
          <w:p w14:paraId="5E398F0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Cs/>
                <w:sz w:val="21"/>
                <w:szCs w:val="21"/>
              </w:rPr>
            </w:pPr>
            <w:r>
              <w:rPr>
                <w:rFonts w:hint="eastAsia" w:ascii="宋体" w:hAnsi="宋体" w:eastAsia="宋体" w:cs="宋体"/>
                <w:bCs/>
                <w:sz w:val="21"/>
                <w:szCs w:val="21"/>
              </w:rPr>
              <w:t>COD</w:t>
            </w:r>
          </w:p>
        </w:tc>
        <w:tc>
          <w:tcPr>
            <w:tcW w:w="874" w:type="pct"/>
            <w:vAlign w:val="center"/>
          </w:tcPr>
          <w:p w14:paraId="4FEF139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Cs/>
                <w:sz w:val="21"/>
                <w:szCs w:val="21"/>
              </w:rPr>
            </w:pPr>
            <w:r>
              <w:rPr>
                <w:rFonts w:hint="eastAsia" w:ascii="宋体" w:hAnsi="宋体" w:eastAsia="宋体" w:cs="宋体"/>
                <w:bCs/>
                <w:sz w:val="21"/>
                <w:szCs w:val="21"/>
              </w:rPr>
              <w:t>SS</w:t>
            </w:r>
          </w:p>
        </w:tc>
        <w:tc>
          <w:tcPr>
            <w:tcW w:w="885" w:type="pct"/>
            <w:vAlign w:val="center"/>
          </w:tcPr>
          <w:p w14:paraId="38A95C9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Cs/>
                <w:sz w:val="21"/>
                <w:szCs w:val="21"/>
              </w:rPr>
            </w:pPr>
            <w:r>
              <w:rPr>
                <w:rFonts w:hint="eastAsia" w:ascii="宋体" w:hAnsi="宋体" w:eastAsia="宋体" w:cs="宋体"/>
                <w:bCs/>
                <w:sz w:val="21"/>
                <w:szCs w:val="21"/>
              </w:rPr>
              <w:t>NH</w:t>
            </w:r>
            <w:r>
              <w:rPr>
                <w:rFonts w:hint="eastAsia" w:ascii="宋体" w:hAnsi="宋体" w:eastAsia="宋体" w:cs="宋体"/>
                <w:bCs/>
                <w:sz w:val="21"/>
                <w:szCs w:val="21"/>
                <w:vertAlign w:val="subscript"/>
              </w:rPr>
              <w:t>3</w:t>
            </w:r>
            <w:r>
              <w:rPr>
                <w:rFonts w:hint="eastAsia" w:ascii="宋体" w:hAnsi="宋体" w:eastAsia="宋体" w:cs="宋体"/>
                <w:bCs/>
                <w:sz w:val="21"/>
                <w:szCs w:val="21"/>
              </w:rPr>
              <w:t>-N</w:t>
            </w:r>
          </w:p>
        </w:tc>
      </w:tr>
      <w:tr w14:paraId="5F9856D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497" w:type="pct"/>
            <w:vAlign w:val="center"/>
          </w:tcPr>
          <w:p w14:paraId="21004B2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Cs/>
                <w:sz w:val="21"/>
                <w:szCs w:val="21"/>
              </w:rPr>
            </w:pPr>
            <w:r>
              <w:rPr>
                <w:rFonts w:hint="eastAsia" w:ascii="宋体" w:hAnsi="宋体" w:eastAsia="宋体" w:cs="宋体"/>
                <w:bCs/>
                <w:sz w:val="21"/>
                <w:szCs w:val="21"/>
              </w:rPr>
              <w:t>生活污水浓度（mg/l）</w:t>
            </w:r>
          </w:p>
        </w:tc>
        <w:tc>
          <w:tcPr>
            <w:tcW w:w="857" w:type="pct"/>
            <w:vAlign w:val="center"/>
          </w:tcPr>
          <w:p w14:paraId="2921E02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Cs/>
                <w:sz w:val="21"/>
                <w:szCs w:val="21"/>
              </w:rPr>
            </w:pPr>
            <w:r>
              <w:rPr>
                <w:rFonts w:hint="eastAsia" w:ascii="宋体" w:hAnsi="宋体" w:eastAsia="宋体" w:cs="宋体"/>
                <w:bCs/>
                <w:sz w:val="21"/>
                <w:szCs w:val="21"/>
              </w:rPr>
              <w:t>-</w:t>
            </w:r>
          </w:p>
        </w:tc>
        <w:tc>
          <w:tcPr>
            <w:tcW w:w="884" w:type="pct"/>
            <w:vAlign w:val="center"/>
          </w:tcPr>
          <w:p w14:paraId="269F0A9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Cs/>
                <w:sz w:val="21"/>
                <w:szCs w:val="21"/>
              </w:rPr>
            </w:pPr>
            <w:r>
              <w:rPr>
                <w:rFonts w:hint="eastAsia" w:ascii="宋体" w:hAnsi="宋体" w:eastAsia="宋体" w:cs="宋体"/>
                <w:bCs/>
                <w:sz w:val="21"/>
                <w:szCs w:val="21"/>
              </w:rPr>
              <w:t>300</w:t>
            </w:r>
          </w:p>
        </w:tc>
        <w:tc>
          <w:tcPr>
            <w:tcW w:w="874" w:type="pct"/>
            <w:vAlign w:val="center"/>
          </w:tcPr>
          <w:p w14:paraId="45177EB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Cs/>
                <w:sz w:val="21"/>
                <w:szCs w:val="21"/>
              </w:rPr>
            </w:pPr>
            <w:r>
              <w:rPr>
                <w:rFonts w:hint="eastAsia" w:ascii="宋体" w:hAnsi="宋体" w:eastAsia="宋体" w:cs="宋体"/>
                <w:bCs/>
                <w:sz w:val="21"/>
                <w:szCs w:val="21"/>
              </w:rPr>
              <w:t>250</w:t>
            </w:r>
          </w:p>
        </w:tc>
        <w:tc>
          <w:tcPr>
            <w:tcW w:w="885" w:type="pct"/>
            <w:vAlign w:val="center"/>
          </w:tcPr>
          <w:p w14:paraId="397A984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Cs/>
                <w:sz w:val="21"/>
                <w:szCs w:val="21"/>
              </w:rPr>
            </w:pPr>
            <w:r>
              <w:rPr>
                <w:rFonts w:hint="eastAsia" w:ascii="宋体" w:hAnsi="宋体" w:eastAsia="宋体" w:cs="宋体"/>
                <w:bCs/>
                <w:sz w:val="21"/>
                <w:szCs w:val="21"/>
              </w:rPr>
              <w:t>20</w:t>
            </w:r>
          </w:p>
        </w:tc>
      </w:tr>
      <w:tr w14:paraId="28F00EA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497" w:type="pct"/>
            <w:vAlign w:val="center"/>
          </w:tcPr>
          <w:p w14:paraId="312FCBD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Cs/>
                <w:sz w:val="21"/>
                <w:szCs w:val="21"/>
              </w:rPr>
            </w:pPr>
            <w:r>
              <w:rPr>
                <w:rFonts w:hint="eastAsia" w:ascii="宋体" w:hAnsi="宋体" w:eastAsia="宋体" w:cs="宋体"/>
                <w:bCs/>
                <w:sz w:val="21"/>
                <w:szCs w:val="21"/>
              </w:rPr>
              <w:t>排放量（m</w:t>
            </w:r>
            <w:r>
              <w:rPr>
                <w:rFonts w:hint="eastAsia" w:ascii="宋体" w:hAnsi="宋体" w:eastAsia="宋体" w:cs="宋体"/>
                <w:bCs/>
                <w:sz w:val="21"/>
                <w:szCs w:val="21"/>
                <w:vertAlign w:val="superscript"/>
              </w:rPr>
              <w:t>3</w:t>
            </w:r>
            <w:r>
              <w:rPr>
                <w:rFonts w:hint="eastAsia" w:ascii="宋体" w:hAnsi="宋体" w:eastAsia="宋体" w:cs="宋体"/>
                <w:bCs/>
                <w:sz w:val="21"/>
                <w:szCs w:val="21"/>
              </w:rPr>
              <w:t>/d）</w:t>
            </w:r>
          </w:p>
        </w:tc>
        <w:tc>
          <w:tcPr>
            <w:tcW w:w="857" w:type="pct"/>
            <w:vAlign w:val="center"/>
          </w:tcPr>
          <w:p w14:paraId="2621C64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bCs/>
                <w:sz w:val="21"/>
                <w:szCs w:val="21"/>
                <w:lang w:val="en-US" w:eastAsia="zh-CN"/>
              </w:rPr>
            </w:pPr>
            <w:r>
              <w:rPr>
                <w:rFonts w:hint="eastAsia" w:ascii="宋体" w:hAnsi="宋体" w:eastAsia="宋体" w:cs="宋体"/>
                <w:bCs/>
                <w:sz w:val="21"/>
                <w:szCs w:val="21"/>
                <w:lang w:val="en-US" w:eastAsia="zh-CN"/>
              </w:rPr>
              <w:t>0.5</w:t>
            </w:r>
          </w:p>
        </w:tc>
        <w:tc>
          <w:tcPr>
            <w:tcW w:w="884" w:type="pct"/>
            <w:vAlign w:val="center"/>
          </w:tcPr>
          <w:p w14:paraId="03FCA01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Cs/>
                <w:sz w:val="21"/>
                <w:szCs w:val="21"/>
                <w:lang w:eastAsia="zh-CN"/>
              </w:rPr>
            </w:pPr>
            <w:r>
              <w:rPr>
                <w:rFonts w:hint="eastAsia" w:ascii="宋体" w:hAnsi="宋体" w:eastAsia="宋体" w:cs="宋体"/>
                <w:bCs/>
                <w:sz w:val="21"/>
                <w:szCs w:val="21"/>
                <w:lang w:val="en-US" w:eastAsia="zh-CN"/>
              </w:rPr>
              <w:t>1.5</w:t>
            </w:r>
            <w:r>
              <w:rPr>
                <w:rFonts w:hint="eastAsia" w:ascii="宋体" w:hAnsi="宋体" w:eastAsia="宋体" w:cs="宋体"/>
                <w:bCs/>
                <w:sz w:val="21"/>
                <w:szCs w:val="21"/>
              </w:rPr>
              <w:t>×10</w:t>
            </w:r>
            <w:r>
              <w:rPr>
                <w:rFonts w:hint="eastAsia" w:ascii="宋体" w:hAnsi="宋体" w:eastAsia="宋体" w:cs="宋体"/>
                <w:bCs/>
                <w:sz w:val="21"/>
                <w:szCs w:val="21"/>
                <w:vertAlign w:val="superscript"/>
              </w:rPr>
              <w:t>-</w:t>
            </w:r>
            <w:r>
              <w:rPr>
                <w:rFonts w:hint="eastAsia" w:ascii="宋体" w:hAnsi="宋体" w:eastAsia="宋体" w:cs="宋体"/>
                <w:bCs/>
                <w:sz w:val="21"/>
                <w:szCs w:val="21"/>
                <w:vertAlign w:val="superscript"/>
                <w:lang w:val="en-US" w:eastAsia="zh-CN"/>
              </w:rPr>
              <w:t>5</w:t>
            </w:r>
          </w:p>
        </w:tc>
        <w:tc>
          <w:tcPr>
            <w:tcW w:w="874" w:type="pct"/>
            <w:vAlign w:val="center"/>
          </w:tcPr>
          <w:p w14:paraId="6D097B0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Cs/>
                <w:sz w:val="21"/>
                <w:szCs w:val="21"/>
                <w:lang w:eastAsia="zh-CN"/>
              </w:rPr>
            </w:pPr>
            <w:r>
              <w:rPr>
                <w:rFonts w:hint="eastAsia" w:ascii="宋体" w:hAnsi="宋体" w:eastAsia="宋体" w:cs="宋体"/>
                <w:bCs/>
                <w:sz w:val="21"/>
                <w:szCs w:val="21"/>
                <w:lang w:val="en-US" w:eastAsia="zh-CN"/>
              </w:rPr>
              <w:t>7.5</w:t>
            </w:r>
            <w:r>
              <w:rPr>
                <w:rFonts w:hint="eastAsia" w:ascii="宋体" w:hAnsi="宋体" w:eastAsia="宋体" w:cs="宋体"/>
                <w:bCs/>
                <w:sz w:val="21"/>
                <w:szCs w:val="21"/>
              </w:rPr>
              <w:t>×10</w:t>
            </w:r>
            <w:r>
              <w:rPr>
                <w:rFonts w:hint="eastAsia" w:ascii="宋体" w:hAnsi="宋体" w:eastAsia="宋体" w:cs="宋体"/>
                <w:bCs/>
                <w:sz w:val="21"/>
                <w:szCs w:val="21"/>
                <w:vertAlign w:val="superscript"/>
              </w:rPr>
              <w:t>-</w:t>
            </w:r>
            <w:r>
              <w:rPr>
                <w:rFonts w:hint="eastAsia" w:ascii="宋体" w:hAnsi="宋体" w:eastAsia="宋体" w:cs="宋体"/>
                <w:bCs/>
                <w:sz w:val="21"/>
                <w:szCs w:val="21"/>
                <w:vertAlign w:val="superscript"/>
                <w:lang w:val="en-US" w:eastAsia="zh-CN"/>
              </w:rPr>
              <w:t>3</w:t>
            </w:r>
          </w:p>
        </w:tc>
        <w:tc>
          <w:tcPr>
            <w:tcW w:w="885" w:type="pct"/>
            <w:vAlign w:val="center"/>
          </w:tcPr>
          <w:p w14:paraId="0BD9986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Cs/>
                <w:sz w:val="21"/>
                <w:szCs w:val="21"/>
                <w:lang w:eastAsia="zh-CN"/>
              </w:rPr>
            </w:pPr>
            <w:r>
              <w:rPr>
                <w:rFonts w:hint="eastAsia" w:ascii="宋体" w:hAnsi="宋体" w:eastAsia="宋体" w:cs="宋体"/>
                <w:bCs/>
                <w:sz w:val="21"/>
                <w:szCs w:val="21"/>
                <w:lang w:val="en-US" w:eastAsia="zh-CN"/>
              </w:rPr>
              <w:t>1</w:t>
            </w:r>
            <w:r>
              <w:rPr>
                <w:rFonts w:hint="eastAsia" w:ascii="宋体" w:hAnsi="宋体" w:eastAsia="宋体" w:cs="宋体"/>
                <w:bCs/>
                <w:sz w:val="21"/>
                <w:szCs w:val="21"/>
              </w:rPr>
              <w:t>×10</w:t>
            </w:r>
            <w:r>
              <w:rPr>
                <w:rFonts w:hint="eastAsia" w:ascii="宋体" w:hAnsi="宋体" w:eastAsia="宋体" w:cs="宋体"/>
                <w:bCs/>
                <w:sz w:val="21"/>
                <w:szCs w:val="21"/>
                <w:vertAlign w:val="superscript"/>
              </w:rPr>
              <w:t>-</w:t>
            </w:r>
            <w:r>
              <w:rPr>
                <w:rFonts w:hint="eastAsia" w:ascii="宋体" w:hAnsi="宋体" w:eastAsia="宋体" w:cs="宋体"/>
                <w:bCs/>
                <w:sz w:val="21"/>
                <w:szCs w:val="21"/>
                <w:vertAlign w:val="superscript"/>
                <w:lang w:val="en-US" w:eastAsia="zh-CN"/>
              </w:rPr>
              <w:t>6</w:t>
            </w:r>
          </w:p>
        </w:tc>
      </w:tr>
    </w:tbl>
    <w:p w14:paraId="74E8FFC6">
      <w:pPr>
        <w:pStyle w:val="6"/>
        <w:bidi w:val="0"/>
      </w:pPr>
      <w:r>
        <w:rPr>
          <w:rFonts w:hint="eastAsia"/>
          <w:lang w:val="en-US" w:eastAsia="zh-CN"/>
        </w:rPr>
        <w:t>5</w:t>
      </w:r>
      <w:r>
        <w:t>.1.2.3噪声</w:t>
      </w:r>
    </w:p>
    <w:p w14:paraId="7CCA72BC">
      <w:pPr>
        <w:pageBreakBefore w:val="0"/>
        <w:kinsoku/>
        <w:wordWrap/>
        <w:overflowPunct/>
        <w:topLinePunct w:val="0"/>
        <w:autoSpaceDE/>
        <w:autoSpaceDN/>
        <w:bidi w:val="0"/>
        <w:adjustRightInd/>
        <w:snapToGrid/>
        <w:spacing w:line="360" w:lineRule="auto"/>
        <w:ind w:firstLine="480" w:firstLineChars="200"/>
        <w:textAlignment w:val="auto"/>
      </w:pPr>
      <w:r>
        <w:t>本项目施工期的噪声主要来源于施工机械设备及运输车辆等，涉及到的设备主要包括吊车、自卸汽车、成品运输车辆等。本项目施工机械噪声源</w:t>
      </w:r>
      <w:r>
        <w:rPr>
          <w:kern w:val="0"/>
        </w:rPr>
        <w:t>大约在80-90 dB（A）之间</w:t>
      </w:r>
      <w:r>
        <w:t>，如下表所示。</w:t>
      </w:r>
    </w:p>
    <w:p w14:paraId="4ED9ECB7">
      <w:pPr>
        <w:adjustRightInd w:val="0"/>
        <w:snapToGrid w:val="0"/>
        <w:spacing w:line="240" w:lineRule="auto"/>
        <w:jc w:val="center"/>
        <w:rPr>
          <w:b/>
          <w:sz w:val="21"/>
          <w:szCs w:val="21"/>
        </w:rPr>
      </w:pPr>
      <w:r>
        <w:rPr>
          <w:rFonts w:hint="eastAsia" w:ascii="黑体" w:hAnsi="黑体" w:eastAsia="黑体" w:cs="黑体"/>
          <w:b w:val="0"/>
          <w:bCs/>
          <w:sz w:val="21"/>
          <w:szCs w:val="21"/>
        </w:rPr>
        <w:t>表</w:t>
      </w:r>
      <w:r>
        <w:rPr>
          <w:rFonts w:hint="eastAsia" w:ascii="黑体" w:hAnsi="黑体" w:eastAsia="黑体" w:cs="黑体"/>
          <w:b w:val="0"/>
          <w:bCs/>
          <w:sz w:val="21"/>
          <w:szCs w:val="21"/>
          <w:lang w:val="en-US" w:eastAsia="zh-CN"/>
        </w:rPr>
        <w:t>5-3</w:t>
      </w:r>
      <w:r>
        <w:rPr>
          <w:rFonts w:hint="eastAsia" w:ascii="黑体" w:hAnsi="黑体" w:eastAsia="黑体" w:cs="黑体"/>
          <w:b w:val="0"/>
          <w:bCs/>
          <w:sz w:val="21"/>
          <w:szCs w:val="21"/>
        </w:rPr>
        <w:t>主要施工机械噪声源强  dB(A)</w:t>
      </w:r>
    </w:p>
    <w:tbl>
      <w:tblPr>
        <w:tblStyle w:val="52"/>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481"/>
        <w:gridCol w:w="2408"/>
        <w:gridCol w:w="2286"/>
        <w:gridCol w:w="2347"/>
      </w:tblGrid>
      <w:tr w14:paraId="64E4D8D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Pr>
        <w:tc>
          <w:tcPr>
            <w:tcW w:w="869" w:type="pct"/>
            <w:vAlign w:val="center"/>
          </w:tcPr>
          <w:p w14:paraId="0EACDC36">
            <w:pPr>
              <w:pStyle w:val="28"/>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cs="Times New Roman"/>
                <w:sz w:val="21"/>
              </w:rPr>
            </w:pPr>
            <w:r>
              <w:rPr>
                <w:rFonts w:ascii="Times New Roman" w:hAnsi="Times New Roman" w:cs="Times New Roman"/>
                <w:sz w:val="21"/>
              </w:rPr>
              <w:t>序号</w:t>
            </w:r>
          </w:p>
        </w:tc>
        <w:tc>
          <w:tcPr>
            <w:tcW w:w="1413" w:type="pct"/>
            <w:vAlign w:val="center"/>
          </w:tcPr>
          <w:p w14:paraId="493871D0">
            <w:pPr>
              <w:pStyle w:val="28"/>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cs="Times New Roman"/>
                <w:sz w:val="21"/>
              </w:rPr>
            </w:pPr>
            <w:r>
              <w:rPr>
                <w:rFonts w:ascii="Times New Roman" w:hAnsi="Times New Roman" w:cs="Times New Roman"/>
                <w:sz w:val="21"/>
              </w:rPr>
              <w:t>机械、车辆类型</w:t>
            </w:r>
          </w:p>
        </w:tc>
        <w:tc>
          <w:tcPr>
            <w:tcW w:w="1341" w:type="pct"/>
            <w:vAlign w:val="center"/>
          </w:tcPr>
          <w:p w14:paraId="63A67ED0">
            <w:pPr>
              <w:pStyle w:val="28"/>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cs="Times New Roman"/>
                <w:sz w:val="21"/>
              </w:rPr>
            </w:pPr>
            <w:r>
              <w:rPr>
                <w:rFonts w:ascii="Times New Roman" w:hAnsi="Times New Roman" w:cs="Times New Roman"/>
                <w:sz w:val="21"/>
              </w:rPr>
              <w:t>距离(m)</w:t>
            </w:r>
          </w:p>
        </w:tc>
        <w:tc>
          <w:tcPr>
            <w:tcW w:w="1377" w:type="pct"/>
            <w:vAlign w:val="center"/>
          </w:tcPr>
          <w:p w14:paraId="030C7626">
            <w:pPr>
              <w:pStyle w:val="28"/>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cs="Times New Roman"/>
                <w:sz w:val="21"/>
              </w:rPr>
            </w:pPr>
            <w:r>
              <w:rPr>
                <w:rFonts w:ascii="Times New Roman" w:hAnsi="Times New Roman" w:cs="Times New Roman"/>
                <w:sz w:val="21"/>
              </w:rPr>
              <w:t>噪声源强</w:t>
            </w:r>
          </w:p>
        </w:tc>
      </w:tr>
      <w:tr w14:paraId="4F69E5A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Pr>
        <w:tc>
          <w:tcPr>
            <w:tcW w:w="869" w:type="pct"/>
            <w:vAlign w:val="center"/>
          </w:tcPr>
          <w:p w14:paraId="1A1053CD">
            <w:pPr>
              <w:pStyle w:val="28"/>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cs="Times New Roman"/>
                <w:sz w:val="21"/>
              </w:rPr>
            </w:pPr>
            <w:r>
              <w:rPr>
                <w:rFonts w:ascii="Times New Roman" w:hAnsi="Times New Roman" w:cs="Times New Roman"/>
                <w:sz w:val="21"/>
              </w:rPr>
              <w:t>1</w:t>
            </w:r>
          </w:p>
        </w:tc>
        <w:tc>
          <w:tcPr>
            <w:tcW w:w="1413" w:type="pct"/>
            <w:vAlign w:val="center"/>
          </w:tcPr>
          <w:p w14:paraId="4DF0D1E3">
            <w:pPr>
              <w:pStyle w:val="28"/>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cs="Times New Roman"/>
                <w:sz w:val="21"/>
              </w:rPr>
            </w:pPr>
            <w:r>
              <w:rPr>
                <w:rFonts w:ascii="Times New Roman" w:hAnsi="Times New Roman" w:cs="Times New Roman"/>
                <w:sz w:val="21"/>
              </w:rPr>
              <w:t>吊车</w:t>
            </w:r>
          </w:p>
        </w:tc>
        <w:tc>
          <w:tcPr>
            <w:tcW w:w="1341" w:type="pct"/>
            <w:vAlign w:val="center"/>
          </w:tcPr>
          <w:p w14:paraId="7C81DBB0">
            <w:pPr>
              <w:pStyle w:val="28"/>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cs="Times New Roman"/>
                <w:sz w:val="21"/>
              </w:rPr>
            </w:pPr>
            <w:r>
              <w:rPr>
                <w:rFonts w:ascii="Times New Roman" w:hAnsi="Times New Roman" w:cs="Times New Roman"/>
                <w:sz w:val="21"/>
              </w:rPr>
              <w:t>5</w:t>
            </w:r>
          </w:p>
        </w:tc>
        <w:tc>
          <w:tcPr>
            <w:tcW w:w="1377" w:type="pct"/>
            <w:vAlign w:val="center"/>
          </w:tcPr>
          <w:p w14:paraId="162DD6DB">
            <w:pPr>
              <w:pStyle w:val="28"/>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cs="Times New Roman"/>
                <w:sz w:val="21"/>
              </w:rPr>
            </w:pPr>
            <w:r>
              <w:rPr>
                <w:rFonts w:ascii="Times New Roman" w:hAnsi="Times New Roman" w:cs="Times New Roman"/>
                <w:sz w:val="21"/>
              </w:rPr>
              <w:t>90</w:t>
            </w:r>
          </w:p>
        </w:tc>
      </w:tr>
      <w:tr w14:paraId="5631833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Pr>
        <w:tc>
          <w:tcPr>
            <w:tcW w:w="869" w:type="pct"/>
            <w:vAlign w:val="center"/>
          </w:tcPr>
          <w:p w14:paraId="729DF3C4">
            <w:pPr>
              <w:pStyle w:val="28"/>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cs="Times New Roman"/>
                <w:sz w:val="21"/>
              </w:rPr>
            </w:pPr>
            <w:r>
              <w:rPr>
                <w:rFonts w:ascii="Times New Roman" w:hAnsi="Times New Roman" w:cs="Times New Roman"/>
                <w:sz w:val="21"/>
              </w:rPr>
              <w:t>2</w:t>
            </w:r>
          </w:p>
        </w:tc>
        <w:tc>
          <w:tcPr>
            <w:tcW w:w="1413" w:type="pct"/>
            <w:vAlign w:val="center"/>
          </w:tcPr>
          <w:p w14:paraId="1A451BD9">
            <w:pPr>
              <w:pStyle w:val="28"/>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cs="Times New Roman"/>
                <w:sz w:val="21"/>
              </w:rPr>
            </w:pPr>
            <w:r>
              <w:rPr>
                <w:rFonts w:ascii="Times New Roman" w:hAnsi="Times New Roman" w:cs="Times New Roman"/>
                <w:sz w:val="21"/>
              </w:rPr>
              <w:t>汽车</w:t>
            </w:r>
          </w:p>
        </w:tc>
        <w:tc>
          <w:tcPr>
            <w:tcW w:w="1341" w:type="pct"/>
            <w:vAlign w:val="center"/>
          </w:tcPr>
          <w:p w14:paraId="0EA073E6">
            <w:pPr>
              <w:pStyle w:val="28"/>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cs="Times New Roman"/>
                <w:sz w:val="21"/>
              </w:rPr>
            </w:pPr>
            <w:r>
              <w:rPr>
                <w:rFonts w:ascii="Times New Roman" w:hAnsi="Times New Roman" w:cs="Times New Roman"/>
                <w:sz w:val="21"/>
              </w:rPr>
              <w:t>5</w:t>
            </w:r>
          </w:p>
        </w:tc>
        <w:tc>
          <w:tcPr>
            <w:tcW w:w="1377" w:type="pct"/>
            <w:vAlign w:val="center"/>
          </w:tcPr>
          <w:p w14:paraId="5698C61C">
            <w:pPr>
              <w:pStyle w:val="28"/>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cs="Times New Roman"/>
                <w:sz w:val="21"/>
              </w:rPr>
            </w:pPr>
            <w:r>
              <w:rPr>
                <w:rFonts w:ascii="Times New Roman" w:hAnsi="Times New Roman" w:cs="Times New Roman"/>
                <w:sz w:val="21"/>
              </w:rPr>
              <w:t>80</w:t>
            </w:r>
          </w:p>
        </w:tc>
      </w:tr>
      <w:tr w14:paraId="179F2A3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Pr>
        <w:tc>
          <w:tcPr>
            <w:tcW w:w="869" w:type="pct"/>
            <w:vAlign w:val="center"/>
          </w:tcPr>
          <w:p w14:paraId="681EAE44">
            <w:pPr>
              <w:pStyle w:val="28"/>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cs="Times New Roman"/>
                <w:sz w:val="21"/>
              </w:rPr>
            </w:pPr>
            <w:r>
              <w:rPr>
                <w:rFonts w:ascii="Times New Roman" w:hAnsi="Times New Roman" w:cs="Times New Roman"/>
                <w:sz w:val="21"/>
              </w:rPr>
              <w:t>3</w:t>
            </w:r>
          </w:p>
        </w:tc>
        <w:tc>
          <w:tcPr>
            <w:tcW w:w="1413" w:type="pct"/>
            <w:vAlign w:val="center"/>
          </w:tcPr>
          <w:p w14:paraId="4A49AEB5">
            <w:pPr>
              <w:pStyle w:val="28"/>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cs="Times New Roman"/>
                <w:sz w:val="21"/>
              </w:rPr>
            </w:pPr>
            <w:r>
              <w:rPr>
                <w:rFonts w:ascii="Times New Roman" w:hAnsi="Times New Roman" w:cs="Times New Roman"/>
                <w:sz w:val="21"/>
              </w:rPr>
              <w:t>载重卡车</w:t>
            </w:r>
          </w:p>
        </w:tc>
        <w:tc>
          <w:tcPr>
            <w:tcW w:w="1341" w:type="pct"/>
            <w:vAlign w:val="center"/>
          </w:tcPr>
          <w:p w14:paraId="414D9B63">
            <w:pPr>
              <w:pStyle w:val="28"/>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cs="Times New Roman"/>
                <w:sz w:val="21"/>
              </w:rPr>
            </w:pPr>
            <w:r>
              <w:rPr>
                <w:rFonts w:ascii="Times New Roman" w:hAnsi="Times New Roman" w:cs="Times New Roman"/>
                <w:sz w:val="21"/>
              </w:rPr>
              <w:t>5</w:t>
            </w:r>
          </w:p>
        </w:tc>
        <w:tc>
          <w:tcPr>
            <w:tcW w:w="1377" w:type="pct"/>
            <w:vAlign w:val="center"/>
          </w:tcPr>
          <w:p w14:paraId="216DAC56">
            <w:pPr>
              <w:pStyle w:val="28"/>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cs="Times New Roman"/>
                <w:sz w:val="21"/>
              </w:rPr>
            </w:pPr>
            <w:r>
              <w:rPr>
                <w:rFonts w:ascii="Times New Roman" w:hAnsi="Times New Roman" w:cs="Times New Roman"/>
                <w:sz w:val="21"/>
              </w:rPr>
              <w:t>80</w:t>
            </w:r>
          </w:p>
        </w:tc>
      </w:tr>
    </w:tbl>
    <w:p w14:paraId="046124D4">
      <w:pPr>
        <w:pStyle w:val="6"/>
        <w:keepNext/>
        <w:keepLines/>
        <w:pageBreakBefore w:val="0"/>
        <w:widowControl/>
        <w:kinsoku/>
        <w:wordWrap/>
        <w:overflowPunct/>
        <w:topLinePunct w:val="0"/>
        <w:autoSpaceDE/>
        <w:autoSpaceDN/>
        <w:bidi w:val="0"/>
        <w:adjustRightInd/>
        <w:snapToGrid/>
        <w:textAlignment w:val="auto"/>
      </w:pPr>
      <w:r>
        <w:rPr>
          <w:rFonts w:hint="eastAsia"/>
          <w:lang w:val="en-US" w:eastAsia="zh-CN"/>
        </w:rPr>
        <w:t>5</w:t>
      </w:r>
      <w:r>
        <w:t>.1.2.4固体废物</w:t>
      </w:r>
    </w:p>
    <w:p w14:paraId="26FB4993">
      <w:pPr>
        <w:pageBreakBefore w:val="0"/>
        <w:kinsoku/>
        <w:wordWrap/>
        <w:overflowPunct/>
        <w:topLinePunct w:val="0"/>
        <w:autoSpaceDE/>
        <w:autoSpaceDN/>
        <w:bidi w:val="0"/>
        <w:adjustRightInd/>
        <w:snapToGrid/>
        <w:spacing w:line="360" w:lineRule="auto"/>
        <w:ind w:firstLine="480" w:firstLineChars="200"/>
        <w:textAlignment w:val="auto"/>
      </w:pPr>
      <w:r>
        <w:t>本项目施工期间产生的固体废物主要为施工人员产生的生活垃圾。施工高峰期施工人员为</w:t>
      </w:r>
      <w:r>
        <w:rPr>
          <w:rFonts w:hint="eastAsia"/>
          <w:lang w:val="en-US" w:eastAsia="zh-CN"/>
        </w:rPr>
        <w:t>1</w:t>
      </w:r>
      <w:r>
        <w:t>0人，每人每天产生生活垃圾0.5kg计，则每日生活垃圾产生量约为5kg，建设总工期（1个月）生活垃圾产生量约</w:t>
      </w:r>
      <w:r>
        <w:rPr>
          <w:rFonts w:hint="eastAsia"/>
          <w:lang w:val="en-US" w:eastAsia="zh-CN"/>
        </w:rPr>
        <w:t>150kg</w:t>
      </w:r>
      <w:r>
        <w:t>。施工人员的生活垃圾由环卫定期清运。施工期环境影响因素见下表。</w:t>
      </w:r>
    </w:p>
    <w:p w14:paraId="6B3D3B2C">
      <w:pPr>
        <w:adjustRightInd w:val="0"/>
        <w:snapToGrid w:val="0"/>
        <w:spacing w:line="240" w:lineRule="auto"/>
        <w:jc w:val="center"/>
        <w:rPr>
          <w:rFonts w:hint="eastAsia" w:ascii="黑体" w:hAnsi="黑体" w:eastAsia="黑体" w:cs="黑体"/>
          <w:b w:val="0"/>
          <w:bCs/>
          <w:sz w:val="21"/>
          <w:szCs w:val="21"/>
        </w:rPr>
      </w:pPr>
    </w:p>
    <w:p w14:paraId="0C1B3A2F">
      <w:pPr>
        <w:adjustRightInd w:val="0"/>
        <w:snapToGrid w:val="0"/>
        <w:spacing w:line="240" w:lineRule="auto"/>
        <w:jc w:val="center"/>
        <w:rPr>
          <w:rFonts w:hint="eastAsia" w:ascii="黑体" w:hAnsi="黑体" w:eastAsia="黑体" w:cs="黑体"/>
          <w:b w:val="0"/>
          <w:bCs/>
          <w:sz w:val="21"/>
          <w:szCs w:val="21"/>
        </w:rPr>
      </w:pPr>
    </w:p>
    <w:p w14:paraId="1079CF5E">
      <w:pPr>
        <w:adjustRightInd w:val="0"/>
        <w:snapToGrid w:val="0"/>
        <w:spacing w:line="240" w:lineRule="auto"/>
        <w:jc w:val="center"/>
        <w:rPr>
          <w:rFonts w:hint="eastAsia" w:ascii="黑体" w:hAnsi="黑体" w:eastAsia="黑体" w:cs="黑体"/>
          <w:b w:val="0"/>
          <w:bCs/>
          <w:sz w:val="21"/>
          <w:szCs w:val="21"/>
        </w:rPr>
      </w:pPr>
    </w:p>
    <w:p w14:paraId="00295FAB">
      <w:pPr>
        <w:adjustRightInd w:val="0"/>
        <w:snapToGrid w:val="0"/>
        <w:spacing w:line="240" w:lineRule="auto"/>
        <w:jc w:val="center"/>
        <w:rPr>
          <w:rFonts w:hint="eastAsia" w:ascii="黑体" w:hAnsi="黑体" w:eastAsia="黑体" w:cs="黑体"/>
          <w:b w:val="0"/>
          <w:bCs/>
          <w:sz w:val="21"/>
          <w:szCs w:val="21"/>
        </w:rPr>
      </w:pPr>
      <w:r>
        <w:rPr>
          <w:rFonts w:hint="eastAsia" w:ascii="黑体" w:hAnsi="黑体" w:eastAsia="黑体" w:cs="黑体"/>
          <w:b w:val="0"/>
          <w:bCs/>
          <w:sz w:val="21"/>
          <w:szCs w:val="21"/>
        </w:rPr>
        <w:t>表</w:t>
      </w:r>
      <w:r>
        <w:rPr>
          <w:rFonts w:hint="eastAsia" w:ascii="黑体" w:hAnsi="黑体" w:eastAsia="黑体" w:cs="黑体"/>
          <w:b w:val="0"/>
          <w:bCs/>
          <w:sz w:val="21"/>
          <w:szCs w:val="21"/>
          <w:lang w:val="en-US" w:eastAsia="zh-CN"/>
        </w:rPr>
        <w:t>5-4</w:t>
      </w:r>
      <w:r>
        <w:rPr>
          <w:rFonts w:hint="eastAsia" w:ascii="黑体" w:hAnsi="黑体" w:eastAsia="黑体" w:cs="黑体"/>
          <w:b w:val="0"/>
          <w:bCs/>
          <w:sz w:val="21"/>
          <w:szCs w:val="21"/>
        </w:rPr>
        <w:t>施工期环境影响因素汇总</w:t>
      </w:r>
    </w:p>
    <w:tbl>
      <w:tblPr>
        <w:tblStyle w:val="52"/>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2005"/>
        <w:gridCol w:w="2604"/>
        <w:gridCol w:w="3913"/>
      </w:tblGrid>
      <w:tr w14:paraId="0F81A47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176" w:type="pct"/>
            <w:tcBorders>
              <w:tl2br w:val="nil"/>
              <w:tr2bl w:val="nil"/>
            </w:tcBorders>
            <w:vAlign w:val="center"/>
          </w:tcPr>
          <w:p w14:paraId="60954F4C">
            <w:pPr>
              <w:pStyle w:val="28"/>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环境因素</w:t>
            </w:r>
          </w:p>
        </w:tc>
        <w:tc>
          <w:tcPr>
            <w:tcW w:w="1527" w:type="pct"/>
            <w:tcBorders>
              <w:tl2br w:val="nil"/>
              <w:tr2bl w:val="nil"/>
            </w:tcBorders>
            <w:vAlign w:val="center"/>
          </w:tcPr>
          <w:p w14:paraId="7FCA5975">
            <w:pPr>
              <w:pStyle w:val="28"/>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污染源</w:t>
            </w:r>
          </w:p>
        </w:tc>
        <w:tc>
          <w:tcPr>
            <w:tcW w:w="2295" w:type="pct"/>
            <w:tcBorders>
              <w:tl2br w:val="nil"/>
              <w:tr2bl w:val="nil"/>
            </w:tcBorders>
            <w:vAlign w:val="center"/>
          </w:tcPr>
          <w:p w14:paraId="4E8F9D31">
            <w:pPr>
              <w:pStyle w:val="28"/>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影响因素及方式</w:t>
            </w:r>
          </w:p>
        </w:tc>
      </w:tr>
      <w:tr w14:paraId="1494865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176" w:type="pct"/>
            <w:vMerge w:val="restart"/>
            <w:tcBorders>
              <w:tl2br w:val="nil"/>
              <w:tr2bl w:val="nil"/>
            </w:tcBorders>
            <w:vAlign w:val="center"/>
          </w:tcPr>
          <w:p w14:paraId="382052EC">
            <w:pPr>
              <w:pStyle w:val="28"/>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环境空气</w:t>
            </w:r>
          </w:p>
        </w:tc>
        <w:tc>
          <w:tcPr>
            <w:tcW w:w="1527" w:type="pct"/>
            <w:tcBorders>
              <w:tl2br w:val="nil"/>
              <w:tr2bl w:val="nil"/>
            </w:tcBorders>
            <w:vAlign w:val="center"/>
          </w:tcPr>
          <w:p w14:paraId="069277AE">
            <w:pPr>
              <w:pStyle w:val="28"/>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扬尘</w:t>
            </w:r>
          </w:p>
        </w:tc>
        <w:tc>
          <w:tcPr>
            <w:tcW w:w="2295" w:type="pct"/>
            <w:tcBorders>
              <w:tl2br w:val="nil"/>
              <w:tr2bl w:val="nil"/>
            </w:tcBorders>
            <w:vAlign w:val="center"/>
          </w:tcPr>
          <w:p w14:paraId="04FE995B">
            <w:pPr>
              <w:pStyle w:val="28"/>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施工及运输引起的扬尘</w:t>
            </w:r>
          </w:p>
        </w:tc>
      </w:tr>
      <w:tr w14:paraId="537DABE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176" w:type="pct"/>
            <w:vMerge w:val="continue"/>
            <w:tcBorders>
              <w:tl2br w:val="nil"/>
              <w:tr2bl w:val="nil"/>
            </w:tcBorders>
            <w:vAlign w:val="center"/>
          </w:tcPr>
          <w:p w14:paraId="6F73F068">
            <w:pPr>
              <w:keepNext w:val="0"/>
              <w:keepLines w:val="0"/>
              <w:pageBreakBefore w:val="0"/>
              <w:widowControl/>
              <w:kinsoku/>
              <w:wordWrap/>
              <w:overflowPunct/>
              <w:topLinePunct w:val="0"/>
              <w:autoSpaceDE/>
              <w:autoSpaceDN/>
              <w:bidi w:val="0"/>
              <w:spacing w:line="240" w:lineRule="auto"/>
              <w:ind w:firstLine="0" w:firstLineChars="0"/>
              <w:jc w:val="left"/>
              <w:textAlignment w:val="auto"/>
              <w:rPr>
                <w:rFonts w:hint="eastAsia" w:ascii="宋体" w:hAnsi="宋体" w:eastAsia="宋体" w:cs="宋体"/>
                <w:sz w:val="21"/>
                <w:szCs w:val="21"/>
              </w:rPr>
            </w:pPr>
          </w:p>
        </w:tc>
        <w:tc>
          <w:tcPr>
            <w:tcW w:w="1527" w:type="pct"/>
            <w:tcBorders>
              <w:tl2br w:val="nil"/>
              <w:tr2bl w:val="nil"/>
            </w:tcBorders>
            <w:vAlign w:val="center"/>
          </w:tcPr>
          <w:p w14:paraId="4F1823D9">
            <w:pPr>
              <w:pStyle w:val="28"/>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施工机械废气</w:t>
            </w:r>
          </w:p>
        </w:tc>
        <w:tc>
          <w:tcPr>
            <w:tcW w:w="2295" w:type="pct"/>
            <w:tcBorders>
              <w:tl2br w:val="nil"/>
              <w:tr2bl w:val="nil"/>
            </w:tcBorders>
            <w:vAlign w:val="center"/>
          </w:tcPr>
          <w:p w14:paraId="0F5F7C8F">
            <w:pPr>
              <w:pStyle w:val="28"/>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机械燃柴油产生的废气</w:t>
            </w:r>
          </w:p>
        </w:tc>
      </w:tr>
      <w:tr w14:paraId="1FF0367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176" w:type="pct"/>
            <w:vMerge w:val="restart"/>
            <w:tcBorders>
              <w:tl2br w:val="nil"/>
              <w:tr2bl w:val="nil"/>
            </w:tcBorders>
            <w:vAlign w:val="center"/>
          </w:tcPr>
          <w:p w14:paraId="65AF7429">
            <w:pPr>
              <w:pStyle w:val="28"/>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地表水</w:t>
            </w:r>
          </w:p>
          <w:p w14:paraId="72BCD1E9">
            <w:pPr>
              <w:pStyle w:val="28"/>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环境</w:t>
            </w:r>
          </w:p>
        </w:tc>
        <w:tc>
          <w:tcPr>
            <w:tcW w:w="1527" w:type="pct"/>
            <w:tcBorders>
              <w:tl2br w:val="nil"/>
              <w:tr2bl w:val="nil"/>
            </w:tcBorders>
            <w:vAlign w:val="center"/>
          </w:tcPr>
          <w:p w14:paraId="5E71E80A">
            <w:pPr>
              <w:pStyle w:val="28"/>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施工废水</w:t>
            </w:r>
          </w:p>
        </w:tc>
        <w:tc>
          <w:tcPr>
            <w:tcW w:w="2295" w:type="pct"/>
            <w:tcBorders>
              <w:tl2br w:val="nil"/>
              <w:tr2bl w:val="nil"/>
            </w:tcBorders>
            <w:vAlign w:val="center"/>
          </w:tcPr>
          <w:p w14:paraId="4AE71EC6">
            <w:pPr>
              <w:pStyle w:val="28"/>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COD、SS等</w:t>
            </w:r>
          </w:p>
        </w:tc>
      </w:tr>
      <w:tr w14:paraId="51862C4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176" w:type="pct"/>
            <w:vMerge w:val="continue"/>
            <w:tcBorders>
              <w:tl2br w:val="nil"/>
              <w:tr2bl w:val="nil"/>
            </w:tcBorders>
            <w:vAlign w:val="center"/>
          </w:tcPr>
          <w:p w14:paraId="35C1A0F6">
            <w:pPr>
              <w:keepNext w:val="0"/>
              <w:keepLines w:val="0"/>
              <w:pageBreakBefore w:val="0"/>
              <w:widowControl/>
              <w:kinsoku/>
              <w:wordWrap/>
              <w:overflowPunct/>
              <w:topLinePunct w:val="0"/>
              <w:autoSpaceDE/>
              <w:autoSpaceDN/>
              <w:bidi w:val="0"/>
              <w:spacing w:line="240" w:lineRule="auto"/>
              <w:ind w:firstLine="0" w:firstLineChars="0"/>
              <w:jc w:val="left"/>
              <w:textAlignment w:val="auto"/>
              <w:rPr>
                <w:rFonts w:hint="eastAsia" w:ascii="宋体" w:hAnsi="宋体" w:eastAsia="宋体" w:cs="宋体"/>
                <w:sz w:val="21"/>
                <w:szCs w:val="21"/>
              </w:rPr>
            </w:pPr>
          </w:p>
        </w:tc>
        <w:tc>
          <w:tcPr>
            <w:tcW w:w="1527" w:type="pct"/>
            <w:tcBorders>
              <w:tl2br w:val="nil"/>
              <w:tr2bl w:val="nil"/>
            </w:tcBorders>
            <w:vAlign w:val="center"/>
          </w:tcPr>
          <w:p w14:paraId="50028FC0">
            <w:pPr>
              <w:pStyle w:val="28"/>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生活污水</w:t>
            </w:r>
          </w:p>
        </w:tc>
        <w:tc>
          <w:tcPr>
            <w:tcW w:w="2295" w:type="pct"/>
            <w:tcBorders>
              <w:tl2br w:val="nil"/>
              <w:tr2bl w:val="nil"/>
            </w:tcBorders>
            <w:vAlign w:val="center"/>
          </w:tcPr>
          <w:p w14:paraId="52C6BAA0">
            <w:pPr>
              <w:pStyle w:val="28"/>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COD、SS、氨氮等</w:t>
            </w:r>
          </w:p>
        </w:tc>
      </w:tr>
      <w:tr w14:paraId="7D7C5B4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176" w:type="pct"/>
            <w:tcBorders>
              <w:tl2br w:val="nil"/>
              <w:tr2bl w:val="nil"/>
            </w:tcBorders>
            <w:vAlign w:val="center"/>
          </w:tcPr>
          <w:p w14:paraId="1836C705">
            <w:pPr>
              <w:pStyle w:val="28"/>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声环境</w:t>
            </w:r>
          </w:p>
        </w:tc>
        <w:tc>
          <w:tcPr>
            <w:tcW w:w="1527" w:type="pct"/>
            <w:tcBorders>
              <w:tl2br w:val="nil"/>
              <w:tr2bl w:val="nil"/>
            </w:tcBorders>
            <w:vAlign w:val="center"/>
          </w:tcPr>
          <w:p w14:paraId="2D41413D">
            <w:pPr>
              <w:pStyle w:val="28"/>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施工机械</w:t>
            </w:r>
          </w:p>
        </w:tc>
        <w:tc>
          <w:tcPr>
            <w:tcW w:w="2295" w:type="pct"/>
            <w:tcBorders>
              <w:tl2br w:val="nil"/>
              <w:tr2bl w:val="nil"/>
            </w:tcBorders>
            <w:vAlign w:val="center"/>
          </w:tcPr>
          <w:p w14:paraId="280085E1">
            <w:pPr>
              <w:pStyle w:val="28"/>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噪声</w:t>
            </w:r>
          </w:p>
        </w:tc>
      </w:tr>
      <w:tr w14:paraId="344ADD8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176" w:type="pct"/>
            <w:tcBorders>
              <w:tl2br w:val="nil"/>
              <w:tr2bl w:val="nil"/>
            </w:tcBorders>
            <w:vAlign w:val="center"/>
          </w:tcPr>
          <w:p w14:paraId="3C9E9567">
            <w:pPr>
              <w:pStyle w:val="28"/>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固废</w:t>
            </w:r>
          </w:p>
        </w:tc>
        <w:tc>
          <w:tcPr>
            <w:tcW w:w="1527" w:type="pct"/>
            <w:tcBorders>
              <w:tl2br w:val="nil"/>
              <w:tr2bl w:val="nil"/>
            </w:tcBorders>
            <w:vAlign w:val="center"/>
          </w:tcPr>
          <w:p w14:paraId="1B4A0795">
            <w:pPr>
              <w:pStyle w:val="28"/>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生活垃圾</w:t>
            </w:r>
          </w:p>
        </w:tc>
        <w:tc>
          <w:tcPr>
            <w:tcW w:w="2295" w:type="pct"/>
            <w:tcBorders>
              <w:tl2br w:val="nil"/>
              <w:tr2bl w:val="nil"/>
            </w:tcBorders>
            <w:vAlign w:val="center"/>
          </w:tcPr>
          <w:p w14:paraId="0A0ECAE5">
            <w:pPr>
              <w:pStyle w:val="28"/>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一般生活垃圾</w:t>
            </w:r>
          </w:p>
        </w:tc>
      </w:tr>
    </w:tbl>
    <w:p w14:paraId="399B6A6C">
      <w:pPr>
        <w:pStyle w:val="3"/>
        <w:keepNext/>
        <w:keepLines/>
        <w:pageBreakBefore w:val="0"/>
        <w:widowControl/>
        <w:kinsoku/>
        <w:wordWrap/>
        <w:overflowPunct/>
        <w:topLinePunct w:val="0"/>
        <w:autoSpaceDE/>
        <w:autoSpaceDN/>
        <w:bidi w:val="0"/>
        <w:adjustRightInd/>
        <w:snapToGrid/>
        <w:spacing w:before="0" w:after="0"/>
        <w:textAlignment w:val="auto"/>
      </w:pPr>
      <w:bookmarkStart w:id="344" w:name="_Toc30241"/>
      <w:r>
        <w:rPr>
          <w:rFonts w:hint="eastAsia"/>
          <w:lang w:val="en-US" w:eastAsia="zh-CN"/>
        </w:rPr>
        <w:t>5</w:t>
      </w:r>
      <w:r>
        <w:t>.2营运期工程分析</w:t>
      </w:r>
      <w:bookmarkEnd w:id="344"/>
    </w:p>
    <w:p w14:paraId="77012004">
      <w:pPr>
        <w:pStyle w:val="5"/>
        <w:keepNext/>
        <w:keepLines/>
        <w:pageBreakBefore w:val="0"/>
        <w:widowControl/>
        <w:kinsoku/>
        <w:wordWrap/>
        <w:overflowPunct/>
        <w:topLinePunct w:val="0"/>
        <w:autoSpaceDE/>
        <w:autoSpaceDN/>
        <w:bidi w:val="0"/>
        <w:adjustRightInd/>
        <w:snapToGrid/>
        <w:spacing w:before="0" w:after="0"/>
        <w:textAlignment w:val="auto"/>
        <w:rPr>
          <w:rFonts w:hint="eastAsia"/>
          <w:lang w:val="en-US" w:eastAsia="zh-CN"/>
        </w:rPr>
      </w:pPr>
      <w:r>
        <w:rPr>
          <w:rFonts w:hint="eastAsia"/>
          <w:lang w:val="en-US" w:eastAsia="zh-CN"/>
        </w:rPr>
        <w:t>5.2.1生产工艺流程</w:t>
      </w:r>
    </w:p>
    <w:p w14:paraId="118DAF09">
      <w:pPr>
        <w:bidi w:val="0"/>
        <w:rPr>
          <w:rFonts w:hint="eastAsia"/>
          <w:lang w:eastAsia="zh-CN"/>
        </w:rPr>
      </w:pPr>
      <w:r>
        <w:rPr>
          <w:rFonts w:hint="eastAsia"/>
          <w:lang w:eastAsia="zh-CN"/>
        </w:rPr>
        <w:t>本溪佰汇铜业有限公司环保型铜排表面处理自动生产线项目设置铜排表面处理生产线一条，镀件为铜排，项目工艺流程及产排污节点如下图所示。</w:t>
      </w:r>
    </w:p>
    <w:p w14:paraId="0B46BC55">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lang w:val="en-US" w:eastAsia="zh-CN"/>
        </w:rPr>
      </w:pPr>
      <w:r>
        <w:rPr>
          <w:rFonts w:hint="eastAsia"/>
          <w:lang w:val="en-US" w:eastAsia="zh-CN"/>
        </w:rPr>
        <w:drawing>
          <wp:inline distT="0" distB="0" distL="114300" distR="114300">
            <wp:extent cx="5267960" cy="1649095"/>
            <wp:effectExtent l="0" t="0" r="8890" b="8255"/>
            <wp:docPr id="53" name="图片 53" descr="截图20200518084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descr="截图20200518084004"/>
                    <pic:cNvPicPr>
                      <a:picLocks noChangeAspect="1"/>
                    </pic:cNvPicPr>
                  </pic:nvPicPr>
                  <pic:blipFill>
                    <a:blip r:embed="rId23"/>
                    <a:stretch>
                      <a:fillRect/>
                    </a:stretch>
                  </pic:blipFill>
                  <pic:spPr>
                    <a:xfrm>
                      <a:off x="0" y="0"/>
                      <a:ext cx="5267960" cy="1649095"/>
                    </a:xfrm>
                    <a:prstGeom prst="rect">
                      <a:avLst/>
                    </a:prstGeom>
                  </pic:spPr>
                </pic:pic>
              </a:graphicData>
            </a:graphic>
          </wp:inline>
        </w:drawing>
      </w:r>
    </w:p>
    <w:p w14:paraId="66FC84C8">
      <w:pPr>
        <w:pStyle w:val="72"/>
        <w:jc w:val="center"/>
        <w:rPr>
          <w:rFonts w:hint="eastAsia" w:ascii="黑体" w:hAnsi="黑体" w:eastAsia="黑体" w:cs="黑体"/>
          <w:sz w:val="21"/>
          <w:szCs w:val="21"/>
          <w:highlight w:val="none"/>
          <w:lang w:val="en-US" w:eastAsia="zh-CN"/>
        </w:rPr>
      </w:pPr>
      <w:r>
        <w:rPr>
          <w:rFonts w:hint="eastAsia" w:ascii="黑体" w:hAnsi="黑体" w:eastAsia="黑体" w:cs="黑体"/>
          <w:sz w:val="21"/>
          <w:szCs w:val="21"/>
          <w:highlight w:val="none"/>
          <w:lang w:val="en-US" w:eastAsia="zh-CN"/>
        </w:rPr>
        <w:t>图5-2项目生产工艺及产污节点图</w:t>
      </w:r>
    </w:p>
    <w:p w14:paraId="373661FF">
      <w:pPr>
        <w:bidi w:val="0"/>
        <w:rPr>
          <w:rFonts w:hint="eastAsia"/>
          <w:lang w:val="en-US" w:eastAsia="zh-CN"/>
        </w:rPr>
      </w:pPr>
      <w:r>
        <w:rPr>
          <w:rFonts w:hint="eastAsia"/>
          <w:lang w:val="en-US" w:eastAsia="zh-CN"/>
        </w:rPr>
        <w:t>项目工艺流程中主要污染物代号标识如下表所示。</w:t>
      </w:r>
    </w:p>
    <w:p w14:paraId="2C82CAB7">
      <w:pPr>
        <w:pStyle w:val="72"/>
        <w:jc w:val="center"/>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表5-5工艺流程中主要污染物代码标识</w:t>
      </w:r>
    </w:p>
    <w:tbl>
      <w:tblPr>
        <w:tblStyle w:val="53"/>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286350F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500" w:type="pct"/>
            <w:tcBorders>
              <w:tl2br w:val="nil"/>
              <w:tr2bl w:val="nil"/>
            </w:tcBorders>
            <w:vAlign w:val="center"/>
          </w:tcPr>
          <w:p w14:paraId="73F26A6B">
            <w:pPr>
              <w:pStyle w:val="72"/>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代号</w:t>
            </w:r>
          </w:p>
        </w:tc>
        <w:tc>
          <w:tcPr>
            <w:tcW w:w="2500" w:type="pct"/>
            <w:tcBorders>
              <w:tl2br w:val="nil"/>
              <w:tr2bl w:val="nil"/>
            </w:tcBorders>
            <w:vAlign w:val="center"/>
          </w:tcPr>
          <w:p w14:paraId="5C93C6AE">
            <w:pPr>
              <w:pStyle w:val="72"/>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污染物</w:t>
            </w:r>
          </w:p>
        </w:tc>
      </w:tr>
      <w:tr w14:paraId="72B6C44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500" w:type="pct"/>
            <w:tcBorders>
              <w:tl2br w:val="nil"/>
              <w:tr2bl w:val="nil"/>
            </w:tcBorders>
            <w:vAlign w:val="center"/>
          </w:tcPr>
          <w:p w14:paraId="11A66AC6">
            <w:pPr>
              <w:pStyle w:val="72"/>
              <w:jc w:val="center"/>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G1</w:t>
            </w:r>
          </w:p>
        </w:tc>
        <w:tc>
          <w:tcPr>
            <w:tcW w:w="2500" w:type="pct"/>
            <w:tcBorders>
              <w:tl2br w:val="nil"/>
              <w:tr2bl w:val="nil"/>
            </w:tcBorders>
            <w:vAlign w:val="center"/>
          </w:tcPr>
          <w:p w14:paraId="0B4DF50F">
            <w:pPr>
              <w:pStyle w:val="72"/>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酸性废气</w:t>
            </w:r>
          </w:p>
        </w:tc>
      </w:tr>
      <w:tr w14:paraId="4BC2411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500" w:type="pct"/>
            <w:tcBorders>
              <w:tl2br w:val="nil"/>
              <w:tr2bl w:val="nil"/>
            </w:tcBorders>
            <w:vAlign w:val="center"/>
          </w:tcPr>
          <w:p w14:paraId="261179EB">
            <w:pPr>
              <w:pStyle w:val="72"/>
              <w:jc w:val="center"/>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W1</w:t>
            </w:r>
          </w:p>
        </w:tc>
        <w:tc>
          <w:tcPr>
            <w:tcW w:w="2500" w:type="pct"/>
            <w:tcBorders>
              <w:tl2br w:val="nil"/>
              <w:tr2bl w:val="nil"/>
            </w:tcBorders>
            <w:vAlign w:val="center"/>
          </w:tcPr>
          <w:p w14:paraId="286BB2FC">
            <w:pPr>
              <w:pStyle w:val="72"/>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前处理废水</w:t>
            </w:r>
          </w:p>
        </w:tc>
      </w:tr>
      <w:tr w14:paraId="18ACA47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500" w:type="pct"/>
            <w:tcBorders>
              <w:tl2br w:val="nil"/>
              <w:tr2bl w:val="nil"/>
            </w:tcBorders>
            <w:vAlign w:val="center"/>
          </w:tcPr>
          <w:p w14:paraId="2E8EEE57">
            <w:pPr>
              <w:pStyle w:val="72"/>
              <w:jc w:val="center"/>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W2</w:t>
            </w:r>
          </w:p>
        </w:tc>
        <w:tc>
          <w:tcPr>
            <w:tcW w:w="2500" w:type="pct"/>
            <w:tcBorders>
              <w:tl2br w:val="nil"/>
              <w:tr2bl w:val="nil"/>
            </w:tcBorders>
            <w:vAlign w:val="center"/>
          </w:tcPr>
          <w:p w14:paraId="7BD322CE">
            <w:pPr>
              <w:pStyle w:val="72"/>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含锡废水</w:t>
            </w:r>
          </w:p>
        </w:tc>
      </w:tr>
      <w:tr w14:paraId="1DF0BD4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500" w:type="pct"/>
            <w:tcBorders>
              <w:tl2br w:val="nil"/>
              <w:tr2bl w:val="nil"/>
            </w:tcBorders>
            <w:vAlign w:val="center"/>
          </w:tcPr>
          <w:p w14:paraId="640482ED">
            <w:pPr>
              <w:pStyle w:val="72"/>
              <w:jc w:val="center"/>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S1</w:t>
            </w:r>
          </w:p>
        </w:tc>
        <w:tc>
          <w:tcPr>
            <w:tcW w:w="2500" w:type="pct"/>
            <w:tcBorders>
              <w:tl2br w:val="nil"/>
              <w:tr2bl w:val="nil"/>
            </w:tcBorders>
            <w:vAlign w:val="center"/>
          </w:tcPr>
          <w:p w14:paraId="18BBF627">
            <w:pPr>
              <w:pStyle w:val="72"/>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前处理含碱废渣和污泥</w:t>
            </w:r>
          </w:p>
        </w:tc>
      </w:tr>
      <w:tr w14:paraId="1899446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500" w:type="pct"/>
            <w:tcBorders>
              <w:tl2br w:val="nil"/>
              <w:tr2bl w:val="nil"/>
            </w:tcBorders>
            <w:vAlign w:val="center"/>
          </w:tcPr>
          <w:p w14:paraId="55BF9F2F">
            <w:pPr>
              <w:pStyle w:val="72"/>
              <w:jc w:val="center"/>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S2</w:t>
            </w:r>
          </w:p>
        </w:tc>
        <w:tc>
          <w:tcPr>
            <w:tcW w:w="2500" w:type="pct"/>
            <w:tcBorders>
              <w:tl2br w:val="nil"/>
              <w:tr2bl w:val="nil"/>
            </w:tcBorders>
            <w:vAlign w:val="center"/>
          </w:tcPr>
          <w:p w14:paraId="025E5161">
            <w:pPr>
              <w:pStyle w:val="72"/>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含锡滤渣和污泥</w:t>
            </w:r>
          </w:p>
        </w:tc>
      </w:tr>
    </w:tbl>
    <w:p w14:paraId="0E4BDB1E">
      <w:pPr>
        <w:pStyle w:val="72"/>
        <w:rPr>
          <w:rFonts w:hint="default"/>
          <w:lang w:val="en-US" w:eastAsia="zh-CN"/>
        </w:rPr>
      </w:pPr>
    </w:p>
    <w:p w14:paraId="7C98CFD6">
      <w:pPr>
        <w:pStyle w:val="5"/>
        <w:bidi w:val="0"/>
        <w:rPr>
          <w:rFonts w:hint="eastAsia"/>
          <w:lang w:val="en-US" w:eastAsia="zh-CN"/>
        </w:rPr>
      </w:pPr>
      <w:r>
        <w:rPr>
          <w:rFonts w:hint="eastAsia"/>
          <w:lang w:val="en-US" w:eastAsia="zh-CN"/>
        </w:rPr>
        <w:t>5.2.2项目生产工艺流程描述</w:t>
      </w:r>
    </w:p>
    <w:p w14:paraId="1062B67B">
      <w:pPr>
        <w:pStyle w:val="6"/>
        <w:bidi w:val="0"/>
        <w:rPr>
          <w:rFonts w:hint="default"/>
          <w:lang w:val="en-US" w:eastAsia="zh-CN"/>
        </w:rPr>
      </w:pPr>
      <w:r>
        <w:rPr>
          <w:rFonts w:hint="eastAsia"/>
          <w:lang w:val="en-US" w:eastAsia="zh-CN"/>
        </w:rPr>
        <w:t>5.2.2.1</w:t>
      </w:r>
      <w:r>
        <w:rPr>
          <w:rFonts w:hint="default"/>
          <w:lang w:val="en-US" w:eastAsia="zh-CN"/>
        </w:rPr>
        <w:t>脱脂去油</w:t>
      </w:r>
    </w:p>
    <w:p w14:paraId="35C48D94">
      <w:pPr>
        <w:bidi w:val="0"/>
        <w:rPr>
          <w:rFonts w:hint="eastAsia"/>
          <w:lang w:val="en-US" w:eastAsia="zh-CN"/>
        </w:rPr>
      </w:pPr>
      <w:r>
        <w:rPr>
          <w:rFonts w:hint="eastAsia"/>
          <w:lang w:val="en-US" w:eastAsia="zh-CN"/>
        </w:rPr>
        <w:t>脱脂又称除油，目的是将金属表面的油污去除干净。当金属表面覆着油污时，在电镀时该处就不会发生电化学反应，因此也不会形成镀层，致使整个零件的镀层质量下降。</w:t>
      </w:r>
    </w:p>
    <w:p w14:paraId="691C02FF">
      <w:pPr>
        <w:bidi w:val="0"/>
        <w:rPr>
          <w:rFonts w:hint="eastAsia"/>
          <w:lang w:val="en-US" w:eastAsia="zh-CN"/>
        </w:rPr>
      </w:pPr>
      <w:r>
        <w:rPr>
          <w:rFonts w:hint="eastAsia"/>
          <w:lang w:val="en-US" w:eastAsia="zh-CN"/>
        </w:rPr>
        <w:t>本项目采取电解除油工艺，脱脂剂主要成分为氢氧化钠和碳酸钠。</w:t>
      </w:r>
    </w:p>
    <w:p w14:paraId="3545A80F">
      <w:pPr>
        <w:bidi w:val="0"/>
        <w:rPr>
          <w:rFonts w:hint="eastAsia"/>
          <w:lang w:val="en-US" w:eastAsia="zh-CN"/>
        </w:rPr>
      </w:pPr>
      <w:r>
        <w:rPr>
          <w:rFonts w:hint="eastAsia"/>
          <w:lang w:val="en-US" w:eastAsia="zh-CN"/>
        </w:rPr>
        <w:t>电解去油：将金属工件作为一个电极，浸在电解液中，通入直流电时，由于极化作用，金属-溶液界面的界面张力降低，溶液很容易渗透到油膜下的工件表面，发生还原或氧化反应，析出大量的氢气和氧气，析出的气体脱离金属表面浮出，产生强烈的搅拌作用，猛烈地冲击和撕裂油膜，使吸附在工件上的油膜被碎成细小的油珠，迅速与工件脱离，进入溶液后成为乳浊液，从而达到脱脂的目的。要脱脂的工件可以是阴极，也可以是阳极，工件是阴极的叫阴极电解脱脂，工件是阳极的叫阳极电解脱脂。电解脱脂比化学脱脂效率高得多，并且脱脂彻底。</w:t>
      </w:r>
    </w:p>
    <w:p w14:paraId="2B1807F7">
      <w:pPr>
        <w:pStyle w:val="6"/>
        <w:bidi w:val="0"/>
        <w:rPr>
          <w:rFonts w:hint="eastAsia"/>
          <w:lang w:val="en-US" w:eastAsia="zh-CN"/>
        </w:rPr>
      </w:pPr>
      <w:r>
        <w:rPr>
          <w:rFonts w:hint="eastAsia"/>
          <w:lang w:val="en-US" w:eastAsia="zh-CN"/>
        </w:rPr>
        <w:t>5.2.2.2水洗</w:t>
      </w:r>
    </w:p>
    <w:p w14:paraId="455D63F8">
      <w:pPr>
        <w:bidi w:val="0"/>
        <w:rPr>
          <w:rFonts w:hint="default"/>
          <w:lang w:val="en-US" w:eastAsia="zh-CN"/>
        </w:rPr>
      </w:pPr>
      <w:r>
        <w:rPr>
          <w:rFonts w:hint="default"/>
          <w:lang w:val="en-US" w:eastAsia="zh-CN"/>
        </w:rPr>
        <w:t>通过水洗将附着在工件上残留的酸、碱或镀液等清洗掉，保持工件表面干净。本项目水洗工序采用的水洗工艺有喷淋水洗工艺。</w:t>
      </w:r>
    </w:p>
    <w:p w14:paraId="46A76669">
      <w:pPr>
        <w:pStyle w:val="6"/>
        <w:bidi w:val="0"/>
        <w:rPr>
          <w:rFonts w:hint="eastAsia"/>
          <w:lang w:val="en-US" w:eastAsia="zh-CN"/>
        </w:rPr>
      </w:pPr>
      <w:r>
        <w:rPr>
          <w:rFonts w:hint="eastAsia"/>
          <w:lang w:val="en-US" w:eastAsia="zh-CN"/>
        </w:rPr>
        <w:t>5.2.2.3镀锡</w:t>
      </w:r>
    </w:p>
    <w:p w14:paraId="2DB4022F">
      <w:pPr>
        <w:bidi w:val="0"/>
        <w:rPr>
          <w:rFonts w:hint="default"/>
          <w:lang w:val="en-US" w:eastAsia="zh-CN"/>
        </w:rPr>
      </w:pPr>
      <w:r>
        <w:rPr>
          <w:rFonts w:hint="default"/>
          <w:lang w:val="en-US" w:eastAsia="zh-CN"/>
        </w:rPr>
        <w:t>本项目镀锡采用甲基磺酸盐电镀锡工艺，共有两个镀锡槽，镀液主要含有甲基磺酸锡和甲基磺酸，以甲基磺酸锡为镀盐，镀锡阳极为锡块。甲基磺酸电镀体系具有二价锡不易水解、镀液稳定性好、镀层质量高、废水易处理等优点，镀锡液中加入甲基磺酸既可防止甲磺酸锡的水解，又能增加阳极的溶解、镀液的导电性和分散能力。</w:t>
      </w:r>
    </w:p>
    <w:p w14:paraId="00F61AA6">
      <w:pPr>
        <w:pStyle w:val="6"/>
        <w:bidi w:val="0"/>
        <w:rPr>
          <w:rFonts w:hint="eastAsia"/>
          <w:lang w:val="en-US" w:eastAsia="zh-CN"/>
        </w:rPr>
      </w:pPr>
      <w:r>
        <w:rPr>
          <w:rFonts w:hint="eastAsia"/>
          <w:lang w:val="en-US" w:eastAsia="zh-CN"/>
        </w:rPr>
        <w:t>5.2.2.4烘干</w:t>
      </w:r>
    </w:p>
    <w:p w14:paraId="06CD4F4F">
      <w:pPr>
        <w:bidi w:val="0"/>
        <w:rPr>
          <w:rFonts w:hint="default"/>
          <w:lang w:val="en-US" w:eastAsia="zh-CN"/>
        </w:rPr>
      </w:pPr>
      <w:r>
        <w:rPr>
          <w:rFonts w:hint="default"/>
          <w:lang w:val="en-US" w:eastAsia="zh-CN"/>
        </w:rPr>
        <w:t>本项目镀件镀锡后经过水洗后需要烘干，烘干拟采用电加热空气吹风的方式。烘干之前采用热水洗的方式对</w:t>
      </w:r>
      <w:r>
        <w:rPr>
          <w:rFonts w:hint="eastAsia"/>
          <w:lang w:val="en-US" w:eastAsia="zh-CN"/>
        </w:rPr>
        <w:t>铜排</w:t>
      </w:r>
      <w:r>
        <w:rPr>
          <w:rFonts w:hint="default"/>
          <w:lang w:val="en-US" w:eastAsia="zh-CN"/>
        </w:rPr>
        <w:t>进行预加热，以提高烘干速度。</w:t>
      </w:r>
    </w:p>
    <w:p w14:paraId="06C7F4AE">
      <w:pPr>
        <w:pStyle w:val="6"/>
        <w:bidi w:val="0"/>
        <w:rPr>
          <w:rFonts w:hint="eastAsia"/>
          <w:lang w:val="en-US" w:eastAsia="zh-CN"/>
        </w:rPr>
      </w:pPr>
      <w:r>
        <w:rPr>
          <w:rFonts w:hint="eastAsia"/>
          <w:lang w:val="en-US" w:eastAsia="zh-CN"/>
        </w:rPr>
        <w:t>5.2.2.5槽液维护</w:t>
      </w:r>
    </w:p>
    <w:p w14:paraId="2BD9532F">
      <w:pPr>
        <w:bidi w:val="0"/>
        <w:rPr>
          <w:rFonts w:hint="eastAsia"/>
          <w:lang w:val="en-US" w:eastAsia="zh-CN"/>
        </w:rPr>
      </w:pPr>
      <w:r>
        <w:rPr>
          <w:rFonts w:hint="eastAsia"/>
          <w:lang w:val="en-US" w:eastAsia="zh-CN"/>
        </w:rPr>
        <w:t>本项目镀锡槽使用过程中，槽液中会混进杂质和灰尘，影响镀件的镀层质量，项目你在生产线配置槽液过滤机，生产时在线对槽液进行过滤，滤芯没月更换一次，槽液过滤后，电镀槽槽液循环使用，只补充原料，渡槽底部沉积的电镀污泥一年清除一次。</w:t>
      </w:r>
    </w:p>
    <w:p w14:paraId="7D52B658">
      <w:pPr>
        <w:bidi w:val="0"/>
        <w:rPr>
          <w:rFonts w:hint="default"/>
          <w:lang w:val="en-US" w:eastAsia="zh-CN"/>
        </w:rPr>
      </w:pPr>
      <w:r>
        <w:rPr>
          <w:rFonts w:hint="eastAsia"/>
          <w:lang w:val="en-US" w:eastAsia="zh-CN"/>
        </w:rPr>
        <w:t>经与企业核实，本项目生产过程中不涉及退镀工序。</w:t>
      </w:r>
    </w:p>
    <w:p w14:paraId="21E915CC">
      <w:pPr>
        <w:pStyle w:val="5"/>
        <w:bidi w:val="0"/>
        <w:rPr>
          <w:rFonts w:hint="eastAsia"/>
          <w:lang w:val="en-US" w:eastAsia="zh-CN"/>
        </w:rPr>
      </w:pPr>
      <w:r>
        <w:rPr>
          <w:rFonts w:hint="eastAsia"/>
          <w:lang w:val="en-US" w:eastAsia="zh-CN"/>
        </w:rPr>
        <w:t>5.2.3项目生产线用水情况</w:t>
      </w:r>
    </w:p>
    <w:p w14:paraId="077EC9F6">
      <w:pPr>
        <w:bidi w:val="0"/>
        <w:rPr>
          <w:rFonts w:hint="eastAsia"/>
          <w:lang w:val="en-US" w:eastAsia="zh-CN"/>
        </w:rPr>
      </w:pPr>
      <w:r>
        <w:rPr>
          <w:rFonts w:hint="eastAsia"/>
          <w:lang w:val="en-US" w:eastAsia="zh-CN"/>
        </w:rPr>
        <w:t>项目生产线用水情况见下表，生产过程中水洗均为自来水（不涉及纯水制备）。</w:t>
      </w:r>
    </w:p>
    <w:p w14:paraId="18F64B01">
      <w:pPr>
        <w:pStyle w:val="72"/>
        <w:jc w:val="center"/>
        <w:rPr>
          <w:rFonts w:hint="eastAsia" w:ascii="黑体" w:hAnsi="黑体" w:eastAsia="黑体" w:cs="黑体"/>
          <w:sz w:val="21"/>
          <w:szCs w:val="21"/>
          <w:lang w:val="en-US" w:eastAsia="zh-CN"/>
        </w:rPr>
      </w:pPr>
    </w:p>
    <w:p w14:paraId="48CC782D">
      <w:pPr>
        <w:pStyle w:val="72"/>
        <w:jc w:val="center"/>
        <w:rPr>
          <w:rFonts w:hint="eastAsia" w:ascii="黑体" w:hAnsi="黑体" w:eastAsia="黑体" w:cs="黑体"/>
          <w:sz w:val="21"/>
          <w:szCs w:val="21"/>
          <w:lang w:val="en-US" w:eastAsia="zh-CN"/>
        </w:rPr>
      </w:pPr>
    </w:p>
    <w:p w14:paraId="6334ED3B">
      <w:pPr>
        <w:pStyle w:val="72"/>
        <w:jc w:val="center"/>
        <w:rPr>
          <w:rFonts w:hint="eastAsia" w:ascii="黑体" w:hAnsi="黑体" w:eastAsia="黑体" w:cs="黑体"/>
          <w:sz w:val="21"/>
          <w:szCs w:val="21"/>
          <w:lang w:val="en-US" w:eastAsia="zh-CN"/>
        </w:rPr>
      </w:pPr>
    </w:p>
    <w:p w14:paraId="3992576A">
      <w:pPr>
        <w:pStyle w:val="72"/>
        <w:jc w:val="center"/>
        <w:rPr>
          <w:rFonts w:hint="eastAsia" w:ascii="黑体" w:hAnsi="黑体" w:eastAsia="黑体" w:cs="黑体"/>
          <w:sz w:val="21"/>
          <w:szCs w:val="21"/>
          <w:lang w:val="en-US" w:eastAsia="zh-CN"/>
        </w:rPr>
      </w:pPr>
    </w:p>
    <w:p w14:paraId="3FE889FE">
      <w:pPr>
        <w:pStyle w:val="72"/>
        <w:jc w:val="center"/>
        <w:rPr>
          <w:rFonts w:hint="eastAsia" w:ascii="黑体" w:hAnsi="黑体" w:eastAsia="黑体" w:cs="黑体"/>
          <w:sz w:val="21"/>
          <w:szCs w:val="21"/>
          <w:lang w:val="en-US" w:eastAsia="zh-CN"/>
        </w:rPr>
      </w:pPr>
    </w:p>
    <w:p w14:paraId="74B095D8">
      <w:pPr>
        <w:pStyle w:val="72"/>
        <w:jc w:val="center"/>
        <w:rPr>
          <w:rFonts w:hint="eastAsia" w:ascii="黑体" w:hAnsi="黑体" w:eastAsia="黑体" w:cs="黑体"/>
          <w:sz w:val="21"/>
          <w:szCs w:val="21"/>
          <w:lang w:val="en-US" w:eastAsia="zh-CN"/>
        </w:rPr>
      </w:pPr>
    </w:p>
    <w:p w14:paraId="15BB38F1">
      <w:pPr>
        <w:pStyle w:val="72"/>
        <w:jc w:val="center"/>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表5-6项目生产线用水情况明细表</w:t>
      </w:r>
    </w:p>
    <w:tbl>
      <w:tblPr>
        <w:tblStyle w:val="53"/>
        <w:tblW w:w="4994"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638"/>
        <w:gridCol w:w="1483"/>
        <w:gridCol w:w="1066"/>
        <w:gridCol w:w="1065"/>
        <w:gridCol w:w="1065"/>
        <w:gridCol w:w="1065"/>
        <w:gridCol w:w="1065"/>
        <w:gridCol w:w="1065"/>
      </w:tblGrid>
      <w:tr w14:paraId="0608EE4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75" w:type="pct"/>
            <w:tcBorders>
              <w:tl2br w:val="nil"/>
              <w:tr2bl w:val="nil"/>
            </w:tcBorders>
            <w:vAlign w:val="center"/>
          </w:tcPr>
          <w:p w14:paraId="240806D0">
            <w:pPr>
              <w:pStyle w:val="72"/>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序号</w:t>
            </w:r>
          </w:p>
        </w:tc>
        <w:tc>
          <w:tcPr>
            <w:tcW w:w="871" w:type="pct"/>
            <w:tcBorders>
              <w:tl2br w:val="nil"/>
              <w:tr2bl w:val="nil"/>
            </w:tcBorders>
            <w:vAlign w:val="center"/>
          </w:tcPr>
          <w:p w14:paraId="25549BBF">
            <w:pPr>
              <w:pStyle w:val="72"/>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工序名称</w:t>
            </w:r>
          </w:p>
        </w:tc>
        <w:tc>
          <w:tcPr>
            <w:tcW w:w="625" w:type="pct"/>
            <w:tcBorders>
              <w:tl2br w:val="nil"/>
              <w:tr2bl w:val="nil"/>
            </w:tcBorders>
            <w:vAlign w:val="center"/>
          </w:tcPr>
          <w:p w14:paraId="619B4F7D">
            <w:pPr>
              <w:pStyle w:val="72"/>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用水频率</w:t>
            </w:r>
          </w:p>
        </w:tc>
        <w:tc>
          <w:tcPr>
            <w:tcW w:w="625" w:type="pct"/>
            <w:tcBorders>
              <w:tl2br w:val="nil"/>
              <w:tr2bl w:val="nil"/>
            </w:tcBorders>
            <w:vAlign w:val="center"/>
          </w:tcPr>
          <w:p w14:paraId="0780F590">
            <w:pPr>
              <w:pStyle w:val="72"/>
              <w:jc w:val="center"/>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用水量t/a</w:t>
            </w:r>
          </w:p>
        </w:tc>
        <w:tc>
          <w:tcPr>
            <w:tcW w:w="625" w:type="pct"/>
            <w:tcBorders>
              <w:tl2br w:val="nil"/>
              <w:tr2bl w:val="nil"/>
            </w:tcBorders>
            <w:vAlign w:val="center"/>
          </w:tcPr>
          <w:p w14:paraId="14209151">
            <w:pPr>
              <w:pStyle w:val="72"/>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耗散量t/a</w:t>
            </w:r>
          </w:p>
        </w:tc>
        <w:tc>
          <w:tcPr>
            <w:tcW w:w="625" w:type="pct"/>
            <w:tcBorders>
              <w:tl2br w:val="nil"/>
              <w:tr2bl w:val="nil"/>
            </w:tcBorders>
            <w:vAlign w:val="center"/>
          </w:tcPr>
          <w:p w14:paraId="755F8CF0">
            <w:pPr>
              <w:pStyle w:val="72"/>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废水量t/a</w:t>
            </w:r>
          </w:p>
        </w:tc>
        <w:tc>
          <w:tcPr>
            <w:tcW w:w="625" w:type="pct"/>
            <w:tcBorders>
              <w:tl2br w:val="nil"/>
              <w:tr2bl w:val="nil"/>
            </w:tcBorders>
            <w:vAlign w:val="center"/>
          </w:tcPr>
          <w:p w14:paraId="31FE777A">
            <w:pPr>
              <w:pStyle w:val="72"/>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主要污染因子</w:t>
            </w:r>
          </w:p>
        </w:tc>
        <w:tc>
          <w:tcPr>
            <w:tcW w:w="625" w:type="pct"/>
            <w:tcBorders>
              <w:tl2br w:val="nil"/>
              <w:tr2bl w:val="nil"/>
            </w:tcBorders>
            <w:vAlign w:val="center"/>
          </w:tcPr>
          <w:p w14:paraId="6047DEBA">
            <w:pPr>
              <w:pStyle w:val="72"/>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代号</w:t>
            </w:r>
          </w:p>
        </w:tc>
      </w:tr>
      <w:tr w14:paraId="4DC6A8B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75" w:type="pct"/>
            <w:tcBorders>
              <w:tl2br w:val="nil"/>
              <w:tr2bl w:val="nil"/>
            </w:tcBorders>
            <w:vAlign w:val="center"/>
          </w:tcPr>
          <w:p w14:paraId="7E67BDF6">
            <w:pPr>
              <w:pStyle w:val="72"/>
              <w:jc w:val="center"/>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w:t>
            </w:r>
          </w:p>
        </w:tc>
        <w:tc>
          <w:tcPr>
            <w:tcW w:w="871" w:type="pct"/>
            <w:tcBorders>
              <w:tl2br w:val="nil"/>
              <w:tr2bl w:val="nil"/>
            </w:tcBorders>
            <w:vAlign w:val="center"/>
          </w:tcPr>
          <w:p w14:paraId="1B25F419">
            <w:pPr>
              <w:pStyle w:val="72"/>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电解脱脂</w:t>
            </w:r>
          </w:p>
        </w:tc>
        <w:tc>
          <w:tcPr>
            <w:tcW w:w="625" w:type="pct"/>
            <w:tcBorders>
              <w:tl2br w:val="nil"/>
              <w:tr2bl w:val="nil"/>
            </w:tcBorders>
            <w:vAlign w:val="center"/>
          </w:tcPr>
          <w:p w14:paraId="7D60707B">
            <w:pPr>
              <w:pStyle w:val="72"/>
              <w:jc w:val="center"/>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2t/3个月</w:t>
            </w:r>
          </w:p>
        </w:tc>
        <w:tc>
          <w:tcPr>
            <w:tcW w:w="625" w:type="pct"/>
            <w:tcBorders>
              <w:tl2br w:val="nil"/>
              <w:tr2bl w:val="nil"/>
            </w:tcBorders>
            <w:vAlign w:val="center"/>
          </w:tcPr>
          <w:p w14:paraId="55A6E8EE">
            <w:pPr>
              <w:pStyle w:val="72"/>
              <w:jc w:val="center"/>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8</w:t>
            </w:r>
          </w:p>
        </w:tc>
        <w:tc>
          <w:tcPr>
            <w:tcW w:w="625" w:type="pct"/>
            <w:tcBorders>
              <w:tl2br w:val="nil"/>
              <w:tr2bl w:val="nil"/>
            </w:tcBorders>
            <w:vAlign w:val="center"/>
          </w:tcPr>
          <w:p w14:paraId="01BF163E">
            <w:pPr>
              <w:pStyle w:val="72"/>
              <w:jc w:val="center"/>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w:t>
            </w:r>
          </w:p>
        </w:tc>
        <w:tc>
          <w:tcPr>
            <w:tcW w:w="625" w:type="pct"/>
            <w:tcBorders>
              <w:tl2br w:val="nil"/>
              <w:tr2bl w:val="nil"/>
            </w:tcBorders>
            <w:vAlign w:val="center"/>
          </w:tcPr>
          <w:p w14:paraId="56166C77">
            <w:pPr>
              <w:pStyle w:val="72"/>
              <w:jc w:val="center"/>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6</w:t>
            </w:r>
          </w:p>
        </w:tc>
        <w:tc>
          <w:tcPr>
            <w:tcW w:w="625" w:type="pct"/>
            <w:vMerge w:val="restart"/>
            <w:tcBorders>
              <w:tl2br w:val="nil"/>
              <w:tr2bl w:val="nil"/>
            </w:tcBorders>
            <w:vAlign w:val="center"/>
          </w:tcPr>
          <w:p w14:paraId="115FA38F">
            <w:pPr>
              <w:pStyle w:val="72"/>
              <w:jc w:val="center"/>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pH、COD、SS、石油类</w:t>
            </w:r>
          </w:p>
        </w:tc>
        <w:tc>
          <w:tcPr>
            <w:tcW w:w="625" w:type="pct"/>
            <w:vMerge w:val="restart"/>
            <w:tcBorders>
              <w:tl2br w:val="nil"/>
              <w:tr2bl w:val="nil"/>
            </w:tcBorders>
            <w:vAlign w:val="center"/>
          </w:tcPr>
          <w:p w14:paraId="52D6591E">
            <w:pPr>
              <w:pStyle w:val="72"/>
              <w:jc w:val="center"/>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W1</w:t>
            </w:r>
          </w:p>
        </w:tc>
      </w:tr>
      <w:tr w14:paraId="4D64881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75" w:type="pct"/>
            <w:tcBorders>
              <w:tl2br w:val="nil"/>
              <w:tr2bl w:val="nil"/>
            </w:tcBorders>
            <w:vAlign w:val="center"/>
          </w:tcPr>
          <w:p w14:paraId="07290A62">
            <w:pPr>
              <w:pStyle w:val="72"/>
              <w:jc w:val="center"/>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w:t>
            </w:r>
          </w:p>
        </w:tc>
        <w:tc>
          <w:tcPr>
            <w:tcW w:w="871" w:type="pct"/>
            <w:tcBorders>
              <w:tl2br w:val="nil"/>
              <w:tr2bl w:val="nil"/>
            </w:tcBorders>
            <w:vAlign w:val="center"/>
          </w:tcPr>
          <w:p w14:paraId="6D719E11">
            <w:pPr>
              <w:pStyle w:val="72"/>
              <w:jc w:val="center"/>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水洗1</w:t>
            </w:r>
          </w:p>
        </w:tc>
        <w:tc>
          <w:tcPr>
            <w:tcW w:w="625" w:type="pct"/>
            <w:tcBorders>
              <w:tl2br w:val="nil"/>
              <w:tr2bl w:val="nil"/>
            </w:tcBorders>
            <w:vAlign w:val="center"/>
          </w:tcPr>
          <w:p w14:paraId="42C72AE9">
            <w:pPr>
              <w:pStyle w:val="72"/>
              <w:jc w:val="center"/>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2t/d</w:t>
            </w:r>
          </w:p>
        </w:tc>
        <w:tc>
          <w:tcPr>
            <w:tcW w:w="625" w:type="pct"/>
            <w:tcBorders>
              <w:tl2br w:val="nil"/>
              <w:tr2bl w:val="nil"/>
            </w:tcBorders>
            <w:vAlign w:val="center"/>
          </w:tcPr>
          <w:p w14:paraId="77AF5F57">
            <w:pPr>
              <w:pStyle w:val="72"/>
              <w:jc w:val="center"/>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600</w:t>
            </w:r>
          </w:p>
        </w:tc>
        <w:tc>
          <w:tcPr>
            <w:tcW w:w="625" w:type="pct"/>
            <w:tcBorders>
              <w:tl2br w:val="nil"/>
              <w:tr2bl w:val="nil"/>
            </w:tcBorders>
            <w:vAlign w:val="center"/>
          </w:tcPr>
          <w:p w14:paraId="5A6A773E">
            <w:pPr>
              <w:pStyle w:val="72"/>
              <w:jc w:val="center"/>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36</w:t>
            </w:r>
          </w:p>
        </w:tc>
        <w:tc>
          <w:tcPr>
            <w:tcW w:w="625" w:type="pct"/>
            <w:tcBorders>
              <w:tl2br w:val="nil"/>
              <w:tr2bl w:val="nil"/>
            </w:tcBorders>
            <w:vAlign w:val="center"/>
          </w:tcPr>
          <w:p w14:paraId="4FC615CE">
            <w:pPr>
              <w:pStyle w:val="72"/>
              <w:jc w:val="center"/>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564</w:t>
            </w:r>
          </w:p>
        </w:tc>
        <w:tc>
          <w:tcPr>
            <w:tcW w:w="625" w:type="pct"/>
            <w:vMerge w:val="continue"/>
            <w:tcBorders>
              <w:tl2br w:val="nil"/>
              <w:tr2bl w:val="nil"/>
            </w:tcBorders>
            <w:vAlign w:val="center"/>
          </w:tcPr>
          <w:p w14:paraId="598B3E05">
            <w:pPr>
              <w:pStyle w:val="72"/>
              <w:jc w:val="center"/>
              <w:rPr>
                <w:rFonts w:hint="default" w:ascii="宋体" w:hAnsi="宋体" w:eastAsia="宋体" w:cs="宋体"/>
                <w:sz w:val="21"/>
                <w:szCs w:val="21"/>
                <w:vertAlign w:val="baseline"/>
                <w:lang w:val="en-US" w:eastAsia="zh-CN"/>
              </w:rPr>
            </w:pPr>
          </w:p>
        </w:tc>
        <w:tc>
          <w:tcPr>
            <w:tcW w:w="625" w:type="pct"/>
            <w:vMerge w:val="continue"/>
            <w:tcBorders>
              <w:tl2br w:val="nil"/>
              <w:tr2bl w:val="nil"/>
            </w:tcBorders>
            <w:vAlign w:val="center"/>
          </w:tcPr>
          <w:p w14:paraId="40ED147F">
            <w:pPr>
              <w:pStyle w:val="72"/>
              <w:jc w:val="center"/>
              <w:rPr>
                <w:rFonts w:hint="default" w:ascii="宋体" w:hAnsi="宋体" w:eastAsia="宋体" w:cs="宋体"/>
                <w:sz w:val="21"/>
                <w:szCs w:val="21"/>
                <w:vertAlign w:val="baseline"/>
                <w:lang w:val="en-US" w:eastAsia="zh-CN"/>
              </w:rPr>
            </w:pPr>
          </w:p>
        </w:tc>
      </w:tr>
      <w:tr w14:paraId="1DE13AE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75" w:type="pct"/>
            <w:tcBorders>
              <w:tl2br w:val="nil"/>
              <w:tr2bl w:val="nil"/>
            </w:tcBorders>
            <w:vAlign w:val="center"/>
          </w:tcPr>
          <w:p w14:paraId="3B7665EF">
            <w:pPr>
              <w:pStyle w:val="72"/>
              <w:jc w:val="center"/>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3</w:t>
            </w:r>
          </w:p>
        </w:tc>
        <w:tc>
          <w:tcPr>
            <w:tcW w:w="871" w:type="pct"/>
            <w:tcBorders>
              <w:tl2br w:val="nil"/>
              <w:tr2bl w:val="nil"/>
            </w:tcBorders>
            <w:vAlign w:val="center"/>
          </w:tcPr>
          <w:p w14:paraId="0F2C4D03">
            <w:pPr>
              <w:pStyle w:val="72"/>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镀锡</w:t>
            </w:r>
          </w:p>
        </w:tc>
        <w:tc>
          <w:tcPr>
            <w:tcW w:w="625" w:type="pct"/>
            <w:tcBorders>
              <w:tl2br w:val="nil"/>
              <w:tr2bl w:val="nil"/>
            </w:tcBorders>
            <w:vAlign w:val="center"/>
          </w:tcPr>
          <w:p w14:paraId="5AC843A7">
            <w:pPr>
              <w:pStyle w:val="72"/>
              <w:jc w:val="center"/>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4t/a</w:t>
            </w:r>
          </w:p>
        </w:tc>
        <w:tc>
          <w:tcPr>
            <w:tcW w:w="625" w:type="pct"/>
            <w:tcBorders>
              <w:tl2br w:val="nil"/>
              <w:tr2bl w:val="nil"/>
            </w:tcBorders>
            <w:vAlign w:val="center"/>
          </w:tcPr>
          <w:p w14:paraId="040AD2F9">
            <w:pPr>
              <w:pStyle w:val="72"/>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4</w:t>
            </w:r>
          </w:p>
        </w:tc>
        <w:tc>
          <w:tcPr>
            <w:tcW w:w="625" w:type="pct"/>
            <w:tcBorders>
              <w:tl2br w:val="nil"/>
              <w:tr2bl w:val="nil"/>
            </w:tcBorders>
            <w:vAlign w:val="center"/>
          </w:tcPr>
          <w:p w14:paraId="6E52856D">
            <w:pPr>
              <w:pStyle w:val="72"/>
              <w:jc w:val="center"/>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4</w:t>
            </w:r>
          </w:p>
        </w:tc>
        <w:tc>
          <w:tcPr>
            <w:tcW w:w="625" w:type="pct"/>
            <w:tcBorders>
              <w:tl2br w:val="nil"/>
              <w:tr2bl w:val="nil"/>
            </w:tcBorders>
            <w:vAlign w:val="center"/>
          </w:tcPr>
          <w:p w14:paraId="159F8937">
            <w:pPr>
              <w:pStyle w:val="72"/>
              <w:jc w:val="center"/>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0</w:t>
            </w:r>
          </w:p>
        </w:tc>
        <w:tc>
          <w:tcPr>
            <w:tcW w:w="625" w:type="pct"/>
            <w:tcBorders>
              <w:tl2br w:val="nil"/>
              <w:tr2bl w:val="nil"/>
            </w:tcBorders>
            <w:vAlign w:val="center"/>
          </w:tcPr>
          <w:p w14:paraId="0191C7BA">
            <w:pPr>
              <w:pStyle w:val="72"/>
              <w:jc w:val="center"/>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w:t>
            </w:r>
          </w:p>
        </w:tc>
        <w:tc>
          <w:tcPr>
            <w:tcW w:w="625" w:type="pct"/>
            <w:tcBorders>
              <w:tl2br w:val="nil"/>
              <w:tr2bl w:val="nil"/>
            </w:tcBorders>
            <w:vAlign w:val="center"/>
          </w:tcPr>
          <w:p w14:paraId="3CA01DE3">
            <w:pPr>
              <w:pStyle w:val="72"/>
              <w:jc w:val="center"/>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槽液过滤去除杂质后循环使用</w:t>
            </w:r>
          </w:p>
        </w:tc>
      </w:tr>
      <w:tr w14:paraId="77D1537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75" w:type="pct"/>
            <w:tcBorders>
              <w:tl2br w:val="nil"/>
              <w:tr2bl w:val="nil"/>
            </w:tcBorders>
            <w:vAlign w:val="center"/>
          </w:tcPr>
          <w:p w14:paraId="3AE59D3F">
            <w:pPr>
              <w:pStyle w:val="72"/>
              <w:jc w:val="center"/>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4</w:t>
            </w:r>
          </w:p>
        </w:tc>
        <w:tc>
          <w:tcPr>
            <w:tcW w:w="871" w:type="pct"/>
            <w:tcBorders>
              <w:tl2br w:val="nil"/>
              <w:tr2bl w:val="nil"/>
            </w:tcBorders>
            <w:vAlign w:val="center"/>
          </w:tcPr>
          <w:p w14:paraId="0DE667F6">
            <w:pPr>
              <w:pStyle w:val="72"/>
              <w:jc w:val="center"/>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水洗2</w:t>
            </w:r>
          </w:p>
        </w:tc>
        <w:tc>
          <w:tcPr>
            <w:tcW w:w="625" w:type="pct"/>
            <w:tcBorders>
              <w:tl2br w:val="nil"/>
              <w:tr2bl w:val="nil"/>
            </w:tcBorders>
            <w:vAlign w:val="center"/>
          </w:tcPr>
          <w:p w14:paraId="1701272A">
            <w:pPr>
              <w:pStyle w:val="72"/>
              <w:jc w:val="center"/>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1.5t/d</w:t>
            </w:r>
          </w:p>
        </w:tc>
        <w:tc>
          <w:tcPr>
            <w:tcW w:w="625" w:type="pct"/>
            <w:tcBorders>
              <w:tl2br w:val="nil"/>
              <w:tr2bl w:val="nil"/>
            </w:tcBorders>
            <w:vAlign w:val="center"/>
          </w:tcPr>
          <w:p w14:paraId="600EADC5">
            <w:pPr>
              <w:pStyle w:val="72"/>
              <w:jc w:val="center"/>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450</w:t>
            </w:r>
          </w:p>
        </w:tc>
        <w:tc>
          <w:tcPr>
            <w:tcW w:w="625" w:type="pct"/>
            <w:tcBorders>
              <w:tl2br w:val="nil"/>
              <w:tr2bl w:val="nil"/>
            </w:tcBorders>
            <w:vAlign w:val="center"/>
          </w:tcPr>
          <w:p w14:paraId="62BB0008">
            <w:pPr>
              <w:pStyle w:val="72"/>
              <w:jc w:val="center"/>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27</w:t>
            </w:r>
          </w:p>
        </w:tc>
        <w:tc>
          <w:tcPr>
            <w:tcW w:w="625" w:type="pct"/>
            <w:tcBorders>
              <w:tl2br w:val="nil"/>
              <w:tr2bl w:val="nil"/>
            </w:tcBorders>
            <w:vAlign w:val="center"/>
          </w:tcPr>
          <w:p w14:paraId="51A76D54">
            <w:pPr>
              <w:pStyle w:val="72"/>
              <w:jc w:val="center"/>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423</w:t>
            </w:r>
          </w:p>
        </w:tc>
        <w:tc>
          <w:tcPr>
            <w:tcW w:w="625" w:type="pct"/>
            <w:tcBorders>
              <w:tl2br w:val="nil"/>
              <w:tr2bl w:val="nil"/>
            </w:tcBorders>
            <w:vAlign w:val="center"/>
          </w:tcPr>
          <w:p w14:paraId="7C9C9DBB">
            <w:pPr>
              <w:pStyle w:val="72"/>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pH、COD、总锡</w:t>
            </w:r>
          </w:p>
        </w:tc>
        <w:tc>
          <w:tcPr>
            <w:tcW w:w="625" w:type="pct"/>
            <w:tcBorders>
              <w:tl2br w:val="nil"/>
              <w:tr2bl w:val="nil"/>
            </w:tcBorders>
            <w:vAlign w:val="center"/>
          </w:tcPr>
          <w:p w14:paraId="53F1DCA2">
            <w:pPr>
              <w:pStyle w:val="72"/>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W2</w:t>
            </w:r>
          </w:p>
        </w:tc>
      </w:tr>
      <w:tr w14:paraId="635B94D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872" w:type="pct"/>
            <w:gridSpan w:val="3"/>
            <w:tcBorders>
              <w:tl2br w:val="nil"/>
              <w:tr2bl w:val="nil"/>
            </w:tcBorders>
            <w:vAlign w:val="center"/>
          </w:tcPr>
          <w:p w14:paraId="38374EBF">
            <w:pPr>
              <w:pStyle w:val="72"/>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highlight w:val="none"/>
                <w:vertAlign w:val="baseline"/>
                <w:lang w:val="en-US" w:eastAsia="zh-CN"/>
              </w:rPr>
              <w:t>合计</w:t>
            </w:r>
          </w:p>
        </w:tc>
        <w:tc>
          <w:tcPr>
            <w:tcW w:w="625" w:type="pct"/>
            <w:tcBorders>
              <w:tl2br w:val="nil"/>
              <w:tr2bl w:val="nil"/>
            </w:tcBorders>
            <w:vAlign w:val="center"/>
          </w:tcPr>
          <w:p w14:paraId="0F3FDD5C">
            <w:pPr>
              <w:pStyle w:val="72"/>
              <w:jc w:val="center"/>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1062</w:t>
            </w:r>
          </w:p>
        </w:tc>
        <w:tc>
          <w:tcPr>
            <w:tcW w:w="625" w:type="pct"/>
            <w:tcBorders>
              <w:tl2br w:val="nil"/>
              <w:tr2bl w:val="nil"/>
            </w:tcBorders>
            <w:vAlign w:val="center"/>
          </w:tcPr>
          <w:p w14:paraId="20725E9F">
            <w:pPr>
              <w:pStyle w:val="72"/>
              <w:jc w:val="center"/>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69</w:t>
            </w:r>
          </w:p>
        </w:tc>
        <w:tc>
          <w:tcPr>
            <w:tcW w:w="625" w:type="pct"/>
            <w:tcBorders>
              <w:tl2br w:val="nil"/>
              <w:tr2bl w:val="nil"/>
            </w:tcBorders>
            <w:vAlign w:val="center"/>
          </w:tcPr>
          <w:p w14:paraId="7F7FF6D6">
            <w:pPr>
              <w:pStyle w:val="72"/>
              <w:jc w:val="center"/>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993</w:t>
            </w:r>
          </w:p>
        </w:tc>
        <w:tc>
          <w:tcPr>
            <w:tcW w:w="625" w:type="pct"/>
            <w:tcBorders>
              <w:tl2br w:val="nil"/>
              <w:tr2bl w:val="nil"/>
            </w:tcBorders>
            <w:vAlign w:val="center"/>
          </w:tcPr>
          <w:p w14:paraId="2CAD28B0">
            <w:pPr>
              <w:pStyle w:val="72"/>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w:t>
            </w:r>
          </w:p>
        </w:tc>
        <w:tc>
          <w:tcPr>
            <w:tcW w:w="625" w:type="pct"/>
            <w:tcBorders>
              <w:tl2br w:val="nil"/>
              <w:tr2bl w:val="nil"/>
            </w:tcBorders>
            <w:vAlign w:val="center"/>
          </w:tcPr>
          <w:p w14:paraId="72119DA8">
            <w:pPr>
              <w:pStyle w:val="72"/>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w:t>
            </w:r>
          </w:p>
        </w:tc>
      </w:tr>
    </w:tbl>
    <w:p w14:paraId="5A76D4EE">
      <w:pPr>
        <w:bidi w:val="0"/>
        <w:spacing w:line="360" w:lineRule="auto"/>
        <w:rPr>
          <w:rFonts w:hint="default"/>
          <w:lang w:val="en-US" w:eastAsia="zh-CN"/>
        </w:rPr>
      </w:pPr>
    </w:p>
    <w:p w14:paraId="57CDA850">
      <w:pPr>
        <w:pStyle w:val="6"/>
        <w:bidi w:val="0"/>
        <w:spacing w:line="360" w:lineRule="auto"/>
        <w:rPr>
          <w:rFonts w:hint="default"/>
          <w:lang w:val="en-US" w:eastAsia="zh-CN"/>
        </w:rPr>
      </w:pPr>
      <w:r>
        <w:rPr>
          <w:rFonts w:hint="eastAsia"/>
          <w:lang w:val="en-US" w:eastAsia="zh-CN"/>
        </w:rPr>
        <w:t>5.2.4元素平衡与水平衡</w:t>
      </w:r>
    </w:p>
    <w:p w14:paraId="1EAEEB00">
      <w:pPr>
        <w:pStyle w:val="6"/>
        <w:bidi w:val="0"/>
        <w:spacing w:line="360" w:lineRule="auto"/>
        <w:rPr>
          <w:rFonts w:hint="default"/>
          <w:lang w:val="en-US" w:eastAsia="zh-CN"/>
        </w:rPr>
      </w:pPr>
      <w:r>
        <w:rPr>
          <w:rFonts w:hint="eastAsia"/>
          <w:lang w:val="en-US" w:eastAsia="zh-CN"/>
        </w:rPr>
        <w:t>5.2.4.1锡元素平衡</w:t>
      </w:r>
    </w:p>
    <w:p w14:paraId="6B067170">
      <w:pPr>
        <w:bidi w:val="0"/>
        <w:rPr>
          <w:rFonts w:hint="eastAsia"/>
          <w:lang w:val="en-US" w:eastAsia="zh-CN"/>
        </w:rPr>
      </w:pPr>
      <w:r>
        <w:rPr>
          <w:rFonts w:hint="eastAsia"/>
          <w:lang w:val="en-US" w:eastAsia="zh-CN"/>
        </w:rPr>
        <w:t>项目镀锡过程锡元素平衡如下表所示。</w:t>
      </w:r>
    </w:p>
    <w:p w14:paraId="483456D3">
      <w:pPr>
        <w:pStyle w:val="72"/>
        <w:jc w:val="center"/>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表5-7镀锡过程锡元素平衡表（kg/a）</w:t>
      </w:r>
    </w:p>
    <w:tbl>
      <w:tblPr>
        <w:tblStyle w:val="53"/>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206"/>
        <w:gridCol w:w="1266"/>
        <w:gridCol w:w="1212"/>
        <w:gridCol w:w="1209"/>
        <w:gridCol w:w="1209"/>
        <w:gridCol w:w="1210"/>
        <w:gridCol w:w="1210"/>
      </w:tblGrid>
      <w:tr w14:paraId="2BCE394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08" w:type="pct"/>
            <w:vMerge w:val="restart"/>
            <w:tcBorders>
              <w:tl2br w:val="nil"/>
              <w:tr2bl w:val="nil"/>
            </w:tcBorders>
            <w:vAlign w:val="center"/>
          </w:tcPr>
          <w:p w14:paraId="0EE0A325">
            <w:pPr>
              <w:pStyle w:val="72"/>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序号</w:t>
            </w:r>
          </w:p>
        </w:tc>
        <w:tc>
          <w:tcPr>
            <w:tcW w:w="1453" w:type="pct"/>
            <w:gridSpan w:val="2"/>
            <w:tcBorders>
              <w:tl2br w:val="nil"/>
              <w:tr2bl w:val="nil"/>
            </w:tcBorders>
            <w:vAlign w:val="center"/>
          </w:tcPr>
          <w:p w14:paraId="73199BC8">
            <w:pPr>
              <w:pStyle w:val="72"/>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入方</w:t>
            </w:r>
          </w:p>
        </w:tc>
        <w:tc>
          <w:tcPr>
            <w:tcW w:w="2838" w:type="pct"/>
            <w:gridSpan w:val="4"/>
            <w:tcBorders>
              <w:tl2br w:val="nil"/>
              <w:tr2bl w:val="nil"/>
            </w:tcBorders>
            <w:vAlign w:val="center"/>
          </w:tcPr>
          <w:p w14:paraId="0D6A5096">
            <w:pPr>
              <w:pStyle w:val="72"/>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出方</w:t>
            </w:r>
          </w:p>
        </w:tc>
      </w:tr>
      <w:tr w14:paraId="7BD9A47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08" w:type="pct"/>
            <w:vMerge w:val="continue"/>
            <w:tcBorders>
              <w:tl2br w:val="nil"/>
              <w:tr2bl w:val="nil"/>
            </w:tcBorders>
            <w:vAlign w:val="center"/>
          </w:tcPr>
          <w:p w14:paraId="03BC8829">
            <w:pPr>
              <w:pStyle w:val="72"/>
              <w:jc w:val="center"/>
              <w:rPr>
                <w:rFonts w:hint="eastAsia" w:ascii="宋体" w:hAnsi="宋体" w:eastAsia="宋体" w:cs="宋体"/>
                <w:sz w:val="21"/>
                <w:szCs w:val="21"/>
                <w:vertAlign w:val="baseline"/>
                <w:lang w:val="en-US" w:eastAsia="zh-CN"/>
              </w:rPr>
            </w:pPr>
          </w:p>
        </w:tc>
        <w:tc>
          <w:tcPr>
            <w:tcW w:w="742" w:type="pct"/>
            <w:tcBorders>
              <w:tl2br w:val="nil"/>
              <w:tr2bl w:val="nil"/>
            </w:tcBorders>
            <w:vAlign w:val="center"/>
          </w:tcPr>
          <w:p w14:paraId="6FC8CF0E">
            <w:pPr>
              <w:pStyle w:val="72"/>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物料名称</w:t>
            </w:r>
          </w:p>
        </w:tc>
        <w:tc>
          <w:tcPr>
            <w:tcW w:w="710" w:type="pct"/>
            <w:tcBorders>
              <w:tl2br w:val="nil"/>
              <w:tr2bl w:val="nil"/>
            </w:tcBorders>
            <w:vAlign w:val="center"/>
          </w:tcPr>
          <w:p w14:paraId="64674D57">
            <w:pPr>
              <w:pStyle w:val="72"/>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锡含量</w:t>
            </w:r>
          </w:p>
        </w:tc>
        <w:tc>
          <w:tcPr>
            <w:tcW w:w="709" w:type="pct"/>
            <w:tcBorders>
              <w:tl2br w:val="nil"/>
              <w:tr2bl w:val="nil"/>
            </w:tcBorders>
            <w:vAlign w:val="center"/>
          </w:tcPr>
          <w:p w14:paraId="76F3688E">
            <w:pPr>
              <w:pStyle w:val="72"/>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产品中</w:t>
            </w:r>
          </w:p>
        </w:tc>
        <w:tc>
          <w:tcPr>
            <w:tcW w:w="709" w:type="pct"/>
            <w:tcBorders>
              <w:tl2br w:val="nil"/>
              <w:tr2bl w:val="nil"/>
            </w:tcBorders>
            <w:vAlign w:val="center"/>
          </w:tcPr>
          <w:p w14:paraId="3728E6AC">
            <w:pPr>
              <w:pStyle w:val="72"/>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挂具损失量</w:t>
            </w:r>
          </w:p>
        </w:tc>
        <w:tc>
          <w:tcPr>
            <w:tcW w:w="710" w:type="pct"/>
            <w:tcBorders>
              <w:tl2br w:val="nil"/>
              <w:tr2bl w:val="nil"/>
            </w:tcBorders>
            <w:vAlign w:val="center"/>
          </w:tcPr>
          <w:p w14:paraId="08B4B82B">
            <w:pPr>
              <w:pStyle w:val="72"/>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镀槽滤渣、电镀污泥和锅炉及废滤芯中</w:t>
            </w:r>
          </w:p>
        </w:tc>
        <w:tc>
          <w:tcPr>
            <w:tcW w:w="709" w:type="pct"/>
            <w:tcBorders>
              <w:tl2br w:val="nil"/>
              <w:tr2bl w:val="nil"/>
            </w:tcBorders>
            <w:vAlign w:val="center"/>
          </w:tcPr>
          <w:p w14:paraId="53DC85DC">
            <w:pPr>
              <w:pStyle w:val="72"/>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废水中</w:t>
            </w:r>
          </w:p>
        </w:tc>
      </w:tr>
      <w:tr w14:paraId="1787B06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08" w:type="pct"/>
            <w:tcBorders>
              <w:tl2br w:val="nil"/>
              <w:tr2bl w:val="nil"/>
            </w:tcBorders>
            <w:vAlign w:val="center"/>
          </w:tcPr>
          <w:p w14:paraId="541A8F24">
            <w:pPr>
              <w:pStyle w:val="72"/>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w:t>
            </w:r>
          </w:p>
        </w:tc>
        <w:tc>
          <w:tcPr>
            <w:tcW w:w="742" w:type="pct"/>
            <w:tcBorders>
              <w:tl2br w:val="nil"/>
              <w:tr2bl w:val="nil"/>
            </w:tcBorders>
            <w:vAlign w:val="center"/>
          </w:tcPr>
          <w:p w14:paraId="415FF2D7">
            <w:pPr>
              <w:pStyle w:val="72"/>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甲基磺酸锡溶液（50.3%）</w:t>
            </w:r>
            <w:r>
              <w:rPr>
                <w:rFonts w:hint="eastAsia" w:ascii="宋体" w:hAnsi="宋体" w:eastAsia="宋体" w:cs="宋体"/>
                <w:kern w:val="0"/>
                <w:sz w:val="21"/>
                <w:szCs w:val="21"/>
                <w:lang w:val="en-US" w:eastAsia="zh-CN"/>
              </w:rPr>
              <w:t>290</w:t>
            </w:r>
          </w:p>
        </w:tc>
        <w:tc>
          <w:tcPr>
            <w:tcW w:w="710" w:type="pct"/>
            <w:tcBorders>
              <w:tl2br w:val="nil"/>
              <w:tr2bl w:val="nil"/>
            </w:tcBorders>
            <w:vAlign w:val="center"/>
          </w:tcPr>
          <w:p w14:paraId="2FA915A2">
            <w:pPr>
              <w:pStyle w:val="72"/>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145.87</w:t>
            </w:r>
          </w:p>
        </w:tc>
        <w:tc>
          <w:tcPr>
            <w:tcW w:w="709" w:type="pct"/>
            <w:vMerge w:val="restart"/>
            <w:tcBorders>
              <w:tl2br w:val="nil"/>
              <w:tr2bl w:val="nil"/>
            </w:tcBorders>
            <w:vAlign w:val="center"/>
          </w:tcPr>
          <w:p w14:paraId="6C510D62">
            <w:pPr>
              <w:pStyle w:val="72"/>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182.133</w:t>
            </w:r>
          </w:p>
        </w:tc>
        <w:tc>
          <w:tcPr>
            <w:tcW w:w="709" w:type="pct"/>
            <w:vMerge w:val="restart"/>
            <w:tcBorders>
              <w:tl2br w:val="nil"/>
              <w:tr2bl w:val="nil"/>
            </w:tcBorders>
            <w:vAlign w:val="center"/>
          </w:tcPr>
          <w:p w14:paraId="261FE3A3">
            <w:pPr>
              <w:pStyle w:val="72"/>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1.1151</w:t>
            </w:r>
          </w:p>
        </w:tc>
        <w:tc>
          <w:tcPr>
            <w:tcW w:w="710" w:type="pct"/>
            <w:vMerge w:val="restart"/>
            <w:tcBorders>
              <w:tl2br w:val="nil"/>
              <w:tr2bl w:val="nil"/>
            </w:tcBorders>
            <w:vAlign w:val="center"/>
          </w:tcPr>
          <w:p w14:paraId="594E0C88">
            <w:pPr>
              <w:pStyle w:val="72"/>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1.4868</w:t>
            </w:r>
          </w:p>
        </w:tc>
        <w:tc>
          <w:tcPr>
            <w:tcW w:w="709" w:type="pct"/>
            <w:vMerge w:val="restart"/>
            <w:tcBorders>
              <w:tl2br w:val="nil"/>
              <w:tr2bl w:val="nil"/>
            </w:tcBorders>
            <w:vAlign w:val="center"/>
          </w:tcPr>
          <w:p w14:paraId="30A5EA10">
            <w:pPr>
              <w:pStyle w:val="72"/>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1.1151</w:t>
            </w:r>
          </w:p>
        </w:tc>
      </w:tr>
      <w:tr w14:paraId="66D5E4F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08" w:type="pct"/>
            <w:tcBorders>
              <w:tl2br w:val="nil"/>
              <w:tr2bl w:val="nil"/>
            </w:tcBorders>
            <w:vAlign w:val="center"/>
          </w:tcPr>
          <w:p w14:paraId="06FB1A98">
            <w:pPr>
              <w:pStyle w:val="72"/>
              <w:jc w:val="center"/>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w:t>
            </w:r>
          </w:p>
        </w:tc>
        <w:tc>
          <w:tcPr>
            <w:tcW w:w="742" w:type="pct"/>
            <w:tcBorders>
              <w:tl2br w:val="nil"/>
              <w:tr2bl w:val="nil"/>
            </w:tcBorders>
            <w:vAlign w:val="center"/>
          </w:tcPr>
          <w:p w14:paraId="39C4D8FC">
            <w:pPr>
              <w:pStyle w:val="72"/>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锡块（99.95%）40</w:t>
            </w:r>
          </w:p>
        </w:tc>
        <w:tc>
          <w:tcPr>
            <w:tcW w:w="710" w:type="pct"/>
            <w:tcBorders>
              <w:tl2br w:val="nil"/>
              <w:tr2bl w:val="nil"/>
            </w:tcBorders>
            <w:vAlign w:val="center"/>
          </w:tcPr>
          <w:p w14:paraId="0286D379">
            <w:pPr>
              <w:pStyle w:val="72"/>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39.98</w:t>
            </w:r>
          </w:p>
        </w:tc>
        <w:tc>
          <w:tcPr>
            <w:tcW w:w="709" w:type="pct"/>
            <w:vMerge w:val="continue"/>
            <w:tcBorders>
              <w:tl2br w:val="nil"/>
              <w:tr2bl w:val="nil"/>
            </w:tcBorders>
            <w:vAlign w:val="center"/>
          </w:tcPr>
          <w:p w14:paraId="4793ED66">
            <w:pPr>
              <w:pStyle w:val="72"/>
              <w:jc w:val="center"/>
              <w:rPr>
                <w:rFonts w:hint="eastAsia" w:ascii="宋体" w:hAnsi="宋体" w:eastAsia="宋体" w:cs="宋体"/>
                <w:sz w:val="21"/>
                <w:szCs w:val="21"/>
                <w:vertAlign w:val="baseline"/>
                <w:lang w:val="en-US" w:eastAsia="zh-CN"/>
              </w:rPr>
            </w:pPr>
          </w:p>
        </w:tc>
        <w:tc>
          <w:tcPr>
            <w:tcW w:w="709" w:type="pct"/>
            <w:vMerge w:val="continue"/>
            <w:tcBorders>
              <w:tl2br w:val="nil"/>
              <w:tr2bl w:val="nil"/>
            </w:tcBorders>
            <w:vAlign w:val="center"/>
          </w:tcPr>
          <w:p w14:paraId="759D3536">
            <w:pPr>
              <w:pStyle w:val="72"/>
              <w:jc w:val="center"/>
              <w:rPr>
                <w:rFonts w:hint="eastAsia" w:ascii="宋体" w:hAnsi="宋体" w:eastAsia="宋体" w:cs="宋体"/>
                <w:sz w:val="21"/>
                <w:szCs w:val="21"/>
                <w:vertAlign w:val="baseline"/>
                <w:lang w:val="en-US" w:eastAsia="zh-CN"/>
              </w:rPr>
            </w:pPr>
          </w:p>
        </w:tc>
        <w:tc>
          <w:tcPr>
            <w:tcW w:w="710" w:type="pct"/>
            <w:vMerge w:val="continue"/>
            <w:tcBorders>
              <w:tl2br w:val="nil"/>
              <w:tr2bl w:val="nil"/>
            </w:tcBorders>
            <w:vAlign w:val="center"/>
          </w:tcPr>
          <w:p w14:paraId="726E0077">
            <w:pPr>
              <w:pStyle w:val="72"/>
              <w:jc w:val="center"/>
              <w:rPr>
                <w:rFonts w:hint="eastAsia" w:ascii="宋体" w:hAnsi="宋体" w:eastAsia="宋体" w:cs="宋体"/>
                <w:sz w:val="21"/>
                <w:szCs w:val="21"/>
                <w:vertAlign w:val="baseline"/>
                <w:lang w:val="en-US" w:eastAsia="zh-CN"/>
              </w:rPr>
            </w:pPr>
          </w:p>
        </w:tc>
        <w:tc>
          <w:tcPr>
            <w:tcW w:w="709" w:type="pct"/>
            <w:vMerge w:val="continue"/>
            <w:tcBorders>
              <w:tl2br w:val="nil"/>
              <w:tr2bl w:val="nil"/>
            </w:tcBorders>
            <w:vAlign w:val="center"/>
          </w:tcPr>
          <w:p w14:paraId="77D51303">
            <w:pPr>
              <w:pStyle w:val="72"/>
              <w:jc w:val="center"/>
              <w:rPr>
                <w:rFonts w:hint="eastAsia" w:ascii="宋体" w:hAnsi="宋体" w:eastAsia="宋体" w:cs="宋体"/>
                <w:sz w:val="21"/>
                <w:szCs w:val="21"/>
                <w:vertAlign w:val="baseline"/>
                <w:lang w:val="en-US" w:eastAsia="zh-CN"/>
              </w:rPr>
            </w:pPr>
          </w:p>
        </w:tc>
      </w:tr>
      <w:tr w14:paraId="12AF097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08" w:type="pct"/>
            <w:tcBorders>
              <w:tl2br w:val="nil"/>
              <w:tr2bl w:val="nil"/>
            </w:tcBorders>
            <w:vAlign w:val="center"/>
          </w:tcPr>
          <w:p w14:paraId="2F9463A1">
            <w:pPr>
              <w:pStyle w:val="72"/>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合计</w:t>
            </w:r>
          </w:p>
        </w:tc>
        <w:tc>
          <w:tcPr>
            <w:tcW w:w="1453" w:type="pct"/>
            <w:gridSpan w:val="2"/>
            <w:tcBorders>
              <w:tl2br w:val="nil"/>
              <w:tr2bl w:val="nil"/>
            </w:tcBorders>
            <w:vAlign w:val="center"/>
          </w:tcPr>
          <w:p w14:paraId="7762DD5F">
            <w:pPr>
              <w:pStyle w:val="72"/>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185.85</w:t>
            </w:r>
          </w:p>
        </w:tc>
        <w:tc>
          <w:tcPr>
            <w:tcW w:w="2838" w:type="pct"/>
            <w:gridSpan w:val="4"/>
            <w:tcBorders>
              <w:tl2br w:val="nil"/>
              <w:tr2bl w:val="nil"/>
            </w:tcBorders>
            <w:vAlign w:val="center"/>
          </w:tcPr>
          <w:p w14:paraId="42D851B9">
            <w:pPr>
              <w:pStyle w:val="72"/>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185.85</w:t>
            </w:r>
          </w:p>
        </w:tc>
      </w:tr>
    </w:tbl>
    <w:p w14:paraId="6400D77D">
      <w:pPr>
        <w:bidi w:val="0"/>
        <w:rPr>
          <w:rFonts w:hint="eastAsia"/>
          <w:lang w:val="en-US" w:eastAsia="zh-CN"/>
        </w:rPr>
      </w:pPr>
      <w:r>
        <w:rPr>
          <w:rFonts w:hint="eastAsia"/>
          <w:lang w:val="en-US" w:eastAsia="zh-CN"/>
        </w:rPr>
        <w:t>锡利用率98%。</w:t>
      </w:r>
    </w:p>
    <w:p w14:paraId="6E507A55">
      <w:pPr>
        <w:pStyle w:val="6"/>
        <w:bidi w:val="0"/>
        <w:rPr>
          <w:rFonts w:hint="default"/>
          <w:lang w:val="en-US" w:eastAsia="zh-CN"/>
        </w:rPr>
      </w:pPr>
      <w:r>
        <w:rPr>
          <w:rFonts w:hint="eastAsia"/>
          <w:lang w:val="en-US" w:eastAsia="zh-CN"/>
        </w:rPr>
        <w:t>5.2.4.2水平衡</w:t>
      </w:r>
    </w:p>
    <w:p w14:paraId="671EE808">
      <w:pPr>
        <w:rPr>
          <w:rFonts w:hint="eastAsia"/>
          <w:lang w:val="en-US" w:eastAsia="zh-CN"/>
        </w:rPr>
      </w:pPr>
      <w:r>
        <w:rPr>
          <w:rFonts w:hint="eastAsia"/>
          <w:lang w:val="en-US" w:eastAsia="zh-CN"/>
        </w:rPr>
        <w:t>本项目用水主要包括生产用水和生活用水，项目水平衡如下图所示。</w:t>
      </w:r>
    </w:p>
    <w:p w14:paraId="15633B32">
      <w:pPr>
        <w:pStyle w:val="72"/>
        <w:rPr>
          <w:rFonts w:hint="default"/>
          <w:lang w:val="en-US" w:eastAsia="zh-CN"/>
        </w:rPr>
      </w:pPr>
      <w:r>
        <w:rPr>
          <w:rFonts w:hint="default"/>
          <w:lang w:val="en-US" w:eastAsia="zh-CN"/>
        </w:rPr>
        <w:drawing>
          <wp:inline distT="0" distB="0" distL="114300" distR="114300">
            <wp:extent cx="5269230" cy="4195445"/>
            <wp:effectExtent l="0" t="0" r="7620" b="14605"/>
            <wp:docPr id="36" name="图片 36" descr="截图20200408132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截图20200408132751"/>
                    <pic:cNvPicPr>
                      <a:picLocks noChangeAspect="1"/>
                    </pic:cNvPicPr>
                  </pic:nvPicPr>
                  <pic:blipFill>
                    <a:blip r:embed="rId24"/>
                    <a:stretch>
                      <a:fillRect/>
                    </a:stretch>
                  </pic:blipFill>
                  <pic:spPr>
                    <a:xfrm>
                      <a:off x="0" y="0"/>
                      <a:ext cx="5269230" cy="4195445"/>
                    </a:xfrm>
                    <a:prstGeom prst="rect">
                      <a:avLst/>
                    </a:prstGeom>
                  </pic:spPr>
                </pic:pic>
              </a:graphicData>
            </a:graphic>
          </wp:inline>
        </w:drawing>
      </w:r>
    </w:p>
    <w:p w14:paraId="18FAE156">
      <w:pPr>
        <w:pStyle w:val="72"/>
        <w:jc w:val="center"/>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图5-3本项目水平衡图（m3/d）</w:t>
      </w:r>
    </w:p>
    <w:p w14:paraId="2EB1AAD0">
      <w:pPr>
        <w:bidi w:val="0"/>
        <w:rPr>
          <w:rFonts w:hint="eastAsia"/>
          <w:lang w:val="en-US" w:eastAsia="zh-CN"/>
        </w:rPr>
      </w:pPr>
      <w:r>
        <w:rPr>
          <w:rFonts w:hint="eastAsia"/>
          <w:lang w:val="en-US" w:eastAsia="zh-CN"/>
        </w:rPr>
        <w:t>本项目建成后全厂水平衡如下图所示。</w:t>
      </w:r>
    </w:p>
    <w:p w14:paraId="7C9CA778">
      <w:pPr>
        <w:bidi w:val="0"/>
        <w:jc w:val="center"/>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drawing>
          <wp:inline distT="0" distB="0" distL="114300" distR="114300">
            <wp:extent cx="5271135" cy="6864985"/>
            <wp:effectExtent l="0" t="0" r="5715" b="12065"/>
            <wp:docPr id="54" name="图片 54" descr="截图20200518084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descr="截图20200518084308"/>
                    <pic:cNvPicPr>
                      <a:picLocks noChangeAspect="1"/>
                    </pic:cNvPicPr>
                  </pic:nvPicPr>
                  <pic:blipFill>
                    <a:blip r:embed="rId25"/>
                    <a:stretch>
                      <a:fillRect/>
                    </a:stretch>
                  </pic:blipFill>
                  <pic:spPr>
                    <a:xfrm>
                      <a:off x="0" y="0"/>
                      <a:ext cx="5271135" cy="6864985"/>
                    </a:xfrm>
                    <a:prstGeom prst="rect">
                      <a:avLst/>
                    </a:prstGeom>
                  </pic:spPr>
                </pic:pic>
              </a:graphicData>
            </a:graphic>
          </wp:inline>
        </w:drawing>
      </w:r>
    </w:p>
    <w:p w14:paraId="2173B729">
      <w:pPr>
        <w:bidi w:val="0"/>
        <w:jc w:val="center"/>
        <w:rPr>
          <w:rFonts w:hint="eastAsia"/>
          <w:lang w:val="en-US" w:eastAsia="zh-CN"/>
        </w:rPr>
      </w:pPr>
      <w:r>
        <w:rPr>
          <w:rFonts w:hint="eastAsia" w:ascii="黑体" w:hAnsi="黑体" w:eastAsia="黑体" w:cs="黑体"/>
          <w:sz w:val="21"/>
          <w:szCs w:val="21"/>
          <w:lang w:val="en-US" w:eastAsia="zh-CN"/>
        </w:rPr>
        <w:t>图5-4本项目建成后全厂水平衡图（m</w:t>
      </w:r>
      <w:r>
        <w:rPr>
          <w:rFonts w:hint="eastAsia" w:ascii="黑体" w:hAnsi="黑体" w:eastAsia="黑体" w:cs="黑体"/>
          <w:sz w:val="21"/>
          <w:szCs w:val="21"/>
          <w:vertAlign w:val="superscript"/>
          <w:lang w:val="en-US" w:eastAsia="zh-CN"/>
        </w:rPr>
        <w:t>3</w:t>
      </w:r>
      <w:r>
        <w:rPr>
          <w:rFonts w:hint="eastAsia" w:ascii="黑体" w:hAnsi="黑体" w:eastAsia="黑体" w:cs="黑体"/>
          <w:sz w:val="21"/>
          <w:szCs w:val="21"/>
          <w:lang w:val="en-US" w:eastAsia="zh-CN"/>
        </w:rPr>
        <w:t>/d）</w:t>
      </w:r>
    </w:p>
    <w:p w14:paraId="4857EF0C">
      <w:pPr>
        <w:pStyle w:val="3"/>
        <w:bidi w:val="0"/>
        <w:rPr>
          <w:rFonts w:hint="default"/>
          <w:lang w:val="en-US" w:eastAsia="zh-CN"/>
        </w:rPr>
      </w:pPr>
      <w:bookmarkStart w:id="345" w:name="_Toc9576"/>
      <w:r>
        <w:rPr>
          <w:rFonts w:hint="eastAsia"/>
          <w:lang w:val="en-US" w:eastAsia="zh-CN"/>
        </w:rPr>
        <w:t>5.3产排污情况分析</w:t>
      </w:r>
      <w:bookmarkEnd w:id="345"/>
    </w:p>
    <w:p w14:paraId="34629F90">
      <w:pPr>
        <w:pStyle w:val="5"/>
        <w:bidi w:val="0"/>
        <w:rPr>
          <w:rFonts w:hint="eastAsia"/>
          <w:lang w:val="en-US" w:eastAsia="zh-CN"/>
        </w:rPr>
      </w:pPr>
      <w:r>
        <w:rPr>
          <w:rFonts w:hint="eastAsia"/>
          <w:lang w:val="en-US" w:eastAsia="zh-CN"/>
        </w:rPr>
        <w:t>5.3.1废水</w:t>
      </w:r>
    </w:p>
    <w:p w14:paraId="174A0373">
      <w:pPr>
        <w:pStyle w:val="6"/>
        <w:bidi w:val="0"/>
        <w:rPr>
          <w:rFonts w:hint="default"/>
          <w:lang w:val="en-US" w:eastAsia="zh-CN"/>
        </w:rPr>
      </w:pPr>
      <w:r>
        <w:rPr>
          <w:rFonts w:hint="eastAsia"/>
          <w:lang w:val="en-US" w:eastAsia="zh-CN"/>
        </w:rPr>
        <w:t>5.3.1.1生活废水</w:t>
      </w:r>
    </w:p>
    <w:p w14:paraId="5188A558">
      <w:pPr>
        <w:bidi w:val="0"/>
        <w:rPr>
          <w:rFonts w:hint="eastAsia"/>
          <w:lang w:val="en-US" w:eastAsia="zh-CN"/>
        </w:rPr>
      </w:pPr>
      <w:r>
        <w:rPr>
          <w:rFonts w:hint="eastAsia"/>
          <w:lang w:val="en-US" w:eastAsia="zh-CN"/>
        </w:rPr>
        <w:t>本项目投产后共有员工10人，生活用水量按每人每天50L计算，年工作天数300天，废水产生率已0.8计算，则项目建成运营后生活污水产生量约为120m3/a。生活污水主要污染物为SS、COD、BOD5和氨氮。项目产生的生活污水排入企业现有化粪池内，定期清掏，不外排。</w:t>
      </w:r>
      <w:bookmarkStart w:id="346" w:name="_Toc343689917"/>
      <w:bookmarkStart w:id="347" w:name="_Toc313972659"/>
      <w:bookmarkStart w:id="348" w:name="_Toc208640191"/>
    </w:p>
    <w:p w14:paraId="55EB11D1">
      <w:pPr>
        <w:pStyle w:val="6"/>
        <w:bidi w:val="0"/>
        <w:rPr>
          <w:rFonts w:hint="default"/>
          <w:lang w:val="en-US" w:eastAsia="zh-CN"/>
        </w:rPr>
      </w:pPr>
      <w:r>
        <w:rPr>
          <w:rFonts w:hint="eastAsia"/>
          <w:lang w:val="en-US" w:eastAsia="zh-CN"/>
        </w:rPr>
        <w:t>5.3.1.2生产废水</w:t>
      </w:r>
    </w:p>
    <w:p w14:paraId="7E7D2981">
      <w:pPr>
        <w:rPr>
          <w:rFonts w:hint="eastAsia"/>
          <w:lang w:val="en-US" w:eastAsia="zh-CN"/>
        </w:rPr>
      </w:pPr>
      <w:r>
        <w:rPr>
          <w:rFonts w:hint="eastAsia"/>
          <w:lang w:val="en-US" w:eastAsia="zh-CN"/>
        </w:rPr>
        <w:t>本项目投产后产生废水主要包括：前处理废水（电镀生产线前处理脱脂废槽液、脱脂后水洗废水）、含锡废水（镀锡后水洗产生的含锡废水），项目废水产生情况如下表所示。</w:t>
      </w:r>
    </w:p>
    <w:p w14:paraId="620745EA">
      <w:pPr>
        <w:pStyle w:val="72"/>
        <w:jc w:val="center"/>
        <w:rPr>
          <w:rFonts w:hint="eastAsia"/>
          <w:lang w:val="en-US" w:eastAsia="zh-CN"/>
        </w:rPr>
      </w:pPr>
      <w:r>
        <w:rPr>
          <w:rFonts w:hint="eastAsia" w:ascii="黑体" w:hAnsi="黑体" w:eastAsia="黑体" w:cs="黑体"/>
          <w:sz w:val="21"/>
          <w:szCs w:val="21"/>
          <w:lang w:val="en-US" w:eastAsia="zh-CN"/>
        </w:rPr>
        <w:t>表5-8项目生产废水产生情况t/a</w:t>
      </w:r>
    </w:p>
    <w:tbl>
      <w:tblPr>
        <w:tblStyle w:val="53"/>
        <w:tblW w:w="4998"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2129"/>
        <w:gridCol w:w="2130"/>
        <w:gridCol w:w="2130"/>
        <w:gridCol w:w="2130"/>
      </w:tblGrid>
      <w:tr w14:paraId="7E793AE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49" w:type="pct"/>
            <w:tcBorders>
              <w:tl2br w:val="nil"/>
              <w:tr2bl w:val="nil"/>
            </w:tcBorders>
            <w:vAlign w:val="center"/>
          </w:tcPr>
          <w:p w14:paraId="4B949095">
            <w:pPr>
              <w:pStyle w:val="72"/>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产生环节</w:t>
            </w:r>
          </w:p>
        </w:tc>
        <w:tc>
          <w:tcPr>
            <w:tcW w:w="1250" w:type="pct"/>
            <w:tcBorders>
              <w:tl2br w:val="nil"/>
              <w:tr2bl w:val="nil"/>
            </w:tcBorders>
            <w:vAlign w:val="center"/>
          </w:tcPr>
          <w:p w14:paraId="2E1CA98B">
            <w:pPr>
              <w:pStyle w:val="72"/>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废水种类</w:t>
            </w:r>
          </w:p>
        </w:tc>
        <w:tc>
          <w:tcPr>
            <w:tcW w:w="1250" w:type="pct"/>
            <w:tcBorders>
              <w:tl2br w:val="nil"/>
              <w:tr2bl w:val="nil"/>
            </w:tcBorders>
            <w:vAlign w:val="center"/>
          </w:tcPr>
          <w:p w14:paraId="40BCA19D">
            <w:pPr>
              <w:pStyle w:val="72"/>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废水量</w:t>
            </w:r>
          </w:p>
        </w:tc>
        <w:tc>
          <w:tcPr>
            <w:tcW w:w="1250" w:type="pct"/>
            <w:tcBorders>
              <w:tl2br w:val="nil"/>
              <w:tr2bl w:val="nil"/>
            </w:tcBorders>
            <w:vAlign w:val="center"/>
          </w:tcPr>
          <w:p w14:paraId="53D535B1">
            <w:pPr>
              <w:pStyle w:val="72"/>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主要污染因子</w:t>
            </w:r>
          </w:p>
        </w:tc>
      </w:tr>
      <w:tr w14:paraId="16951BC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49" w:type="pct"/>
            <w:tcBorders>
              <w:tl2br w:val="nil"/>
              <w:tr2bl w:val="nil"/>
            </w:tcBorders>
            <w:vAlign w:val="center"/>
          </w:tcPr>
          <w:p w14:paraId="3B1EDE04">
            <w:pPr>
              <w:pStyle w:val="72"/>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电解脱脂</w:t>
            </w:r>
          </w:p>
        </w:tc>
        <w:tc>
          <w:tcPr>
            <w:tcW w:w="1250" w:type="pct"/>
            <w:vMerge w:val="restart"/>
            <w:tcBorders>
              <w:tl2br w:val="nil"/>
              <w:tr2bl w:val="nil"/>
            </w:tcBorders>
            <w:vAlign w:val="center"/>
          </w:tcPr>
          <w:p w14:paraId="4BD9C9D3">
            <w:pPr>
              <w:pStyle w:val="72"/>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前处理废水</w:t>
            </w:r>
          </w:p>
        </w:tc>
        <w:tc>
          <w:tcPr>
            <w:tcW w:w="1250" w:type="pct"/>
            <w:tcBorders>
              <w:tl2br w:val="nil"/>
              <w:tr2bl w:val="nil"/>
            </w:tcBorders>
            <w:vAlign w:val="center"/>
          </w:tcPr>
          <w:p w14:paraId="13B32561">
            <w:pPr>
              <w:pStyle w:val="72"/>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6</w:t>
            </w:r>
          </w:p>
        </w:tc>
        <w:tc>
          <w:tcPr>
            <w:tcW w:w="1250" w:type="pct"/>
            <w:vMerge w:val="restart"/>
            <w:tcBorders>
              <w:tl2br w:val="nil"/>
              <w:tr2bl w:val="nil"/>
            </w:tcBorders>
            <w:vAlign w:val="center"/>
          </w:tcPr>
          <w:p w14:paraId="22081E3B">
            <w:pPr>
              <w:pStyle w:val="72"/>
              <w:jc w:val="center"/>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pH、COD、SS、石油类</w:t>
            </w:r>
          </w:p>
        </w:tc>
      </w:tr>
      <w:tr w14:paraId="75EDC5D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49" w:type="pct"/>
            <w:tcBorders>
              <w:tl2br w:val="nil"/>
              <w:tr2bl w:val="nil"/>
            </w:tcBorders>
            <w:vAlign w:val="center"/>
          </w:tcPr>
          <w:p w14:paraId="32D91E9C">
            <w:pPr>
              <w:pStyle w:val="72"/>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电解脱脂后水洗</w:t>
            </w:r>
          </w:p>
        </w:tc>
        <w:tc>
          <w:tcPr>
            <w:tcW w:w="1250" w:type="pct"/>
            <w:vMerge w:val="continue"/>
            <w:tcBorders>
              <w:tl2br w:val="nil"/>
              <w:tr2bl w:val="nil"/>
            </w:tcBorders>
            <w:vAlign w:val="center"/>
          </w:tcPr>
          <w:p w14:paraId="01A5F8C4">
            <w:pPr>
              <w:pStyle w:val="72"/>
              <w:jc w:val="center"/>
              <w:rPr>
                <w:rFonts w:hint="eastAsia" w:ascii="宋体" w:hAnsi="宋体" w:eastAsia="宋体" w:cs="宋体"/>
                <w:sz w:val="21"/>
                <w:szCs w:val="21"/>
                <w:vertAlign w:val="baseline"/>
                <w:lang w:val="en-US" w:eastAsia="zh-CN"/>
              </w:rPr>
            </w:pPr>
          </w:p>
        </w:tc>
        <w:tc>
          <w:tcPr>
            <w:tcW w:w="1250" w:type="pct"/>
            <w:tcBorders>
              <w:tl2br w:val="nil"/>
              <w:tr2bl w:val="nil"/>
            </w:tcBorders>
            <w:vAlign w:val="center"/>
          </w:tcPr>
          <w:p w14:paraId="4258B1D7">
            <w:pPr>
              <w:pStyle w:val="72"/>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564</w:t>
            </w:r>
          </w:p>
        </w:tc>
        <w:tc>
          <w:tcPr>
            <w:tcW w:w="1250" w:type="pct"/>
            <w:vMerge w:val="continue"/>
            <w:tcBorders>
              <w:tl2br w:val="nil"/>
              <w:tr2bl w:val="nil"/>
            </w:tcBorders>
            <w:vAlign w:val="center"/>
          </w:tcPr>
          <w:p w14:paraId="0660258A">
            <w:pPr>
              <w:pStyle w:val="72"/>
              <w:jc w:val="center"/>
              <w:rPr>
                <w:rFonts w:hint="eastAsia" w:ascii="宋体" w:hAnsi="宋体" w:eastAsia="宋体" w:cs="宋体"/>
                <w:sz w:val="21"/>
                <w:szCs w:val="21"/>
                <w:vertAlign w:val="baseline"/>
                <w:lang w:val="en-US" w:eastAsia="zh-CN"/>
              </w:rPr>
            </w:pPr>
          </w:p>
        </w:tc>
      </w:tr>
      <w:tr w14:paraId="2468608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49" w:type="pct"/>
            <w:tcBorders>
              <w:tl2br w:val="nil"/>
              <w:tr2bl w:val="nil"/>
            </w:tcBorders>
            <w:vAlign w:val="center"/>
          </w:tcPr>
          <w:p w14:paraId="422948EE">
            <w:pPr>
              <w:pStyle w:val="72"/>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镀锡后水洗</w:t>
            </w:r>
          </w:p>
        </w:tc>
        <w:tc>
          <w:tcPr>
            <w:tcW w:w="1250" w:type="pct"/>
            <w:tcBorders>
              <w:tl2br w:val="nil"/>
              <w:tr2bl w:val="nil"/>
            </w:tcBorders>
            <w:vAlign w:val="center"/>
          </w:tcPr>
          <w:p w14:paraId="04CB32A4">
            <w:pPr>
              <w:pStyle w:val="72"/>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含锡废水</w:t>
            </w:r>
          </w:p>
        </w:tc>
        <w:tc>
          <w:tcPr>
            <w:tcW w:w="1250" w:type="pct"/>
            <w:tcBorders>
              <w:tl2br w:val="nil"/>
              <w:tr2bl w:val="nil"/>
            </w:tcBorders>
            <w:vAlign w:val="center"/>
          </w:tcPr>
          <w:p w14:paraId="7244F6B1">
            <w:pPr>
              <w:pStyle w:val="72"/>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423</w:t>
            </w:r>
          </w:p>
        </w:tc>
        <w:tc>
          <w:tcPr>
            <w:tcW w:w="1250" w:type="pct"/>
            <w:tcBorders>
              <w:tl2br w:val="nil"/>
              <w:tr2bl w:val="nil"/>
            </w:tcBorders>
            <w:vAlign w:val="center"/>
          </w:tcPr>
          <w:p w14:paraId="721ADBCF">
            <w:pPr>
              <w:pStyle w:val="72"/>
              <w:jc w:val="center"/>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pH、COD、总锡</w:t>
            </w:r>
          </w:p>
        </w:tc>
      </w:tr>
    </w:tbl>
    <w:p w14:paraId="3CC65D64">
      <w:pPr>
        <w:bidi w:val="0"/>
        <w:rPr>
          <w:rFonts w:hint="eastAsia"/>
          <w:lang w:val="en-US" w:eastAsia="zh-CN"/>
        </w:rPr>
      </w:pPr>
      <w:r>
        <w:rPr>
          <w:rFonts w:hint="eastAsia"/>
          <w:lang w:val="en-US" w:eastAsia="zh-CN"/>
        </w:rPr>
        <w:t>项目生产废水污染物产生情况如下表所示。</w:t>
      </w:r>
    </w:p>
    <w:p w14:paraId="7B52632A">
      <w:pPr>
        <w:pStyle w:val="72"/>
        <w:jc w:val="center"/>
        <w:rPr>
          <w:rFonts w:hint="eastAsia" w:ascii="黑体" w:hAnsi="黑体" w:eastAsia="黑体" w:cs="黑体"/>
          <w:sz w:val="21"/>
          <w:szCs w:val="21"/>
          <w:highlight w:val="none"/>
          <w:lang w:val="en-US" w:eastAsia="zh-CN"/>
        </w:rPr>
      </w:pPr>
      <w:r>
        <w:rPr>
          <w:rFonts w:hint="eastAsia" w:ascii="黑体" w:hAnsi="黑体" w:eastAsia="黑体" w:cs="黑体"/>
          <w:sz w:val="21"/>
          <w:szCs w:val="21"/>
          <w:highlight w:val="none"/>
          <w:lang w:val="en-US" w:eastAsia="zh-CN"/>
        </w:rPr>
        <w:t>表5-9生产废水污染物产生情况</w:t>
      </w:r>
    </w:p>
    <w:tbl>
      <w:tblPr>
        <w:tblStyle w:val="53"/>
        <w:tblW w:w="4998"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2129"/>
        <w:gridCol w:w="2130"/>
        <w:gridCol w:w="2130"/>
        <w:gridCol w:w="2130"/>
      </w:tblGrid>
      <w:tr w14:paraId="2E92753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49" w:type="pct"/>
            <w:tcBorders>
              <w:tl2br w:val="nil"/>
              <w:tr2bl w:val="nil"/>
            </w:tcBorders>
            <w:vAlign w:val="center"/>
          </w:tcPr>
          <w:p w14:paraId="0E0E839D">
            <w:pPr>
              <w:pStyle w:val="72"/>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废水种类</w:t>
            </w:r>
          </w:p>
        </w:tc>
        <w:tc>
          <w:tcPr>
            <w:tcW w:w="1250" w:type="pct"/>
            <w:tcBorders>
              <w:tl2br w:val="nil"/>
              <w:tr2bl w:val="nil"/>
            </w:tcBorders>
            <w:vAlign w:val="center"/>
          </w:tcPr>
          <w:p w14:paraId="40233444">
            <w:pPr>
              <w:pStyle w:val="72"/>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前处理废水</w:t>
            </w:r>
          </w:p>
        </w:tc>
        <w:tc>
          <w:tcPr>
            <w:tcW w:w="1250" w:type="pct"/>
            <w:tcBorders>
              <w:tl2br w:val="nil"/>
              <w:tr2bl w:val="nil"/>
            </w:tcBorders>
            <w:vAlign w:val="center"/>
          </w:tcPr>
          <w:p w14:paraId="094EEE99">
            <w:pPr>
              <w:pStyle w:val="72"/>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含锡废水</w:t>
            </w:r>
          </w:p>
        </w:tc>
        <w:tc>
          <w:tcPr>
            <w:tcW w:w="1250" w:type="pct"/>
            <w:tcBorders>
              <w:tl2br w:val="nil"/>
              <w:tr2bl w:val="nil"/>
            </w:tcBorders>
            <w:vAlign w:val="center"/>
          </w:tcPr>
          <w:p w14:paraId="02758FDF">
            <w:pPr>
              <w:pStyle w:val="72"/>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合计t/a</w:t>
            </w:r>
          </w:p>
        </w:tc>
      </w:tr>
      <w:tr w14:paraId="4DB04CC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49" w:type="pct"/>
            <w:tcBorders>
              <w:tl2br w:val="nil"/>
              <w:tr2bl w:val="nil"/>
            </w:tcBorders>
            <w:vAlign w:val="center"/>
          </w:tcPr>
          <w:p w14:paraId="3FAE0FE8">
            <w:pPr>
              <w:pStyle w:val="72"/>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废水量</w:t>
            </w:r>
          </w:p>
        </w:tc>
        <w:tc>
          <w:tcPr>
            <w:tcW w:w="1250" w:type="pct"/>
            <w:tcBorders>
              <w:tl2br w:val="nil"/>
              <w:tr2bl w:val="nil"/>
            </w:tcBorders>
            <w:vAlign w:val="center"/>
          </w:tcPr>
          <w:p w14:paraId="0BEEA933">
            <w:pPr>
              <w:pStyle w:val="72"/>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570t/a</w:t>
            </w:r>
          </w:p>
        </w:tc>
        <w:tc>
          <w:tcPr>
            <w:tcW w:w="1250" w:type="pct"/>
            <w:tcBorders>
              <w:tl2br w:val="nil"/>
              <w:tr2bl w:val="nil"/>
            </w:tcBorders>
            <w:vAlign w:val="center"/>
          </w:tcPr>
          <w:p w14:paraId="2D5630AE">
            <w:pPr>
              <w:pStyle w:val="72"/>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423t/a</w:t>
            </w:r>
          </w:p>
        </w:tc>
        <w:tc>
          <w:tcPr>
            <w:tcW w:w="1250" w:type="pct"/>
            <w:tcBorders>
              <w:tl2br w:val="nil"/>
              <w:tr2bl w:val="nil"/>
            </w:tcBorders>
            <w:vAlign w:val="center"/>
          </w:tcPr>
          <w:p w14:paraId="46576922">
            <w:pPr>
              <w:pStyle w:val="72"/>
              <w:jc w:val="center"/>
              <w:rPr>
                <w:rFonts w:hint="default"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993</w:t>
            </w:r>
          </w:p>
        </w:tc>
      </w:tr>
      <w:tr w14:paraId="5032E84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49" w:type="pct"/>
            <w:tcBorders>
              <w:tl2br w:val="nil"/>
              <w:tr2bl w:val="nil"/>
            </w:tcBorders>
            <w:vAlign w:val="center"/>
          </w:tcPr>
          <w:p w14:paraId="14CFF916">
            <w:pPr>
              <w:pStyle w:val="72"/>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COD</w:t>
            </w:r>
          </w:p>
        </w:tc>
        <w:tc>
          <w:tcPr>
            <w:tcW w:w="1250" w:type="pct"/>
            <w:tcBorders>
              <w:tl2br w:val="nil"/>
              <w:tr2bl w:val="nil"/>
            </w:tcBorders>
            <w:vAlign w:val="center"/>
          </w:tcPr>
          <w:p w14:paraId="73E36D89">
            <w:pPr>
              <w:pStyle w:val="72"/>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90mg/L</w:t>
            </w:r>
          </w:p>
        </w:tc>
        <w:tc>
          <w:tcPr>
            <w:tcW w:w="1250" w:type="pct"/>
            <w:tcBorders>
              <w:tl2br w:val="nil"/>
              <w:tr2bl w:val="nil"/>
            </w:tcBorders>
            <w:vAlign w:val="center"/>
          </w:tcPr>
          <w:p w14:paraId="6D187C58">
            <w:pPr>
              <w:pStyle w:val="72"/>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90mg/L</w:t>
            </w:r>
          </w:p>
        </w:tc>
        <w:tc>
          <w:tcPr>
            <w:tcW w:w="1250" w:type="pct"/>
            <w:tcBorders>
              <w:tl2br w:val="nil"/>
              <w:tr2bl w:val="nil"/>
            </w:tcBorders>
            <w:vAlign w:val="center"/>
          </w:tcPr>
          <w:p w14:paraId="3FEE9798">
            <w:pPr>
              <w:pStyle w:val="72"/>
              <w:jc w:val="center"/>
              <w:rPr>
                <w:rFonts w:hint="default"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0.089</w:t>
            </w:r>
          </w:p>
        </w:tc>
      </w:tr>
      <w:tr w14:paraId="1D805F6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49" w:type="pct"/>
            <w:tcBorders>
              <w:tl2br w:val="nil"/>
              <w:tr2bl w:val="nil"/>
            </w:tcBorders>
            <w:vAlign w:val="center"/>
          </w:tcPr>
          <w:p w14:paraId="49B93E34">
            <w:pPr>
              <w:pStyle w:val="72"/>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SS</w:t>
            </w:r>
          </w:p>
        </w:tc>
        <w:tc>
          <w:tcPr>
            <w:tcW w:w="1250" w:type="pct"/>
            <w:tcBorders>
              <w:tl2br w:val="nil"/>
              <w:tr2bl w:val="nil"/>
            </w:tcBorders>
            <w:vAlign w:val="center"/>
          </w:tcPr>
          <w:p w14:paraId="0B088B77">
            <w:pPr>
              <w:pStyle w:val="72"/>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100mg/L</w:t>
            </w:r>
          </w:p>
        </w:tc>
        <w:tc>
          <w:tcPr>
            <w:tcW w:w="1250" w:type="pct"/>
            <w:tcBorders>
              <w:tl2br w:val="nil"/>
              <w:tr2bl w:val="nil"/>
            </w:tcBorders>
            <w:vAlign w:val="center"/>
          </w:tcPr>
          <w:p w14:paraId="612D8B98">
            <w:pPr>
              <w:pStyle w:val="72"/>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w:t>
            </w:r>
          </w:p>
        </w:tc>
        <w:tc>
          <w:tcPr>
            <w:tcW w:w="1250" w:type="pct"/>
            <w:tcBorders>
              <w:tl2br w:val="nil"/>
              <w:tr2bl w:val="nil"/>
            </w:tcBorders>
            <w:vAlign w:val="center"/>
          </w:tcPr>
          <w:p w14:paraId="40324166">
            <w:pPr>
              <w:pStyle w:val="72"/>
              <w:jc w:val="center"/>
              <w:rPr>
                <w:rFonts w:hint="default"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0.057</w:t>
            </w:r>
          </w:p>
        </w:tc>
      </w:tr>
      <w:tr w14:paraId="00B52C1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49" w:type="pct"/>
            <w:tcBorders>
              <w:tl2br w:val="nil"/>
              <w:tr2bl w:val="nil"/>
            </w:tcBorders>
            <w:vAlign w:val="center"/>
          </w:tcPr>
          <w:p w14:paraId="2B931F04">
            <w:pPr>
              <w:pStyle w:val="72"/>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石油类</w:t>
            </w:r>
          </w:p>
        </w:tc>
        <w:tc>
          <w:tcPr>
            <w:tcW w:w="1250" w:type="pct"/>
            <w:tcBorders>
              <w:tl2br w:val="nil"/>
              <w:tr2bl w:val="nil"/>
            </w:tcBorders>
            <w:vAlign w:val="center"/>
          </w:tcPr>
          <w:p w14:paraId="75EB3AFD">
            <w:pPr>
              <w:pStyle w:val="72"/>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30mg/L</w:t>
            </w:r>
          </w:p>
        </w:tc>
        <w:tc>
          <w:tcPr>
            <w:tcW w:w="1250" w:type="pct"/>
            <w:tcBorders>
              <w:tl2br w:val="nil"/>
              <w:tr2bl w:val="nil"/>
            </w:tcBorders>
            <w:vAlign w:val="center"/>
          </w:tcPr>
          <w:p w14:paraId="2ADE2B09">
            <w:pPr>
              <w:pStyle w:val="72"/>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w:t>
            </w:r>
          </w:p>
        </w:tc>
        <w:tc>
          <w:tcPr>
            <w:tcW w:w="1250" w:type="pct"/>
            <w:tcBorders>
              <w:tl2br w:val="nil"/>
              <w:tr2bl w:val="nil"/>
            </w:tcBorders>
            <w:vAlign w:val="center"/>
          </w:tcPr>
          <w:p w14:paraId="6A725B38">
            <w:pPr>
              <w:pStyle w:val="72"/>
              <w:jc w:val="center"/>
              <w:rPr>
                <w:rFonts w:hint="default"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0.017</w:t>
            </w:r>
          </w:p>
        </w:tc>
      </w:tr>
      <w:tr w14:paraId="35FE301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49" w:type="pct"/>
            <w:tcBorders>
              <w:tl2br w:val="nil"/>
              <w:tr2bl w:val="nil"/>
            </w:tcBorders>
            <w:vAlign w:val="center"/>
          </w:tcPr>
          <w:p w14:paraId="7116D0B6">
            <w:pPr>
              <w:pStyle w:val="72"/>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总锡</w:t>
            </w:r>
          </w:p>
        </w:tc>
        <w:tc>
          <w:tcPr>
            <w:tcW w:w="1250" w:type="pct"/>
            <w:tcBorders>
              <w:tl2br w:val="nil"/>
              <w:tr2bl w:val="nil"/>
            </w:tcBorders>
            <w:vAlign w:val="center"/>
          </w:tcPr>
          <w:p w14:paraId="2916F13E">
            <w:pPr>
              <w:pStyle w:val="72"/>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w:t>
            </w:r>
          </w:p>
        </w:tc>
        <w:tc>
          <w:tcPr>
            <w:tcW w:w="1250" w:type="pct"/>
            <w:tcBorders>
              <w:tl2br w:val="nil"/>
              <w:tr2bl w:val="nil"/>
            </w:tcBorders>
            <w:vAlign w:val="center"/>
          </w:tcPr>
          <w:p w14:paraId="6910E633">
            <w:pPr>
              <w:pStyle w:val="72"/>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5.0mg/L</w:t>
            </w:r>
          </w:p>
        </w:tc>
        <w:tc>
          <w:tcPr>
            <w:tcW w:w="1250" w:type="pct"/>
            <w:tcBorders>
              <w:tl2br w:val="nil"/>
              <w:tr2bl w:val="nil"/>
            </w:tcBorders>
            <w:vAlign w:val="center"/>
          </w:tcPr>
          <w:p w14:paraId="42CB1C79">
            <w:pPr>
              <w:pStyle w:val="72"/>
              <w:jc w:val="center"/>
              <w:rPr>
                <w:rFonts w:hint="default"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0.0021</w:t>
            </w:r>
          </w:p>
        </w:tc>
      </w:tr>
    </w:tbl>
    <w:p w14:paraId="4328238C">
      <w:pPr>
        <w:bidi w:val="0"/>
        <w:rPr>
          <w:rFonts w:hint="eastAsia"/>
          <w:lang w:val="en-US" w:eastAsia="zh-CN"/>
        </w:rPr>
      </w:pPr>
      <w:r>
        <w:rPr>
          <w:rFonts w:hint="eastAsia"/>
          <w:highlight w:val="none"/>
          <w:lang w:val="en-US" w:eastAsia="zh-CN"/>
        </w:rPr>
        <w:t>本项目产生的废水经废水净化装置处理后，用于</w:t>
      </w:r>
      <w:r>
        <w:rPr>
          <w:rFonts w:hint="eastAsia"/>
          <w:lang w:val="en-US" w:eastAsia="zh-CN"/>
        </w:rPr>
        <w:t>水洗以及车间地面冲洗，废水循环使用，不外排。</w:t>
      </w:r>
    </w:p>
    <w:p w14:paraId="351F2352">
      <w:pPr>
        <w:pStyle w:val="5"/>
        <w:bidi w:val="0"/>
        <w:rPr>
          <w:rFonts w:hint="eastAsia"/>
          <w:lang w:val="en-US" w:eastAsia="zh-CN"/>
        </w:rPr>
      </w:pPr>
      <w:r>
        <w:rPr>
          <w:rFonts w:hint="eastAsia"/>
          <w:lang w:val="en-US" w:eastAsia="zh-CN"/>
        </w:rPr>
        <w:t>5.3.2生产废气</w:t>
      </w:r>
    </w:p>
    <w:p w14:paraId="0246B9AE">
      <w:pPr>
        <w:pStyle w:val="6"/>
        <w:bidi w:val="0"/>
        <w:rPr>
          <w:rFonts w:hint="eastAsia"/>
          <w:lang w:val="en-US" w:eastAsia="zh-CN"/>
        </w:rPr>
      </w:pPr>
      <w:r>
        <w:rPr>
          <w:rFonts w:hint="eastAsia"/>
          <w:lang w:val="en-US" w:eastAsia="zh-CN"/>
        </w:rPr>
        <w:t>5.3.2.1废气种类</w:t>
      </w:r>
    </w:p>
    <w:p w14:paraId="69925346">
      <w:pPr>
        <w:bidi w:val="0"/>
        <w:rPr>
          <w:rFonts w:hint="eastAsia"/>
          <w:lang w:val="en-US" w:eastAsia="zh-CN"/>
        </w:rPr>
      </w:pPr>
      <w:r>
        <w:rPr>
          <w:rFonts w:hint="eastAsia"/>
          <w:lang w:val="en-US" w:eastAsia="zh-CN"/>
        </w:rPr>
        <w:t>本项目设置镀锡生产线1条，项目生产过程中加热均采用电加热，项目运营期间产生的废气为镀锡工序产生的有机酸性废气。</w:t>
      </w:r>
    </w:p>
    <w:p w14:paraId="2F61889C">
      <w:pPr>
        <w:pStyle w:val="6"/>
        <w:bidi w:val="0"/>
        <w:rPr>
          <w:rFonts w:hint="eastAsia"/>
          <w:lang w:val="en-US" w:eastAsia="zh-CN"/>
        </w:rPr>
      </w:pPr>
      <w:r>
        <w:rPr>
          <w:rFonts w:hint="eastAsia"/>
          <w:lang w:val="en-US" w:eastAsia="zh-CN"/>
        </w:rPr>
        <w:t>5.3.2.2废气产排情况</w:t>
      </w:r>
    </w:p>
    <w:p w14:paraId="7497E464">
      <w:pPr>
        <w:bidi w:val="0"/>
        <w:rPr>
          <w:rFonts w:hint="eastAsia"/>
          <w:lang w:val="en-US" w:eastAsia="zh-CN"/>
        </w:rPr>
      </w:pPr>
      <w:r>
        <w:rPr>
          <w:rFonts w:hint="eastAsia"/>
          <w:lang w:val="en-US" w:eastAsia="zh-CN"/>
        </w:rPr>
        <w:t>酸性废气</w:t>
      </w:r>
    </w:p>
    <w:p w14:paraId="4092C589">
      <w:pPr>
        <w:bidi w:val="0"/>
        <w:rPr>
          <w:rFonts w:hint="default"/>
          <w:lang w:val="en-US" w:eastAsia="zh-CN"/>
        </w:rPr>
      </w:pPr>
      <w:r>
        <w:rPr>
          <w:rFonts w:hint="default"/>
          <w:lang w:val="en-US" w:eastAsia="zh-CN"/>
        </w:rPr>
        <w:t>①槽液配置过程酸雾挥发量估算</w:t>
      </w:r>
    </w:p>
    <w:p w14:paraId="2A7B9FD0">
      <w:pPr>
        <w:bidi w:val="0"/>
        <w:rPr>
          <w:rFonts w:hint="default"/>
          <w:lang w:val="en-US" w:eastAsia="zh-CN"/>
        </w:rPr>
      </w:pPr>
      <w:r>
        <w:rPr>
          <w:rFonts w:hint="default"/>
          <w:lang w:val="en-US" w:eastAsia="zh-CN"/>
        </w:rPr>
        <w:t>本项目镀锡过程需要用到甲基磺酸，镀锡槽液需要定期补加甲基磺酸。上述过程会有少量酸挥发到空气中形成酸雾。本项目槽液配置和槽液补加甲基磺酸均在镀槽中进行，所用甲基磺酸挥发性较弱，且更换槽液和镀槽补加甲基磺酸所需时间均很短，故槽液配置和槽液补加甲基磺酸过程中酸雾的挥发量很小。针对上述槽液配置过程酸雾的挥发量，本次评价不做估算，要求企业在配置槽液过程中，开启车间废气收集净化设备，对上述过程产生的酸雾进行收集治理，尽可能减少槽液配置过程挥发的酸雾对周围环境的影响。</w:t>
      </w:r>
    </w:p>
    <w:p w14:paraId="29AE5B5C">
      <w:pPr>
        <w:bidi w:val="0"/>
        <w:rPr>
          <w:rFonts w:hint="default"/>
          <w:lang w:val="en-US" w:eastAsia="zh-CN"/>
        </w:rPr>
      </w:pPr>
      <w:r>
        <w:rPr>
          <w:rFonts w:hint="default"/>
          <w:lang w:val="en-US" w:eastAsia="zh-CN"/>
        </w:rPr>
        <w:t>②电镀生产过程酸雾挥发量估算</w:t>
      </w:r>
    </w:p>
    <w:p w14:paraId="102FFF9A">
      <w:pPr>
        <w:bidi w:val="0"/>
        <w:rPr>
          <w:rFonts w:hint="default"/>
          <w:lang w:val="en-US" w:eastAsia="zh-CN"/>
        </w:rPr>
      </w:pPr>
      <w:r>
        <w:rPr>
          <w:rFonts w:hint="default"/>
          <w:lang w:val="en-US" w:eastAsia="zh-CN"/>
        </w:rPr>
        <w:t>本项目电镀生产所用的酸为甲基磺酸。甲基磺酸属于高沸点强酸，高沸点强酸不易挥发。甲基磺酸和常见酸的蒸气压随温度变化的曲线见</w:t>
      </w:r>
      <w:r>
        <w:rPr>
          <w:rFonts w:hint="eastAsia"/>
          <w:lang w:val="en-US" w:eastAsia="zh-CN"/>
        </w:rPr>
        <w:t>下图</w:t>
      </w:r>
      <w:r>
        <w:rPr>
          <w:rFonts w:hint="default"/>
          <w:lang w:val="en-US" w:eastAsia="zh-CN"/>
        </w:rPr>
        <w:t>，从图中蒸汽压数据可知甲基磺酸的挥发性类似于硫酸。由于关于甲基磺酸的挥发特性资料较少，本次评价甲基磺酸挥发量按照硫酸的挥发特性进行估算。根据《机械工业采暖通风与空调设计手册》第24章表24-3，“在质量浓度为150g/L到350g/L的硫酸中进行电化学加工，或在浓而冷或在稀而热的硫酸中进行阳极氧化，电抛光、浸蚀、退镍、退银、钛的氢化加工等，硫酸挥发量按照7mg/（s∙m</w:t>
      </w:r>
      <w:r>
        <w:rPr>
          <w:rFonts w:hint="default"/>
          <w:vertAlign w:val="superscript"/>
          <w:lang w:val="en-US" w:eastAsia="zh-CN"/>
        </w:rPr>
        <w:t>2</w:t>
      </w:r>
      <w:r>
        <w:rPr>
          <w:rFonts w:hint="default"/>
          <w:lang w:val="en-US" w:eastAsia="zh-CN"/>
        </w:rPr>
        <w:t>）进行计算”，“在 t&lt;50℃的硫酸溶液中镀铜、镀锡、镀锌、镀镉，同时酸洗，其酸雾挥发量可以忽略不计”。</w:t>
      </w:r>
    </w:p>
    <w:p w14:paraId="088CAEB3">
      <w:pPr>
        <w:bidi w:val="0"/>
        <w:rPr>
          <w:rFonts w:hint="eastAsia"/>
          <w:lang w:val="en-US" w:eastAsia="zh-CN"/>
        </w:rPr>
      </w:pPr>
      <w:r>
        <w:rPr>
          <w:rFonts w:hint="default"/>
          <w:lang w:val="en-US" w:eastAsia="zh-CN"/>
        </w:rPr>
        <w:t>本项目用到甲基磺酸的工艺温度均</w:t>
      </w:r>
      <w:r>
        <w:rPr>
          <w:rFonts w:hint="eastAsia"/>
          <w:lang w:val="en-US" w:eastAsia="zh-CN"/>
        </w:rPr>
        <w:t>为常温操作（</w:t>
      </w:r>
      <w:r>
        <w:rPr>
          <w:rFonts w:hint="default"/>
          <w:lang w:val="en-US" w:eastAsia="zh-CN"/>
        </w:rPr>
        <w:t>低于50℃</w:t>
      </w:r>
      <w:r>
        <w:rPr>
          <w:rFonts w:hint="eastAsia"/>
          <w:lang w:val="en-US" w:eastAsia="zh-CN"/>
        </w:rPr>
        <w:t>）</w:t>
      </w:r>
      <w:r>
        <w:rPr>
          <w:rFonts w:hint="default"/>
          <w:lang w:val="en-US" w:eastAsia="zh-CN"/>
        </w:rPr>
        <w:t>，甲基磺酸酸雾挥发量可忽略不计，保守考虑，按1mg/（s∙m</w:t>
      </w:r>
      <w:r>
        <w:rPr>
          <w:rFonts w:hint="default"/>
          <w:vertAlign w:val="superscript"/>
          <w:lang w:val="en-US" w:eastAsia="zh-CN"/>
        </w:rPr>
        <w:t>2</w:t>
      </w:r>
      <w:r>
        <w:rPr>
          <w:rFonts w:hint="default"/>
          <w:lang w:val="en-US" w:eastAsia="zh-CN"/>
        </w:rPr>
        <w:t>）进行计算。按照项目一年生产 300天，每天8小时计算得到项目电镀生产线甲基磺酸挥发量为</w:t>
      </w:r>
      <w:r>
        <w:rPr>
          <w:rFonts w:hint="eastAsia"/>
          <w:lang w:val="en-US" w:eastAsia="zh-CN"/>
        </w:rPr>
        <w:t>7.3</w:t>
      </w:r>
      <w:r>
        <w:rPr>
          <w:rFonts w:hint="default"/>
          <w:lang w:val="en-US" w:eastAsia="zh-CN"/>
        </w:rPr>
        <w:t>kg/a</w:t>
      </w:r>
      <w:r>
        <w:rPr>
          <w:rFonts w:hint="eastAsia"/>
          <w:lang w:val="en-US" w:eastAsia="zh-CN"/>
        </w:rPr>
        <w:t>。</w:t>
      </w:r>
    </w:p>
    <w:p w14:paraId="692D71C3">
      <w:pPr>
        <w:pStyle w:val="72"/>
        <w:jc w:val="center"/>
      </w:pPr>
      <w:r>
        <w:drawing>
          <wp:inline distT="0" distB="0" distL="114300" distR="114300">
            <wp:extent cx="5271770" cy="3387725"/>
            <wp:effectExtent l="0" t="0" r="5080" b="3175"/>
            <wp:docPr id="86"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19"/>
                    <pic:cNvPicPr>
                      <a:picLocks noChangeAspect="1"/>
                    </pic:cNvPicPr>
                  </pic:nvPicPr>
                  <pic:blipFill>
                    <a:blip r:embed="rId26"/>
                    <a:stretch>
                      <a:fillRect/>
                    </a:stretch>
                  </pic:blipFill>
                  <pic:spPr>
                    <a:xfrm>
                      <a:off x="0" y="0"/>
                      <a:ext cx="5271770" cy="3387725"/>
                    </a:xfrm>
                    <a:prstGeom prst="rect">
                      <a:avLst/>
                    </a:prstGeom>
                    <a:noFill/>
                    <a:ln>
                      <a:noFill/>
                    </a:ln>
                  </pic:spPr>
                </pic:pic>
              </a:graphicData>
            </a:graphic>
          </wp:inline>
        </w:drawing>
      </w:r>
    </w:p>
    <w:p w14:paraId="1589DE02">
      <w:pPr>
        <w:pStyle w:val="72"/>
        <w:jc w:val="center"/>
        <w:rPr>
          <w:rFonts w:hint="eastAsia" w:ascii="黑体" w:hAnsi="黑体" w:eastAsia="黑体" w:cs="黑体"/>
          <w:sz w:val="21"/>
          <w:szCs w:val="21"/>
          <w:lang w:val="en-US" w:eastAsia="zh-CN"/>
        </w:rPr>
      </w:pPr>
      <w:r>
        <w:rPr>
          <w:rFonts w:hint="eastAsia" w:ascii="黑体" w:hAnsi="黑体" w:eastAsia="黑体" w:cs="黑体"/>
          <w:sz w:val="21"/>
          <w:szCs w:val="21"/>
          <w:lang w:eastAsia="zh-CN"/>
        </w:rPr>
        <w:t>图</w:t>
      </w:r>
      <w:r>
        <w:rPr>
          <w:rFonts w:hint="eastAsia" w:ascii="黑体" w:hAnsi="黑体" w:eastAsia="黑体" w:cs="黑体"/>
          <w:sz w:val="21"/>
          <w:szCs w:val="21"/>
          <w:lang w:val="en-US" w:eastAsia="zh-CN"/>
        </w:rPr>
        <w:t>5-4甲基磺酸和常见酸的蒸气压随温度变化的曲线</w:t>
      </w:r>
    </w:p>
    <w:p w14:paraId="562B8CBA">
      <w:pPr>
        <w:bidi w:val="0"/>
        <w:rPr>
          <w:rFonts w:hint="eastAsia"/>
          <w:lang w:val="en-US" w:eastAsia="zh-CN"/>
        </w:rPr>
      </w:pPr>
      <w:r>
        <w:rPr>
          <w:rFonts w:hint="eastAsia"/>
          <w:lang w:val="en-US" w:eastAsia="zh-CN"/>
        </w:rPr>
        <w:t>3、废气处理措施</w:t>
      </w:r>
    </w:p>
    <w:p w14:paraId="2C91A4B9">
      <w:pPr>
        <w:bidi w:val="0"/>
        <w:rPr>
          <w:rFonts w:hint="default"/>
          <w:lang w:val="en-US" w:eastAsia="zh-CN"/>
        </w:rPr>
      </w:pPr>
      <w:r>
        <w:rPr>
          <w:rFonts w:hint="default"/>
          <w:lang w:val="en-US" w:eastAsia="zh-CN"/>
        </w:rPr>
        <w:t>酸性废气</w:t>
      </w:r>
    </w:p>
    <w:p w14:paraId="64E5CB51">
      <w:pPr>
        <w:bidi w:val="0"/>
        <w:rPr>
          <w:rFonts w:hint="default"/>
          <w:lang w:val="en-US" w:eastAsia="zh-CN"/>
        </w:rPr>
      </w:pPr>
      <w:r>
        <w:rPr>
          <w:rFonts w:hint="default"/>
          <w:lang w:val="en-US" w:eastAsia="zh-CN"/>
        </w:rPr>
        <w:t>本项目酸雾为挥发的甲基磺酸，企业计划采取如下治理措施：</w:t>
      </w:r>
    </w:p>
    <w:p w14:paraId="115DEBA4">
      <w:pPr>
        <w:bidi w:val="0"/>
        <w:rPr>
          <w:rFonts w:hint="default"/>
          <w:lang w:val="en-US" w:eastAsia="zh-CN"/>
        </w:rPr>
      </w:pPr>
      <w:r>
        <w:rPr>
          <w:rFonts w:hint="default"/>
          <w:lang w:val="en-US" w:eastAsia="zh-CN"/>
        </w:rPr>
        <w:t>通过槽边吸风装置对酸雾进行收集，收集后的酸雾进入酸雾净化塔吸收净化后通过厂房楼顶的排气筒外排。</w:t>
      </w:r>
    </w:p>
    <w:p w14:paraId="004F30B0">
      <w:pPr>
        <w:bidi w:val="0"/>
        <w:rPr>
          <w:rFonts w:hint="default"/>
          <w:lang w:val="en-US" w:eastAsia="zh-CN"/>
        </w:rPr>
      </w:pPr>
      <w:r>
        <w:rPr>
          <w:rFonts w:hint="eastAsia"/>
          <w:lang w:val="en-US" w:eastAsia="zh-CN"/>
        </w:rPr>
        <w:t>企业设置酸性气体收集箱（</w:t>
      </w:r>
      <w:r>
        <w:rPr>
          <w:rFonts w:hint="eastAsia" w:ascii="宋体" w:hAnsi="宋体"/>
          <w:sz w:val="24"/>
          <w:szCs w:val="24"/>
          <w:lang w:eastAsia="zh-CN"/>
        </w:rPr>
        <w:t>1200*1200*1200mm</w:t>
      </w:r>
      <w:r>
        <w:rPr>
          <w:rFonts w:hint="eastAsia"/>
          <w:lang w:val="en-US" w:eastAsia="zh-CN"/>
        </w:rPr>
        <w:t>）处理生产过程中产生的酸性废气。收集箱内采用</w:t>
      </w:r>
      <w:r>
        <w:rPr>
          <w:rFonts w:hint="eastAsia" w:ascii="宋体" w:hAnsi="宋体"/>
          <w:sz w:val="24"/>
          <w:szCs w:val="24"/>
          <w:lang w:eastAsia="zh-CN"/>
        </w:rPr>
        <w:t>吸附滤料为SDG-2型酸气吸附剂，吸附剂外观为白色，柱状，是一种多种成分复合的化学吸附剂。SDG-2型吸附剂是一种比表面积较大的固体颗粒状无机物（该吸附剂为固体，废气治理过程中无废水产生），当被净化气体中的酸气扩散运动到达SDG吸附剂表面吸附力场时，便被固定在其表面上，然后与其中活性成分发生化学反应，生成一种新的中性盐物资而储存于SDG吸附剂结构中，SDG吸附剂对酸气的净化是一个多功能的中和作用。</w:t>
      </w:r>
    </w:p>
    <w:p w14:paraId="7F675D96">
      <w:pPr>
        <w:bidi w:val="0"/>
        <w:rPr>
          <w:rFonts w:hint="default"/>
          <w:lang w:val="en-US" w:eastAsia="zh-CN"/>
        </w:rPr>
      </w:pPr>
      <w:r>
        <w:rPr>
          <w:rFonts w:hint="default"/>
          <w:lang w:val="en-US" w:eastAsia="zh-CN"/>
        </w:rPr>
        <w:t>类比同类型项目，槽边吸风装置的集气效率按照95%计算，根据企业提供的资料，本项目除油、镀锡槽液面设计抽风速度为0.3m/s，类比同类型项目，槽边吸风装置的集气效率按照90%计算，酸雾净化</w:t>
      </w:r>
      <w:r>
        <w:rPr>
          <w:rFonts w:hint="eastAsia"/>
          <w:lang w:val="en-US" w:eastAsia="zh-CN"/>
        </w:rPr>
        <w:t>装置</w:t>
      </w:r>
      <w:r>
        <w:rPr>
          <w:rFonts w:hint="default"/>
          <w:lang w:val="en-US" w:eastAsia="zh-CN"/>
        </w:rPr>
        <w:t>的酸雾去除率可达95%以上，本次环评取95%。酸雾净化塔引风机的风量为</w:t>
      </w:r>
      <w:r>
        <w:rPr>
          <w:rFonts w:hint="eastAsia"/>
          <w:lang w:val="en-US" w:eastAsia="zh-CN"/>
        </w:rPr>
        <w:t>10</w:t>
      </w:r>
      <w:r>
        <w:rPr>
          <w:rFonts w:hint="default"/>
          <w:lang w:val="en-US" w:eastAsia="zh-CN"/>
        </w:rPr>
        <w:t>000m</w:t>
      </w:r>
      <w:r>
        <w:rPr>
          <w:rFonts w:hint="default"/>
          <w:vertAlign w:val="superscript"/>
          <w:lang w:val="en-US" w:eastAsia="zh-CN"/>
        </w:rPr>
        <w:t>3</w:t>
      </w:r>
      <w:r>
        <w:rPr>
          <w:rFonts w:hint="default"/>
          <w:lang w:val="en-US" w:eastAsia="zh-CN"/>
        </w:rPr>
        <w:t>/h。</w:t>
      </w:r>
    </w:p>
    <w:p w14:paraId="7F2C7108">
      <w:pPr>
        <w:bidi w:val="0"/>
        <w:rPr>
          <w:rFonts w:hint="default"/>
          <w:lang w:val="en-US" w:eastAsia="zh-CN"/>
        </w:rPr>
      </w:pPr>
      <w:r>
        <w:rPr>
          <w:rFonts w:hint="default"/>
          <w:lang w:val="en-US" w:eastAsia="zh-CN"/>
        </w:rPr>
        <w:t>采取了污染防治措施后的废气排放情况</w:t>
      </w:r>
      <w:r>
        <w:rPr>
          <w:rFonts w:hint="eastAsia"/>
          <w:lang w:val="en-US" w:eastAsia="zh-CN"/>
        </w:rPr>
        <w:t>如下表所示</w:t>
      </w:r>
      <w:r>
        <w:rPr>
          <w:rFonts w:hint="default"/>
          <w:lang w:val="en-US" w:eastAsia="zh-CN"/>
        </w:rPr>
        <w:t>。</w:t>
      </w:r>
    </w:p>
    <w:p w14:paraId="5D04E04E">
      <w:pPr>
        <w:pStyle w:val="72"/>
        <w:rPr>
          <w:rFonts w:hint="default"/>
          <w:lang w:val="en-US" w:eastAsia="zh-CN"/>
        </w:rPr>
        <w:sectPr>
          <w:pgSz w:w="11906" w:h="16838"/>
          <w:pgMar w:top="1440" w:right="1800" w:bottom="1440" w:left="1800" w:header="850" w:footer="964" w:gutter="0"/>
          <w:pgBorders>
            <w:top w:val="none" w:sz="0" w:space="0"/>
            <w:left w:val="none" w:sz="0" w:space="0"/>
            <w:bottom w:val="none" w:sz="0" w:space="0"/>
            <w:right w:val="none" w:sz="0" w:space="0"/>
          </w:pgBorders>
          <w:pgNumType w:fmt="decimal"/>
          <w:cols w:space="425" w:num="1"/>
          <w:docGrid w:linePitch="326" w:charSpace="0"/>
        </w:sectPr>
      </w:pPr>
    </w:p>
    <w:p w14:paraId="21638B43">
      <w:pPr>
        <w:bidi w:val="0"/>
        <w:ind w:left="0" w:leftChars="0" w:firstLine="0" w:firstLineChars="0"/>
        <w:jc w:val="center"/>
        <w:rPr>
          <w:rFonts w:hint="eastAsia"/>
          <w:lang w:val="en-US" w:eastAsia="zh-CN"/>
        </w:rPr>
      </w:pPr>
      <w:r>
        <w:rPr>
          <w:rFonts w:hint="eastAsia" w:ascii="黑体" w:hAnsi="黑体" w:eastAsia="黑体" w:cs="黑体"/>
          <w:sz w:val="21"/>
          <w:szCs w:val="21"/>
          <w:lang w:val="en-US" w:eastAsia="zh-CN"/>
        </w:rPr>
        <w:t>表5-10项目酸雾产排情况（有组织）</w:t>
      </w:r>
    </w:p>
    <w:tbl>
      <w:tblPr>
        <w:tblStyle w:val="53"/>
        <w:tblW w:w="4996"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065"/>
        <w:gridCol w:w="1066"/>
        <w:gridCol w:w="1066"/>
        <w:gridCol w:w="1071"/>
        <w:gridCol w:w="1097"/>
        <w:gridCol w:w="1667"/>
        <w:gridCol w:w="1186"/>
        <w:gridCol w:w="1901"/>
        <w:gridCol w:w="1288"/>
        <w:gridCol w:w="887"/>
        <w:gridCol w:w="795"/>
        <w:gridCol w:w="1074"/>
      </w:tblGrid>
      <w:tr w14:paraId="4998E3E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375" w:type="pct"/>
            <w:vMerge w:val="restart"/>
            <w:tcBorders>
              <w:tl2br w:val="nil"/>
              <w:tr2bl w:val="nil"/>
            </w:tcBorders>
            <w:vAlign w:val="center"/>
          </w:tcPr>
          <w:p w14:paraId="6B8738CF">
            <w:pPr>
              <w:pStyle w:val="72"/>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污染源</w:t>
            </w:r>
          </w:p>
        </w:tc>
        <w:tc>
          <w:tcPr>
            <w:tcW w:w="376" w:type="pct"/>
            <w:vMerge w:val="restart"/>
            <w:tcBorders>
              <w:tl2br w:val="nil"/>
              <w:tr2bl w:val="nil"/>
            </w:tcBorders>
            <w:vAlign w:val="center"/>
          </w:tcPr>
          <w:p w14:paraId="56FB94A4">
            <w:pPr>
              <w:pStyle w:val="72"/>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污染物名称</w:t>
            </w:r>
          </w:p>
        </w:tc>
        <w:tc>
          <w:tcPr>
            <w:tcW w:w="1141" w:type="pct"/>
            <w:gridSpan w:val="3"/>
            <w:tcBorders>
              <w:tl2br w:val="nil"/>
              <w:tr2bl w:val="nil"/>
            </w:tcBorders>
            <w:vAlign w:val="center"/>
          </w:tcPr>
          <w:p w14:paraId="65683390">
            <w:pPr>
              <w:pStyle w:val="72"/>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废气污染物产生情况</w:t>
            </w:r>
          </w:p>
        </w:tc>
        <w:tc>
          <w:tcPr>
            <w:tcW w:w="588" w:type="pct"/>
            <w:vMerge w:val="restart"/>
            <w:tcBorders>
              <w:tl2br w:val="nil"/>
              <w:tr2bl w:val="nil"/>
            </w:tcBorders>
            <w:vAlign w:val="center"/>
          </w:tcPr>
          <w:p w14:paraId="21C73F71">
            <w:pPr>
              <w:pStyle w:val="72"/>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拟采取的治理措施</w:t>
            </w:r>
          </w:p>
        </w:tc>
        <w:tc>
          <w:tcPr>
            <w:tcW w:w="1089" w:type="pct"/>
            <w:gridSpan w:val="2"/>
            <w:tcBorders>
              <w:tl2br w:val="nil"/>
              <w:tr2bl w:val="nil"/>
            </w:tcBorders>
            <w:vAlign w:val="center"/>
          </w:tcPr>
          <w:p w14:paraId="33D24C63">
            <w:pPr>
              <w:pStyle w:val="72"/>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废气污染物排放情况</w:t>
            </w:r>
          </w:p>
        </w:tc>
        <w:tc>
          <w:tcPr>
            <w:tcW w:w="454" w:type="pct"/>
            <w:vMerge w:val="restart"/>
            <w:tcBorders>
              <w:tl2br w:val="nil"/>
              <w:tr2bl w:val="nil"/>
            </w:tcBorders>
            <w:vAlign w:val="center"/>
          </w:tcPr>
          <w:p w14:paraId="62A08FB4">
            <w:pPr>
              <w:pStyle w:val="72"/>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执行标准</w:t>
            </w:r>
          </w:p>
        </w:tc>
        <w:tc>
          <w:tcPr>
            <w:tcW w:w="972" w:type="pct"/>
            <w:gridSpan w:val="3"/>
            <w:tcBorders>
              <w:tl2br w:val="nil"/>
              <w:tr2bl w:val="nil"/>
            </w:tcBorders>
            <w:vAlign w:val="center"/>
          </w:tcPr>
          <w:p w14:paraId="28E96E91">
            <w:pPr>
              <w:pStyle w:val="72"/>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排放源参数</w:t>
            </w:r>
          </w:p>
        </w:tc>
      </w:tr>
      <w:tr w14:paraId="274C405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375" w:type="pct"/>
            <w:vMerge w:val="continue"/>
            <w:tcBorders>
              <w:tl2br w:val="nil"/>
              <w:tr2bl w:val="nil"/>
            </w:tcBorders>
            <w:vAlign w:val="center"/>
          </w:tcPr>
          <w:p w14:paraId="1C91A391">
            <w:pPr>
              <w:pStyle w:val="72"/>
              <w:jc w:val="center"/>
              <w:rPr>
                <w:rFonts w:hint="eastAsia" w:ascii="宋体" w:hAnsi="宋体" w:eastAsia="宋体" w:cs="宋体"/>
                <w:sz w:val="21"/>
                <w:szCs w:val="21"/>
                <w:vertAlign w:val="baseline"/>
                <w:lang w:val="en-US" w:eastAsia="zh-CN"/>
              </w:rPr>
            </w:pPr>
          </w:p>
        </w:tc>
        <w:tc>
          <w:tcPr>
            <w:tcW w:w="376" w:type="pct"/>
            <w:vMerge w:val="continue"/>
            <w:tcBorders>
              <w:tl2br w:val="nil"/>
              <w:tr2bl w:val="nil"/>
            </w:tcBorders>
            <w:vAlign w:val="center"/>
          </w:tcPr>
          <w:p w14:paraId="16943F40">
            <w:pPr>
              <w:pStyle w:val="72"/>
              <w:jc w:val="center"/>
              <w:rPr>
                <w:rFonts w:hint="eastAsia" w:ascii="宋体" w:hAnsi="宋体" w:eastAsia="宋体" w:cs="宋体"/>
                <w:sz w:val="21"/>
                <w:szCs w:val="21"/>
                <w:vertAlign w:val="baseline"/>
                <w:lang w:val="en-US" w:eastAsia="zh-CN"/>
              </w:rPr>
            </w:pPr>
          </w:p>
        </w:tc>
        <w:tc>
          <w:tcPr>
            <w:tcW w:w="376" w:type="pct"/>
            <w:tcBorders>
              <w:tl2br w:val="nil"/>
              <w:tr2bl w:val="nil"/>
            </w:tcBorders>
            <w:vAlign w:val="center"/>
          </w:tcPr>
          <w:p w14:paraId="7406EE9D">
            <w:pPr>
              <w:pStyle w:val="72"/>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废气量m3/h</w:t>
            </w:r>
          </w:p>
        </w:tc>
        <w:tc>
          <w:tcPr>
            <w:tcW w:w="378" w:type="pct"/>
            <w:tcBorders>
              <w:tl2br w:val="nil"/>
              <w:tr2bl w:val="nil"/>
            </w:tcBorders>
            <w:vAlign w:val="center"/>
          </w:tcPr>
          <w:p w14:paraId="12C52D8B">
            <w:pPr>
              <w:pStyle w:val="72"/>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浓度mg/m3</w:t>
            </w:r>
          </w:p>
        </w:tc>
        <w:tc>
          <w:tcPr>
            <w:tcW w:w="387" w:type="pct"/>
            <w:tcBorders>
              <w:tl2br w:val="nil"/>
              <w:tr2bl w:val="nil"/>
            </w:tcBorders>
            <w:vAlign w:val="center"/>
          </w:tcPr>
          <w:p w14:paraId="70944285">
            <w:pPr>
              <w:pStyle w:val="72"/>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产生量kg</w:t>
            </w:r>
          </w:p>
          <w:p w14:paraId="40E9534B">
            <w:pPr>
              <w:pStyle w:val="72"/>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/a</w:t>
            </w:r>
          </w:p>
        </w:tc>
        <w:tc>
          <w:tcPr>
            <w:tcW w:w="588" w:type="pct"/>
            <w:vMerge w:val="continue"/>
            <w:tcBorders>
              <w:tl2br w:val="nil"/>
              <w:tr2bl w:val="nil"/>
            </w:tcBorders>
            <w:vAlign w:val="center"/>
          </w:tcPr>
          <w:p w14:paraId="1F2C22A2">
            <w:pPr>
              <w:pStyle w:val="72"/>
              <w:jc w:val="center"/>
              <w:rPr>
                <w:rFonts w:hint="eastAsia" w:ascii="宋体" w:hAnsi="宋体" w:eastAsia="宋体" w:cs="宋体"/>
                <w:sz w:val="21"/>
                <w:szCs w:val="21"/>
                <w:vertAlign w:val="baseline"/>
                <w:lang w:val="en-US" w:eastAsia="zh-CN"/>
              </w:rPr>
            </w:pPr>
          </w:p>
        </w:tc>
        <w:tc>
          <w:tcPr>
            <w:tcW w:w="418" w:type="pct"/>
            <w:tcBorders>
              <w:tl2br w:val="nil"/>
              <w:tr2bl w:val="nil"/>
            </w:tcBorders>
            <w:vAlign w:val="center"/>
          </w:tcPr>
          <w:p w14:paraId="2037E71B">
            <w:pPr>
              <w:pStyle w:val="72"/>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浓度mg/m</w:t>
            </w:r>
            <w:r>
              <w:rPr>
                <w:rFonts w:hint="eastAsia" w:ascii="宋体" w:hAnsi="宋体" w:eastAsia="宋体" w:cs="宋体"/>
                <w:sz w:val="21"/>
                <w:szCs w:val="21"/>
                <w:vertAlign w:val="superscript"/>
                <w:lang w:val="en-US" w:eastAsia="zh-CN"/>
              </w:rPr>
              <w:t>3</w:t>
            </w:r>
          </w:p>
        </w:tc>
        <w:tc>
          <w:tcPr>
            <w:tcW w:w="671" w:type="pct"/>
            <w:tcBorders>
              <w:tl2br w:val="nil"/>
              <w:tr2bl w:val="nil"/>
            </w:tcBorders>
            <w:vAlign w:val="center"/>
          </w:tcPr>
          <w:p w14:paraId="77F47BAD">
            <w:pPr>
              <w:pStyle w:val="72"/>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排放量</w:t>
            </w:r>
          </w:p>
          <w:p w14:paraId="60286B4D">
            <w:pPr>
              <w:pStyle w:val="72"/>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kg/a</w:t>
            </w:r>
          </w:p>
        </w:tc>
        <w:tc>
          <w:tcPr>
            <w:tcW w:w="454" w:type="pct"/>
            <w:vMerge w:val="continue"/>
            <w:tcBorders>
              <w:tl2br w:val="nil"/>
              <w:tr2bl w:val="nil"/>
            </w:tcBorders>
            <w:vAlign w:val="center"/>
          </w:tcPr>
          <w:p w14:paraId="2CEF102B">
            <w:pPr>
              <w:pStyle w:val="72"/>
              <w:jc w:val="center"/>
              <w:rPr>
                <w:rFonts w:hint="eastAsia" w:ascii="宋体" w:hAnsi="宋体" w:eastAsia="宋体" w:cs="宋体"/>
                <w:sz w:val="21"/>
                <w:szCs w:val="21"/>
                <w:vertAlign w:val="baseline"/>
                <w:lang w:val="en-US" w:eastAsia="zh-CN"/>
              </w:rPr>
            </w:pPr>
          </w:p>
        </w:tc>
        <w:tc>
          <w:tcPr>
            <w:tcW w:w="313" w:type="pct"/>
            <w:tcBorders>
              <w:tl2br w:val="nil"/>
              <w:tr2bl w:val="nil"/>
            </w:tcBorders>
            <w:vAlign w:val="center"/>
          </w:tcPr>
          <w:p w14:paraId="54EC7F07">
            <w:pPr>
              <w:pStyle w:val="72"/>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高度m</w:t>
            </w:r>
          </w:p>
        </w:tc>
        <w:tc>
          <w:tcPr>
            <w:tcW w:w="280" w:type="pct"/>
            <w:tcBorders>
              <w:tl2br w:val="nil"/>
              <w:tr2bl w:val="nil"/>
            </w:tcBorders>
            <w:vAlign w:val="center"/>
          </w:tcPr>
          <w:p w14:paraId="0E4D5BD7">
            <w:pPr>
              <w:pStyle w:val="72"/>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内径m</w:t>
            </w:r>
          </w:p>
        </w:tc>
        <w:tc>
          <w:tcPr>
            <w:tcW w:w="379" w:type="pct"/>
            <w:tcBorders>
              <w:tl2br w:val="nil"/>
              <w:tr2bl w:val="nil"/>
            </w:tcBorders>
            <w:vAlign w:val="center"/>
          </w:tcPr>
          <w:p w14:paraId="41FB6F37">
            <w:pPr>
              <w:pStyle w:val="72"/>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温度℃</w:t>
            </w:r>
          </w:p>
        </w:tc>
      </w:tr>
      <w:tr w14:paraId="49817C8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75" w:type="pct"/>
            <w:tcBorders>
              <w:tl2br w:val="nil"/>
              <w:tr2bl w:val="nil"/>
            </w:tcBorders>
            <w:vAlign w:val="center"/>
          </w:tcPr>
          <w:p w14:paraId="7B55FC95">
            <w:pPr>
              <w:pStyle w:val="72"/>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电镀车间废气排气筒</w:t>
            </w:r>
          </w:p>
        </w:tc>
        <w:tc>
          <w:tcPr>
            <w:tcW w:w="376" w:type="pct"/>
            <w:tcBorders>
              <w:tl2br w:val="nil"/>
              <w:tr2bl w:val="nil"/>
            </w:tcBorders>
            <w:vAlign w:val="center"/>
          </w:tcPr>
          <w:p w14:paraId="37933DC7">
            <w:pPr>
              <w:pStyle w:val="72"/>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甲基磺酸</w:t>
            </w:r>
          </w:p>
        </w:tc>
        <w:tc>
          <w:tcPr>
            <w:tcW w:w="376" w:type="pct"/>
            <w:tcBorders>
              <w:tl2br w:val="nil"/>
              <w:tr2bl w:val="nil"/>
            </w:tcBorders>
            <w:vAlign w:val="center"/>
          </w:tcPr>
          <w:p w14:paraId="49CAD487">
            <w:pPr>
              <w:pStyle w:val="72"/>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10000</w:t>
            </w:r>
          </w:p>
        </w:tc>
        <w:tc>
          <w:tcPr>
            <w:tcW w:w="378" w:type="pct"/>
            <w:tcBorders>
              <w:tl2br w:val="nil"/>
              <w:tr2bl w:val="nil"/>
            </w:tcBorders>
            <w:vAlign w:val="center"/>
          </w:tcPr>
          <w:p w14:paraId="67F32483">
            <w:pPr>
              <w:pStyle w:val="72"/>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0.304</w:t>
            </w:r>
          </w:p>
        </w:tc>
        <w:tc>
          <w:tcPr>
            <w:tcW w:w="387" w:type="pct"/>
            <w:tcBorders>
              <w:tl2br w:val="nil"/>
              <w:tr2bl w:val="nil"/>
            </w:tcBorders>
            <w:vAlign w:val="center"/>
          </w:tcPr>
          <w:p w14:paraId="5C65FBC4">
            <w:pPr>
              <w:pStyle w:val="72"/>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7.3</w:t>
            </w:r>
          </w:p>
        </w:tc>
        <w:tc>
          <w:tcPr>
            <w:tcW w:w="588" w:type="pct"/>
            <w:tcBorders>
              <w:tl2br w:val="nil"/>
              <w:tr2bl w:val="nil"/>
            </w:tcBorders>
            <w:vAlign w:val="center"/>
          </w:tcPr>
          <w:p w14:paraId="5A67B91C">
            <w:pPr>
              <w:pStyle w:val="72"/>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废气通过槽边抽风收集后进入酸雾喷淋净化塔吸收净化后经位于</w:t>
            </w:r>
          </w:p>
          <w:p w14:paraId="7C44F297">
            <w:pPr>
              <w:pStyle w:val="72"/>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厂房楼顶的15m高排气筒高空排放。</w:t>
            </w:r>
          </w:p>
        </w:tc>
        <w:tc>
          <w:tcPr>
            <w:tcW w:w="418" w:type="pct"/>
            <w:tcBorders>
              <w:tl2br w:val="nil"/>
              <w:tr2bl w:val="nil"/>
            </w:tcBorders>
            <w:vAlign w:val="center"/>
          </w:tcPr>
          <w:p w14:paraId="4D89C03F">
            <w:pPr>
              <w:pStyle w:val="72"/>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0.0137</w:t>
            </w:r>
          </w:p>
        </w:tc>
        <w:tc>
          <w:tcPr>
            <w:tcW w:w="671" w:type="pct"/>
            <w:tcBorders>
              <w:tl2br w:val="nil"/>
              <w:tr2bl w:val="nil"/>
            </w:tcBorders>
            <w:vAlign w:val="center"/>
          </w:tcPr>
          <w:p w14:paraId="1CD190E5">
            <w:pPr>
              <w:pStyle w:val="72"/>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0.329（0.000137kg/h）</w:t>
            </w:r>
          </w:p>
        </w:tc>
        <w:tc>
          <w:tcPr>
            <w:tcW w:w="454" w:type="pct"/>
            <w:tcBorders>
              <w:tl2br w:val="nil"/>
              <w:tr2bl w:val="nil"/>
            </w:tcBorders>
            <w:vAlign w:val="center"/>
          </w:tcPr>
          <w:p w14:paraId="5BDDE734">
            <w:pPr>
              <w:pStyle w:val="72"/>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120mg/m</w:t>
            </w:r>
            <w:r>
              <w:rPr>
                <w:rFonts w:hint="eastAsia" w:ascii="宋体" w:hAnsi="宋体" w:eastAsia="宋体" w:cs="宋体"/>
                <w:sz w:val="21"/>
                <w:szCs w:val="21"/>
                <w:vertAlign w:val="superscript"/>
                <w:lang w:val="en-US" w:eastAsia="zh-CN"/>
              </w:rPr>
              <w:t>3</w:t>
            </w:r>
          </w:p>
          <w:p w14:paraId="5F5A0A98">
            <w:pPr>
              <w:pStyle w:val="72"/>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10kg/h</w:t>
            </w:r>
          </w:p>
        </w:tc>
        <w:tc>
          <w:tcPr>
            <w:tcW w:w="313" w:type="pct"/>
            <w:tcBorders>
              <w:tl2br w:val="nil"/>
              <w:tr2bl w:val="nil"/>
            </w:tcBorders>
            <w:vAlign w:val="center"/>
          </w:tcPr>
          <w:p w14:paraId="05CE9D63">
            <w:pPr>
              <w:pStyle w:val="72"/>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15</w:t>
            </w:r>
          </w:p>
        </w:tc>
        <w:tc>
          <w:tcPr>
            <w:tcW w:w="280" w:type="pct"/>
            <w:tcBorders>
              <w:tl2br w:val="nil"/>
              <w:tr2bl w:val="nil"/>
            </w:tcBorders>
            <w:vAlign w:val="center"/>
          </w:tcPr>
          <w:p w14:paraId="354A921A">
            <w:pPr>
              <w:pStyle w:val="72"/>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0.6</w:t>
            </w:r>
          </w:p>
        </w:tc>
        <w:tc>
          <w:tcPr>
            <w:tcW w:w="379" w:type="pct"/>
            <w:tcBorders>
              <w:tl2br w:val="nil"/>
              <w:tr2bl w:val="nil"/>
            </w:tcBorders>
            <w:vAlign w:val="center"/>
          </w:tcPr>
          <w:p w14:paraId="2F6CA854">
            <w:pPr>
              <w:pStyle w:val="72"/>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20</w:t>
            </w:r>
          </w:p>
        </w:tc>
      </w:tr>
    </w:tbl>
    <w:p w14:paraId="2410897A">
      <w:pPr>
        <w:pStyle w:val="72"/>
        <w:jc w:val="center"/>
        <w:rPr>
          <w:rFonts w:hint="eastAsia" w:ascii="黑体" w:hAnsi="黑体" w:eastAsia="黑体" w:cs="黑体"/>
          <w:kern w:val="2"/>
          <w:sz w:val="21"/>
          <w:szCs w:val="21"/>
          <w:lang w:val="en-US" w:eastAsia="zh-CN" w:bidi="ar-SA"/>
        </w:rPr>
      </w:pPr>
    </w:p>
    <w:p w14:paraId="756F391F">
      <w:pPr>
        <w:pStyle w:val="72"/>
        <w:jc w:val="center"/>
        <w:rPr>
          <w:rFonts w:hint="eastAsia" w:ascii="黑体" w:hAnsi="黑体" w:eastAsia="黑体" w:cs="黑体"/>
          <w:kern w:val="2"/>
          <w:sz w:val="21"/>
          <w:szCs w:val="21"/>
          <w:lang w:val="en-US" w:eastAsia="zh-CN" w:bidi="ar-SA"/>
        </w:rPr>
      </w:pPr>
      <w:r>
        <w:rPr>
          <w:rFonts w:hint="eastAsia" w:ascii="黑体" w:hAnsi="黑体" w:eastAsia="黑体" w:cs="黑体"/>
          <w:kern w:val="2"/>
          <w:sz w:val="21"/>
          <w:szCs w:val="21"/>
          <w:lang w:val="en-US" w:eastAsia="zh-CN" w:bidi="ar-SA"/>
        </w:rPr>
        <w:t>表5-11项目酸雾产排情况（无组织）</w:t>
      </w:r>
    </w:p>
    <w:tbl>
      <w:tblPr>
        <w:tblStyle w:val="53"/>
        <w:tblW w:w="4997"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179"/>
        <w:gridCol w:w="1179"/>
        <w:gridCol w:w="1179"/>
        <w:gridCol w:w="1182"/>
        <w:gridCol w:w="1179"/>
        <w:gridCol w:w="1179"/>
        <w:gridCol w:w="1182"/>
        <w:gridCol w:w="1179"/>
        <w:gridCol w:w="1179"/>
        <w:gridCol w:w="1188"/>
        <w:gridCol w:w="1180"/>
        <w:gridCol w:w="1180"/>
      </w:tblGrid>
      <w:tr w14:paraId="2266C87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16" w:type="pct"/>
            <w:vMerge w:val="restart"/>
            <w:tcBorders>
              <w:tl2br w:val="nil"/>
              <w:tr2bl w:val="nil"/>
            </w:tcBorders>
            <w:vAlign w:val="center"/>
          </w:tcPr>
          <w:p w14:paraId="26A1569B">
            <w:pPr>
              <w:pStyle w:val="72"/>
              <w:jc w:val="center"/>
              <w:rPr>
                <w:rFonts w:hint="eastAsia" w:ascii="宋体" w:hAnsi="宋体" w:eastAsia="宋体" w:cs="宋体"/>
                <w:kern w:val="2"/>
                <w:sz w:val="21"/>
                <w:szCs w:val="21"/>
                <w:vertAlign w:val="baseline"/>
                <w:lang w:val="en-US" w:eastAsia="zh-CN" w:bidi="ar-SA"/>
              </w:rPr>
            </w:pPr>
            <w:r>
              <w:rPr>
                <w:rFonts w:hint="eastAsia" w:ascii="宋体" w:hAnsi="宋体" w:eastAsia="宋体" w:cs="宋体"/>
                <w:kern w:val="2"/>
                <w:sz w:val="21"/>
                <w:szCs w:val="21"/>
                <w:vertAlign w:val="baseline"/>
                <w:lang w:val="en-US" w:eastAsia="zh-CN" w:bidi="ar-SA"/>
              </w:rPr>
              <w:t>污染源</w:t>
            </w:r>
          </w:p>
        </w:tc>
        <w:tc>
          <w:tcPr>
            <w:tcW w:w="416" w:type="pct"/>
            <w:vMerge w:val="restart"/>
            <w:tcBorders>
              <w:tl2br w:val="nil"/>
              <w:tr2bl w:val="nil"/>
            </w:tcBorders>
            <w:vAlign w:val="center"/>
          </w:tcPr>
          <w:p w14:paraId="65A7FD83">
            <w:pPr>
              <w:pStyle w:val="72"/>
              <w:jc w:val="center"/>
              <w:rPr>
                <w:rFonts w:hint="eastAsia" w:ascii="宋体" w:hAnsi="宋体" w:eastAsia="宋体" w:cs="宋体"/>
                <w:kern w:val="2"/>
                <w:sz w:val="21"/>
                <w:szCs w:val="21"/>
                <w:vertAlign w:val="baseline"/>
                <w:lang w:val="en-US" w:eastAsia="zh-CN" w:bidi="ar-SA"/>
              </w:rPr>
            </w:pPr>
            <w:r>
              <w:rPr>
                <w:rFonts w:hint="eastAsia" w:ascii="宋体" w:hAnsi="宋体" w:eastAsia="宋体" w:cs="宋体"/>
                <w:kern w:val="2"/>
                <w:sz w:val="21"/>
                <w:szCs w:val="21"/>
                <w:vertAlign w:val="baseline"/>
                <w:lang w:val="en-US" w:eastAsia="zh-CN" w:bidi="ar-SA"/>
              </w:rPr>
              <w:t>污染物</w:t>
            </w:r>
          </w:p>
        </w:tc>
        <w:tc>
          <w:tcPr>
            <w:tcW w:w="833" w:type="pct"/>
            <w:gridSpan w:val="2"/>
            <w:tcBorders>
              <w:tl2br w:val="nil"/>
              <w:tr2bl w:val="nil"/>
            </w:tcBorders>
            <w:vAlign w:val="center"/>
          </w:tcPr>
          <w:p w14:paraId="087AC11C">
            <w:pPr>
              <w:pStyle w:val="72"/>
              <w:jc w:val="center"/>
              <w:rPr>
                <w:rFonts w:hint="eastAsia" w:ascii="宋体" w:hAnsi="宋体" w:eastAsia="宋体" w:cs="宋体"/>
                <w:kern w:val="2"/>
                <w:sz w:val="21"/>
                <w:szCs w:val="21"/>
                <w:vertAlign w:val="baseline"/>
                <w:lang w:val="en-US" w:eastAsia="zh-CN" w:bidi="ar-SA"/>
              </w:rPr>
            </w:pPr>
            <w:r>
              <w:rPr>
                <w:rFonts w:hint="eastAsia" w:ascii="宋体" w:hAnsi="宋体" w:eastAsia="宋体" w:cs="宋体"/>
                <w:kern w:val="2"/>
                <w:sz w:val="21"/>
                <w:szCs w:val="21"/>
                <w:vertAlign w:val="baseline"/>
                <w:lang w:val="en-US" w:eastAsia="zh-CN" w:bidi="ar-SA"/>
              </w:rPr>
              <w:t>产生情况</w:t>
            </w:r>
          </w:p>
        </w:tc>
        <w:tc>
          <w:tcPr>
            <w:tcW w:w="416" w:type="pct"/>
            <w:vMerge w:val="restart"/>
            <w:tcBorders>
              <w:tl2br w:val="nil"/>
              <w:tr2bl w:val="nil"/>
            </w:tcBorders>
            <w:vAlign w:val="center"/>
          </w:tcPr>
          <w:p w14:paraId="24FE2416">
            <w:pPr>
              <w:pStyle w:val="72"/>
              <w:jc w:val="center"/>
              <w:rPr>
                <w:rFonts w:hint="eastAsia" w:ascii="宋体" w:hAnsi="宋体" w:eastAsia="宋体" w:cs="宋体"/>
                <w:kern w:val="2"/>
                <w:sz w:val="21"/>
                <w:szCs w:val="21"/>
                <w:vertAlign w:val="baseline"/>
                <w:lang w:val="en-US" w:eastAsia="zh-CN" w:bidi="ar-SA"/>
              </w:rPr>
            </w:pPr>
            <w:r>
              <w:rPr>
                <w:rFonts w:hint="eastAsia" w:ascii="宋体" w:hAnsi="宋体" w:eastAsia="宋体" w:cs="宋体"/>
                <w:kern w:val="2"/>
                <w:sz w:val="21"/>
                <w:szCs w:val="21"/>
                <w:vertAlign w:val="baseline"/>
                <w:lang w:val="en-US" w:eastAsia="zh-CN" w:bidi="ar-SA"/>
              </w:rPr>
              <w:t>拟采取的污染治理措施</w:t>
            </w:r>
          </w:p>
        </w:tc>
        <w:tc>
          <w:tcPr>
            <w:tcW w:w="833" w:type="pct"/>
            <w:gridSpan w:val="2"/>
            <w:tcBorders>
              <w:tl2br w:val="nil"/>
              <w:tr2bl w:val="nil"/>
            </w:tcBorders>
            <w:vAlign w:val="center"/>
          </w:tcPr>
          <w:p w14:paraId="5CDAE6CD">
            <w:pPr>
              <w:pStyle w:val="72"/>
              <w:jc w:val="center"/>
              <w:rPr>
                <w:rFonts w:hint="eastAsia" w:ascii="宋体" w:hAnsi="宋体" w:eastAsia="宋体" w:cs="宋体"/>
                <w:kern w:val="2"/>
                <w:sz w:val="21"/>
                <w:szCs w:val="21"/>
                <w:vertAlign w:val="baseline"/>
                <w:lang w:val="en-US" w:eastAsia="zh-CN" w:bidi="ar-SA"/>
              </w:rPr>
            </w:pPr>
            <w:r>
              <w:rPr>
                <w:rFonts w:hint="eastAsia" w:ascii="宋体" w:hAnsi="宋体" w:eastAsia="宋体" w:cs="宋体"/>
                <w:kern w:val="2"/>
                <w:sz w:val="21"/>
                <w:szCs w:val="21"/>
                <w:vertAlign w:val="baseline"/>
                <w:lang w:val="en-US" w:eastAsia="zh-CN" w:bidi="ar-SA"/>
              </w:rPr>
              <w:t>排放情况</w:t>
            </w:r>
          </w:p>
        </w:tc>
        <w:tc>
          <w:tcPr>
            <w:tcW w:w="1251" w:type="pct"/>
            <w:gridSpan w:val="3"/>
            <w:tcBorders>
              <w:tl2br w:val="nil"/>
              <w:tr2bl w:val="nil"/>
            </w:tcBorders>
            <w:vAlign w:val="center"/>
          </w:tcPr>
          <w:p w14:paraId="61FA9220">
            <w:pPr>
              <w:pStyle w:val="72"/>
              <w:jc w:val="center"/>
              <w:rPr>
                <w:rFonts w:hint="eastAsia" w:ascii="宋体" w:hAnsi="宋体" w:eastAsia="宋体" w:cs="宋体"/>
                <w:kern w:val="2"/>
                <w:sz w:val="21"/>
                <w:szCs w:val="21"/>
                <w:vertAlign w:val="baseline"/>
                <w:lang w:val="en-US" w:eastAsia="zh-CN" w:bidi="ar-SA"/>
              </w:rPr>
            </w:pPr>
            <w:r>
              <w:rPr>
                <w:rFonts w:hint="eastAsia" w:ascii="宋体" w:hAnsi="宋体" w:eastAsia="宋体" w:cs="宋体"/>
                <w:kern w:val="2"/>
                <w:sz w:val="21"/>
                <w:szCs w:val="21"/>
                <w:vertAlign w:val="baseline"/>
                <w:lang w:val="en-US" w:eastAsia="zh-CN" w:bidi="ar-SA"/>
              </w:rPr>
              <w:t>面源参数</w:t>
            </w:r>
          </w:p>
        </w:tc>
        <w:tc>
          <w:tcPr>
            <w:tcW w:w="416" w:type="pct"/>
            <w:vMerge w:val="restart"/>
            <w:tcBorders>
              <w:tl2br w:val="nil"/>
              <w:tr2bl w:val="nil"/>
            </w:tcBorders>
            <w:vAlign w:val="center"/>
          </w:tcPr>
          <w:p w14:paraId="16C0E7C9">
            <w:pPr>
              <w:pStyle w:val="72"/>
              <w:jc w:val="center"/>
              <w:rPr>
                <w:rFonts w:hint="eastAsia" w:ascii="宋体" w:hAnsi="宋体" w:eastAsia="宋体" w:cs="宋体"/>
                <w:kern w:val="2"/>
                <w:sz w:val="21"/>
                <w:szCs w:val="21"/>
                <w:vertAlign w:val="baseline"/>
                <w:lang w:val="en-US" w:eastAsia="zh-CN" w:bidi="ar-SA"/>
              </w:rPr>
            </w:pPr>
            <w:r>
              <w:rPr>
                <w:rFonts w:hint="eastAsia" w:ascii="宋体" w:hAnsi="宋体" w:eastAsia="宋体" w:cs="宋体"/>
                <w:kern w:val="2"/>
                <w:sz w:val="21"/>
                <w:szCs w:val="21"/>
                <w:vertAlign w:val="baseline"/>
                <w:lang w:val="en-US" w:eastAsia="zh-CN" w:bidi="ar-SA"/>
              </w:rPr>
              <w:t>排放方式</w:t>
            </w:r>
          </w:p>
        </w:tc>
        <w:tc>
          <w:tcPr>
            <w:tcW w:w="416" w:type="pct"/>
            <w:vMerge w:val="restart"/>
            <w:tcBorders>
              <w:tl2br w:val="nil"/>
              <w:tr2bl w:val="nil"/>
            </w:tcBorders>
            <w:vAlign w:val="center"/>
          </w:tcPr>
          <w:p w14:paraId="5DC6C0F2">
            <w:pPr>
              <w:pStyle w:val="72"/>
              <w:jc w:val="center"/>
              <w:rPr>
                <w:rFonts w:hint="eastAsia" w:ascii="宋体" w:hAnsi="宋体" w:eastAsia="宋体" w:cs="宋体"/>
                <w:kern w:val="2"/>
                <w:sz w:val="21"/>
                <w:szCs w:val="21"/>
                <w:vertAlign w:val="baseline"/>
                <w:lang w:val="en-US" w:eastAsia="zh-CN" w:bidi="ar-SA"/>
              </w:rPr>
            </w:pPr>
            <w:r>
              <w:rPr>
                <w:rFonts w:hint="eastAsia" w:ascii="宋体" w:hAnsi="宋体" w:eastAsia="宋体" w:cs="宋体"/>
                <w:kern w:val="2"/>
                <w:sz w:val="21"/>
                <w:szCs w:val="21"/>
                <w:vertAlign w:val="baseline"/>
                <w:lang w:val="en-US" w:eastAsia="zh-CN" w:bidi="ar-SA"/>
              </w:rPr>
              <w:t>评价标准mg/m</w:t>
            </w:r>
            <w:r>
              <w:rPr>
                <w:rFonts w:hint="eastAsia" w:ascii="宋体" w:hAnsi="宋体" w:eastAsia="宋体" w:cs="宋体"/>
                <w:kern w:val="2"/>
                <w:sz w:val="21"/>
                <w:szCs w:val="21"/>
                <w:vertAlign w:val="superscript"/>
                <w:lang w:val="en-US" w:eastAsia="zh-CN" w:bidi="ar-SA"/>
              </w:rPr>
              <w:t>3</w:t>
            </w:r>
          </w:p>
        </w:tc>
      </w:tr>
      <w:tr w14:paraId="4280CE9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16" w:type="pct"/>
            <w:vMerge w:val="continue"/>
            <w:tcBorders>
              <w:tl2br w:val="nil"/>
              <w:tr2bl w:val="nil"/>
            </w:tcBorders>
            <w:vAlign w:val="center"/>
          </w:tcPr>
          <w:p w14:paraId="726BC4D7">
            <w:pPr>
              <w:pStyle w:val="72"/>
              <w:jc w:val="center"/>
              <w:rPr>
                <w:rFonts w:hint="eastAsia" w:ascii="宋体" w:hAnsi="宋体" w:eastAsia="宋体" w:cs="宋体"/>
                <w:kern w:val="2"/>
                <w:sz w:val="21"/>
                <w:szCs w:val="21"/>
                <w:vertAlign w:val="baseline"/>
                <w:lang w:val="en-US" w:eastAsia="zh-CN" w:bidi="ar-SA"/>
              </w:rPr>
            </w:pPr>
          </w:p>
        </w:tc>
        <w:tc>
          <w:tcPr>
            <w:tcW w:w="416" w:type="pct"/>
            <w:vMerge w:val="continue"/>
            <w:tcBorders>
              <w:tl2br w:val="nil"/>
              <w:tr2bl w:val="nil"/>
            </w:tcBorders>
            <w:vAlign w:val="center"/>
          </w:tcPr>
          <w:p w14:paraId="11C6C440">
            <w:pPr>
              <w:pStyle w:val="72"/>
              <w:jc w:val="center"/>
              <w:rPr>
                <w:rFonts w:hint="eastAsia" w:ascii="宋体" w:hAnsi="宋体" w:eastAsia="宋体" w:cs="宋体"/>
                <w:kern w:val="2"/>
                <w:sz w:val="21"/>
                <w:szCs w:val="21"/>
                <w:vertAlign w:val="baseline"/>
                <w:lang w:val="en-US" w:eastAsia="zh-CN" w:bidi="ar-SA"/>
              </w:rPr>
            </w:pPr>
          </w:p>
        </w:tc>
        <w:tc>
          <w:tcPr>
            <w:tcW w:w="416" w:type="pct"/>
            <w:tcBorders>
              <w:tl2br w:val="nil"/>
              <w:tr2bl w:val="nil"/>
            </w:tcBorders>
            <w:vAlign w:val="center"/>
          </w:tcPr>
          <w:p w14:paraId="20F88F7C">
            <w:pPr>
              <w:pStyle w:val="72"/>
              <w:jc w:val="center"/>
              <w:rPr>
                <w:rFonts w:hint="eastAsia" w:ascii="宋体" w:hAnsi="宋体" w:eastAsia="宋体" w:cs="宋体"/>
                <w:kern w:val="2"/>
                <w:sz w:val="21"/>
                <w:szCs w:val="21"/>
                <w:vertAlign w:val="baseline"/>
                <w:lang w:val="en-US" w:eastAsia="zh-CN" w:bidi="ar-SA"/>
              </w:rPr>
            </w:pPr>
            <w:r>
              <w:rPr>
                <w:rFonts w:hint="eastAsia" w:ascii="宋体" w:hAnsi="宋体" w:eastAsia="宋体" w:cs="宋体"/>
                <w:kern w:val="2"/>
                <w:sz w:val="21"/>
                <w:szCs w:val="21"/>
                <w:vertAlign w:val="baseline"/>
                <w:lang w:val="en-US" w:eastAsia="zh-CN" w:bidi="ar-SA"/>
              </w:rPr>
              <w:t>kg/h</w:t>
            </w:r>
          </w:p>
        </w:tc>
        <w:tc>
          <w:tcPr>
            <w:tcW w:w="417" w:type="pct"/>
            <w:tcBorders>
              <w:tl2br w:val="nil"/>
              <w:tr2bl w:val="nil"/>
            </w:tcBorders>
            <w:vAlign w:val="center"/>
          </w:tcPr>
          <w:p w14:paraId="7B382D7E">
            <w:pPr>
              <w:pStyle w:val="72"/>
              <w:jc w:val="center"/>
              <w:rPr>
                <w:rFonts w:hint="eastAsia" w:ascii="宋体" w:hAnsi="宋体" w:eastAsia="宋体" w:cs="宋体"/>
                <w:kern w:val="2"/>
                <w:sz w:val="21"/>
                <w:szCs w:val="21"/>
                <w:vertAlign w:val="baseline"/>
                <w:lang w:val="en-US" w:eastAsia="zh-CN" w:bidi="ar-SA"/>
              </w:rPr>
            </w:pPr>
            <w:r>
              <w:rPr>
                <w:rFonts w:hint="eastAsia" w:ascii="宋体" w:hAnsi="宋体" w:eastAsia="宋体" w:cs="宋体"/>
                <w:kern w:val="2"/>
                <w:sz w:val="21"/>
                <w:szCs w:val="21"/>
                <w:vertAlign w:val="baseline"/>
                <w:lang w:val="en-US" w:eastAsia="zh-CN" w:bidi="ar-SA"/>
              </w:rPr>
              <w:t>kg/a</w:t>
            </w:r>
          </w:p>
        </w:tc>
        <w:tc>
          <w:tcPr>
            <w:tcW w:w="416" w:type="pct"/>
            <w:vMerge w:val="continue"/>
            <w:tcBorders>
              <w:tl2br w:val="nil"/>
              <w:tr2bl w:val="nil"/>
            </w:tcBorders>
            <w:vAlign w:val="center"/>
          </w:tcPr>
          <w:p w14:paraId="70A3A27C">
            <w:pPr>
              <w:pStyle w:val="72"/>
              <w:jc w:val="center"/>
              <w:rPr>
                <w:rFonts w:hint="eastAsia" w:ascii="宋体" w:hAnsi="宋体" w:eastAsia="宋体" w:cs="宋体"/>
                <w:kern w:val="2"/>
                <w:sz w:val="21"/>
                <w:szCs w:val="21"/>
                <w:vertAlign w:val="baseline"/>
                <w:lang w:val="en-US" w:eastAsia="zh-CN" w:bidi="ar-SA"/>
              </w:rPr>
            </w:pPr>
          </w:p>
        </w:tc>
        <w:tc>
          <w:tcPr>
            <w:tcW w:w="416" w:type="pct"/>
            <w:tcBorders>
              <w:tl2br w:val="nil"/>
              <w:tr2bl w:val="nil"/>
            </w:tcBorders>
            <w:vAlign w:val="center"/>
          </w:tcPr>
          <w:p w14:paraId="134F9802">
            <w:pPr>
              <w:pStyle w:val="72"/>
              <w:jc w:val="center"/>
              <w:rPr>
                <w:rFonts w:hint="eastAsia" w:ascii="宋体" w:hAnsi="宋体" w:eastAsia="宋体" w:cs="宋体"/>
                <w:kern w:val="2"/>
                <w:sz w:val="21"/>
                <w:szCs w:val="21"/>
                <w:vertAlign w:val="baseline"/>
                <w:lang w:val="en-US" w:eastAsia="zh-CN" w:bidi="ar-SA"/>
              </w:rPr>
            </w:pPr>
            <w:r>
              <w:rPr>
                <w:rFonts w:hint="eastAsia" w:ascii="宋体" w:hAnsi="宋体" w:eastAsia="宋体" w:cs="宋体"/>
                <w:kern w:val="2"/>
                <w:sz w:val="21"/>
                <w:szCs w:val="21"/>
                <w:vertAlign w:val="baseline"/>
                <w:lang w:val="en-US" w:eastAsia="zh-CN" w:bidi="ar-SA"/>
              </w:rPr>
              <w:t>kg/h</w:t>
            </w:r>
          </w:p>
        </w:tc>
        <w:tc>
          <w:tcPr>
            <w:tcW w:w="417" w:type="pct"/>
            <w:tcBorders>
              <w:tl2br w:val="nil"/>
              <w:tr2bl w:val="nil"/>
            </w:tcBorders>
            <w:vAlign w:val="center"/>
          </w:tcPr>
          <w:p w14:paraId="2C7BA720">
            <w:pPr>
              <w:pStyle w:val="72"/>
              <w:jc w:val="center"/>
              <w:rPr>
                <w:rFonts w:hint="eastAsia" w:ascii="宋体" w:hAnsi="宋体" w:eastAsia="宋体" w:cs="宋体"/>
                <w:kern w:val="2"/>
                <w:sz w:val="21"/>
                <w:szCs w:val="21"/>
                <w:vertAlign w:val="baseline"/>
                <w:lang w:val="en-US" w:eastAsia="zh-CN" w:bidi="ar-SA"/>
              </w:rPr>
            </w:pPr>
            <w:r>
              <w:rPr>
                <w:rFonts w:hint="eastAsia" w:ascii="宋体" w:hAnsi="宋体" w:eastAsia="宋体" w:cs="宋体"/>
                <w:kern w:val="2"/>
                <w:sz w:val="21"/>
                <w:szCs w:val="21"/>
                <w:vertAlign w:val="baseline"/>
                <w:lang w:val="en-US" w:eastAsia="zh-CN" w:bidi="ar-SA"/>
              </w:rPr>
              <w:t>kg/a</w:t>
            </w:r>
          </w:p>
        </w:tc>
        <w:tc>
          <w:tcPr>
            <w:tcW w:w="416" w:type="pct"/>
            <w:tcBorders>
              <w:tl2br w:val="nil"/>
              <w:tr2bl w:val="nil"/>
            </w:tcBorders>
            <w:vAlign w:val="center"/>
          </w:tcPr>
          <w:p w14:paraId="79181A83">
            <w:pPr>
              <w:pStyle w:val="72"/>
              <w:jc w:val="center"/>
              <w:rPr>
                <w:rFonts w:hint="eastAsia" w:ascii="宋体" w:hAnsi="宋体" w:eastAsia="宋体" w:cs="宋体"/>
                <w:kern w:val="2"/>
                <w:sz w:val="21"/>
                <w:szCs w:val="21"/>
                <w:vertAlign w:val="baseline"/>
                <w:lang w:val="en-US" w:eastAsia="zh-CN" w:bidi="ar-SA"/>
              </w:rPr>
            </w:pPr>
            <w:r>
              <w:rPr>
                <w:rFonts w:hint="eastAsia" w:ascii="宋体" w:hAnsi="宋体" w:eastAsia="宋体" w:cs="宋体"/>
                <w:kern w:val="2"/>
                <w:sz w:val="21"/>
                <w:szCs w:val="21"/>
                <w:vertAlign w:val="baseline"/>
                <w:lang w:val="en-US" w:eastAsia="zh-CN" w:bidi="ar-SA"/>
              </w:rPr>
              <w:t>长</w:t>
            </w:r>
          </w:p>
        </w:tc>
        <w:tc>
          <w:tcPr>
            <w:tcW w:w="416" w:type="pct"/>
            <w:tcBorders>
              <w:tl2br w:val="nil"/>
              <w:tr2bl w:val="nil"/>
            </w:tcBorders>
            <w:vAlign w:val="center"/>
          </w:tcPr>
          <w:p w14:paraId="70088215">
            <w:pPr>
              <w:pStyle w:val="72"/>
              <w:jc w:val="center"/>
              <w:rPr>
                <w:rFonts w:hint="eastAsia" w:ascii="宋体" w:hAnsi="宋体" w:eastAsia="宋体" w:cs="宋体"/>
                <w:kern w:val="2"/>
                <w:sz w:val="21"/>
                <w:szCs w:val="21"/>
                <w:vertAlign w:val="baseline"/>
                <w:lang w:val="en-US" w:eastAsia="zh-CN" w:bidi="ar-SA"/>
              </w:rPr>
            </w:pPr>
            <w:r>
              <w:rPr>
                <w:rFonts w:hint="eastAsia" w:ascii="宋体" w:hAnsi="宋体" w:eastAsia="宋体" w:cs="宋体"/>
                <w:kern w:val="2"/>
                <w:sz w:val="21"/>
                <w:szCs w:val="21"/>
                <w:vertAlign w:val="baseline"/>
                <w:lang w:val="en-US" w:eastAsia="zh-CN" w:bidi="ar-SA"/>
              </w:rPr>
              <w:t>宽</w:t>
            </w:r>
          </w:p>
        </w:tc>
        <w:tc>
          <w:tcPr>
            <w:tcW w:w="418" w:type="pct"/>
            <w:tcBorders>
              <w:tl2br w:val="nil"/>
              <w:tr2bl w:val="nil"/>
            </w:tcBorders>
            <w:vAlign w:val="center"/>
          </w:tcPr>
          <w:p w14:paraId="102B2375">
            <w:pPr>
              <w:pStyle w:val="72"/>
              <w:jc w:val="center"/>
              <w:rPr>
                <w:rFonts w:hint="eastAsia" w:ascii="宋体" w:hAnsi="宋体" w:eastAsia="宋体" w:cs="宋体"/>
                <w:kern w:val="2"/>
                <w:sz w:val="21"/>
                <w:szCs w:val="21"/>
                <w:vertAlign w:val="baseline"/>
                <w:lang w:val="en-US" w:eastAsia="zh-CN" w:bidi="ar-SA"/>
              </w:rPr>
            </w:pPr>
            <w:r>
              <w:rPr>
                <w:rFonts w:hint="eastAsia" w:ascii="宋体" w:hAnsi="宋体" w:eastAsia="宋体" w:cs="宋体"/>
                <w:kern w:val="2"/>
                <w:sz w:val="21"/>
                <w:szCs w:val="21"/>
                <w:vertAlign w:val="baseline"/>
                <w:lang w:val="en-US" w:eastAsia="zh-CN" w:bidi="ar-SA"/>
              </w:rPr>
              <w:t>高</w:t>
            </w:r>
          </w:p>
        </w:tc>
        <w:tc>
          <w:tcPr>
            <w:tcW w:w="416" w:type="pct"/>
            <w:vMerge w:val="continue"/>
            <w:tcBorders>
              <w:tl2br w:val="nil"/>
              <w:tr2bl w:val="nil"/>
            </w:tcBorders>
            <w:vAlign w:val="center"/>
          </w:tcPr>
          <w:p w14:paraId="0C2534F9">
            <w:pPr>
              <w:pStyle w:val="72"/>
              <w:jc w:val="center"/>
              <w:rPr>
                <w:rFonts w:hint="eastAsia" w:ascii="宋体" w:hAnsi="宋体" w:eastAsia="宋体" w:cs="宋体"/>
                <w:kern w:val="2"/>
                <w:sz w:val="21"/>
                <w:szCs w:val="21"/>
                <w:vertAlign w:val="baseline"/>
                <w:lang w:val="en-US" w:eastAsia="zh-CN" w:bidi="ar-SA"/>
              </w:rPr>
            </w:pPr>
          </w:p>
        </w:tc>
        <w:tc>
          <w:tcPr>
            <w:tcW w:w="416" w:type="pct"/>
            <w:vMerge w:val="continue"/>
            <w:tcBorders>
              <w:tl2br w:val="nil"/>
              <w:tr2bl w:val="nil"/>
            </w:tcBorders>
            <w:vAlign w:val="center"/>
          </w:tcPr>
          <w:p w14:paraId="691AFECD">
            <w:pPr>
              <w:pStyle w:val="72"/>
              <w:jc w:val="center"/>
              <w:rPr>
                <w:rFonts w:hint="eastAsia" w:ascii="宋体" w:hAnsi="宋体" w:eastAsia="宋体" w:cs="宋体"/>
                <w:kern w:val="2"/>
                <w:sz w:val="21"/>
                <w:szCs w:val="21"/>
                <w:vertAlign w:val="baseline"/>
                <w:lang w:val="en-US" w:eastAsia="zh-CN" w:bidi="ar-SA"/>
              </w:rPr>
            </w:pPr>
          </w:p>
        </w:tc>
      </w:tr>
      <w:tr w14:paraId="76A964C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16" w:type="pct"/>
            <w:tcBorders>
              <w:tl2br w:val="nil"/>
              <w:tr2bl w:val="nil"/>
            </w:tcBorders>
            <w:vAlign w:val="center"/>
          </w:tcPr>
          <w:p w14:paraId="77272155">
            <w:pPr>
              <w:pStyle w:val="72"/>
              <w:jc w:val="center"/>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电镀车间</w:t>
            </w:r>
          </w:p>
        </w:tc>
        <w:tc>
          <w:tcPr>
            <w:tcW w:w="416" w:type="pct"/>
            <w:tcBorders>
              <w:tl2br w:val="nil"/>
              <w:tr2bl w:val="nil"/>
            </w:tcBorders>
            <w:vAlign w:val="center"/>
          </w:tcPr>
          <w:p w14:paraId="75A67161">
            <w:pPr>
              <w:pStyle w:val="72"/>
              <w:jc w:val="center"/>
              <w:rPr>
                <w:rFonts w:hint="eastAsia" w:ascii="宋体" w:hAnsi="宋体" w:eastAsia="宋体" w:cs="宋体"/>
                <w:kern w:val="2"/>
                <w:sz w:val="21"/>
                <w:szCs w:val="21"/>
                <w:vertAlign w:val="baseline"/>
                <w:lang w:val="en-US" w:eastAsia="zh-CN" w:bidi="ar-SA"/>
              </w:rPr>
            </w:pPr>
            <w:r>
              <w:rPr>
                <w:rFonts w:hint="eastAsia" w:ascii="宋体" w:hAnsi="宋体" w:eastAsia="宋体" w:cs="宋体"/>
                <w:kern w:val="2"/>
                <w:sz w:val="21"/>
                <w:szCs w:val="21"/>
                <w:vertAlign w:val="baseline"/>
                <w:lang w:val="en-US" w:eastAsia="zh-CN" w:bidi="ar-SA"/>
              </w:rPr>
              <w:t>甲基磺酸</w:t>
            </w:r>
          </w:p>
        </w:tc>
        <w:tc>
          <w:tcPr>
            <w:tcW w:w="416" w:type="pct"/>
            <w:tcBorders>
              <w:tl2br w:val="nil"/>
              <w:tr2bl w:val="nil"/>
            </w:tcBorders>
            <w:vAlign w:val="center"/>
          </w:tcPr>
          <w:p w14:paraId="66E23AC5">
            <w:pPr>
              <w:pStyle w:val="72"/>
              <w:jc w:val="center"/>
              <w:rPr>
                <w:rFonts w:hint="eastAsia" w:ascii="宋体" w:hAnsi="宋体" w:eastAsia="宋体" w:cs="宋体"/>
                <w:kern w:val="2"/>
                <w:sz w:val="21"/>
                <w:szCs w:val="21"/>
                <w:vertAlign w:val="baseline"/>
                <w:lang w:val="en-US" w:eastAsia="zh-CN" w:bidi="ar-SA"/>
              </w:rPr>
            </w:pPr>
            <w:r>
              <w:rPr>
                <w:rFonts w:hint="eastAsia" w:ascii="宋体" w:hAnsi="宋体" w:eastAsia="宋体" w:cs="宋体"/>
                <w:kern w:val="2"/>
                <w:sz w:val="21"/>
                <w:szCs w:val="21"/>
                <w:vertAlign w:val="baseline"/>
                <w:lang w:val="en-US" w:eastAsia="zh-CN" w:bidi="ar-SA"/>
              </w:rPr>
              <w:t>0.0003</w:t>
            </w:r>
          </w:p>
        </w:tc>
        <w:tc>
          <w:tcPr>
            <w:tcW w:w="417" w:type="pct"/>
            <w:tcBorders>
              <w:tl2br w:val="nil"/>
              <w:tr2bl w:val="nil"/>
            </w:tcBorders>
            <w:vAlign w:val="center"/>
          </w:tcPr>
          <w:p w14:paraId="0D90D1B4">
            <w:pPr>
              <w:pStyle w:val="72"/>
              <w:jc w:val="center"/>
              <w:rPr>
                <w:rFonts w:hint="eastAsia" w:ascii="宋体" w:hAnsi="宋体" w:eastAsia="宋体" w:cs="宋体"/>
                <w:kern w:val="2"/>
                <w:sz w:val="21"/>
                <w:szCs w:val="21"/>
                <w:vertAlign w:val="baseline"/>
                <w:lang w:val="en-US" w:eastAsia="zh-CN" w:bidi="ar-SA"/>
              </w:rPr>
            </w:pPr>
            <w:r>
              <w:rPr>
                <w:rFonts w:hint="eastAsia" w:ascii="宋体" w:hAnsi="宋体" w:eastAsia="宋体" w:cs="宋体"/>
                <w:kern w:val="2"/>
                <w:sz w:val="21"/>
                <w:szCs w:val="21"/>
                <w:vertAlign w:val="baseline"/>
                <w:lang w:val="en-US" w:eastAsia="zh-CN" w:bidi="ar-SA"/>
              </w:rPr>
              <w:t>0.73</w:t>
            </w:r>
          </w:p>
        </w:tc>
        <w:tc>
          <w:tcPr>
            <w:tcW w:w="416" w:type="pct"/>
            <w:tcBorders>
              <w:tl2br w:val="nil"/>
              <w:tr2bl w:val="nil"/>
            </w:tcBorders>
            <w:vAlign w:val="center"/>
          </w:tcPr>
          <w:p w14:paraId="422D8D0C">
            <w:pPr>
              <w:pStyle w:val="72"/>
              <w:jc w:val="center"/>
              <w:rPr>
                <w:rFonts w:hint="eastAsia" w:ascii="宋体" w:hAnsi="宋体" w:eastAsia="宋体" w:cs="宋体"/>
                <w:kern w:val="2"/>
                <w:sz w:val="21"/>
                <w:szCs w:val="21"/>
                <w:vertAlign w:val="baseline"/>
                <w:lang w:val="en-US" w:eastAsia="zh-CN" w:bidi="ar-SA"/>
              </w:rPr>
            </w:pPr>
            <w:r>
              <w:rPr>
                <w:rFonts w:hint="eastAsia" w:ascii="宋体" w:hAnsi="宋体" w:eastAsia="宋体" w:cs="宋体"/>
                <w:kern w:val="2"/>
                <w:sz w:val="21"/>
                <w:szCs w:val="21"/>
                <w:vertAlign w:val="baseline"/>
                <w:lang w:val="en-US" w:eastAsia="zh-CN" w:bidi="ar-SA"/>
              </w:rPr>
              <w:t>加强车间通风</w:t>
            </w:r>
          </w:p>
        </w:tc>
        <w:tc>
          <w:tcPr>
            <w:tcW w:w="416" w:type="pct"/>
            <w:tcBorders>
              <w:tl2br w:val="nil"/>
              <w:tr2bl w:val="nil"/>
            </w:tcBorders>
            <w:vAlign w:val="center"/>
          </w:tcPr>
          <w:p w14:paraId="23771E9F">
            <w:pPr>
              <w:pStyle w:val="72"/>
              <w:jc w:val="center"/>
              <w:rPr>
                <w:rFonts w:hint="eastAsia" w:ascii="宋体" w:hAnsi="宋体" w:eastAsia="宋体" w:cs="宋体"/>
                <w:kern w:val="2"/>
                <w:sz w:val="21"/>
                <w:szCs w:val="21"/>
                <w:vertAlign w:val="baseline"/>
                <w:lang w:val="en-US" w:eastAsia="zh-CN" w:bidi="ar-SA"/>
              </w:rPr>
            </w:pPr>
            <w:r>
              <w:rPr>
                <w:rFonts w:hint="eastAsia" w:ascii="宋体" w:hAnsi="宋体" w:eastAsia="宋体" w:cs="宋体"/>
                <w:kern w:val="2"/>
                <w:sz w:val="21"/>
                <w:szCs w:val="21"/>
                <w:vertAlign w:val="baseline"/>
                <w:lang w:val="en-US" w:eastAsia="zh-CN" w:bidi="ar-SA"/>
              </w:rPr>
              <w:t>0.0003</w:t>
            </w:r>
          </w:p>
        </w:tc>
        <w:tc>
          <w:tcPr>
            <w:tcW w:w="417" w:type="pct"/>
            <w:tcBorders>
              <w:tl2br w:val="nil"/>
              <w:tr2bl w:val="nil"/>
            </w:tcBorders>
            <w:vAlign w:val="center"/>
          </w:tcPr>
          <w:p w14:paraId="39427739">
            <w:pPr>
              <w:pStyle w:val="72"/>
              <w:jc w:val="center"/>
              <w:rPr>
                <w:rFonts w:hint="eastAsia" w:ascii="宋体" w:hAnsi="宋体" w:eastAsia="宋体" w:cs="宋体"/>
                <w:kern w:val="2"/>
                <w:sz w:val="21"/>
                <w:szCs w:val="21"/>
                <w:vertAlign w:val="baseline"/>
                <w:lang w:val="en-US" w:eastAsia="zh-CN" w:bidi="ar-SA"/>
              </w:rPr>
            </w:pPr>
            <w:r>
              <w:rPr>
                <w:rFonts w:hint="eastAsia" w:ascii="宋体" w:hAnsi="宋体" w:eastAsia="宋体" w:cs="宋体"/>
                <w:kern w:val="2"/>
                <w:sz w:val="21"/>
                <w:szCs w:val="21"/>
                <w:vertAlign w:val="baseline"/>
                <w:lang w:val="en-US" w:eastAsia="zh-CN" w:bidi="ar-SA"/>
              </w:rPr>
              <w:t>0.73</w:t>
            </w:r>
          </w:p>
        </w:tc>
        <w:tc>
          <w:tcPr>
            <w:tcW w:w="416" w:type="pct"/>
            <w:tcBorders>
              <w:tl2br w:val="nil"/>
              <w:tr2bl w:val="nil"/>
            </w:tcBorders>
            <w:vAlign w:val="center"/>
          </w:tcPr>
          <w:p w14:paraId="77532A1D">
            <w:pPr>
              <w:pStyle w:val="72"/>
              <w:jc w:val="center"/>
              <w:rPr>
                <w:rFonts w:hint="default" w:ascii="宋体" w:hAnsi="宋体" w:eastAsia="宋体" w:cs="宋体"/>
                <w:kern w:val="2"/>
                <w:sz w:val="21"/>
                <w:szCs w:val="21"/>
                <w:vertAlign w:val="baseline"/>
                <w:lang w:val="en-US" w:eastAsia="zh-CN" w:bidi="ar-SA"/>
              </w:rPr>
            </w:pPr>
            <w:r>
              <w:rPr>
                <w:rFonts w:hint="eastAsia" w:ascii="宋体" w:hAnsi="宋体" w:eastAsia="宋体" w:cs="宋体"/>
                <w:kern w:val="2"/>
                <w:sz w:val="21"/>
                <w:szCs w:val="21"/>
                <w:vertAlign w:val="baseline"/>
                <w:lang w:val="en-US" w:eastAsia="zh-CN" w:bidi="ar-SA"/>
              </w:rPr>
              <w:t>97</w:t>
            </w:r>
          </w:p>
        </w:tc>
        <w:tc>
          <w:tcPr>
            <w:tcW w:w="416" w:type="pct"/>
            <w:tcBorders>
              <w:tl2br w:val="nil"/>
              <w:tr2bl w:val="nil"/>
            </w:tcBorders>
            <w:vAlign w:val="center"/>
          </w:tcPr>
          <w:p w14:paraId="5CDCF169">
            <w:pPr>
              <w:pStyle w:val="72"/>
              <w:jc w:val="center"/>
              <w:rPr>
                <w:rFonts w:hint="default" w:ascii="宋体" w:hAnsi="宋体" w:eastAsia="宋体" w:cs="宋体"/>
                <w:kern w:val="2"/>
                <w:sz w:val="21"/>
                <w:szCs w:val="21"/>
                <w:vertAlign w:val="baseline"/>
                <w:lang w:val="en-US" w:eastAsia="zh-CN" w:bidi="ar-SA"/>
              </w:rPr>
            </w:pPr>
            <w:r>
              <w:rPr>
                <w:rFonts w:hint="eastAsia" w:ascii="宋体" w:hAnsi="宋体" w:eastAsia="宋体" w:cs="宋体"/>
                <w:kern w:val="2"/>
                <w:sz w:val="21"/>
                <w:szCs w:val="21"/>
                <w:vertAlign w:val="baseline"/>
                <w:lang w:val="en-US" w:eastAsia="zh-CN" w:bidi="ar-SA"/>
              </w:rPr>
              <w:t>40</w:t>
            </w:r>
          </w:p>
        </w:tc>
        <w:tc>
          <w:tcPr>
            <w:tcW w:w="418" w:type="pct"/>
            <w:tcBorders>
              <w:tl2br w:val="nil"/>
              <w:tr2bl w:val="nil"/>
            </w:tcBorders>
            <w:vAlign w:val="center"/>
          </w:tcPr>
          <w:p w14:paraId="7018BB7A">
            <w:pPr>
              <w:pStyle w:val="72"/>
              <w:jc w:val="center"/>
              <w:rPr>
                <w:rFonts w:hint="default" w:ascii="宋体" w:hAnsi="宋体" w:eastAsia="宋体" w:cs="宋体"/>
                <w:kern w:val="2"/>
                <w:sz w:val="21"/>
                <w:szCs w:val="21"/>
                <w:vertAlign w:val="baseline"/>
                <w:lang w:val="en-US" w:eastAsia="zh-CN" w:bidi="ar-SA"/>
              </w:rPr>
            </w:pPr>
            <w:r>
              <w:rPr>
                <w:rFonts w:hint="eastAsia" w:ascii="宋体" w:hAnsi="宋体" w:eastAsia="宋体" w:cs="宋体"/>
                <w:kern w:val="2"/>
                <w:sz w:val="21"/>
                <w:szCs w:val="21"/>
                <w:vertAlign w:val="baseline"/>
                <w:lang w:val="en-US" w:eastAsia="zh-CN" w:bidi="ar-SA"/>
              </w:rPr>
              <w:t>5</w:t>
            </w:r>
          </w:p>
        </w:tc>
        <w:tc>
          <w:tcPr>
            <w:tcW w:w="416" w:type="pct"/>
            <w:tcBorders>
              <w:tl2br w:val="nil"/>
              <w:tr2bl w:val="nil"/>
            </w:tcBorders>
            <w:vAlign w:val="center"/>
          </w:tcPr>
          <w:p w14:paraId="7D96DBCC">
            <w:pPr>
              <w:pStyle w:val="72"/>
              <w:jc w:val="center"/>
              <w:rPr>
                <w:rFonts w:hint="eastAsia" w:ascii="宋体" w:hAnsi="宋体" w:eastAsia="宋体" w:cs="宋体"/>
                <w:kern w:val="2"/>
                <w:sz w:val="21"/>
                <w:szCs w:val="21"/>
                <w:vertAlign w:val="baseline"/>
                <w:lang w:val="en-US" w:eastAsia="zh-CN" w:bidi="ar-SA"/>
              </w:rPr>
            </w:pPr>
            <w:r>
              <w:rPr>
                <w:rFonts w:hint="eastAsia" w:ascii="宋体" w:hAnsi="宋体" w:eastAsia="宋体" w:cs="宋体"/>
                <w:kern w:val="2"/>
                <w:sz w:val="21"/>
                <w:szCs w:val="21"/>
                <w:vertAlign w:val="baseline"/>
                <w:lang w:val="en-US" w:eastAsia="zh-CN" w:bidi="ar-SA"/>
              </w:rPr>
              <w:t>连续</w:t>
            </w:r>
          </w:p>
        </w:tc>
        <w:tc>
          <w:tcPr>
            <w:tcW w:w="416" w:type="pct"/>
            <w:tcBorders>
              <w:tl2br w:val="nil"/>
              <w:tr2bl w:val="nil"/>
            </w:tcBorders>
            <w:vAlign w:val="center"/>
          </w:tcPr>
          <w:p w14:paraId="704FE793">
            <w:pPr>
              <w:pStyle w:val="72"/>
              <w:jc w:val="center"/>
              <w:rPr>
                <w:rFonts w:hint="eastAsia" w:ascii="宋体" w:hAnsi="宋体" w:eastAsia="宋体" w:cs="宋体"/>
                <w:kern w:val="2"/>
                <w:sz w:val="21"/>
                <w:szCs w:val="21"/>
                <w:vertAlign w:val="baseline"/>
                <w:lang w:val="en-US" w:eastAsia="zh-CN" w:bidi="ar-SA"/>
              </w:rPr>
            </w:pPr>
            <w:r>
              <w:rPr>
                <w:rFonts w:hint="eastAsia" w:ascii="宋体" w:hAnsi="宋体" w:eastAsia="宋体" w:cs="宋体"/>
                <w:kern w:val="2"/>
                <w:sz w:val="21"/>
                <w:szCs w:val="21"/>
                <w:vertAlign w:val="baseline"/>
                <w:lang w:val="en-US" w:eastAsia="zh-CN" w:bidi="ar-SA"/>
              </w:rPr>
              <w:t>4.0周界外浓度最高点</w:t>
            </w:r>
          </w:p>
        </w:tc>
      </w:tr>
    </w:tbl>
    <w:p w14:paraId="7B6A7467">
      <w:pPr>
        <w:pStyle w:val="72"/>
        <w:jc w:val="center"/>
        <w:rPr>
          <w:rFonts w:hint="default" w:ascii="黑体" w:hAnsi="黑体" w:eastAsia="黑体" w:cs="黑体"/>
          <w:kern w:val="2"/>
          <w:sz w:val="21"/>
          <w:szCs w:val="21"/>
          <w:lang w:val="en-US" w:eastAsia="zh-CN" w:bidi="ar-SA"/>
        </w:rPr>
      </w:pPr>
    </w:p>
    <w:p w14:paraId="407C8EB0">
      <w:pPr>
        <w:pStyle w:val="72"/>
        <w:jc w:val="center"/>
        <w:rPr>
          <w:rFonts w:hint="eastAsia" w:ascii="黑体" w:hAnsi="黑体" w:eastAsia="黑体" w:cs="黑体"/>
          <w:kern w:val="2"/>
          <w:sz w:val="21"/>
          <w:szCs w:val="21"/>
          <w:lang w:val="en-US" w:eastAsia="zh-CN" w:bidi="ar-SA"/>
        </w:rPr>
      </w:pPr>
    </w:p>
    <w:p w14:paraId="64F42E5C">
      <w:pPr>
        <w:pStyle w:val="72"/>
        <w:jc w:val="center"/>
        <w:rPr>
          <w:rFonts w:hint="eastAsia" w:ascii="黑体" w:hAnsi="黑体" w:eastAsia="黑体" w:cs="黑体"/>
          <w:kern w:val="2"/>
          <w:sz w:val="21"/>
          <w:szCs w:val="21"/>
          <w:lang w:val="en-US" w:eastAsia="zh-CN" w:bidi="ar-SA"/>
        </w:rPr>
      </w:pPr>
    </w:p>
    <w:p w14:paraId="68268C84">
      <w:pPr>
        <w:pStyle w:val="72"/>
        <w:jc w:val="center"/>
        <w:rPr>
          <w:rFonts w:hint="eastAsia" w:ascii="黑体" w:hAnsi="黑体" w:eastAsia="黑体" w:cs="黑体"/>
          <w:kern w:val="2"/>
          <w:sz w:val="21"/>
          <w:szCs w:val="21"/>
          <w:lang w:val="en-US" w:eastAsia="zh-CN" w:bidi="ar-SA"/>
        </w:rPr>
      </w:pPr>
    </w:p>
    <w:p w14:paraId="39618CC0">
      <w:pPr>
        <w:pStyle w:val="72"/>
        <w:jc w:val="center"/>
        <w:rPr>
          <w:rFonts w:hint="eastAsia" w:ascii="黑体" w:hAnsi="黑体" w:eastAsia="黑体" w:cs="黑体"/>
          <w:kern w:val="2"/>
          <w:sz w:val="21"/>
          <w:szCs w:val="21"/>
          <w:lang w:val="en-US" w:eastAsia="zh-CN" w:bidi="ar-SA"/>
        </w:rPr>
      </w:pPr>
    </w:p>
    <w:p w14:paraId="2D53D807">
      <w:pPr>
        <w:pStyle w:val="72"/>
        <w:jc w:val="center"/>
        <w:rPr>
          <w:rFonts w:hint="eastAsia" w:ascii="黑体" w:hAnsi="黑体" w:eastAsia="黑体" w:cs="黑体"/>
          <w:kern w:val="2"/>
          <w:sz w:val="21"/>
          <w:szCs w:val="21"/>
          <w:lang w:val="en-US" w:eastAsia="zh-CN" w:bidi="ar-SA"/>
        </w:rPr>
      </w:pPr>
    </w:p>
    <w:p w14:paraId="5C8C663D">
      <w:pPr>
        <w:pStyle w:val="72"/>
        <w:jc w:val="center"/>
        <w:rPr>
          <w:rFonts w:hint="eastAsia" w:ascii="黑体" w:hAnsi="黑体" w:eastAsia="黑体" w:cs="黑体"/>
          <w:kern w:val="2"/>
          <w:sz w:val="21"/>
          <w:szCs w:val="21"/>
          <w:lang w:val="en-US" w:eastAsia="zh-CN" w:bidi="ar-SA"/>
        </w:rPr>
      </w:pPr>
    </w:p>
    <w:p w14:paraId="4E8098C0">
      <w:pPr>
        <w:pStyle w:val="72"/>
        <w:jc w:val="center"/>
        <w:rPr>
          <w:rFonts w:hint="eastAsia" w:ascii="黑体" w:hAnsi="黑体" w:eastAsia="黑体" w:cs="黑体"/>
          <w:kern w:val="2"/>
          <w:sz w:val="21"/>
          <w:szCs w:val="21"/>
          <w:lang w:val="en-US" w:eastAsia="zh-CN" w:bidi="ar-SA"/>
        </w:rPr>
      </w:pPr>
    </w:p>
    <w:p w14:paraId="2AB90034">
      <w:pPr>
        <w:pStyle w:val="72"/>
        <w:jc w:val="center"/>
        <w:rPr>
          <w:rFonts w:hint="eastAsia" w:ascii="黑体" w:hAnsi="黑体" w:eastAsia="黑体" w:cs="黑体"/>
          <w:kern w:val="2"/>
          <w:sz w:val="21"/>
          <w:szCs w:val="21"/>
          <w:lang w:val="en-US" w:eastAsia="zh-CN" w:bidi="ar-SA"/>
        </w:rPr>
      </w:pPr>
      <w:r>
        <w:rPr>
          <w:rFonts w:hint="eastAsia" w:ascii="黑体" w:hAnsi="黑体" w:eastAsia="黑体" w:cs="黑体"/>
          <w:kern w:val="2"/>
          <w:sz w:val="21"/>
          <w:szCs w:val="21"/>
          <w:lang w:val="en-US" w:eastAsia="zh-CN" w:bidi="ar-SA"/>
        </w:rPr>
        <w:t>表5-12项目酸雾产排情况（非正常工况）</w:t>
      </w:r>
    </w:p>
    <w:tbl>
      <w:tblPr>
        <w:tblStyle w:val="53"/>
        <w:tblW w:w="4999"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171"/>
        <w:gridCol w:w="1171"/>
        <w:gridCol w:w="1171"/>
        <w:gridCol w:w="1177"/>
        <w:gridCol w:w="1211"/>
        <w:gridCol w:w="1835"/>
        <w:gridCol w:w="1305"/>
        <w:gridCol w:w="2093"/>
        <w:gridCol w:w="976"/>
        <w:gridCol w:w="874"/>
        <w:gridCol w:w="1187"/>
      </w:tblGrid>
      <w:tr w14:paraId="009E453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413" w:type="pct"/>
            <w:vMerge w:val="restart"/>
            <w:tcBorders>
              <w:tl2br w:val="nil"/>
              <w:tr2bl w:val="nil"/>
            </w:tcBorders>
            <w:vAlign w:val="center"/>
          </w:tcPr>
          <w:p w14:paraId="264C68A2">
            <w:pPr>
              <w:pStyle w:val="72"/>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污染源</w:t>
            </w:r>
          </w:p>
        </w:tc>
        <w:tc>
          <w:tcPr>
            <w:tcW w:w="413" w:type="pct"/>
            <w:vMerge w:val="restart"/>
            <w:tcBorders>
              <w:tl2br w:val="nil"/>
              <w:tr2bl w:val="nil"/>
            </w:tcBorders>
            <w:vAlign w:val="center"/>
          </w:tcPr>
          <w:p w14:paraId="0E7D3E59">
            <w:pPr>
              <w:pStyle w:val="72"/>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污染物名称</w:t>
            </w:r>
          </w:p>
        </w:tc>
        <w:tc>
          <w:tcPr>
            <w:tcW w:w="1255" w:type="pct"/>
            <w:gridSpan w:val="3"/>
            <w:tcBorders>
              <w:tl2br w:val="nil"/>
              <w:tr2bl w:val="nil"/>
            </w:tcBorders>
            <w:vAlign w:val="center"/>
          </w:tcPr>
          <w:p w14:paraId="0EF14BF2">
            <w:pPr>
              <w:pStyle w:val="72"/>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废气污染物产生情况</w:t>
            </w:r>
          </w:p>
        </w:tc>
        <w:tc>
          <w:tcPr>
            <w:tcW w:w="647" w:type="pct"/>
            <w:vMerge w:val="restart"/>
            <w:tcBorders>
              <w:tl2br w:val="nil"/>
              <w:tr2bl w:val="nil"/>
            </w:tcBorders>
            <w:vAlign w:val="center"/>
          </w:tcPr>
          <w:p w14:paraId="56ABA68F">
            <w:pPr>
              <w:pStyle w:val="72"/>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非正常工况模式</w:t>
            </w:r>
          </w:p>
        </w:tc>
        <w:tc>
          <w:tcPr>
            <w:tcW w:w="1198" w:type="pct"/>
            <w:gridSpan w:val="2"/>
            <w:tcBorders>
              <w:tl2br w:val="nil"/>
              <w:tr2bl w:val="nil"/>
            </w:tcBorders>
            <w:vAlign w:val="center"/>
          </w:tcPr>
          <w:p w14:paraId="07B7B810">
            <w:pPr>
              <w:pStyle w:val="72"/>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废气污染物排放情况</w:t>
            </w:r>
          </w:p>
        </w:tc>
        <w:tc>
          <w:tcPr>
            <w:tcW w:w="1070" w:type="pct"/>
            <w:gridSpan w:val="3"/>
            <w:tcBorders>
              <w:tl2br w:val="nil"/>
              <w:tr2bl w:val="nil"/>
            </w:tcBorders>
            <w:vAlign w:val="center"/>
          </w:tcPr>
          <w:p w14:paraId="5C0C2FA1">
            <w:pPr>
              <w:pStyle w:val="72"/>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排放源参数</w:t>
            </w:r>
          </w:p>
        </w:tc>
      </w:tr>
      <w:tr w14:paraId="1CF3CBA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413" w:type="pct"/>
            <w:vMerge w:val="continue"/>
            <w:tcBorders>
              <w:tl2br w:val="nil"/>
              <w:tr2bl w:val="nil"/>
            </w:tcBorders>
            <w:vAlign w:val="center"/>
          </w:tcPr>
          <w:p w14:paraId="1A520BDF">
            <w:pPr>
              <w:pStyle w:val="72"/>
              <w:jc w:val="center"/>
              <w:rPr>
                <w:rFonts w:hint="eastAsia" w:ascii="宋体" w:hAnsi="宋体" w:eastAsia="宋体" w:cs="宋体"/>
                <w:sz w:val="21"/>
                <w:szCs w:val="21"/>
                <w:vertAlign w:val="baseline"/>
                <w:lang w:val="en-US" w:eastAsia="zh-CN"/>
              </w:rPr>
            </w:pPr>
          </w:p>
        </w:tc>
        <w:tc>
          <w:tcPr>
            <w:tcW w:w="413" w:type="pct"/>
            <w:vMerge w:val="continue"/>
            <w:tcBorders>
              <w:tl2br w:val="nil"/>
              <w:tr2bl w:val="nil"/>
            </w:tcBorders>
            <w:vAlign w:val="center"/>
          </w:tcPr>
          <w:p w14:paraId="13BA20CE">
            <w:pPr>
              <w:pStyle w:val="72"/>
              <w:jc w:val="center"/>
              <w:rPr>
                <w:rFonts w:hint="eastAsia" w:ascii="宋体" w:hAnsi="宋体" w:eastAsia="宋体" w:cs="宋体"/>
                <w:sz w:val="21"/>
                <w:szCs w:val="21"/>
                <w:vertAlign w:val="baseline"/>
                <w:lang w:val="en-US" w:eastAsia="zh-CN"/>
              </w:rPr>
            </w:pPr>
          </w:p>
        </w:tc>
        <w:tc>
          <w:tcPr>
            <w:tcW w:w="413" w:type="pct"/>
            <w:tcBorders>
              <w:tl2br w:val="nil"/>
              <w:tr2bl w:val="nil"/>
            </w:tcBorders>
            <w:vAlign w:val="center"/>
          </w:tcPr>
          <w:p w14:paraId="0C440480">
            <w:pPr>
              <w:pStyle w:val="72"/>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废气量m3/h</w:t>
            </w:r>
          </w:p>
        </w:tc>
        <w:tc>
          <w:tcPr>
            <w:tcW w:w="415" w:type="pct"/>
            <w:tcBorders>
              <w:tl2br w:val="nil"/>
              <w:tr2bl w:val="nil"/>
            </w:tcBorders>
            <w:vAlign w:val="center"/>
          </w:tcPr>
          <w:p w14:paraId="4A39DFE6">
            <w:pPr>
              <w:pStyle w:val="72"/>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浓度mg/m3</w:t>
            </w:r>
          </w:p>
        </w:tc>
        <w:tc>
          <w:tcPr>
            <w:tcW w:w="426" w:type="pct"/>
            <w:tcBorders>
              <w:tl2br w:val="nil"/>
              <w:tr2bl w:val="nil"/>
            </w:tcBorders>
            <w:vAlign w:val="center"/>
          </w:tcPr>
          <w:p w14:paraId="1A28D6D2">
            <w:pPr>
              <w:pStyle w:val="72"/>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产生量kg</w:t>
            </w:r>
          </w:p>
          <w:p w14:paraId="2E6D4245">
            <w:pPr>
              <w:pStyle w:val="72"/>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/a</w:t>
            </w:r>
          </w:p>
        </w:tc>
        <w:tc>
          <w:tcPr>
            <w:tcW w:w="647" w:type="pct"/>
            <w:vMerge w:val="continue"/>
            <w:tcBorders>
              <w:tl2br w:val="nil"/>
              <w:tr2bl w:val="nil"/>
            </w:tcBorders>
            <w:vAlign w:val="center"/>
          </w:tcPr>
          <w:p w14:paraId="418C28C5">
            <w:pPr>
              <w:pStyle w:val="72"/>
              <w:jc w:val="center"/>
              <w:rPr>
                <w:rFonts w:hint="eastAsia" w:ascii="宋体" w:hAnsi="宋体" w:eastAsia="宋体" w:cs="宋体"/>
                <w:sz w:val="21"/>
                <w:szCs w:val="21"/>
                <w:vertAlign w:val="baseline"/>
                <w:lang w:val="en-US" w:eastAsia="zh-CN"/>
              </w:rPr>
            </w:pPr>
          </w:p>
        </w:tc>
        <w:tc>
          <w:tcPr>
            <w:tcW w:w="460" w:type="pct"/>
            <w:tcBorders>
              <w:tl2br w:val="nil"/>
              <w:tr2bl w:val="nil"/>
            </w:tcBorders>
            <w:vAlign w:val="center"/>
          </w:tcPr>
          <w:p w14:paraId="191398DD">
            <w:pPr>
              <w:pStyle w:val="72"/>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浓度mg/m</w:t>
            </w:r>
            <w:r>
              <w:rPr>
                <w:rFonts w:hint="eastAsia" w:ascii="宋体" w:hAnsi="宋体" w:eastAsia="宋体" w:cs="宋体"/>
                <w:sz w:val="21"/>
                <w:szCs w:val="21"/>
                <w:vertAlign w:val="superscript"/>
                <w:lang w:val="en-US" w:eastAsia="zh-CN"/>
              </w:rPr>
              <w:t>3</w:t>
            </w:r>
          </w:p>
        </w:tc>
        <w:tc>
          <w:tcPr>
            <w:tcW w:w="738" w:type="pct"/>
            <w:tcBorders>
              <w:tl2br w:val="nil"/>
              <w:tr2bl w:val="nil"/>
            </w:tcBorders>
            <w:vAlign w:val="center"/>
          </w:tcPr>
          <w:p w14:paraId="502FDFE1">
            <w:pPr>
              <w:pStyle w:val="72"/>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排放量</w:t>
            </w:r>
          </w:p>
          <w:p w14:paraId="74CF4EF7">
            <w:pPr>
              <w:pStyle w:val="72"/>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kg/a</w:t>
            </w:r>
          </w:p>
        </w:tc>
        <w:tc>
          <w:tcPr>
            <w:tcW w:w="344" w:type="pct"/>
            <w:tcBorders>
              <w:tl2br w:val="nil"/>
              <w:tr2bl w:val="nil"/>
            </w:tcBorders>
            <w:vAlign w:val="center"/>
          </w:tcPr>
          <w:p w14:paraId="031DBB1E">
            <w:pPr>
              <w:pStyle w:val="72"/>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高度m</w:t>
            </w:r>
          </w:p>
        </w:tc>
        <w:tc>
          <w:tcPr>
            <w:tcW w:w="308" w:type="pct"/>
            <w:tcBorders>
              <w:tl2br w:val="nil"/>
              <w:tr2bl w:val="nil"/>
            </w:tcBorders>
            <w:vAlign w:val="center"/>
          </w:tcPr>
          <w:p w14:paraId="7E1FCE3A">
            <w:pPr>
              <w:pStyle w:val="72"/>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内径m</w:t>
            </w:r>
          </w:p>
        </w:tc>
        <w:tc>
          <w:tcPr>
            <w:tcW w:w="417" w:type="pct"/>
            <w:tcBorders>
              <w:tl2br w:val="nil"/>
              <w:tr2bl w:val="nil"/>
            </w:tcBorders>
            <w:vAlign w:val="center"/>
          </w:tcPr>
          <w:p w14:paraId="5443DFAD">
            <w:pPr>
              <w:pStyle w:val="72"/>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温度℃</w:t>
            </w:r>
          </w:p>
        </w:tc>
      </w:tr>
      <w:tr w14:paraId="2B34E6B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13" w:type="pct"/>
            <w:tcBorders>
              <w:tl2br w:val="nil"/>
              <w:tr2bl w:val="nil"/>
            </w:tcBorders>
            <w:vAlign w:val="center"/>
          </w:tcPr>
          <w:p w14:paraId="3A1D2DA8">
            <w:pPr>
              <w:pStyle w:val="72"/>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电镀车间废气排气筒</w:t>
            </w:r>
          </w:p>
        </w:tc>
        <w:tc>
          <w:tcPr>
            <w:tcW w:w="413" w:type="pct"/>
            <w:tcBorders>
              <w:tl2br w:val="nil"/>
              <w:tr2bl w:val="nil"/>
            </w:tcBorders>
            <w:vAlign w:val="center"/>
          </w:tcPr>
          <w:p w14:paraId="57CE9462">
            <w:pPr>
              <w:pStyle w:val="72"/>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甲基磺酸</w:t>
            </w:r>
          </w:p>
        </w:tc>
        <w:tc>
          <w:tcPr>
            <w:tcW w:w="413" w:type="pct"/>
            <w:tcBorders>
              <w:tl2br w:val="nil"/>
              <w:tr2bl w:val="nil"/>
            </w:tcBorders>
            <w:vAlign w:val="center"/>
          </w:tcPr>
          <w:p w14:paraId="7002B6AB">
            <w:pPr>
              <w:pStyle w:val="72"/>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10000</w:t>
            </w:r>
          </w:p>
        </w:tc>
        <w:tc>
          <w:tcPr>
            <w:tcW w:w="415" w:type="pct"/>
            <w:tcBorders>
              <w:tl2br w:val="nil"/>
              <w:tr2bl w:val="nil"/>
            </w:tcBorders>
            <w:vAlign w:val="center"/>
          </w:tcPr>
          <w:p w14:paraId="560D83CD">
            <w:pPr>
              <w:pStyle w:val="72"/>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0.304</w:t>
            </w:r>
          </w:p>
        </w:tc>
        <w:tc>
          <w:tcPr>
            <w:tcW w:w="426" w:type="pct"/>
            <w:tcBorders>
              <w:tl2br w:val="nil"/>
              <w:tr2bl w:val="nil"/>
            </w:tcBorders>
            <w:vAlign w:val="center"/>
          </w:tcPr>
          <w:p w14:paraId="022F5A02">
            <w:pPr>
              <w:pStyle w:val="72"/>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7.3</w:t>
            </w:r>
          </w:p>
        </w:tc>
        <w:tc>
          <w:tcPr>
            <w:tcW w:w="647" w:type="pct"/>
            <w:tcBorders>
              <w:tl2br w:val="nil"/>
              <w:tr2bl w:val="nil"/>
            </w:tcBorders>
            <w:vAlign w:val="center"/>
          </w:tcPr>
          <w:p w14:paraId="1F6A41C5">
            <w:pPr>
              <w:pStyle w:val="72"/>
              <w:jc w:val="center"/>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废气治理设施去除效率为0</w:t>
            </w:r>
          </w:p>
        </w:tc>
        <w:tc>
          <w:tcPr>
            <w:tcW w:w="460" w:type="pct"/>
            <w:tcBorders>
              <w:tl2br w:val="nil"/>
              <w:tr2bl w:val="nil"/>
            </w:tcBorders>
            <w:vAlign w:val="center"/>
          </w:tcPr>
          <w:p w14:paraId="1233B1D7">
            <w:pPr>
              <w:pStyle w:val="72"/>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10000</w:t>
            </w:r>
          </w:p>
        </w:tc>
        <w:tc>
          <w:tcPr>
            <w:tcW w:w="738" w:type="pct"/>
            <w:tcBorders>
              <w:tl2br w:val="nil"/>
              <w:tr2bl w:val="nil"/>
            </w:tcBorders>
            <w:vAlign w:val="center"/>
          </w:tcPr>
          <w:p w14:paraId="6AE4142F">
            <w:pPr>
              <w:pStyle w:val="72"/>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0.304</w:t>
            </w:r>
          </w:p>
        </w:tc>
        <w:tc>
          <w:tcPr>
            <w:tcW w:w="344" w:type="pct"/>
            <w:tcBorders>
              <w:tl2br w:val="nil"/>
              <w:tr2bl w:val="nil"/>
            </w:tcBorders>
            <w:vAlign w:val="center"/>
          </w:tcPr>
          <w:p w14:paraId="399D3A18">
            <w:pPr>
              <w:pStyle w:val="72"/>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15</w:t>
            </w:r>
          </w:p>
        </w:tc>
        <w:tc>
          <w:tcPr>
            <w:tcW w:w="308" w:type="pct"/>
            <w:tcBorders>
              <w:tl2br w:val="nil"/>
              <w:tr2bl w:val="nil"/>
            </w:tcBorders>
            <w:vAlign w:val="center"/>
          </w:tcPr>
          <w:p w14:paraId="07858972">
            <w:pPr>
              <w:pStyle w:val="72"/>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0.6</w:t>
            </w:r>
          </w:p>
        </w:tc>
        <w:tc>
          <w:tcPr>
            <w:tcW w:w="417" w:type="pct"/>
            <w:tcBorders>
              <w:tl2br w:val="nil"/>
              <w:tr2bl w:val="nil"/>
            </w:tcBorders>
            <w:vAlign w:val="center"/>
          </w:tcPr>
          <w:p w14:paraId="34F8E9F7">
            <w:pPr>
              <w:pStyle w:val="72"/>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20</w:t>
            </w:r>
          </w:p>
        </w:tc>
      </w:tr>
    </w:tbl>
    <w:p w14:paraId="443283B8">
      <w:pPr>
        <w:pStyle w:val="72"/>
        <w:jc w:val="center"/>
        <w:rPr>
          <w:rFonts w:hint="default" w:ascii="黑体" w:hAnsi="黑体" w:eastAsia="黑体" w:cs="黑体"/>
          <w:kern w:val="2"/>
          <w:sz w:val="21"/>
          <w:szCs w:val="21"/>
          <w:lang w:val="en-US" w:eastAsia="zh-CN" w:bidi="ar-SA"/>
        </w:rPr>
        <w:sectPr>
          <w:pgSz w:w="16838" w:h="11906" w:orient="landscape"/>
          <w:pgMar w:top="1800" w:right="1440" w:bottom="1800" w:left="1440" w:header="850" w:footer="964" w:gutter="0"/>
          <w:pgBorders>
            <w:top w:val="none" w:sz="0" w:space="0"/>
            <w:left w:val="none" w:sz="0" w:space="0"/>
            <w:bottom w:val="none" w:sz="0" w:space="0"/>
            <w:right w:val="none" w:sz="0" w:space="0"/>
          </w:pgBorders>
          <w:pgNumType w:fmt="decimal"/>
          <w:cols w:space="425" w:num="1"/>
          <w:docGrid w:linePitch="326" w:charSpace="0"/>
        </w:sectPr>
      </w:pPr>
    </w:p>
    <w:p w14:paraId="60C99F61">
      <w:pPr>
        <w:pStyle w:val="5"/>
        <w:bidi w:val="0"/>
        <w:rPr>
          <w:rFonts w:hint="default" w:ascii="黑体" w:hAnsi="黑体" w:eastAsia="黑体" w:cs="黑体"/>
          <w:kern w:val="2"/>
          <w:szCs w:val="21"/>
          <w:lang w:val="en-US" w:eastAsia="zh-CN" w:bidi="ar-SA"/>
        </w:rPr>
      </w:pPr>
      <w:r>
        <w:rPr>
          <w:rFonts w:hint="eastAsia"/>
          <w:lang w:val="en-US" w:eastAsia="zh-CN"/>
        </w:rPr>
        <w:t>5.3.3噪声</w:t>
      </w:r>
    </w:p>
    <w:p w14:paraId="5CAFFE6D">
      <w:pPr>
        <w:bidi w:val="0"/>
        <w:rPr>
          <w:rFonts w:hint="eastAsia"/>
          <w:lang w:val="en-US" w:eastAsia="zh-CN"/>
        </w:rPr>
      </w:pPr>
      <w:r>
        <w:rPr>
          <w:rFonts w:hint="eastAsia"/>
          <w:lang w:val="en-US" w:eastAsia="zh-CN"/>
        </w:rPr>
        <w:t>本项目噪声主要是引风机、水泵等，各噪声设备及源强详见下表。</w:t>
      </w:r>
    </w:p>
    <w:p w14:paraId="00204966">
      <w:pPr>
        <w:bidi w:val="0"/>
        <w:ind w:left="0" w:leftChars="0" w:firstLine="0" w:firstLineChars="0"/>
        <w:jc w:val="center"/>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表5-13项目噪声源强一览表</w:t>
      </w:r>
    </w:p>
    <w:tbl>
      <w:tblPr>
        <w:tblStyle w:val="53"/>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1434"/>
        <w:gridCol w:w="1587"/>
        <w:gridCol w:w="3371"/>
      </w:tblGrid>
      <w:tr w14:paraId="5C567BA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49" w:type="pct"/>
            <w:tcBorders>
              <w:tl2br w:val="nil"/>
              <w:tr2bl w:val="nil"/>
            </w:tcBorders>
            <w:vAlign w:val="center"/>
          </w:tcPr>
          <w:p w14:paraId="5CA2A70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噪声源</w:t>
            </w:r>
          </w:p>
        </w:tc>
        <w:tc>
          <w:tcPr>
            <w:tcW w:w="841" w:type="pct"/>
            <w:tcBorders>
              <w:tl2br w:val="nil"/>
              <w:tr2bl w:val="nil"/>
            </w:tcBorders>
            <w:vAlign w:val="center"/>
          </w:tcPr>
          <w:p w14:paraId="7EF70B1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数量</w:t>
            </w:r>
          </w:p>
        </w:tc>
        <w:tc>
          <w:tcPr>
            <w:tcW w:w="931" w:type="pct"/>
            <w:tcBorders>
              <w:tl2br w:val="nil"/>
              <w:tr2bl w:val="nil"/>
            </w:tcBorders>
            <w:vAlign w:val="center"/>
          </w:tcPr>
          <w:p w14:paraId="21615C4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噪声级</w:t>
            </w:r>
          </w:p>
        </w:tc>
        <w:tc>
          <w:tcPr>
            <w:tcW w:w="1977" w:type="pct"/>
            <w:tcBorders>
              <w:tl2br w:val="nil"/>
              <w:tr2bl w:val="nil"/>
            </w:tcBorders>
            <w:vAlign w:val="center"/>
          </w:tcPr>
          <w:p w14:paraId="2395600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降噪方式</w:t>
            </w:r>
          </w:p>
        </w:tc>
      </w:tr>
      <w:tr w14:paraId="6AD6462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49" w:type="pct"/>
            <w:tcBorders>
              <w:tl2br w:val="nil"/>
              <w:tr2bl w:val="nil"/>
            </w:tcBorders>
            <w:vAlign w:val="center"/>
          </w:tcPr>
          <w:p w14:paraId="7A1C857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引风机</w:t>
            </w:r>
          </w:p>
        </w:tc>
        <w:tc>
          <w:tcPr>
            <w:tcW w:w="841" w:type="pct"/>
            <w:tcBorders>
              <w:tl2br w:val="nil"/>
              <w:tr2bl w:val="nil"/>
            </w:tcBorders>
            <w:vAlign w:val="center"/>
          </w:tcPr>
          <w:p w14:paraId="7FA7F5C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1</w:t>
            </w:r>
          </w:p>
        </w:tc>
        <w:tc>
          <w:tcPr>
            <w:tcW w:w="931" w:type="pct"/>
            <w:tcBorders>
              <w:tl2br w:val="nil"/>
              <w:tr2bl w:val="nil"/>
            </w:tcBorders>
            <w:vAlign w:val="center"/>
          </w:tcPr>
          <w:p w14:paraId="2734A72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85</w:t>
            </w:r>
          </w:p>
        </w:tc>
        <w:tc>
          <w:tcPr>
            <w:tcW w:w="1977" w:type="pct"/>
            <w:tcBorders>
              <w:tl2br w:val="nil"/>
              <w:tr2bl w:val="nil"/>
            </w:tcBorders>
            <w:vAlign w:val="center"/>
          </w:tcPr>
          <w:p w14:paraId="258E118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隔声罩、消声器、车间隔声</w:t>
            </w:r>
          </w:p>
        </w:tc>
      </w:tr>
      <w:tr w14:paraId="6B9AF4A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49" w:type="pct"/>
            <w:tcBorders>
              <w:tl2br w:val="nil"/>
              <w:tr2bl w:val="nil"/>
            </w:tcBorders>
            <w:vAlign w:val="center"/>
          </w:tcPr>
          <w:p w14:paraId="53B9B71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水泵</w:t>
            </w:r>
          </w:p>
        </w:tc>
        <w:tc>
          <w:tcPr>
            <w:tcW w:w="841" w:type="pct"/>
            <w:tcBorders>
              <w:tl2br w:val="nil"/>
              <w:tr2bl w:val="nil"/>
            </w:tcBorders>
            <w:vAlign w:val="center"/>
          </w:tcPr>
          <w:p w14:paraId="7456034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3</w:t>
            </w:r>
          </w:p>
        </w:tc>
        <w:tc>
          <w:tcPr>
            <w:tcW w:w="931" w:type="pct"/>
            <w:tcBorders>
              <w:tl2br w:val="nil"/>
              <w:tr2bl w:val="nil"/>
            </w:tcBorders>
            <w:vAlign w:val="center"/>
          </w:tcPr>
          <w:p w14:paraId="50D99FF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60</w:t>
            </w:r>
          </w:p>
        </w:tc>
        <w:tc>
          <w:tcPr>
            <w:tcW w:w="1977" w:type="pct"/>
            <w:tcBorders>
              <w:tl2br w:val="nil"/>
              <w:tr2bl w:val="nil"/>
            </w:tcBorders>
            <w:vAlign w:val="center"/>
          </w:tcPr>
          <w:p w14:paraId="24C2422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车间隔声</w:t>
            </w:r>
          </w:p>
        </w:tc>
      </w:tr>
      <w:tr w14:paraId="323F6AF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49" w:type="pct"/>
            <w:tcBorders>
              <w:tl2br w:val="nil"/>
              <w:tr2bl w:val="nil"/>
            </w:tcBorders>
            <w:vAlign w:val="center"/>
          </w:tcPr>
          <w:p w14:paraId="21BF819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龙门行车</w:t>
            </w:r>
          </w:p>
        </w:tc>
        <w:tc>
          <w:tcPr>
            <w:tcW w:w="841" w:type="pct"/>
            <w:tcBorders>
              <w:tl2br w:val="nil"/>
              <w:tr2bl w:val="nil"/>
            </w:tcBorders>
            <w:vAlign w:val="center"/>
          </w:tcPr>
          <w:p w14:paraId="60A1FD3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2</w:t>
            </w:r>
          </w:p>
        </w:tc>
        <w:tc>
          <w:tcPr>
            <w:tcW w:w="931" w:type="pct"/>
            <w:tcBorders>
              <w:tl2br w:val="nil"/>
              <w:tr2bl w:val="nil"/>
            </w:tcBorders>
            <w:vAlign w:val="center"/>
          </w:tcPr>
          <w:p w14:paraId="78AFFA6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75</w:t>
            </w:r>
          </w:p>
        </w:tc>
        <w:tc>
          <w:tcPr>
            <w:tcW w:w="1977" w:type="pct"/>
            <w:tcBorders>
              <w:tl2br w:val="nil"/>
              <w:tr2bl w:val="nil"/>
            </w:tcBorders>
            <w:vAlign w:val="center"/>
          </w:tcPr>
          <w:p w14:paraId="7F5F7A3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车间隔声</w:t>
            </w:r>
          </w:p>
        </w:tc>
      </w:tr>
    </w:tbl>
    <w:p w14:paraId="79811648">
      <w:pPr>
        <w:pStyle w:val="5"/>
        <w:bidi w:val="0"/>
        <w:rPr>
          <w:rFonts w:hint="default"/>
          <w:lang w:val="en-US" w:eastAsia="zh-CN"/>
        </w:rPr>
      </w:pPr>
      <w:r>
        <w:rPr>
          <w:rFonts w:hint="eastAsia"/>
          <w:lang w:val="en-US" w:eastAsia="zh-CN"/>
        </w:rPr>
        <w:t>5.3.4固体废物</w:t>
      </w:r>
    </w:p>
    <w:p w14:paraId="4F0B0342">
      <w:pPr>
        <w:bidi w:val="0"/>
        <w:rPr>
          <w:rFonts w:hint="default"/>
          <w:lang w:val="en-US" w:eastAsia="zh-CN"/>
        </w:rPr>
      </w:pPr>
      <w:r>
        <w:rPr>
          <w:rFonts w:hint="default"/>
          <w:lang w:val="en-US" w:eastAsia="zh-CN"/>
        </w:rPr>
        <w:t>项目运营后产生的固体废物主要有为危险固废和一般固废。</w:t>
      </w:r>
    </w:p>
    <w:p w14:paraId="6ACAD863">
      <w:pPr>
        <w:pStyle w:val="6"/>
        <w:bidi w:val="0"/>
        <w:rPr>
          <w:rFonts w:hint="default"/>
          <w:lang w:val="en-US" w:eastAsia="zh-CN"/>
        </w:rPr>
      </w:pPr>
      <w:r>
        <w:rPr>
          <w:rFonts w:hint="eastAsia"/>
          <w:lang w:val="en-US" w:eastAsia="zh-CN"/>
        </w:rPr>
        <w:t>5.3.4.1</w:t>
      </w:r>
      <w:r>
        <w:rPr>
          <w:rFonts w:hint="default"/>
          <w:lang w:val="en-US" w:eastAsia="zh-CN"/>
        </w:rPr>
        <w:t>危险固废</w:t>
      </w:r>
    </w:p>
    <w:p w14:paraId="6D032601">
      <w:pPr>
        <w:bidi w:val="0"/>
        <w:rPr>
          <w:rFonts w:hint="eastAsia"/>
          <w:lang w:val="en-US" w:eastAsia="zh-CN"/>
        </w:rPr>
      </w:pPr>
      <w:r>
        <w:rPr>
          <w:rFonts w:hint="default"/>
          <w:lang w:val="en-US" w:eastAsia="zh-CN"/>
        </w:rPr>
        <w:t>本项目运营期产生的主要危险固废为废槽液</w:t>
      </w:r>
      <w:r>
        <w:rPr>
          <w:rFonts w:hint="eastAsia"/>
          <w:lang w:val="en-US" w:eastAsia="zh-CN"/>
        </w:rPr>
        <w:t>（电解脱脂槽）</w:t>
      </w:r>
      <w:r>
        <w:rPr>
          <w:rFonts w:hint="default"/>
          <w:lang w:val="en-US" w:eastAsia="zh-CN"/>
        </w:rPr>
        <w:t>、废吸收</w:t>
      </w:r>
      <w:r>
        <w:rPr>
          <w:rFonts w:hint="eastAsia"/>
          <w:lang w:val="en-US" w:eastAsia="zh-CN"/>
        </w:rPr>
        <w:t>剂（废气净化）</w:t>
      </w:r>
      <w:r>
        <w:rPr>
          <w:rFonts w:hint="default"/>
          <w:lang w:val="en-US" w:eastAsia="zh-CN"/>
        </w:rPr>
        <w:t>、电镀滤（废）渣和污泥、废过滤机滤芯</w:t>
      </w:r>
      <w:r>
        <w:rPr>
          <w:rFonts w:hint="eastAsia"/>
          <w:lang w:val="en-US" w:eastAsia="zh-CN"/>
        </w:rPr>
        <w:t>（槽液过滤）</w:t>
      </w:r>
      <w:r>
        <w:rPr>
          <w:rFonts w:hint="default"/>
          <w:lang w:val="en-US" w:eastAsia="zh-CN"/>
        </w:rPr>
        <w:t>、废交换树脂</w:t>
      </w:r>
      <w:r>
        <w:rPr>
          <w:rFonts w:hint="eastAsia"/>
          <w:lang w:val="en-US" w:eastAsia="zh-CN"/>
        </w:rPr>
        <w:t>（废水净化）</w:t>
      </w:r>
      <w:r>
        <w:rPr>
          <w:rFonts w:hint="default"/>
          <w:lang w:val="en-US" w:eastAsia="zh-CN"/>
        </w:rPr>
        <w:t>。</w:t>
      </w:r>
      <w:r>
        <w:rPr>
          <w:rFonts w:hint="eastAsia"/>
          <w:lang w:val="en-US" w:eastAsia="zh-CN"/>
        </w:rPr>
        <w:t>固体废物具体产生情况如下表所示。</w:t>
      </w:r>
    </w:p>
    <w:p w14:paraId="1CB3E4E4">
      <w:pPr>
        <w:pStyle w:val="72"/>
        <w:jc w:val="center"/>
        <w:rPr>
          <w:rFonts w:hint="eastAsia"/>
          <w:lang w:val="en-US" w:eastAsia="zh-CN"/>
        </w:rPr>
      </w:pPr>
      <w:r>
        <w:rPr>
          <w:rFonts w:hint="eastAsia" w:ascii="黑体" w:hAnsi="黑体" w:eastAsia="黑体" w:cs="黑体"/>
          <w:sz w:val="21"/>
          <w:szCs w:val="21"/>
          <w:lang w:val="en-US" w:eastAsia="zh-CN"/>
        </w:rPr>
        <w:t>表5-14危险废物产排情况一览表</w:t>
      </w:r>
    </w:p>
    <w:tbl>
      <w:tblPr>
        <w:tblStyle w:val="53"/>
        <w:tblW w:w="4997"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081"/>
        <w:gridCol w:w="2323"/>
        <w:gridCol w:w="1704"/>
        <w:gridCol w:w="1934"/>
        <w:gridCol w:w="1475"/>
      </w:tblGrid>
      <w:tr w14:paraId="79AF395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34" w:type="pct"/>
            <w:tcBorders>
              <w:tl2br w:val="nil"/>
              <w:tr2bl w:val="nil"/>
            </w:tcBorders>
            <w:vAlign w:val="center"/>
          </w:tcPr>
          <w:p w14:paraId="72D3CA41">
            <w:pPr>
              <w:pStyle w:val="72"/>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序号</w:t>
            </w:r>
          </w:p>
        </w:tc>
        <w:tc>
          <w:tcPr>
            <w:tcW w:w="1363" w:type="pct"/>
            <w:tcBorders>
              <w:tl2br w:val="nil"/>
              <w:tr2bl w:val="nil"/>
            </w:tcBorders>
            <w:vAlign w:val="center"/>
          </w:tcPr>
          <w:p w14:paraId="2685ADCC">
            <w:pPr>
              <w:pStyle w:val="72"/>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固体废物名称</w:t>
            </w:r>
          </w:p>
        </w:tc>
        <w:tc>
          <w:tcPr>
            <w:tcW w:w="1000" w:type="pct"/>
            <w:tcBorders>
              <w:tl2br w:val="nil"/>
              <w:tr2bl w:val="nil"/>
            </w:tcBorders>
            <w:vAlign w:val="center"/>
          </w:tcPr>
          <w:p w14:paraId="19048DA7">
            <w:pPr>
              <w:pStyle w:val="72"/>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固体废物属性</w:t>
            </w:r>
          </w:p>
        </w:tc>
        <w:tc>
          <w:tcPr>
            <w:tcW w:w="1135" w:type="pct"/>
            <w:tcBorders>
              <w:tl2br w:val="nil"/>
              <w:tr2bl w:val="nil"/>
            </w:tcBorders>
            <w:vAlign w:val="center"/>
          </w:tcPr>
          <w:p w14:paraId="16B50A21">
            <w:pPr>
              <w:pStyle w:val="72"/>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产生量</w:t>
            </w:r>
          </w:p>
        </w:tc>
        <w:tc>
          <w:tcPr>
            <w:tcW w:w="865" w:type="pct"/>
            <w:tcBorders>
              <w:tl2br w:val="nil"/>
              <w:tr2bl w:val="nil"/>
            </w:tcBorders>
            <w:vAlign w:val="center"/>
          </w:tcPr>
          <w:p w14:paraId="53CBFF11">
            <w:pPr>
              <w:pStyle w:val="72"/>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处置去向</w:t>
            </w:r>
          </w:p>
        </w:tc>
      </w:tr>
      <w:tr w14:paraId="43614BE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34" w:type="pct"/>
            <w:tcBorders>
              <w:tl2br w:val="nil"/>
              <w:tr2bl w:val="nil"/>
            </w:tcBorders>
            <w:vAlign w:val="center"/>
          </w:tcPr>
          <w:p w14:paraId="708BC6D9">
            <w:pPr>
              <w:pStyle w:val="72"/>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w:t>
            </w:r>
          </w:p>
        </w:tc>
        <w:tc>
          <w:tcPr>
            <w:tcW w:w="1363" w:type="pct"/>
            <w:tcBorders>
              <w:tl2br w:val="nil"/>
              <w:tr2bl w:val="nil"/>
            </w:tcBorders>
            <w:vAlign w:val="center"/>
          </w:tcPr>
          <w:p w14:paraId="21D408BB">
            <w:pPr>
              <w:pStyle w:val="72"/>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lang w:val="en-US" w:eastAsia="zh-CN"/>
              </w:rPr>
              <w:t>废槽液</w:t>
            </w:r>
          </w:p>
        </w:tc>
        <w:tc>
          <w:tcPr>
            <w:tcW w:w="1000" w:type="pct"/>
            <w:tcBorders>
              <w:tl2br w:val="nil"/>
              <w:tr2bl w:val="nil"/>
            </w:tcBorders>
            <w:vAlign w:val="center"/>
          </w:tcPr>
          <w:p w14:paraId="0A16E791">
            <w:pPr>
              <w:pStyle w:val="72"/>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 xml:space="preserve">HW17 </w:t>
            </w:r>
            <w:r>
              <w:rPr>
                <w:rFonts w:hint="eastAsia" w:ascii="宋体" w:hAnsi="宋体" w:eastAsia="宋体" w:cs="宋体"/>
                <w:color w:val="000000"/>
                <w:kern w:val="0"/>
                <w:sz w:val="21"/>
                <w:szCs w:val="21"/>
                <w:lang w:val="en-US" w:eastAsia="zh-CN" w:bidi="ar"/>
              </w:rPr>
              <w:t>346-063-17</w:t>
            </w:r>
          </w:p>
        </w:tc>
        <w:tc>
          <w:tcPr>
            <w:tcW w:w="1135" w:type="pct"/>
            <w:tcBorders>
              <w:tl2br w:val="nil"/>
              <w:tr2bl w:val="nil"/>
            </w:tcBorders>
            <w:vAlign w:val="center"/>
          </w:tcPr>
          <w:p w14:paraId="3D8590EC">
            <w:pPr>
              <w:pStyle w:val="72"/>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w:t>
            </w:r>
            <w:r>
              <w:rPr>
                <w:rFonts w:hint="eastAsia" w:ascii="宋体" w:hAnsi="宋体" w:eastAsia="宋体" w:cs="宋体"/>
                <w:sz w:val="21"/>
                <w:szCs w:val="21"/>
                <w:highlight w:val="none"/>
                <w:lang w:val="en-US" w:eastAsia="zh-CN"/>
              </w:rPr>
              <w:t>t/a</w:t>
            </w:r>
          </w:p>
        </w:tc>
        <w:tc>
          <w:tcPr>
            <w:tcW w:w="865" w:type="pct"/>
            <w:vMerge w:val="restart"/>
            <w:tcBorders>
              <w:tl2br w:val="nil"/>
              <w:tr2bl w:val="nil"/>
            </w:tcBorders>
            <w:vAlign w:val="center"/>
          </w:tcPr>
          <w:p w14:paraId="0D7B3232">
            <w:pPr>
              <w:pStyle w:val="72"/>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危废间分区暂存后交由资质单位处置</w:t>
            </w:r>
          </w:p>
        </w:tc>
      </w:tr>
      <w:tr w14:paraId="227E737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34" w:type="pct"/>
            <w:tcBorders>
              <w:tl2br w:val="nil"/>
              <w:tr2bl w:val="nil"/>
            </w:tcBorders>
            <w:vAlign w:val="center"/>
          </w:tcPr>
          <w:p w14:paraId="5A3D8DA8">
            <w:pPr>
              <w:pStyle w:val="72"/>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w:t>
            </w:r>
          </w:p>
        </w:tc>
        <w:tc>
          <w:tcPr>
            <w:tcW w:w="1363" w:type="pct"/>
            <w:tcBorders>
              <w:tl2br w:val="nil"/>
              <w:tr2bl w:val="nil"/>
            </w:tcBorders>
            <w:vAlign w:val="center"/>
          </w:tcPr>
          <w:p w14:paraId="14592390">
            <w:pPr>
              <w:pStyle w:val="72"/>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lang w:val="en-US" w:eastAsia="zh-CN"/>
              </w:rPr>
              <w:t>废吸收剂</w:t>
            </w:r>
          </w:p>
        </w:tc>
        <w:tc>
          <w:tcPr>
            <w:tcW w:w="1000" w:type="pct"/>
            <w:tcBorders>
              <w:tl2br w:val="nil"/>
              <w:tr2bl w:val="nil"/>
            </w:tcBorders>
            <w:vAlign w:val="center"/>
          </w:tcPr>
          <w:p w14:paraId="4DFA6779">
            <w:pPr>
              <w:pStyle w:val="72"/>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 xml:space="preserve">HW17 </w:t>
            </w:r>
            <w:r>
              <w:rPr>
                <w:rFonts w:hint="eastAsia" w:ascii="宋体" w:hAnsi="宋体" w:eastAsia="宋体" w:cs="宋体"/>
                <w:color w:val="000000"/>
                <w:kern w:val="0"/>
                <w:sz w:val="21"/>
                <w:szCs w:val="21"/>
                <w:lang w:val="en-US" w:eastAsia="zh-CN" w:bidi="ar"/>
              </w:rPr>
              <w:t>346-063-17</w:t>
            </w:r>
          </w:p>
        </w:tc>
        <w:tc>
          <w:tcPr>
            <w:tcW w:w="1135" w:type="pct"/>
            <w:tcBorders>
              <w:tl2br w:val="nil"/>
              <w:tr2bl w:val="nil"/>
            </w:tcBorders>
            <w:vAlign w:val="center"/>
          </w:tcPr>
          <w:p w14:paraId="3E7427EE">
            <w:pPr>
              <w:pStyle w:val="72"/>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0.1</w:t>
            </w:r>
            <w:r>
              <w:rPr>
                <w:rFonts w:hint="eastAsia" w:ascii="宋体" w:hAnsi="宋体" w:eastAsia="宋体" w:cs="宋体"/>
                <w:sz w:val="21"/>
                <w:szCs w:val="21"/>
                <w:highlight w:val="none"/>
                <w:lang w:val="en-US" w:eastAsia="zh-CN"/>
              </w:rPr>
              <w:t>t/a</w:t>
            </w:r>
          </w:p>
        </w:tc>
        <w:tc>
          <w:tcPr>
            <w:tcW w:w="865" w:type="pct"/>
            <w:vMerge w:val="continue"/>
            <w:tcBorders>
              <w:tl2br w:val="nil"/>
              <w:tr2bl w:val="nil"/>
            </w:tcBorders>
            <w:vAlign w:val="center"/>
          </w:tcPr>
          <w:p w14:paraId="0AD6ADB2">
            <w:pPr>
              <w:pStyle w:val="72"/>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p>
        </w:tc>
      </w:tr>
      <w:tr w14:paraId="0836AF6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34" w:type="pct"/>
            <w:tcBorders>
              <w:tl2br w:val="nil"/>
              <w:tr2bl w:val="nil"/>
            </w:tcBorders>
            <w:vAlign w:val="center"/>
          </w:tcPr>
          <w:p w14:paraId="6958A1A1">
            <w:pPr>
              <w:pStyle w:val="72"/>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3</w:t>
            </w:r>
          </w:p>
        </w:tc>
        <w:tc>
          <w:tcPr>
            <w:tcW w:w="1363" w:type="pct"/>
            <w:tcBorders>
              <w:tl2br w:val="nil"/>
              <w:tr2bl w:val="nil"/>
            </w:tcBorders>
            <w:vAlign w:val="center"/>
          </w:tcPr>
          <w:p w14:paraId="251D79B4">
            <w:pPr>
              <w:pStyle w:val="72"/>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lang w:val="en-US" w:eastAsia="zh-CN"/>
              </w:rPr>
              <w:t>电镀滤（废）渣和污泥</w:t>
            </w:r>
          </w:p>
        </w:tc>
        <w:tc>
          <w:tcPr>
            <w:tcW w:w="1000" w:type="pct"/>
            <w:tcBorders>
              <w:tl2br w:val="nil"/>
              <w:tr2bl w:val="nil"/>
            </w:tcBorders>
            <w:vAlign w:val="center"/>
          </w:tcPr>
          <w:p w14:paraId="5F9FC9F6">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 xml:space="preserve">HW17 </w:t>
            </w:r>
            <w:r>
              <w:rPr>
                <w:rFonts w:hint="eastAsia" w:ascii="宋体" w:hAnsi="宋体" w:eastAsia="宋体" w:cs="宋体"/>
                <w:color w:val="000000"/>
                <w:kern w:val="0"/>
                <w:sz w:val="21"/>
                <w:szCs w:val="21"/>
                <w:lang w:val="en-US" w:eastAsia="zh-CN" w:bidi="ar"/>
              </w:rPr>
              <w:t>346-063-17</w:t>
            </w:r>
          </w:p>
        </w:tc>
        <w:tc>
          <w:tcPr>
            <w:tcW w:w="1135" w:type="pct"/>
            <w:tcBorders>
              <w:tl2br w:val="nil"/>
              <w:tr2bl w:val="nil"/>
            </w:tcBorders>
            <w:vAlign w:val="center"/>
          </w:tcPr>
          <w:p w14:paraId="4ED7D518">
            <w:pPr>
              <w:pStyle w:val="72"/>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0.74kg/a</w:t>
            </w:r>
          </w:p>
        </w:tc>
        <w:tc>
          <w:tcPr>
            <w:tcW w:w="865" w:type="pct"/>
            <w:vMerge w:val="continue"/>
            <w:tcBorders>
              <w:tl2br w:val="nil"/>
              <w:tr2bl w:val="nil"/>
            </w:tcBorders>
            <w:vAlign w:val="center"/>
          </w:tcPr>
          <w:p w14:paraId="4F55285B">
            <w:pPr>
              <w:pStyle w:val="72"/>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p>
        </w:tc>
      </w:tr>
      <w:tr w14:paraId="2A3F3B2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34" w:type="pct"/>
            <w:tcBorders>
              <w:tl2br w:val="nil"/>
              <w:tr2bl w:val="nil"/>
            </w:tcBorders>
            <w:vAlign w:val="center"/>
          </w:tcPr>
          <w:p w14:paraId="2F03CB9E">
            <w:pPr>
              <w:pStyle w:val="72"/>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4</w:t>
            </w:r>
          </w:p>
        </w:tc>
        <w:tc>
          <w:tcPr>
            <w:tcW w:w="1363" w:type="pct"/>
            <w:tcBorders>
              <w:tl2br w:val="nil"/>
              <w:tr2bl w:val="nil"/>
            </w:tcBorders>
            <w:vAlign w:val="center"/>
          </w:tcPr>
          <w:p w14:paraId="6FD258E2">
            <w:pPr>
              <w:pStyle w:val="72"/>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废过滤机滤芯</w:t>
            </w:r>
          </w:p>
        </w:tc>
        <w:tc>
          <w:tcPr>
            <w:tcW w:w="1000" w:type="pct"/>
            <w:tcBorders>
              <w:tl2br w:val="nil"/>
              <w:tr2bl w:val="nil"/>
            </w:tcBorders>
            <w:vAlign w:val="center"/>
          </w:tcPr>
          <w:p w14:paraId="5194A980">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 xml:space="preserve">HW17 </w:t>
            </w:r>
            <w:r>
              <w:rPr>
                <w:rFonts w:hint="eastAsia" w:ascii="宋体" w:hAnsi="宋体" w:eastAsia="宋体" w:cs="宋体"/>
                <w:color w:val="000000"/>
                <w:kern w:val="0"/>
                <w:sz w:val="21"/>
                <w:szCs w:val="21"/>
                <w:lang w:val="en-US" w:eastAsia="zh-CN" w:bidi="ar"/>
              </w:rPr>
              <w:t>346-099-17</w:t>
            </w:r>
          </w:p>
        </w:tc>
        <w:tc>
          <w:tcPr>
            <w:tcW w:w="1135" w:type="pct"/>
            <w:tcBorders>
              <w:tl2br w:val="nil"/>
              <w:tr2bl w:val="nil"/>
            </w:tcBorders>
            <w:vAlign w:val="center"/>
          </w:tcPr>
          <w:p w14:paraId="0B3E5CF0">
            <w:pPr>
              <w:pStyle w:val="72"/>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0.7468kg/a</w:t>
            </w:r>
          </w:p>
        </w:tc>
        <w:tc>
          <w:tcPr>
            <w:tcW w:w="865" w:type="pct"/>
            <w:vMerge w:val="continue"/>
            <w:tcBorders>
              <w:tl2br w:val="nil"/>
              <w:tr2bl w:val="nil"/>
            </w:tcBorders>
            <w:vAlign w:val="center"/>
          </w:tcPr>
          <w:p w14:paraId="7D4BF2A2">
            <w:pPr>
              <w:pStyle w:val="72"/>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p>
        </w:tc>
      </w:tr>
      <w:tr w14:paraId="3CF05F4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34" w:type="pct"/>
            <w:tcBorders>
              <w:tl2br w:val="nil"/>
              <w:tr2bl w:val="nil"/>
            </w:tcBorders>
            <w:vAlign w:val="center"/>
          </w:tcPr>
          <w:p w14:paraId="5901E2F0">
            <w:pPr>
              <w:pStyle w:val="72"/>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5</w:t>
            </w:r>
          </w:p>
        </w:tc>
        <w:tc>
          <w:tcPr>
            <w:tcW w:w="1363" w:type="pct"/>
            <w:tcBorders>
              <w:tl2br w:val="nil"/>
              <w:tr2bl w:val="nil"/>
            </w:tcBorders>
            <w:vAlign w:val="center"/>
          </w:tcPr>
          <w:p w14:paraId="044CE699">
            <w:pPr>
              <w:pStyle w:val="72"/>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废交换树脂</w:t>
            </w:r>
          </w:p>
        </w:tc>
        <w:tc>
          <w:tcPr>
            <w:tcW w:w="1000" w:type="pct"/>
            <w:tcBorders>
              <w:tl2br w:val="nil"/>
              <w:tr2bl w:val="nil"/>
            </w:tcBorders>
            <w:vAlign w:val="center"/>
          </w:tcPr>
          <w:p w14:paraId="4A51D415">
            <w:pPr>
              <w:pStyle w:val="72"/>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HW13 900-015-13</w:t>
            </w:r>
          </w:p>
        </w:tc>
        <w:tc>
          <w:tcPr>
            <w:tcW w:w="1135" w:type="pct"/>
            <w:tcBorders>
              <w:tl2br w:val="nil"/>
              <w:tr2bl w:val="nil"/>
            </w:tcBorders>
            <w:vAlign w:val="center"/>
          </w:tcPr>
          <w:p w14:paraId="398C9752">
            <w:pPr>
              <w:pStyle w:val="72"/>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0.4</w:t>
            </w:r>
            <w:r>
              <w:rPr>
                <w:rFonts w:hint="eastAsia" w:ascii="宋体" w:hAnsi="宋体" w:eastAsia="宋体" w:cs="宋体"/>
                <w:sz w:val="21"/>
                <w:szCs w:val="21"/>
                <w:highlight w:val="none"/>
                <w:lang w:val="en-US" w:eastAsia="zh-CN"/>
              </w:rPr>
              <w:t>t/a</w:t>
            </w:r>
          </w:p>
        </w:tc>
        <w:tc>
          <w:tcPr>
            <w:tcW w:w="865" w:type="pct"/>
            <w:vMerge w:val="continue"/>
            <w:tcBorders>
              <w:tl2br w:val="nil"/>
              <w:tr2bl w:val="nil"/>
            </w:tcBorders>
            <w:vAlign w:val="center"/>
          </w:tcPr>
          <w:p w14:paraId="093CC173">
            <w:pPr>
              <w:pStyle w:val="72"/>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p>
        </w:tc>
      </w:tr>
    </w:tbl>
    <w:p w14:paraId="7893CEAE">
      <w:pPr>
        <w:pStyle w:val="72"/>
        <w:rPr>
          <w:rFonts w:hint="default"/>
          <w:lang w:val="en-US" w:eastAsia="zh-CN"/>
        </w:rPr>
      </w:pPr>
    </w:p>
    <w:p w14:paraId="411DA093">
      <w:pPr>
        <w:pStyle w:val="6"/>
        <w:bidi w:val="0"/>
        <w:rPr>
          <w:rFonts w:hint="default"/>
          <w:lang w:val="en-US" w:eastAsia="zh-CN"/>
        </w:rPr>
      </w:pPr>
      <w:r>
        <w:rPr>
          <w:rFonts w:hint="eastAsia"/>
          <w:lang w:val="en-US" w:eastAsia="zh-CN"/>
        </w:rPr>
        <w:t>5.3.4.2生活垃圾</w:t>
      </w:r>
    </w:p>
    <w:p w14:paraId="0AAB51B5">
      <w:pPr>
        <w:bidi w:val="0"/>
        <w:rPr>
          <w:rFonts w:hint="default"/>
          <w:lang w:val="en-US" w:eastAsia="zh-CN"/>
        </w:rPr>
      </w:pPr>
      <w:r>
        <w:rPr>
          <w:rFonts w:hint="default"/>
          <w:lang w:val="en-US" w:eastAsia="zh-CN"/>
        </w:rPr>
        <w:t>本项目一般固废主要为员工生活垃圾。项目共有员工</w:t>
      </w:r>
      <w:r>
        <w:rPr>
          <w:rFonts w:hint="eastAsia"/>
          <w:lang w:val="en-US" w:eastAsia="zh-CN"/>
        </w:rPr>
        <w:t>10</w:t>
      </w:r>
      <w:r>
        <w:rPr>
          <w:rFonts w:hint="default"/>
          <w:lang w:val="en-US" w:eastAsia="zh-CN"/>
        </w:rPr>
        <w:t>人，按每人每天产生0.5kg生活垃圾、年工作天数300天计算，项目年生活垃圾产生量为</w:t>
      </w:r>
      <w:r>
        <w:rPr>
          <w:rFonts w:hint="eastAsia"/>
          <w:lang w:val="en-US" w:eastAsia="zh-CN"/>
        </w:rPr>
        <w:t>1.5</w:t>
      </w:r>
      <w:r>
        <w:rPr>
          <w:rFonts w:hint="default"/>
          <w:lang w:val="en-US" w:eastAsia="zh-CN"/>
        </w:rPr>
        <w:t>t。项目生活垃圾由统一收集后交环卫部门处理。</w:t>
      </w:r>
    </w:p>
    <w:p w14:paraId="75B75985">
      <w:pPr>
        <w:pStyle w:val="3"/>
        <w:bidi w:val="0"/>
        <w:rPr>
          <w:rFonts w:hint="default"/>
          <w:lang w:val="en-US" w:eastAsia="zh-CN"/>
        </w:rPr>
      </w:pPr>
      <w:bookmarkStart w:id="349" w:name="_Toc2125"/>
      <w:r>
        <w:rPr>
          <w:rFonts w:hint="eastAsia"/>
          <w:lang w:val="en-US" w:eastAsia="zh-CN"/>
        </w:rPr>
        <w:t>5.4项目污染物排放量统计汇总</w:t>
      </w:r>
      <w:bookmarkEnd w:id="349"/>
    </w:p>
    <w:p w14:paraId="31802017">
      <w:pPr>
        <w:bidi w:val="0"/>
        <w:rPr>
          <w:rFonts w:hint="eastAsia"/>
          <w:lang w:val="en-US" w:eastAsia="zh-CN"/>
        </w:rPr>
      </w:pPr>
      <w:r>
        <w:rPr>
          <w:rFonts w:hint="eastAsia"/>
          <w:lang w:val="en-US" w:eastAsia="zh-CN"/>
        </w:rPr>
        <w:t>本项目运营后污染物排放量统计汇总如下表所示。</w:t>
      </w:r>
    </w:p>
    <w:p w14:paraId="42F3F535">
      <w:pPr>
        <w:bidi w:val="0"/>
        <w:ind w:left="0" w:leftChars="0" w:firstLine="0" w:firstLineChars="0"/>
        <w:jc w:val="center"/>
        <w:rPr>
          <w:rFonts w:hint="eastAsia" w:ascii="黑体" w:hAnsi="黑体" w:eastAsia="黑体" w:cs="黑体"/>
          <w:sz w:val="21"/>
          <w:szCs w:val="21"/>
          <w:lang w:val="en-US" w:eastAsia="zh-CN"/>
        </w:rPr>
      </w:pPr>
    </w:p>
    <w:p w14:paraId="15CD2900">
      <w:pPr>
        <w:bidi w:val="0"/>
        <w:ind w:left="0" w:leftChars="0" w:firstLine="0" w:firstLineChars="0"/>
        <w:jc w:val="center"/>
        <w:rPr>
          <w:rFonts w:hint="eastAsia" w:ascii="黑体" w:hAnsi="黑体" w:eastAsia="黑体" w:cs="黑体"/>
          <w:sz w:val="21"/>
          <w:szCs w:val="21"/>
          <w:lang w:val="en-US" w:eastAsia="zh-CN"/>
        </w:rPr>
      </w:pPr>
    </w:p>
    <w:p w14:paraId="0282A486">
      <w:pPr>
        <w:bidi w:val="0"/>
        <w:ind w:left="0" w:leftChars="0" w:firstLine="0" w:firstLineChars="0"/>
        <w:jc w:val="center"/>
        <w:rPr>
          <w:rFonts w:hint="eastAsia" w:ascii="黑体" w:hAnsi="黑体" w:eastAsia="黑体" w:cs="黑体"/>
          <w:sz w:val="21"/>
          <w:szCs w:val="21"/>
          <w:lang w:val="en-US" w:eastAsia="zh-CN"/>
        </w:rPr>
      </w:pPr>
    </w:p>
    <w:p w14:paraId="35DCA931">
      <w:pPr>
        <w:bidi w:val="0"/>
        <w:ind w:left="0" w:leftChars="0" w:firstLine="0" w:firstLineChars="0"/>
        <w:jc w:val="center"/>
        <w:rPr>
          <w:rFonts w:hint="eastAsia" w:ascii="黑体" w:hAnsi="黑体" w:eastAsia="黑体" w:cs="黑体"/>
          <w:sz w:val="21"/>
          <w:szCs w:val="21"/>
          <w:lang w:val="en-US" w:eastAsia="zh-CN"/>
        </w:rPr>
      </w:pPr>
    </w:p>
    <w:p w14:paraId="5145F638">
      <w:pPr>
        <w:bidi w:val="0"/>
        <w:ind w:left="0" w:leftChars="0" w:firstLine="0" w:firstLineChars="0"/>
        <w:jc w:val="center"/>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表5-15项目污染物产生和排放情况一览表</w:t>
      </w:r>
    </w:p>
    <w:tbl>
      <w:tblPr>
        <w:tblStyle w:val="53"/>
        <w:tblW w:w="0" w:type="auto"/>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710"/>
        <w:gridCol w:w="709"/>
        <w:gridCol w:w="1604"/>
        <w:gridCol w:w="1234"/>
        <w:gridCol w:w="1420"/>
        <w:gridCol w:w="1420"/>
        <w:gridCol w:w="1420"/>
      </w:tblGrid>
      <w:tr w14:paraId="550820E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023" w:type="dxa"/>
            <w:gridSpan w:val="3"/>
            <w:tcBorders>
              <w:tl2br w:val="nil"/>
              <w:tr2bl w:val="nil"/>
            </w:tcBorders>
            <w:vAlign w:val="center"/>
          </w:tcPr>
          <w:p w14:paraId="1C1CCBCB">
            <w:pPr>
              <w:pStyle w:val="72"/>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污染物名称</w:t>
            </w:r>
          </w:p>
        </w:tc>
        <w:tc>
          <w:tcPr>
            <w:tcW w:w="1234" w:type="dxa"/>
            <w:tcBorders>
              <w:tl2br w:val="nil"/>
              <w:tr2bl w:val="nil"/>
            </w:tcBorders>
            <w:vAlign w:val="center"/>
          </w:tcPr>
          <w:p w14:paraId="43AB1007">
            <w:pPr>
              <w:pStyle w:val="72"/>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单位</w:t>
            </w:r>
          </w:p>
        </w:tc>
        <w:tc>
          <w:tcPr>
            <w:tcW w:w="1420" w:type="dxa"/>
            <w:tcBorders>
              <w:tl2br w:val="nil"/>
              <w:tr2bl w:val="nil"/>
            </w:tcBorders>
            <w:vAlign w:val="center"/>
          </w:tcPr>
          <w:p w14:paraId="20240619">
            <w:pPr>
              <w:pStyle w:val="72"/>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产生量</w:t>
            </w:r>
          </w:p>
        </w:tc>
        <w:tc>
          <w:tcPr>
            <w:tcW w:w="1420" w:type="dxa"/>
            <w:tcBorders>
              <w:tl2br w:val="nil"/>
              <w:tr2bl w:val="nil"/>
            </w:tcBorders>
            <w:vAlign w:val="center"/>
          </w:tcPr>
          <w:p w14:paraId="5C8D740A">
            <w:pPr>
              <w:pStyle w:val="72"/>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排放量</w:t>
            </w:r>
          </w:p>
        </w:tc>
        <w:tc>
          <w:tcPr>
            <w:tcW w:w="1420" w:type="dxa"/>
            <w:tcBorders>
              <w:tl2br w:val="nil"/>
              <w:tr2bl w:val="nil"/>
            </w:tcBorders>
            <w:vAlign w:val="center"/>
          </w:tcPr>
          <w:p w14:paraId="00E626E8">
            <w:pPr>
              <w:pStyle w:val="72"/>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处理消减量</w:t>
            </w:r>
          </w:p>
        </w:tc>
      </w:tr>
      <w:tr w14:paraId="60F9774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419" w:type="dxa"/>
            <w:gridSpan w:val="2"/>
            <w:tcBorders>
              <w:tl2br w:val="nil"/>
              <w:tr2bl w:val="nil"/>
            </w:tcBorders>
            <w:vAlign w:val="center"/>
          </w:tcPr>
          <w:p w14:paraId="1C6974B9">
            <w:pPr>
              <w:pStyle w:val="72"/>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有组织排放废气</w:t>
            </w:r>
          </w:p>
        </w:tc>
        <w:tc>
          <w:tcPr>
            <w:tcW w:w="1604" w:type="dxa"/>
            <w:tcBorders>
              <w:tl2br w:val="nil"/>
              <w:tr2bl w:val="nil"/>
            </w:tcBorders>
            <w:vAlign w:val="center"/>
          </w:tcPr>
          <w:p w14:paraId="5A9CF977">
            <w:pPr>
              <w:pStyle w:val="72"/>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甲基磺酸雾</w:t>
            </w:r>
          </w:p>
        </w:tc>
        <w:tc>
          <w:tcPr>
            <w:tcW w:w="1234" w:type="dxa"/>
            <w:tcBorders>
              <w:tl2br w:val="nil"/>
              <w:tr2bl w:val="nil"/>
            </w:tcBorders>
            <w:vAlign w:val="center"/>
          </w:tcPr>
          <w:p w14:paraId="4C10E959">
            <w:pPr>
              <w:pStyle w:val="72"/>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kg/a</w:t>
            </w:r>
          </w:p>
        </w:tc>
        <w:tc>
          <w:tcPr>
            <w:tcW w:w="1420" w:type="dxa"/>
            <w:tcBorders>
              <w:tl2br w:val="nil"/>
              <w:tr2bl w:val="nil"/>
            </w:tcBorders>
            <w:vAlign w:val="center"/>
          </w:tcPr>
          <w:p w14:paraId="5423F9F3">
            <w:pPr>
              <w:pStyle w:val="72"/>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7.3</w:t>
            </w:r>
          </w:p>
        </w:tc>
        <w:tc>
          <w:tcPr>
            <w:tcW w:w="1420" w:type="dxa"/>
            <w:tcBorders>
              <w:tl2br w:val="nil"/>
              <w:tr2bl w:val="nil"/>
            </w:tcBorders>
            <w:vAlign w:val="center"/>
          </w:tcPr>
          <w:p w14:paraId="3C223D0E">
            <w:pPr>
              <w:pStyle w:val="72"/>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0.329</w:t>
            </w:r>
          </w:p>
        </w:tc>
        <w:tc>
          <w:tcPr>
            <w:tcW w:w="1420" w:type="dxa"/>
            <w:tcBorders>
              <w:tl2br w:val="nil"/>
              <w:tr2bl w:val="nil"/>
            </w:tcBorders>
            <w:vAlign w:val="center"/>
          </w:tcPr>
          <w:p w14:paraId="3CF239C8">
            <w:pPr>
              <w:pStyle w:val="72"/>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6.971</w:t>
            </w:r>
          </w:p>
        </w:tc>
      </w:tr>
      <w:tr w14:paraId="75027F9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419" w:type="dxa"/>
            <w:gridSpan w:val="2"/>
            <w:tcBorders>
              <w:tl2br w:val="nil"/>
              <w:tr2bl w:val="nil"/>
            </w:tcBorders>
            <w:vAlign w:val="center"/>
          </w:tcPr>
          <w:p w14:paraId="0CCA1C26">
            <w:pPr>
              <w:pStyle w:val="72"/>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无组织废气</w:t>
            </w:r>
          </w:p>
        </w:tc>
        <w:tc>
          <w:tcPr>
            <w:tcW w:w="1604" w:type="dxa"/>
            <w:tcBorders>
              <w:tl2br w:val="nil"/>
              <w:tr2bl w:val="nil"/>
            </w:tcBorders>
            <w:vAlign w:val="center"/>
          </w:tcPr>
          <w:p w14:paraId="2A929868">
            <w:pPr>
              <w:pStyle w:val="72"/>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甲基磺酸雾</w:t>
            </w:r>
          </w:p>
        </w:tc>
        <w:tc>
          <w:tcPr>
            <w:tcW w:w="1234" w:type="dxa"/>
            <w:tcBorders>
              <w:tl2br w:val="nil"/>
              <w:tr2bl w:val="nil"/>
            </w:tcBorders>
            <w:vAlign w:val="center"/>
          </w:tcPr>
          <w:p w14:paraId="0DE3956D">
            <w:pPr>
              <w:pStyle w:val="72"/>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kg/a</w:t>
            </w:r>
          </w:p>
        </w:tc>
        <w:tc>
          <w:tcPr>
            <w:tcW w:w="1420" w:type="dxa"/>
            <w:tcBorders>
              <w:tl2br w:val="nil"/>
              <w:tr2bl w:val="nil"/>
            </w:tcBorders>
            <w:vAlign w:val="center"/>
          </w:tcPr>
          <w:p w14:paraId="65A2101E">
            <w:pPr>
              <w:pStyle w:val="72"/>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kern w:val="2"/>
                <w:sz w:val="21"/>
                <w:szCs w:val="21"/>
                <w:highlight w:val="none"/>
                <w:vertAlign w:val="baseline"/>
                <w:lang w:val="en-US" w:eastAsia="zh-CN" w:bidi="ar-SA"/>
              </w:rPr>
              <w:t>0.73</w:t>
            </w:r>
          </w:p>
        </w:tc>
        <w:tc>
          <w:tcPr>
            <w:tcW w:w="1420" w:type="dxa"/>
            <w:tcBorders>
              <w:tl2br w:val="nil"/>
              <w:tr2bl w:val="nil"/>
            </w:tcBorders>
            <w:vAlign w:val="center"/>
          </w:tcPr>
          <w:p w14:paraId="4A7C8CAB">
            <w:pPr>
              <w:pStyle w:val="72"/>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kern w:val="2"/>
                <w:sz w:val="21"/>
                <w:szCs w:val="21"/>
                <w:highlight w:val="none"/>
                <w:vertAlign w:val="baseline"/>
                <w:lang w:val="en-US" w:eastAsia="zh-CN" w:bidi="ar-SA"/>
              </w:rPr>
              <w:t>0.73</w:t>
            </w:r>
          </w:p>
        </w:tc>
        <w:tc>
          <w:tcPr>
            <w:tcW w:w="1420" w:type="dxa"/>
            <w:tcBorders>
              <w:tl2br w:val="nil"/>
              <w:tr2bl w:val="nil"/>
            </w:tcBorders>
            <w:vAlign w:val="center"/>
          </w:tcPr>
          <w:p w14:paraId="44622B4D">
            <w:pPr>
              <w:pStyle w:val="72"/>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0</w:t>
            </w:r>
          </w:p>
        </w:tc>
      </w:tr>
      <w:tr w14:paraId="75140AE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419" w:type="dxa"/>
            <w:gridSpan w:val="2"/>
            <w:tcBorders>
              <w:tl2br w:val="nil"/>
              <w:tr2bl w:val="nil"/>
            </w:tcBorders>
            <w:vAlign w:val="center"/>
          </w:tcPr>
          <w:p w14:paraId="57C1902C">
            <w:pPr>
              <w:pStyle w:val="72"/>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废水</w:t>
            </w:r>
          </w:p>
        </w:tc>
        <w:tc>
          <w:tcPr>
            <w:tcW w:w="1604" w:type="dxa"/>
            <w:tcBorders>
              <w:tl2br w:val="nil"/>
              <w:tr2bl w:val="nil"/>
            </w:tcBorders>
            <w:vAlign w:val="center"/>
          </w:tcPr>
          <w:p w14:paraId="5454E2AA">
            <w:pPr>
              <w:pStyle w:val="72"/>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废水量</w:t>
            </w:r>
          </w:p>
        </w:tc>
        <w:tc>
          <w:tcPr>
            <w:tcW w:w="1234" w:type="dxa"/>
            <w:tcBorders>
              <w:tl2br w:val="nil"/>
              <w:tr2bl w:val="nil"/>
            </w:tcBorders>
            <w:vAlign w:val="center"/>
          </w:tcPr>
          <w:p w14:paraId="19F6353A">
            <w:pPr>
              <w:pStyle w:val="72"/>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t/a</w:t>
            </w:r>
          </w:p>
        </w:tc>
        <w:tc>
          <w:tcPr>
            <w:tcW w:w="1420" w:type="dxa"/>
            <w:tcBorders>
              <w:tl2br w:val="nil"/>
              <w:tr2bl w:val="nil"/>
            </w:tcBorders>
            <w:vAlign w:val="center"/>
          </w:tcPr>
          <w:p w14:paraId="23BAE01F">
            <w:pPr>
              <w:pStyle w:val="72"/>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993</w:t>
            </w:r>
          </w:p>
        </w:tc>
        <w:tc>
          <w:tcPr>
            <w:tcW w:w="1420" w:type="dxa"/>
            <w:tcBorders>
              <w:tl2br w:val="nil"/>
              <w:tr2bl w:val="nil"/>
            </w:tcBorders>
            <w:vAlign w:val="center"/>
          </w:tcPr>
          <w:p w14:paraId="04E4B337">
            <w:pPr>
              <w:pStyle w:val="72"/>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0</w:t>
            </w:r>
          </w:p>
        </w:tc>
        <w:tc>
          <w:tcPr>
            <w:tcW w:w="1420" w:type="dxa"/>
            <w:tcBorders>
              <w:tl2br w:val="nil"/>
              <w:tr2bl w:val="nil"/>
            </w:tcBorders>
            <w:vAlign w:val="center"/>
          </w:tcPr>
          <w:p w14:paraId="68EAC9D4">
            <w:pPr>
              <w:pStyle w:val="72"/>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993</w:t>
            </w:r>
          </w:p>
        </w:tc>
      </w:tr>
      <w:tr w14:paraId="5FAB3AE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10" w:type="dxa"/>
            <w:vMerge w:val="restart"/>
            <w:tcBorders>
              <w:tl2br w:val="nil"/>
              <w:tr2bl w:val="nil"/>
            </w:tcBorders>
            <w:vAlign w:val="center"/>
          </w:tcPr>
          <w:p w14:paraId="360DD039">
            <w:pPr>
              <w:pStyle w:val="72"/>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固废</w:t>
            </w:r>
          </w:p>
        </w:tc>
        <w:tc>
          <w:tcPr>
            <w:tcW w:w="709" w:type="dxa"/>
            <w:vMerge w:val="restart"/>
            <w:tcBorders>
              <w:tl2br w:val="nil"/>
              <w:tr2bl w:val="nil"/>
            </w:tcBorders>
            <w:vAlign w:val="center"/>
          </w:tcPr>
          <w:p w14:paraId="1D654F4F">
            <w:pPr>
              <w:pStyle w:val="72"/>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危险废物</w:t>
            </w:r>
          </w:p>
        </w:tc>
        <w:tc>
          <w:tcPr>
            <w:tcW w:w="1604" w:type="dxa"/>
            <w:tcBorders>
              <w:tl2br w:val="nil"/>
              <w:tr2bl w:val="nil"/>
            </w:tcBorders>
            <w:vAlign w:val="center"/>
          </w:tcPr>
          <w:p w14:paraId="34CAEF3B">
            <w:pPr>
              <w:pStyle w:val="72"/>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lang w:val="en-US" w:eastAsia="zh-CN"/>
              </w:rPr>
              <w:t>废槽液</w:t>
            </w:r>
          </w:p>
        </w:tc>
        <w:tc>
          <w:tcPr>
            <w:tcW w:w="1234" w:type="dxa"/>
            <w:tcBorders>
              <w:tl2br w:val="nil"/>
              <w:tr2bl w:val="nil"/>
            </w:tcBorders>
            <w:vAlign w:val="center"/>
          </w:tcPr>
          <w:p w14:paraId="49331402">
            <w:pPr>
              <w:pStyle w:val="72"/>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lang w:val="en-US" w:eastAsia="zh-CN"/>
              </w:rPr>
              <w:t>t/a</w:t>
            </w:r>
          </w:p>
        </w:tc>
        <w:tc>
          <w:tcPr>
            <w:tcW w:w="1420" w:type="dxa"/>
            <w:tcBorders>
              <w:tl2br w:val="nil"/>
              <w:tr2bl w:val="nil"/>
            </w:tcBorders>
            <w:vAlign w:val="center"/>
          </w:tcPr>
          <w:p w14:paraId="49296263">
            <w:pPr>
              <w:pStyle w:val="72"/>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2</w:t>
            </w:r>
          </w:p>
        </w:tc>
        <w:tc>
          <w:tcPr>
            <w:tcW w:w="1420" w:type="dxa"/>
            <w:tcBorders>
              <w:tl2br w:val="nil"/>
              <w:tr2bl w:val="nil"/>
            </w:tcBorders>
            <w:vAlign w:val="center"/>
          </w:tcPr>
          <w:p w14:paraId="0E71D2E8">
            <w:pPr>
              <w:pStyle w:val="72"/>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0</w:t>
            </w:r>
          </w:p>
        </w:tc>
        <w:tc>
          <w:tcPr>
            <w:tcW w:w="1420" w:type="dxa"/>
            <w:tcBorders>
              <w:tl2br w:val="nil"/>
              <w:tr2bl w:val="nil"/>
            </w:tcBorders>
            <w:vAlign w:val="center"/>
          </w:tcPr>
          <w:p w14:paraId="4AA62E32">
            <w:pPr>
              <w:pStyle w:val="72"/>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2</w:t>
            </w:r>
          </w:p>
        </w:tc>
      </w:tr>
      <w:tr w14:paraId="691FDB7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10" w:type="dxa"/>
            <w:vMerge w:val="continue"/>
            <w:tcBorders>
              <w:tl2br w:val="nil"/>
              <w:tr2bl w:val="nil"/>
            </w:tcBorders>
            <w:vAlign w:val="center"/>
          </w:tcPr>
          <w:p w14:paraId="777EC8B1">
            <w:pPr>
              <w:pStyle w:val="72"/>
              <w:jc w:val="center"/>
              <w:rPr>
                <w:rFonts w:hint="eastAsia" w:ascii="宋体" w:hAnsi="宋体" w:eastAsia="宋体" w:cs="宋体"/>
                <w:sz w:val="21"/>
                <w:szCs w:val="21"/>
                <w:highlight w:val="none"/>
                <w:vertAlign w:val="baseline"/>
                <w:lang w:val="en-US" w:eastAsia="zh-CN"/>
              </w:rPr>
            </w:pPr>
          </w:p>
        </w:tc>
        <w:tc>
          <w:tcPr>
            <w:tcW w:w="709" w:type="dxa"/>
            <w:vMerge w:val="continue"/>
            <w:tcBorders>
              <w:tl2br w:val="nil"/>
              <w:tr2bl w:val="nil"/>
            </w:tcBorders>
            <w:vAlign w:val="center"/>
          </w:tcPr>
          <w:p w14:paraId="3DF120D8">
            <w:pPr>
              <w:pStyle w:val="72"/>
              <w:jc w:val="center"/>
              <w:rPr>
                <w:rFonts w:hint="eastAsia" w:ascii="宋体" w:hAnsi="宋体" w:eastAsia="宋体" w:cs="宋体"/>
                <w:sz w:val="21"/>
                <w:szCs w:val="21"/>
                <w:highlight w:val="none"/>
                <w:vertAlign w:val="baseline"/>
                <w:lang w:val="en-US" w:eastAsia="zh-CN"/>
              </w:rPr>
            </w:pPr>
          </w:p>
        </w:tc>
        <w:tc>
          <w:tcPr>
            <w:tcW w:w="1604" w:type="dxa"/>
            <w:tcBorders>
              <w:tl2br w:val="nil"/>
              <w:tr2bl w:val="nil"/>
            </w:tcBorders>
            <w:vAlign w:val="center"/>
          </w:tcPr>
          <w:p w14:paraId="696244E8">
            <w:pPr>
              <w:pStyle w:val="72"/>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lang w:val="en-US" w:eastAsia="zh-CN"/>
              </w:rPr>
              <w:t>废吸收剂</w:t>
            </w:r>
          </w:p>
        </w:tc>
        <w:tc>
          <w:tcPr>
            <w:tcW w:w="1234" w:type="dxa"/>
            <w:tcBorders>
              <w:tl2br w:val="nil"/>
              <w:tr2bl w:val="nil"/>
            </w:tcBorders>
            <w:vAlign w:val="center"/>
          </w:tcPr>
          <w:p w14:paraId="53F7206C">
            <w:pPr>
              <w:pStyle w:val="72"/>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lang w:val="en-US" w:eastAsia="zh-CN"/>
              </w:rPr>
              <w:t>t/a</w:t>
            </w:r>
          </w:p>
        </w:tc>
        <w:tc>
          <w:tcPr>
            <w:tcW w:w="1420" w:type="dxa"/>
            <w:tcBorders>
              <w:tl2br w:val="nil"/>
              <w:tr2bl w:val="nil"/>
            </w:tcBorders>
            <w:vAlign w:val="center"/>
          </w:tcPr>
          <w:p w14:paraId="6F1784D7">
            <w:pPr>
              <w:pStyle w:val="72"/>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0.1</w:t>
            </w:r>
          </w:p>
        </w:tc>
        <w:tc>
          <w:tcPr>
            <w:tcW w:w="1420" w:type="dxa"/>
            <w:tcBorders>
              <w:tl2br w:val="nil"/>
              <w:tr2bl w:val="nil"/>
            </w:tcBorders>
            <w:vAlign w:val="center"/>
          </w:tcPr>
          <w:p w14:paraId="004068A9">
            <w:pPr>
              <w:pStyle w:val="72"/>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0</w:t>
            </w:r>
          </w:p>
        </w:tc>
        <w:tc>
          <w:tcPr>
            <w:tcW w:w="1420" w:type="dxa"/>
            <w:tcBorders>
              <w:tl2br w:val="nil"/>
              <w:tr2bl w:val="nil"/>
            </w:tcBorders>
            <w:vAlign w:val="center"/>
          </w:tcPr>
          <w:p w14:paraId="16DCC95E">
            <w:pPr>
              <w:pStyle w:val="72"/>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0.1</w:t>
            </w:r>
          </w:p>
        </w:tc>
      </w:tr>
      <w:tr w14:paraId="7562CEC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10" w:type="dxa"/>
            <w:vMerge w:val="continue"/>
            <w:tcBorders>
              <w:tl2br w:val="nil"/>
              <w:tr2bl w:val="nil"/>
            </w:tcBorders>
            <w:vAlign w:val="center"/>
          </w:tcPr>
          <w:p w14:paraId="0026ABA8">
            <w:pPr>
              <w:pStyle w:val="72"/>
              <w:jc w:val="center"/>
              <w:rPr>
                <w:rFonts w:hint="eastAsia" w:ascii="宋体" w:hAnsi="宋体" w:eastAsia="宋体" w:cs="宋体"/>
                <w:sz w:val="21"/>
                <w:szCs w:val="21"/>
                <w:highlight w:val="none"/>
                <w:vertAlign w:val="baseline"/>
                <w:lang w:val="en-US" w:eastAsia="zh-CN"/>
              </w:rPr>
            </w:pPr>
          </w:p>
        </w:tc>
        <w:tc>
          <w:tcPr>
            <w:tcW w:w="709" w:type="dxa"/>
            <w:vMerge w:val="continue"/>
            <w:tcBorders>
              <w:tl2br w:val="nil"/>
              <w:tr2bl w:val="nil"/>
            </w:tcBorders>
            <w:vAlign w:val="center"/>
          </w:tcPr>
          <w:p w14:paraId="0F28AC6D">
            <w:pPr>
              <w:pStyle w:val="72"/>
              <w:jc w:val="center"/>
              <w:rPr>
                <w:rFonts w:hint="eastAsia" w:ascii="宋体" w:hAnsi="宋体" w:eastAsia="宋体" w:cs="宋体"/>
                <w:sz w:val="21"/>
                <w:szCs w:val="21"/>
                <w:highlight w:val="none"/>
                <w:vertAlign w:val="baseline"/>
                <w:lang w:val="en-US" w:eastAsia="zh-CN"/>
              </w:rPr>
            </w:pPr>
          </w:p>
        </w:tc>
        <w:tc>
          <w:tcPr>
            <w:tcW w:w="1604" w:type="dxa"/>
            <w:tcBorders>
              <w:tl2br w:val="nil"/>
              <w:tr2bl w:val="nil"/>
            </w:tcBorders>
            <w:vAlign w:val="center"/>
          </w:tcPr>
          <w:p w14:paraId="6119D790">
            <w:pPr>
              <w:pStyle w:val="72"/>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lang w:val="en-US" w:eastAsia="zh-CN"/>
              </w:rPr>
              <w:t>电镀滤（废）渣和污泥</w:t>
            </w:r>
          </w:p>
        </w:tc>
        <w:tc>
          <w:tcPr>
            <w:tcW w:w="1234" w:type="dxa"/>
            <w:tcBorders>
              <w:tl2br w:val="nil"/>
              <w:tr2bl w:val="nil"/>
            </w:tcBorders>
            <w:vAlign w:val="center"/>
          </w:tcPr>
          <w:p w14:paraId="64DDA9BA">
            <w:pPr>
              <w:pStyle w:val="72"/>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kg/a</w:t>
            </w:r>
          </w:p>
        </w:tc>
        <w:tc>
          <w:tcPr>
            <w:tcW w:w="1420" w:type="dxa"/>
            <w:tcBorders>
              <w:tl2br w:val="nil"/>
              <w:tr2bl w:val="nil"/>
            </w:tcBorders>
            <w:vAlign w:val="center"/>
          </w:tcPr>
          <w:p w14:paraId="75E53C61">
            <w:pPr>
              <w:pStyle w:val="72"/>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0.74</w:t>
            </w:r>
          </w:p>
        </w:tc>
        <w:tc>
          <w:tcPr>
            <w:tcW w:w="1420" w:type="dxa"/>
            <w:tcBorders>
              <w:tl2br w:val="nil"/>
              <w:tr2bl w:val="nil"/>
            </w:tcBorders>
            <w:vAlign w:val="center"/>
          </w:tcPr>
          <w:p w14:paraId="51FC940F">
            <w:pPr>
              <w:pStyle w:val="72"/>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0</w:t>
            </w:r>
          </w:p>
        </w:tc>
        <w:tc>
          <w:tcPr>
            <w:tcW w:w="1420" w:type="dxa"/>
            <w:tcBorders>
              <w:tl2br w:val="nil"/>
              <w:tr2bl w:val="nil"/>
            </w:tcBorders>
            <w:vAlign w:val="center"/>
          </w:tcPr>
          <w:p w14:paraId="4F06F1DF">
            <w:pPr>
              <w:pStyle w:val="72"/>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0.74</w:t>
            </w:r>
          </w:p>
        </w:tc>
      </w:tr>
      <w:tr w14:paraId="13E1DF7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10" w:type="dxa"/>
            <w:vMerge w:val="continue"/>
            <w:tcBorders>
              <w:tl2br w:val="nil"/>
              <w:tr2bl w:val="nil"/>
            </w:tcBorders>
            <w:vAlign w:val="center"/>
          </w:tcPr>
          <w:p w14:paraId="58A44545">
            <w:pPr>
              <w:pStyle w:val="72"/>
              <w:jc w:val="center"/>
              <w:rPr>
                <w:rFonts w:hint="eastAsia" w:ascii="宋体" w:hAnsi="宋体" w:eastAsia="宋体" w:cs="宋体"/>
                <w:sz w:val="21"/>
                <w:szCs w:val="21"/>
                <w:highlight w:val="none"/>
                <w:vertAlign w:val="baseline"/>
                <w:lang w:val="en-US" w:eastAsia="zh-CN"/>
              </w:rPr>
            </w:pPr>
          </w:p>
        </w:tc>
        <w:tc>
          <w:tcPr>
            <w:tcW w:w="709" w:type="dxa"/>
            <w:vMerge w:val="continue"/>
            <w:tcBorders>
              <w:tl2br w:val="nil"/>
              <w:tr2bl w:val="nil"/>
            </w:tcBorders>
            <w:vAlign w:val="center"/>
          </w:tcPr>
          <w:p w14:paraId="58DE9343">
            <w:pPr>
              <w:pStyle w:val="72"/>
              <w:jc w:val="center"/>
              <w:rPr>
                <w:rFonts w:hint="eastAsia" w:ascii="宋体" w:hAnsi="宋体" w:eastAsia="宋体" w:cs="宋体"/>
                <w:sz w:val="21"/>
                <w:szCs w:val="21"/>
                <w:highlight w:val="none"/>
                <w:vertAlign w:val="baseline"/>
                <w:lang w:val="en-US" w:eastAsia="zh-CN"/>
              </w:rPr>
            </w:pPr>
          </w:p>
        </w:tc>
        <w:tc>
          <w:tcPr>
            <w:tcW w:w="1604" w:type="dxa"/>
            <w:tcBorders>
              <w:tl2br w:val="nil"/>
              <w:tr2bl w:val="nil"/>
            </w:tcBorders>
            <w:vAlign w:val="center"/>
          </w:tcPr>
          <w:p w14:paraId="3F78909E">
            <w:pPr>
              <w:pStyle w:val="72"/>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lang w:val="en-US" w:eastAsia="zh-CN"/>
              </w:rPr>
              <w:t>废过滤机滤芯</w:t>
            </w:r>
          </w:p>
        </w:tc>
        <w:tc>
          <w:tcPr>
            <w:tcW w:w="1234" w:type="dxa"/>
            <w:tcBorders>
              <w:tl2br w:val="nil"/>
              <w:tr2bl w:val="nil"/>
            </w:tcBorders>
            <w:vAlign w:val="center"/>
          </w:tcPr>
          <w:p w14:paraId="1D542C3A">
            <w:pPr>
              <w:pStyle w:val="72"/>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kg/a</w:t>
            </w:r>
          </w:p>
        </w:tc>
        <w:tc>
          <w:tcPr>
            <w:tcW w:w="1420" w:type="dxa"/>
            <w:tcBorders>
              <w:tl2br w:val="nil"/>
              <w:tr2bl w:val="nil"/>
            </w:tcBorders>
            <w:vAlign w:val="center"/>
          </w:tcPr>
          <w:p w14:paraId="317FFF2B">
            <w:pPr>
              <w:pStyle w:val="72"/>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0.7468</w:t>
            </w:r>
          </w:p>
        </w:tc>
        <w:tc>
          <w:tcPr>
            <w:tcW w:w="1420" w:type="dxa"/>
            <w:tcBorders>
              <w:tl2br w:val="nil"/>
              <w:tr2bl w:val="nil"/>
            </w:tcBorders>
            <w:vAlign w:val="center"/>
          </w:tcPr>
          <w:p w14:paraId="41E84C47">
            <w:pPr>
              <w:pStyle w:val="72"/>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0</w:t>
            </w:r>
          </w:p>
        </w:tc>
        <w:tc>
          <w:tcPr>
            <w:tcW w:w="1420" w:type="dxa"/>
            <w:tcBorders>
              <w:tl2br w:val="nil"/>
              <w:tr2bl w:val="nil"/>
            </w:tcBorders>
            <w:vAlign w:val="center"/>
          </w:tcPr>
          <w:p w14:paraId="2502C366">
            <w:pPr>
              <w:pStyle w:val="72"/>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0.7468</w:t>
            </w:r>
          </w:p>
        </w:tc>
      </w:tr>
      <w:tr w14:paraId="28724B0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10" w:type="dxa"/>
            <w:vMerge w:val="continue"/>
            <w:tcBorders>
              <w:tl2br w:val="nil"/>
              <w:tr2bl w:val="nil"/>
            </w:tcBorders>
            <w:vAlign w:val="center"/>
          </w:tcPr>
          <w:p w14:paraId="78426C39">
            <w:pPr>
              <w:pStyle w:val="72"/>
              <w:jc w:val="center"/>
              <w:rPr>
                <w:rFonts w:hint="eastAsia" w:ascii="宋体" w:hAnsi="宋体" w:eastAsia="宋体" w:cs="宋体"/>
                <w:sz w:val="21"/>
                <w:szCs w:val="21"/>
                <w:highlight w:val="none"/>
                <w:vertAlign w:val="baseline"/>
                <w:lang w:val="en-US" w:eastAsia="zh-CN"/>
              </w:rPr>
            </w:pPr>
          </w:p>
        </w:tc>
        <w:tc>
          <w:tcPr>
            <w:tcW w:w="709" w:type="dxa"/>
            <w:vMerge w:val="continue"/>
            <w:tcBorders>
              <w:tl2br w:val="nil"/>
              <w:tr2bl w:val="nil"/>
            </w:tcBorders>
            <w:vAlign w:val="center"/>
          </w:tcPr>
          <w:p w14:paraId="17F63DA4">
            <w:pPr>
              <w:pStyle w:val="72"/>
              <w:jc w:val="center"/>
              <w:rPr>
                <w:rFonts w:hint="eastAsia" w:ascii="宋体" w:hAnsi="宋体" w:eastAsia="宋体" w:cs="宋体"/>
                <w:sz w:val="21"/>
                <w:szCs w:val="21"/>
                <w:highlight w:val="none"/>
                <w:vertAlign w:val="baseline"/>
                <w:lang w:val="en-US" w:eastAsia="zh-CN"/>
              </w:rPr>
            </w:pPr>
          </w:p>
        </w:tc>
        <w:tc>
          <w:tcPr>
            <w:tcW w:w="1604" w:type="dxa"/>
            <w:tcBorders>
              <w:tl2br w:val="nil"/>
              <w:tr2bl w:val="nil"/>
            </w:tcBorders>
            <w:vAlign w:val="center"/>
          </w:tcPr>
          <w:p w14:paraId="616C93C5">
            <w:pPr>
              <w:pStyle w:val="72"/>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lang w:val="en-US" w:eastAsia="zh-CN"/>
              </w:rPr>
              <w:t>废交换树脂</w:t>
            </w:r>
          </w:p>
        </w:tc>
        <w:tc>
          <w:tcPr>
            <w:tcW w:w="1234" w:type="dxa"/>
            <w:tcBorders>
              <w:tl2br w:val="nil"/>
              <w:tr2bl w:val="nil"/>
            </w:tcBorders>
            <w:vAlign w:val="center"/>
          </w:tcPr>
          <w:p w14:paraId="70D26231">
            <w:pPr>
              <w:pStyle w:val="72"/>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lang w:val="en-US" w:eastAsia="zh-CN"/>
              </w:rPr>
              <w:t>t/a</w:t>
            </w:r>
          </w:p>
        </w:tc>
        <w:tc>
          <w:tcPr>
            <w:tcW w:w="1420" w:type="dxa"/>
            <w:tcBorders>
              <w:tl2br w:val="nil"/>
              <w:tr2bl w:val="nil"/>
            </w:tcBorders>
            <w:vAlign w:val="center"/>
          </w:tcPr>
          <w:p w14:paraId="4D5C6D57">
            <w:pPr>
              <w:pStyle w:val="72"/>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0.4</w:t>
            </w:r>
          </w:p>
        </w:tc>
        <w:tc>
          <w:tcPr>
            <w:tcW w:w="1420" w:type="dxa"/>
            <w:tcBorders>
              <w:tl2br w:val="nil"/>
              <w:tr2bl w:val="nil"/>
            </w:tcBorders>
            <w:vAlign w:val="center"/>
          </w:tcPr>
          <w:p w14:paraId="7780FAFB">
            <w:pPr>
              <w:pStyle w:val="72"/>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0</w:t>
            </w:r>
          </w:p>
        </w:tc>
        <w:tc>
          <w:tcPr>
            <w:tcW w:w="1420" w:type="dxa"/>
            <w:tcBorders>
              <w:tl2br w:val="nil"/>
              <w:tr2bl w:val="nil"/>
            </w:tcBorders>
            <w:vAlign w:val="center"/>
          </w:tcPr>
          <w:p w14:paraId="71655D56">
            <w:pPr>
              <w:pStyle w:val="72"/>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0.4</w:t>
            </w:r>
          </w:p>
        </w:tc>
      </w:tr>
      <w:tr w14:paraId="0B2725A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10" w:type="dxa"/>
            <w:vMerge w:val="continue"/>
            <w:tcBorders>
              <w:tl2br w:val="nil"/>
              <w:tr2bl w:val="nil"/>
            </w:tcBorders>
            <w:vAlign w:val="center"/>
          </w:tcPr>
          <w:p w14:paraId="4126DA2D">
            <w:pPr>
              <w:pStyle w:val="72"/>
              <w:jc w:val="center"/>
              <w:rPr>
                <w:rFonts w:hint="eastAsia" w:ascii="宋体" w:hAnsi="宋体" w:eastAsia="宋体" w:cs="宋体"/>
                <w:sz w:val="21"/>
                <w:szCs w:val="21"/>
                <w:highlight w:val="none"/>
                <w:vertAlign w:val="baseline"/>
                <w:lang w:val="en-US" w:eastAsia="zh-CN"/>
              </w:rPr>
            </w:pPr>
          </w:p>
        </w:tc>
        <w:tc>
          <w:tcPr>
            <w:tcW w:w="2313" w:type="dxa"/>
            <w:gridSpan w:val="2"/>
            <w:tcBorders>
              <w:tl2br w:val="nil"/>
              <w:tr2bl w:val="nil"/>
            </w:tcBorders>
            <w:vAlign w:val="center"/>
          </w:tcPr>
          <w:p w14:paraId="2BA7A9BB">
            <w:pPr>
              <w:pStyle w:val="72"/>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vertAlign w:val="baseline"/>
                <w:lang w:val="en-US" w:eastAsia="zh-CN"/>
              </w:rPr>
              <w:t>生活垃圾</w:t>
            </w:r>
          </w:p>
        </w:tc>
        <w:tc>
          <w:tcPr>
            <w:tcW w:w="1234" w:type="dxa"/>
            <w:tcBorders>
              <w:tl2br w:val="nil"/>
              <w:tr2bl w:val="nil"/>
            </w:tcBorders>
            <w:vAlign w:val="center"/>
          </w:tcPr>
          <w:p w14:paraId="02071844">
            <w:pPr>
              <w:pStyle w:val="72"/>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t/a</w:t>
            </w:r>
          </w:p>
        </w:tc>
        <w:tc>
          <w:tcPr>
            <w:tcW w:w="1420" w:type="dxa"/>
            <w:tcBorders>
              <w:tl2br w:val="nil"/>
              <w:tr2bl w:val="nil"/>
            </w:tcBorders>
            <w:vAlign w:val="center"/>
          </w:tcPr>
          <w:p w14:paraId="633A4BB4">
            <w:pPr>
              <w:pStyle w:val="72"/>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lang w:val="en-US" w:eastAsia="zh-CN"/>
              </w:rPr>
              <w:t>1.5</w:t>
            </w:r>
          </w:p>
        </w:tc>
        <w:tc>
          <w:tcPr>
            <w:tcW w:w="1420" w:type="dxa"/>
            <w:tcBorders>
              <w:tl2br w:val="nil"/>
              <w:tr2bl w:val="nil"/>
            </w:tcBorders>
            <w:vAlign w:val="center"/>
          </w:tcPr>
          <w:p w14:paraId="538EAB16">
            <w:pPr>
              <w:pStyle w:val="72"/>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0</w:t>
            </w:r>
          </w:p>
        </w:tc>
        <w:tc>
          <w:tcPr>
            <w:tcW w:w="1420" w:type="dxa"/>
            <w:tcBorders>
              <w:tl2br w:val="nil"/>
              <w:tr2bl w:val="nil"/>
            </w:tcBorders>
            <w:vAlign w:val="center"/>
          </w:tcPr>
          <w:p w14:paraId="58B5B3CF">
            <w:pPr>
              <w:pStyle w:val="72"/>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lang w:val="en-US" w:eastAsia="zh-CN"/>
              </w:rPr>
              <w:t>1.5</w:t>
            </w:r>
          </w:p>
        </w:tc>
      </w:tr>
    </w:tbl>
    <w:p w14:paraId="63403464">
      <w:pPr>
        <w:pStyle w:val="72"/>
        <w:rPr>
          <w:rFonts w:hint="default"/>
          <w:lang w:val="en-US" w:eastAsia="zh-CN"/>
        </w:rPr>
      </w:pPr>
    </w:p>
    <w:p w14:paraId="366196E4">
      <w:pPr>
        <w:pStyle w:val="72"/>
        <w:rPr>
          <w:rFonts w:hint="default"/>
          <w:lang w:val="en-US" w:eastAsia="zh-CN"/>
        </w:rPr>
      </w:pPr>
    </w:p>
    <w:p w14:paraId="4FAC1E11">
      <w:pPr>
        <w:pStyle w:val="3"/>
        <w:bidi w:val="0"/>
        <w:rPr>
          <w:rFonts w:hint="eastAsia"/>
          <w:lang w:val="en-US" w:eastAsia="zh-CN"/>
        </w:rPr>
      </w:pPr>
      <w:bookmarkStart w:id="350" w:name="_Toc13236"/>
      <w:bookmarkStart w:id="351" w:name="_Toc13346"/>
      <w:r>
        <w:rPr>
          <w:rFonts w:hint="eastAsia"/>
          <w:lang w:val="en-US" w:eastAsia="zh-CN"/>
        </w:rPr>
        <w:t>5.5污染物排放“三本账”情况</w:t>
      </w:r>
      <w:bookmarkEnd w:id="350"/>
      <w:bookmarkEnd w:id="351"/>
    </w:p>
    <w:p w14:paraId="61A35A5D">
      <w:pPr>
        <w:jc w:val="center"/>
        <w:rPr>
          <w:rFonts w:hint="eastAsia" w:ascii="黑体" w:hAnsi="黑体" w:eastAsia="黑体" w:cs="黑体"/>
          <w:color w:val="auto"/>
          <w:sz w:val="21"/>
          <w:szCs w:val="21"/>
          <w:highlight w:val="none"/>
          <w:lang w:val="en-US" w:eastAsia="zh-CN"/>
        </w:rPr>
      </w:pPr>
      <w:r>
        <w:rPr>
          <w:rFonts w:hint="eastAsia" w:ascii="黑体" w:hAnsi="黑体" w:eastAsia="黑体" w:cs="黑体"/>
          <w:color w:val="auto"/>
          <w:sz w:val="21"/>
          <w:szCs w:val="21"/>
          <w:highlight w:val="none"/>
          <w:lang w:val="en-US" w:eastAsia="zh-CN"/>
        </w:rPr>
        <w:t>表5-16改扩建项目实施前后污染物排放“三本账”情况表</w:t>
      </w:r>
    </w:p>
    <w:tbl>
      <w:tblPr>
        <w:tblStyle w:val="52"/>
        <w:tblW w:w="8528"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61"/>
        <w:gridCol w:w="1912"/>
        <w:gridCol w:w="1004"/>
        <w:gridCol w:w="1116"/>
        <w:gridCol w:w="1170"/>
        <w:gridCol w:w="1302"/>
        <w:gridCol w:w="1363"/>
      </w:tblGrid>
      <w:tr w14:paraId="7D650E6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2573" w:type="dxa"/>
            <w:gridSpan w:val="2"/>
            <w:tcBorders>
              <w:tl2br w:val="nil"/>
              <w:tr2bl w:val="nil"/>
            </w:tcBorders>
            <w:noWrap w:val="0"/>
            <w:vAlign w:val="center"/>
            <mc:AlternateContent>
              <mc:Choice Requires="wpsCustomData">
                <wpsCustomData:diagonals>
                  <wpsCustomData:diagonal from="10000" to="30000">
                    <wpsCustomData:border w:val="single" w:color="auto" w:sz="12" w:space="0"/>
                  </wpsCustomData:diagonal>
                </wpsCustomData:diagonals>
              </mc:Choice>
            </mc:AlternateContent>
          </w:tcPr>
          <w:p w14:paraId="7DEA9192">
            <w:pPr>
              <w:spacing w:line="240" w:lineRule="auto"/>
              <w:ind w:firstLine="0" w:firstLineChars="0"/>
              <w:jc w:val="both"/>
              <w:rPr>
                <w:rFonts w:hint="eastAsia" w:ascii="宋体" w:hAnsi="宋体" w:eastAsia="宋体" w:cs="宋体"/>
                <w:color w:val="auto"/>
                <w:sz w:val="21"/>
                <w:szCs w:val="21"/>
                <w:highlight w:val="none"/>
              </w:rPr>
            </w:pPr>
          </w:p>
          <w:p w14:paraId="446811BF">
            <w:pPr>
              <w:snapToGrid w:val="0"/>
              <w:spacing w:line="240" w:lineRule="auto"/>
              <w:ind w:firstLine="0" w:firstLineChars="0"/>
              <w:jc w:val="both"/>
              <w:rPr>
                <w:rFonts w:hint="eastAsia" w:ascii="宋体" w:hAnsi="宋体" w:cs="宋体"/>
                <w:color w:val="auto"/>
                <w:sz w:val="21"/>
                <w:szCs w:val="21"/>
                <w:highlight w:val="none"/>
                <w:lang w:val="en-US" w:eastAsia="zh-CN"/>
              </w:rPr>
            </w:pPr>
          </w:p>
          <w:p w14:paraId="26559F8D">
            <w:pPr>
              <w:snapToGrid w:val="0"/>
              <w:spacing w:line="240" w:lineRule="auto"/>
              <w:ind w:firstLine="0" w:firstLineChars="0"/>
              <w:jc w:val="both"/>
              <mc:AlternateContent>
                <mc:Choice Requires="wpsCustomData">
                  <wpsCustomData:diagonalParaType/>
                </mc:Choice>
              </mc:AlternateConten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类型</w:t>
            </w:r>
          </w:p>
          <w:p w14:paraId="34BA1607">
            <w:pPr>
              <w:spacing w:line="240" w:lineRule="auto"/>
              <w:ind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内容</w:t>
            </w:r>
          </w:p>
        </w:tc>
        <w:tc>
          <w:tcPr>
            <w:tcW w:w="1004" w:type="dxa"/>
            <w:tcBorders>
              <w:tl2br w:val="nil"/>
              <w:tr2bl w:val="nil"/>
            </w:tcBorders>
            <w:noWrap w:val="0"/>
            <w:vAlign w:val="center"/>
          </w:tcPr>
          <w:p w14:paraId="35B5FBBB">
            <w:pPr>
              <w:spacing w:line="240" w:lineRule="auto"/>
              <w:ind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现有工程</w:t>
            </w:r>
          </w:p>
        </w:tc>
        <w:tc>
          <w:tcPr>
            <w:tcW w:w="1116" w:type="dxa"/>
            <w:tcBorders>
              <w:tl2br w:val="nil"/>
              <w:tr2bl w:val="nil"/>
            </w:tcBorders>
            <w:noWrap w:val="0"/>
            <w:vAlign w:val="center"/>
          </w:tcPr>
          <w:p w14:paraId="2BBD7F7D">
            <w:pPr>
              <w:spacing w:line="240" w:lineRule="auto"/>
              <w:ind w:firstLine="0" w:firstLineChars="0"/>
              <w:jc w:val="center"/>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技改</w:t>
            </w:r>
            <w:r>
              <w:rPr>
                <w:rFonts w:hint="eastAsia" w:ascii="宋体" w:hAnsi="宋体" w:eastAsia="宋体" w:cs="宋体"/>
                <w:color w:val="auto"/>
                <w:sz w:val="21"/>
                <w:szCs w:val="21"/>
                <w:highlight w:val="none"/>
              </w:rPr>
              <w:t>工程</w:t>
            </w:r>
          </w:p>
        </w:tc>
        <w:tc>
          <w:tcPr>
            <w:tcW w:w="1170" w:type="dxa"/>
            <w:tcBorders>
              <w:tl2br w:val="nil"/>
              <w:tr2bl w:val="nil"/>
            </w:tcBorders>
            <w:noWrap w:val="0"/>
            <w:vAlign w:val="center"/>
          </w:tcPr>
          <w:p w14:paraId="050DCB47">
            <w:pPr>
              <w:spacing w:line="240" w:lineRule="auto"/>
              <w:ind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以新带老</w:t>
            </w:r>
          </w:p>
          <w:p w14:paraId="573500F0">
            <w:pPr>
              <w:spacing w:line="240" w:lineRule="auto"/>
              <w:ind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削减量</w:t>
            </w:r>
          </w:p>
        </w:tc>
        <w:tc>
          <w:tcPr>
            <w:tcW w:w="1302" w:type="dxa"/>
            <w:tcBorders>
              <w:tl2br w:val="nil"/>
              <w:tr2bl w:val="nil"/>
            </w:tcBorders>
            <w:noWrap w:val="0"/>
            <w:vAlign w:val="center"/>
          </w:tcPr>
          <w:p w14:paraId="0D7AE52E">
            <w:pPr>
              <w:spacing w:line="240" w:lineRule="auto"/>
              <w:ind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总体工程</w:t>
            </w:r>
          </w:p>
        </w:tc>
        <w:tc>
          <w:tcPr>
            <w:tcW w:w="1363" w:type="dxa"/>
            <w:tcBorders>
              <w:tl2br w:val="nil"/>
              <w:tr2bl w:val="nil"/>
            </w:tcBorders>
            <w:noWrap w:val="0"/>
            <w:vAlign w:val="center"/>
          </w:tcPr>
          <w:p w14:paraId="0E403656">
            <w:pPr>
              <w:spacing w:line="240" w:lineRule="auto"/>
              <w:ind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增减情况</w:t>
            </w:r>
          </w:p>
          <w:p w14:paraId="59CFC5C6">
            <w:pPr>
              <w:spacing w:line="240" w:lineRule="auto"/>
              <w:ind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r>
      <w:tr w14:paraId="236C4F7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7" w:hRule="atLeast"/>
        </w:trPr>
        <w:tc>
          <w:tcPr>
            <w:tcW w:w="661" w:type="dxa"/>
            <w:vMerge w:val="restart"/>
            <w:tcBorders>
              <w:tl2br w:val="nil"/>
              <w:tr2bl w:val="nil"/>
            </w:tcBorders>
            <w:noWrap w:val="0"/>
            <w:vAlign w:val="center"/>
          </w:tcPr>
          <w:p w14:paraId="28020106">
            <w:pPr>
              <w:spacing w:line="240" w:lineRule="auto"/>
              <w:ind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废水</w:t>
            </w:r>
          </w:p>
        </w:tc>
        <w:tc>
          <w:tcPr>
            <w:tcW w:w="1912" w:type="dxa"/>
            <w:tcBorders>
              <w:tl2br w:val="nil"/>
              <w:tr2bl w:val="nil"/>
            </w:tcBorders>
            <w:noWrap w:val="0"/>
            <w:vAlign w:val="center"/>
          </w:tcPr>
          <w:p w14:paraId="4DF89508">
            <w:pPr>
              <w:spacing w:line="240" w:lineRule="auto"/>
              <w:ind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COD</w:t>
            </w:r>
            <w:r>
              <w:rPr>
                <w:rFonts w:hint="eastAsia" w:ascii="宋体" w:hAnsi="宋体" w:eastAsia="宋体" w:cs="宋体"/>
                <w:color w:val="auto"/>
                <w:sz w:val="21"/>
                <w:szCs w:val="21"/>
                <w:highlight w:val="none"/>
                <w:vertAlign w:val="subscript"/>
              </w:rPr>
              <w:t>Cr</w:t>
            </w:r>
            <w:r>
              <w:rPr>
                <w:rFonts w:hint="eastAsia" w:ascii="宋体" w:hAnsi="宋体" w:eastAsia="宋体" w:cs="宋体"/>
                <w:color w:val="auto"/>
                <w:sz w:val="21"/>
                <w:szCs w:val="21"/>
                <w:highlight w:val="none"/>
              </w:rPr>
              <w:t>(t/a)</w:t>
            </w:r>
          </w:p>
        </w:tc>
        <w:tc>
          <w:tcPr>
            <w:tcW w:w="1004" w:type="dxa"/>
            <w:tcBorders>
              <w:tl2br w:val="nil"/>
              <w:tr2bl w:val="nil"/>
            </w:tcBorders>
            <w:noWrap w:val="0"/>
            <w:vAlign w:val="center"/>
          </w:tcPr>
          <w:p w14:paraId="1648E1EB">
            <w:pPr>
              <w:spacing w:line="240" w:lineRule="auto"/>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0</w:t>
            </w:r>
          </w:p>
        </w:tc>
        <w:tc>
          <w:tcPr>
            <w:tcW w:w="1116" w:type="dxa"/>
            <w:tcBorders>
              <w:tl2br w:val="nil"/>
              <w:tr2bl w:val="nil"/>
            </w:tcBorders>
            <w:noWrap w:val="0"/>
            <w:vAlign w:val="center"/>
          </w:tcPr>
          <w:p w14:paraId="5A687568">
            <w:pPr>
              <w:spacing w:line="240" w:lineRule="auto"/>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0</w:t>
            </w:r>
          </w:p>
        </w:tc>
        <w:tc>
          <w:tcPr>
            <w:tcW w:w="1170" w:type="dxa"/>
            <w:tcBorders>
              <w:tl2br w:val="nil"/>
              <w:tr2bl w:val="nil"/>
            </w:tcBorders>
            <w:noWrap w:val="0"/>
            <w:vAlign w:val="center"/>
          </w:tcPr>
          <w:p w14:paraId="595E17E2">
            <w:pPr>
              <w:spacing w:line="240" w:lineRule="auto"/>
              <w:ind w:firstLine="0" w:firstLineChars="0"/>
              <w:jc w:val="center"/>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0</w:t>
            </w:r>
          </w:p>
        </w:tc>
        <w:tc>
          <w:tcPr>
            <w:tcW w:w="1302" w:type="dxa"/>
            <w:tcBorders>
              <w:tl2br w:val="nil"/>
              <w:tr2bl w:val="nil"/>
            </w:tcBorders>
            <w:noWrap w:val="0"/>
            <w:vAlign w:val="center"/>
          </w:tcPr>
          <w:p w14:paraId="67C40F94">
            <w:pPr>
              <w:spacing w:line="240" w:lineRule="auto"/>
              <w:ind w:firstLine="0" w:firstLineChars="0"/>
              <w:jc w:val="center"/>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0</w:t>
            </w:r>
          </w:p>
        </w:tc>
        <w:tc>
          <w:tcPr>
            <w:tcW w:w="1363" w:type="dxa"/>
            <w:tcBorders>
              <w:tl2br w:val="nil"/>
              <w:tr2bl w:val="nil"/>
            </w:tcBorders>
            <w:noWrap w:val="0"/>
            <w:vAlign w:val="center"/>
          </w:tcPr>
          <w:p w14:paraId="2C3237BA">
            <w:pPr>
              <w:spacing w:line="240" w:lineRule="auto"/>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0</w:t>
            </w:r>
          </w:p>
        </w:tc>
      </w:tr>
      <w:tr w14:paraId="1F68E9F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61" w:type="dxa"/>
            <w:vMerge w:val="continue"/>
            <w:tcBorders>
              <w:tl2br w:val="nil"/>
              <w:tr2bl w:val="nil"/>
            </w:tcBorders>
            <w:noWrap w:val="0"/>
            <w:vAlign w:val="center"/>
          </w:tcPr>
          <w:p w14:paraId="0462D9F6">
            <w:pPr>
              <w:spacing w:line="240" w:lineRule="auto"/>
              <w:ind w:firstLine="0" w:firstLineChars="0"/>
              <w:jc w:val="center"/>
              <w:rPr>
                <w:rFonts w:hint="eastAsia" w:ascii="宋体" w:hAnsi="宋体" w:eastAsia="宋体" w:cs="宋体"/>
                <w:color w:val="auto"/>
                <w:sz w:val="21"/>
                <w:szCs w:val="21"/>
                <w:highlight w:val="none"/>
              </w:rPr>
            </w:pPr>
          </w:p>
        </w:tc>
        <w:tc>
          <w:tcPr>
            <w:tcW w:w="1912" w:type="dxa"/>
            <w:tcBorders>
              <w:tl2br w:val="nil"/>
              <w:tr2bl w:val="nil"/>
            </w:tcBorders>
            <w:noWrap w:val="0"/>
            <w:vAlign w:val="center"/>
          </w:tcPr>
          <w:p w14:paraId="53825F6A">
            <w:pPr>
              <w:spacing w:line="240" w:lineRule="auto"/>
              <w:ind w:firstLine="0" w:firstLineChars="0"/>
              <w:jc w:val="center"/>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氨氮</w:t>
            </w:r>
            <w:r>
              <w:rPr>
                <w:rFonts w:hint="eastAsia" w:ascii="宋体" w:hAnsi="宋体" w:eastAsia="宋体" w:cs="宋体"/>
                <w:color w:val="auto"/>
                <w:sz w:val="21"/>
                <w:szCs w:val="21"/>
                <w:highlight w:val="none"/>
              </w:rPr>
              <w:t>(t/a)</w:t>
            </w:r>
          </w:p>
        </w:tc>
        <w:tc>
          <w:tcPr>
            <w:tcW w:w="1004" w:type="dxa"/>
            <w:tcBorders>
              <w:tl2br w:val="nil"/>
              <w:tr2bl w:val="nil"/>
            </w:tcBorders>
            <w:noWrap w:val="0"/>
            <w:vAlign w:val="center"/>
          </w:tcPr>
          <w:p w14:paraId="50545939">
            <w:pPr>
              <w:spacing w:line="240" w:lineRule="auto"/>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0</w:t>
            </w:r>
          </w:p>
        </w:tc>
        <w:tc>
          <w:tcPr>
            <w:tcW w:w="1116" w:type="dxa"/>
            <w:tcBorders>
              <w:tl2br w:val="nil"/>
              <w:tr2bl w:val="nil"/>
            </w:tcBorders>
            <w:noWrap w:val="0"/>
            <w:vAlign w:val="center"/>
          </w:tcPr>
          <w:p w14:paraId="595CA882">
            <w:pPr>
              <w:spacing w:line="240" w:lineRule="auto"/>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0</w:t>
            </w:r>
          </w:p>
        </w:tc>
        <w:tc>
          <w:tcPr>
            <w:tcW w:w="1170" w:type="dxa"/>
            <w:tcBorders>
              <w:tl2br w:val="nil"/>
              <w:tr2bl w:val="nil"/>
            </w:tcBorders>
            <w:noWrap w:val="0"/>
            <w:vAlign w:val="center"/>
          </w:tcPr>
          <w:p w14:paraId="2CB89AB1">
            <w:pPr>
              <w:spacing w:line="240" w:lineRule="auto"/>
              <w:ind w:firstLine="0" w:firstLineChars="0"/>
              <w:jc w:val="center"/>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0</w:t>
            </w:r>
          </w:p>
        </w:tc>
        <w:tc>
          <w:tcPr>
            <w:tcW w:w="1302" w:type="dxa"/>
            <w:tcBorders>
              <w:tl2br w:val="nil"/>
              <w:tr2bl w:val="nil"/>
            </w:tcBorders>
            <w:noWrap w:val="0"/>
            <w:vAlign w:val="center"/>
          </w:tcPr>
          <w:p w14:paraId="0F153DD2">
            <w:pPr>
              <w:spacing w:line="240" w:lineRule="auto"/>
              <w:ind w:firstLine="0" w:firstLineChars="0"/>
              <w:jc w:val="center"/>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0</w:t>
            </w:r>
          </w:p>
        </w:tc>
        <w:tc>
          <w:tcPr>
            <w:tcW w:w="1363" w:type="dxa"/>
            <w:tcBorders>
              <w:tl2br w:val="nil"/>
              <w:tr2bl w:val="nil"/>
            </w:tcBorders>
            <w:noWrap w:val="0"/>
            <w:vAlign w:val="center"/>
          </w:tcPr>
          <w:p w14:paraId="505B95A1">
            <w:pPr>
              <w:spacing w:line="240" w:lineRule="auto"/>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0</w:t>
            </w:r>
          </w:p>
        </w:tc>
      </w:tr>
      <w:tr w14:paraId="725F7DC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7" w:hRule="atLeast"/>
        </w:trPr>
        <w:tc>
          <w:tcPr>
            <w:tcW w:w="661" w:type="dxa"/>
            <w:vMerge w:val="restart"/>
            <w:tcBorders>
              <w:tl2br w:val="nil"/>
              <w:tr2bl w:val="nil"/>
            </w:tcBorders>
            <w:noWrap w:val="0"/>
            <w:vAlign w:val="center"/>
          </w:tcPr>
          <w:p w14:paraId="0D793C5E">
            <w:pPr>
              <w:spacing w:line="240" w:lineRule="auto"/>
              <w:ind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废气</w:t>
            </w:r>
          </w:p>
        </w:tc>
        <w:tc>
          <w:tcPr>
            <w:tcW w:w="1912" w:type="dxa"/>
            <w:tcBorders>
              <w:tl2br w:val="nil"/>
              <w:tr2bl w:val="nil"/>
            </w:tcBorders>
            <w:noWrap w:val="0"/>
            <w:vAlign w:val="center"/>
          </w:tcPr>
          <w:p w14:paraId="366EA69D">
            <w:pPr>
              <w:spacing w:line="240" w:lineRule="auto"/>
              <w:ind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SO</w:t>
            </w:r>
            <w:r>
              <w:rPr>
                <w:rFonts w:hint="eastAsia" w:ascii="宋体" w:hAnsi="宋体" w:eastAsia="宋体" w:cs="宋体"/>
                <w:color w:val="auto"/>
                <w:sz w:val="21"/>
                <w:szCs w:val="21"/>
                <w:highlight w:val="none"/>
                <w:vertAlign w:val="subscript"/>
              </w:rPr>
              <w:t>2</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kg</w:t>
            </w:r>
            <w:r>
              <w:rPr>
                <w:rFonts w:hint="eastAsia" w:ascii="宋体" w:hAnsi="宋体" w:eastAsia="宋体" w:cs="宋体"/>
                <w:color w:val="auto"/>
                <w:sz w:val="21"/>
                <w:szCs w:val="21"/>
                <w:highlight w:val="none"/>
              </w:rPr>
              <w:t>/a)</w:t>
            </w:r>
          </w:p>
        </w:tc>
        <w:tc>
          <w:tcPr>
            <w:tcW w:w="1004" w:type="dxa"/>
            <w:tcBorders>
              <w:tl2br w:val="nil"/>
              <w:tr2bl w:val="nil"/>
            </w:tcBorders>
            <w:noWrap w:val="0"/>
            <w:vAlign w:val="center"/>
          </w:tcPr>
          <w:p w14:paraId="3C53A613">
            <w:pPr>
              <w:spacing w:line="240" w:lineRule="auto"/>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0.00174</w:t>
            </w:r>
          </w:p>
        </w:tc>
        <w:tc>
          <w:tcPr>
            <w:tcW w:w="1116" w:type="dxa"/>
            <w:tcBorders>
              <w:tl2br w:val="nil"/>
              <w:tr2bl w:val="nil"/>
            </w:tcBorders>
            <w:noWrap w:val="0"/>
            <w:vAlign w:val="center"/>
          </w:tcPr>
          <w:p w14:paraId="725A882A">
            <w:pPr>
              <w:spacing w:line="240" w:lineRule="auto"/>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0</w:t>
            </w:r>
          </w:p>
        </w:tc>
        <w:tc>
          <w:tcPr>
            <w:tcW w:w="1170" w:type="dxa"/>
            <w:tcBorders>
              <w:tl2br w:val="nil"/>
              <w:tr2bl w:val="nil"/>
            </w:tcBorders>
            <w:noWrap w:val="0"/>
            <w:vAlign w:val="center"/>
          </w:tcPr>
          <w:p w14:paraId="6DFB2EEA">
            <w:pPr>
              <w:spacing w:line="240" w:lineRule="auto"/>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0</w:t>
            </w:r>
          </w:p>
        </w:tc>
        <w:tc>
          <w:tcPr>
            <w:tcW w:w="1302" w:type="dxa"/>
            <w:tcBorders>
              <w:tl2br w:val="nil"/>
              <w:tr2bl w:val="nil"/>
            </w:tcBorders>
            <w:noWrap w:val="0"/>
            <w:vAlign w:val="center"/>
          </w:tcPr>
          <w:p w14:paraId="67BD441D">
            <w:pPr>
              <w:spacing w:line="240" w:lineRule="auto"/>
              <w:ind w:firstLine="0" w:firstLineChars="0"/>
              <w:jc w:val="center"/>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0.00174</w:t>
            </w:r>
          </w:p>
        </w:tc>
        <w:tc>
          <w:tcPr>
            <w:tcW w:w="1363" w:type="dxa"/>
            <w:tcBorders>
              <w:tl2br w:val="nil"/>
              <w:tr2bl w:val="nil"/>
            </w:tcBorders>
            <w:noWrap w:val="0"/>
            <w:vAlign w:val="center"/>
          </w:tcPr>
          <w:p w14:paraId="086DE14C">
            <w:pPr>
              <w:spacing w:line="240" w:lineRule="auto"/>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0</w:t>
            </w:r>
          </w:p>
        </w:tc>
      </w:tr>
      <w:tr w14:paraId="5FF1FF2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61" w:type="dxa"/>
            <w:vMerge w:val="continue"/>
            <w:tcBorders>
              <w:tl2br w:val="nil"/>
              <w:tr2bl w:val="nil"/>
            </w:tcBorders>
            <w:noWrap w:val="0"/>
            <w:vAlign w:val="center"/>
          </w:tcPr>
          <w:p w14:paraId="30306EAF">
            <w:pPr>
              <w:spacing w:line="240" w:lineRule="auto"/>
              <w:ind w:firstLine="0" w:firstLineChars="0"/>
              <w:jc w:val="center"/>
              <w:rPr>
                <w:rFonts w:hint="eastAsia" w:ascii="宋体" w:hAnsi="宋体" w:eastAsia="宋体" w:cs="宋体"/>
                <w:color w:val="auto"/>
                <w:sz w:val="21"/>
                <w:szCs w:val="21"/>
                <w:highlight w:val="none"/>
              </w:rPr>
            </w:pPr>
          </w:p>
        </w:tc>
        <w:tc>
          <w:tcPr>
            <w:tcW w:w="1912" w:type="dxa"/>
            <w:tcBorders>
              <w:tl2br w:val="nil"/>
              <w:tr2bl w:val="nil"/>
            </w:tcBorders>
            <w:noWrap w:val="0"/>
            <w:vAlign w:val="center"/>
          </w:tcPr>
          <w:p w14:paraId="23852243">
            <w:pPr>
              <w:spacing w:line="240" w:lineRule="auto"/>
              <w:ind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NO</w:t>
            </w:r>
            <w:r>
              <w:rPr>
                <w:rFonts w:hint="eastAsia" w:ascii="宋体" w:hAnsi="宋体" w:eastAsia="宋体" w:cs="宋体"/>
                <w:color w:val="auto"/>
                <w:sz w:val="21"/>
                <w:szCs w:val="21"/>
                <w:highlight w:val="none"/>
                <w:vertAlign w:val="subscript"/>
              </w:rPr>
              <w:t>X</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kg</w:t>
            </w:r>
            <w:r>
              <w:rPr>
                <w:rFonts w:hint="eastAsia" w:ascii="宋体" w:hAnsi="宋体" w:eastAsia="宋体" w:cs="宋体"/>
                <w:color w:val="auto"/>
                <w:sz w:val="21"/>
                <w:szCs w:val="21"/>
                <w:highlight w:val="none"/>
              </w:rPr>
              <w:t>/a)</w:t>
            </w:r>
          </w:p>
        </w:tc>
        <w:tc>
          <w:tcPr>
            <w:tcW w:w="1004" w:type="dxa"/>
            <w:tcBorders>
              <w:tl2br w:val="nil"/>
              <w:tr2bl w:val="nil"/>
            </w:tcBorders>
            <w:noWrap w:val="0"/>
            <w:vAlign w:val="center"/>
          </w:tcPr>
          <w:p w14:paraId="495A1208">
            <w:pPr>
              <w:spacing w:line="240" w:lineRule="auto"/>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56.13</w:t>
            </w:r>
          </w:p>
        </w:tc>
        <w:tc>
          <w:tcPr>
            <w:tcW w:w="1116" w:type="dxa"/>
            <w:tcBorders>
              <w:tl2br w:val="nil"/>
              <w:tr2bl w:val="nil"/>
            </w:tcBorders>
            <w:noWrap w:val="0"/>
            <w:vAlign w:val="center"/>
          </w:tcPr>
          <w:p w14:paraId="6CCFADA4">
            <w:pPr>
              <w:spacing w:line="240" w:lineRule="auto"/>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0</w:t>
            </w:r>
          </w:p>
        </w:tc>
        <w:tc>
          <w:tcPr>
            <w:tcW w:w="1170" w:type="dxa"/>
            <w:tcBorders>
              <w:tl2br w:val="nil"/>
              <w:tr2bl w:val="nil"/>
            </w:tcBorders>
            <w:noWrap w:val="0"/>
            <w:vAlign w:val="center"/>
          </w:tcPr>
          <w:p w14:paraId="04DABBF6">
            <w:pPr>
              <w:spacing w:line="240" w:lineRule="auto"/>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0</w:t>
            </w:r>
          </w:p>
        </w:tc>
        <w:tc>
          <w:tcPr>
            <w:tcW w:w="1302" w:type="dxa"/>
            <w:tcBorders>
              <w:tl2br w:val="nil"/>
              <w:tr2bl w:val="nil"/>
            </w:tcBorders>
            <w:noWrap w:val="0"/>
            <w:vAlign w:val="center"/>
          </w:tcPr>
          <w:p w14:paraId="4DD4A68D">
            <w:pPr>
              <w:spacing w:line="240" w:lineRule="auto"/>
              <w:ind w:firstLine="0" w:firstLineChars="0"/>
              <w:jc w:val="center"/>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56.13</w:t>
            </w:r>
          </w:p>
        </w:tc>
        <w:tc>
          <w:tcPr>
            <w:tcW w:w="1363" w:type="dxa"/>
            <w:tcBorders>
              <w:tl2br w:val="nil"/>
              <w:tr2bl w:val="nil"/>
            </w:tcBorders>
            <w:noWrap w:val="0"/>
            <w:vAlign w:val="center"/>
          </w:tcPr>
          <w:p w14:paraId="3061C3C1">
            <w:pPr>
              <w:spacing w:line="240" w:lineRule="auto"/>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0</w:t>
            </w:r>
          </w:p>
        </w:tc>
      </w:tr>
      <w:tr w14:paraId="552D834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61" w:type="dxa"/>
            <w:vMerge w:val="continue"/>
            <w:tcBorders>
              <w:tl2br w:val="nil"/>
              <w:tr2bl w:val="nil"/>
            </w:tcBorders>
            <w:noWrap w:val="0"/>
            <w:vAlign w:val="center"/>
          </w:tcPr>
          <w:p w14:paraId="6FA40AC8">
            <w:pPr>
              <w:spacing w:line="240" w:lineRule="auto"/>
              <w:ind w:firstLine="0" w:firstLineChars="0"/>
              <w:jc w:val="center"/>
              <w:rPr>
                <w:rFonts w:hint="eastAsia" w:ascii="宋体" w:hAnsi="宋体" w:eastAsia="宋体" w:cs="宋体"/>
                <w:color w:val="auto"/>
                <w:sz w:val="21"/>
                <w:szCs w:val="21"/>
                <w:highlight w:val="none"/>
              </w:rPr>
            </w:pPr>
          </w:p>
        </w:tc>
        <w:tc>
          <w:tcPr>
            <w:tcW w:w="1912" w:type="dxa"/>
            <w:tcBorders>
              <w:tl2br w:val="nil"/>
              <w:tr2bl w:val="nil"/>
            </w:tcBorders>
            <w:noWrap w:val="0"/>
            <w:vAlign w:val="center"/>
          </w:tcPr>
          <w:p w14:paraId="2EE520C7">
            <w:pPr>
              <w:spacing w:line="240" w:lineRule="auto"/>
              <w:ind w:firstLine="0" w:firstLineChars="0"/>
              <w:jc w:val="center"/>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食堂油烟</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kg</w:t>
            </w:r>
            <w:r>
              <w:rPr>
                <w:rFonts w:hint="eastAsia" w:ascii="宋体" w:hAnsi="宋体" w:eastAsia="宋体" w:cs="宋体"/>
                <w:color w:val="auto"/>
                <w:sz w:val="21"/>
                <w:szCs w:val="21"/>
                <w:highlight w:val="none"/>
              </w:rPr>
              <w:t>/a)</w:t>
            </w:r>
          </w:p>
        </w:tc>
        <w:tc>
          <w:tcPr>
            <w:tcW w:w="1004" w:type="dxa"/>
            <w:tcBorders>
              <w:tl2br w:val="nil"/>
              <w:tr2bl w:val="nil"/>
            </w:tcBorders>
            <w:noWrap w:val="0"/>
            <w:vAlign w:val="center"/>
          </w:tcPr>
          <w:p w14:paraId="411C5E83">
            <w:pPr>
              <w:spacing w:line="240" w:lineRule="auto"/>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0.00585</w:t>
            </w:r>
          </w:p>
        </w:tc>
        <w:tc>
          <w:tcPr>
            <w:tcW w:w="1116" w:type="dxa"/>
            <w:tcBorders>
              <w:tl2br w:val="nil"/>
              <w:tr2bl w:val="nil"/>
            </w:tcBorders>
            <w:noWrap w:val="0"/>
            <w:vAlign w:val="center"/>
          </w:tcPr>
          <w:p w14:paraId="44862310">
            <w:pPr>
              <w:spacing w:line="240" w:lineRule="auto"/>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0</w:t>
            </w:r>
          </w:p>
        </w:tc>
        <w:tc>
          <w:tcPr>
            <w:tcW w:w="1170" w:type="dxa"/>
            <w:tcBorders>
              <w:tl2br w:val="nil"/>
              <w:tr2bl w:val="nil"/>
            </w:tcBorders>
            <w:noWrap w:val="0"/>
            <w:vAlign w:val="center"/>
          </w:tcPr>
          <w:p w14:paraId="7A7F78F6">
            <w:pPr>
              <w:spacing w:line="240" w:lineRule="auto"/>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0</w:t>
            </w:r>
          </w:p>
        </w:tc>
        <w:tc>
          <w:tcPr>
            <w:tcW w:w="1302" w:type="dxa"/>
            <w:tcBorders>
              <w:tl2br w:val="nil"/>
              <w:tr2bl w:val="nil"/>
            </w:tcBorders>
            <w:noWrap w:val="0"/>
            <w:vAlign w:val="center"/>
          </w:tcPr>
          <w:p w14:paraId="2743FF48">
            <w:pPr>
              <w:spacing w:line="240" w:lineRule="auto"/>
              <w:ind w:firstLine="0" w:firstLineChars="0"/>
              <w:jc w:val="center"/>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0.00585</w:t>
            </w:r>
          </w:p>
        </w:tc>
        <w:tc>
          <w:tcPr>
            <w:tcW w:w="1363" w:type="dxa"/>
            <w:tcBorders>
              <w:tl2br w:val="nil"/>
              <w:tr2bl w:val="nil"/>
            </w:tcBorders>
            <w:noWrap w:val="0"/>
            <w:vAlign w:val="center"/>
          </w:tcPr>
          <w:p w14:paraId="7A7EEF28">
            <w:pPr>
              <w:spacing w:line="240" w:lineRule="auto"/>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0</w:t>
            </w:r>
          </w:p>
        </w:tc>
      </w:tr>
      <w:tr w14:paraId="5F5DDBB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61" w:type="dxa"/>
            <w:vMerge w:val="continue"/>
            <w:tcBorders>
              <w:tl2br w:val="nil"/>
              <w:tr2bl w:val="nil"/>
            </w:tcBorders>
            <w:noWrap w:val="0"/>
            <w:vAlign w:val="center"/>
          </w:tcPr>
          <w:p w14:paraId="6B05E612">
            <w:pPr>
              <w:spacing w:line="240" w:lineRule="auto"/>
              <w:ind w:firstLine="0" w:firstLineChars="0"/>
              <w:jc w:val="center"/>
              <w:rPr>
                <w:rFonts w:hint="eastAsia" w:ascii="宋体" w:hAnsi="宋体" w:eastAsia="宋体" w:cs="宋体"/>
                <w:color w:val="auto"/>
                <w:sz w:val="21"/>
                <w:szCs w:val="21"/>
                <w:highlight w:val="none"/>
              </w:rPr>
            </w:pPr>
          </w:p>
        </w:tc>
        <w:tc>
          <w:tcPr>
            <w:tcW w:w="1912" w:type="dxa"/>
            <w:tcBorders>
              <w:tl2br w:val="nil"/>
              <w:tr2bl w:val="nil"/>
            </w:tcBorders>
            <w:noWrap w:val="0"/>
            <w:vAlign w:val="center"/>
          </w:tcPr>
          <w:p w14:paraId="3C338F76">
            <w:pPr>
              <w:spacing w:line="240" w:lineRule="auto"/>
              <w:ind w:firstLine="0" w:firstLineChars="0"/>
              <w:jc w:val="center"/>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甲基磺酸</w:t>
            </w:r>
            <w:r>
              <w:rPr>
                <w:rFonts w:hint="eastAsia" w:ascii="宋体" w:hAnsi="宋体" w:cs="宋体"/>
                <w:color w:val="auto"/>
                <w:sz w:val="21"/>
                <w:szCs w:val="21"/>
                <w:highlight w:val="none"/>
                <w:lang w:val="en-US" w:eastAsia="zh-CN"/>
              </w:rPr>
              <w:t>kg</w:t>
            </w:r>
            <w:r>
              <w:rPr>
                <w:rFonts w:hint="eastAsia" w:ascii="宋体" w:hAnsi="宋体" w:eastAsia="宋体" w:cs="宋体"/>
                <w:color w:val="auto"/>
                <w:sz w:val="21"/>
                <w:szCs w:val="21"/>
                <w:highlight w:val="none"/>
              </w:rPr>
              <w:t>/a</w:t>
            </w:r>
          </w:p>
          <w:p w14:paraId="64AD8749">
            <w:pPr>
              <w:spacing w:line="240" w:lineRule="auto"/>
              <w:ind w:firstLine="0" w:firstLineChars="0"/>
              <w:jc w:val="center"/>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（非甲烷总烃）</w:t>
            </w:r>
          </w:p>
        </w:tc>
        <w:tc>
          <w:tcPr>
            <w:tcW w:w="1004" w:type="dxa"/>
            <w:tcBorders>
              <w:tl2br w:val="nil"/>
              <w:tr2bl w:val="nil"/>
            </w:tcBorders>
            <w:noWrap w:val="0"/>
            <w:vAlign w:val="center"/>
          </w:tcPr>
          <w:p w14:paraId="71E57F19">
            <w:pPr>
              <w:spacing w:line="240" w:lineRule="auto"/>
              <w:ind w:firstLine="0" w:firstLineChars="0"/>
              <w:jc w:val="center"/>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0</w:t>
            </w:r>
          </w:p>
        </w:tc>
        <w:tc>
          <w:tcPr>
            <w:tcW w:w="1116" w:type="dxa"/>
            <w:tcBorders>
              <w:tl2br w:val="nil"/>
              <w:tr2bl w:val="nil"/>
            </w:tcBorders>
            <w:noWrap w:val="0"/>
            <w:vAlign w:val="center"/>
          </w:tcPr>
          <w:p w14:paraId="30D60C4C">
            <w:pPr>
              <w:spacing w:line="240" w:lineRule="auto"/>
              <w:ind w:firstLine="0" w:firstLineChars="0"/>
              <w:jc w:val="center"/>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1.059</w:t>
            </w:r>
          </w:p>
        </w:tc>
        <w:tc>
          <w:tcPr>
            <w:tcW w:w="1170" w:type="dxa"/>
            <w:tcBorders>
              <w:tl2br w:val="nil"/>
              <w:tr2bl w:val="nil"/>
            </w:tcBorders>
            <w:noWrap w:val="0"/>
            <w:vAlign w:val="center"/>
          </w:tcPr>
          <w:p w14:paraId="4CC6A859">
            <w:pPr>
              <w:spacing w:line="240" w:lineRule="auto"/>
              <w:ind w:firstLine="0" w:firstLineChars="0"/>
              <w:jc w:val="center"/>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0</w:t>
            </w:r>
          </w:p>
        </w:tc>
        <w:tc>
          <w:tcPr>
            <w:tcW w:w="1302" w:type="dxa"/>
            <w:tcBorders>
              <w:tl2br w:val="nil"/>
              <w:tr2bl w:val="nil"/>
            </w:tcBorders>
            <w:noWrap w:val="0"/>
            <w:vAlign w:val="center"/>
          </w:tcPr>
          <w:p w14:paraId="3B3F1E1D">
            <w:pPr>
              <w:spacing w:line="240" w:lineRule="auto"/>
              <w:ind w:firstLine="0" w:firstLineChars="0"/>
              <w:jc w:val="center"/>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1.059</w:t>
            </w:r>
          </w:p>
        </w:tc>
        <w:tc>
          <w:tcPr>
            <w:tcW w:w="1363" w:type="dxa"/>
            <w:tcBorders>
              <w:tl2br w:val="nil"/>
              <w:tr2bl w:val="nil"/>
            </w:tcBorders>
            <w:noWrap w:val="0"/>
            <w:vAlign w:val="center"/>
          </w:tcPr>
          <w:p w14:paraId="2D1C5B95">
            <w:pPr>
              <w:spacing w:line="240" w:lineRule="auto"/>
              <w:ind w:firstLine="0" w:firstLineChars="0"/>
              <w:jc w:val="center"/>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+1.059</w:t>
            </w:r>
          </w:p>
        </w:tc>
      </w:tr>
      <w:tr w14:paraId="475ED0C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4" w:hRule="atLeast"/>
        </w:trPr>
        <w:tc>
          <w:tcPr>
            <w:tcW w:w="661" w:type="dxa"/>
            <w:vMerge w:val="restart"/>
            <w:tcBorders>
              <w:tl2br w:val="nil"/>
              <w:tr2bl w:val="nil"/>
            </w:tcBorders>
            <w:noWrap w:val="0"/>
            <w:vAlign w:val="center"/>
          </w:tcPr>
          <w:p w14:paraId="6107DDBD">
            <w:pPr>
              <w:spacing w:line="240" w:lineRule="auto"/>
              <w:ind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固体废物</w:t>
            </w:r>
          </w:p>
        </w:tc>
        <w:tc>
          <w:tcPr>
            <w:tcW w:w="1912" w:type="dxa"/>
            <w:tcBorders>
              <w:tl2br w:val="nil"/>
              <w:tr2bl w:val="nil"/>
            </w:tcBorders>
            <w:noWrap w:val="0"/>
            <w:vAlign w:val="center"/>
          </w:tcPr>
          <w:p w14:paraId="2FEDCB9E">
            <w:pPr>
              <w:spacing w:line="240" w:lineRule="auto"/>
              <w:ind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生活垃圾(t/a)</w:t>
            </w:r>
          </w:p>
        </w:tc>
        <w:tc>
          <w:tcPr>
            <w:tcW w:w="1004" w:type="dxa"/>
            <w:tcBorders>
              <w:tl2br w:val="nil"/>
              <w:tr2bl w:val="nil"/>
            </w:tcBorders>
            <w:noWrap w:val="0"/>
            <w:vAlign w:val="center"/>
          </w:tcPr>
          <w:p w14:paraId="25EE6900">
            <w:pPr>
              <w:spacing w:line="240" w:lineRule="auto"/>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5.985</w:t>
            </w:r>
          </w:p>
        </w:tc>
        <w:tc>
          <w:tcPr>
            <w:tcW w:w="1116" w:type="dxa"/>
            <w:tcBorders>
              <w:tl2br w:val="nil"/>
              <w:tr2bl w:val="nil"/>
            </w:tcBorders>
            <w:noWrap w:val="0"/>
            <w:vAlign w:val="center"/>
          </w:tcPr>
          <w:p w14:paraId="12F3522B">
            <w:pPr>
              <w:spacing w:line="240" w:lineRule="auto"/>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1.5</w:t>
            </w:r>
          </w:p>
        </w:tc>
        <w:tc>
          <w:tcPr>
            <w:tcW w:w="1170" w:type="dxa"/>
            <w:tcBorders>
              <w:tl2br w:val="nil"/>
              <w:tr2bl w:val="nil"/>
            </w:tcBorders>
            <w:noWrap w:val="0"/>
            <w:vAlign w:val="center"/>
          </w:tcPr>
          <w:p w14:paraId="28051732">
            <w:pPr>
              <w:spacing w:line="240" w:lineRule="auto"/>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0</w:t>
            </w:r>
          </w:p>
        </w:tc>
        <w:tc>
          <w:tcPr>
            <w:tcW w:w="1302" w:type="dxa"/>
            <w:tcBorders>
              <w:tl2br w:val="nil"/>
              <w:tr2bl w:val="nil"/>
            </w:tcBorders>
            <w:noWrap w:val="0"/>
            <w:vAlign w:val="center"/>
          </w:tcPr>
          <w:p w14:paraId="14DBE9D8">
            <w:pPr>
              <w:spacing w:line="240" w:lineRule="auto"/>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7.485</w:t>
            </w:r>
          </w:p>
        </w:tc>
        <w:tc>
          <w:tcPr>
            <w:tcW w:w="1363" w:type="dxa"/>
            <w:tcBorders>
              <w:tl2br w:val="nil"/>
              <w:tr2bl w:val="nil"/>
            </w:tcBorders>
            <w:noWrap w:val="0"/>
            <w:vAlign w:val="center"/>
          </w:tcPr>
          <w:p w14:paraId="2BF1FCB2">
            <w:pPr>
              <w:spacing w:line="240" w:lineRule="auto"/>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+1.5</w:t>
            </w:r>
          </w:p>
        </w:tc>
      </w:tr>
      <w:tr w14:paraId="6716045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4" w:hRule="atLeast"/>
        </w:trPr>
        <w:tc>
          <w:tcPr>
            <w:tcW w:w="661" w:type="dxa"/>
            <w:vMerge w:val="continue"/>
            <w:tcBorders>
              <w:tl2br w:val="nil"/>
              <w:tr2bl w:val="nil"/>
            </w:tcBorders>
            <w:noWrap w:val="0"/>
            <w:vAlign w:val="center"/>
          </w:tcPr>
          <w:p w14:paraId="210D3852">
            <w:pPr>
              <w:spacing w:line="240" w:lineRule="auto"/>
              <w:ind w:firstLine="0" w:firstLineChars="0"/>
              <w:jc w:val="center"/>
              <w:rPr>
                <w:rFonts w:hint="eastAsia" w:ascii="宋体" w:hAnsi="宋体" w:eastAsia="宋体" w:cs="宋体"/>
                <w:color w:val="auto"/>
                <w:sz w:val="21"/>
                <w:szCs w:val="21"/>
                <w:highlight w:val="none"/>
              </w:rPr>
            </w:pPr>
          </w:p>
        </w:tc>
        <w:tc>
          <w:tcPr>
            <w:tcW w:w="1912" w:type="dxa"/>
            <w:tcBorders>
              <w:tl2br w:val="nil"/>
              <w:tr2bl w:val="nil"/>
            </w:tcBorders>
            <w:noWrap w:val="0"/>
            <w:vAlign w:val="center"/>
          </w:tcPr>
          <w:p w14:paraId="3FA0B75B">
            <w:pPr>
              <w:spacing w:line="240" w:lineRule="auto"/>
              <w:ind w:firstLine="0" w:firstLineChars="0"/>
              <w:jc w:val="center"/>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工频炉炉渣（</w:t>
            </w:r>
            <w:r>
              <w:rPr>
                <w:rFonts w:hint="eastAsia" w:ascii="宋体" w:hAnsi="宋体" w:eastAsia="宋体" w:cs="宋体"/>
                <w:color w:val="auto"/>
                <w:sz w:val="21"/>
                <w:szCs w:val="21"/>
                <w:highlight w:val="none"/>
              </w:rPr>
              <w:t>t/a</w:t>
            </w:r>
            <w:r>
              <w:rPr>
                <w:rFonts w:hint="eastAsia" w:ascii="宋体" w:hAnsi="宋体" w:cs="宋体"/>
                <w:color w:val="auto"/>
                <w:sz w:val="21"/>
                <w:szCs w:val="21"/>
                <w:highlight w:val="none"/>
                <w:lang w:eastAsia="zh-CN"/>
              </w:rPr>
              <w:t>）</w:t>
            </w:r>
          </w:p>
        </w:tc>
        <w:tc>
          <w:tcPr>
            <w:tcW w:w="1004" w:type="dxa"/>
            <w:tcBorders>
              <w:tl2br w:val="nil"/>
              <w:tr2bl w:val="nil"/>
            </w:tcBorders>
            <w:noWrap w:val="0"/>
            <w:vAlign w:val="center"/>
          </w:tcPr>
          <w:p w14:paraId="52EA8625">
            <w:pPr>
              <w:spacing w:line="240" w:lineRule="auto"/>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1.2</w:t>
            </w:r>
          </w:p>
        </w:tc>
        <w:tc>
          <w:tcPr>
            <w:tcW w:w="1116" w:type="dxa"/>
            <w:tcBorders>
              <w:tl2br w:val="nil"/>
              <w:tr2bl w:val="nil"/>
            </w:tcBorders>
            <w:noWrap w:val="0"/>
            <w:vAlign w:val="center"/>
          </w:tcPr>
          <w:p w14:paraId="02B2CE0D">
            <w:pPr>
              <w:spacing w:line="240" w:lineRule="auto"/>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0</w:t>
            </w:r>
          </w:p>
        </w:tc>
        <w:tc>
          <w:tcPr>
            <w:tcW w:w="1170" w:type="dxa"/>
            <w:tcBorders>
              <w:tl2br w:val="nil"/>
              <w:tr2bl w:val="nil"/>
            </w:tcBorders>
            <w:noWrap w:val="0"/>
            <w:vAlign w:val="center"/>
          </w:tcPr>
          <w:p w14:paraId="56A5C4BB">
            <w:pPr>
              <w:spacing w:line="240" w:lineRule="auto"/>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0</w:t>
            </w:r>
          </w:p>
        </w:tc>
        <w:tc>
          <w:tcPr>
            <w:tcW w:w="1302" w:type="dxa"/>
            <w:tcBorders>
              <w:tl2br w:val="nil"/>
              <w:tr2bl w:val="nil"/>
            </w:tcBorders>
            <w:noWrap w:val="0"/>
            <w:vAlign w:val="center"/>
          </w:tcPr>
          <w:p w14:paraId="2CC49754">
            <w:pPr>
              <w:spacing w:line="240" w:lineRule="auto"/>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1.2</w:t>
            </w:r>
          </w:p>
        </w:tc>
        <w:tc>
          <w:tcPr>
            <w:tcW w:w="1363" w:type="dxa"/>
            <w:tcBorders>
              <w:tl2br w:val="nil"/>
              <w:tr2bl w:val="nil"/>
            </w:tcBorders>
            <w:noWrap w:val="0"/>
            <w:vAlign w:val="center"/>
          </w:tcPr>
          <w:p w14:paraId="1D793851">
            <w:pPr>
              <w:spacing w:line="240" w:lineRule="auto"/>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0</w:t>
            </w:r>
          </w:p>
        </w:tc>
      </w:tr>
      <w:tr w14:paraId="62D0503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4" w:hRule="atLeast"/>
        </w:trPr>
        <w:tc>
          <w:tcPr>
            <w:tcW w:w="661" w:type="dxa"/>
            <w:vMerge w:val="continue"/>
            <w:tcBorders>
              <w:tl2br w:val="nil"/>
              <w:tr2bl w:val="nil"/>
            </w:tcBorders>
            <w:noWrap w:val="0"/>
            <w:vAlign w:val="center"/>
          </w:tcPr>
          <w:p w14:paraId="54606162">
            <w:pPr>
              <w:spacing w:line="240" w:lineRule="auto"/>
              <w:ind w:firstLine="0" w:firstLineChars="0"/>
              <w:jc w:val="center"/>
              <w:rPr>
                <w:rFonts w:hint="eastAsia" w:ascii="宋体" w:hAnsi="宋体" w:eastAsia="宋体" w:cs="宋体"/>
                <w:color w:val="auto"/>
                <w:sz w:val="21"/>
                <w:szCs w:val="21"/>
                <w:highlight w:val="none"/>
              </w:rPr>
            </w:pPr>
          </w:p>
        </w:tc>
        <w:tc>
          <w:tcPr>
            <w:tcW w:w="1912" w:type="dxa"/>
            <w:tcBorders>
              <w:tl2br w:val="nil"/>
              <w:tr2bl w:val="nil"/>
            </w:tcBorders>
            <w:noWrap w:val="0"/>
            <w:vAlign w:val="center"/>
          </w:tcPr>
          <w:p w14:paraId="676798FF">
            <w:pPr>
              <w:pStyle w:val="14"/>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溢料（</w:t>
            </w:r>
            <w:r>
              <w:rPr>
                <w:rFonts w:hint="eastAsia" w:ascii="宋体" w:hAnsi="宋体" w:eastAsia="宋体" w:cs="宋体"/>
                <w:color w:val="auto"/>
                <w:sz w:val="21"/>
                <w:szCs w:val="21"/>
                <w:highlight w:val="none"/>
              </w:rPr>
              <w:t>t/a</w:t>
            </w:r>
            <w:r>
              <w:rPr>
                <w:rFonts w:hint="eastAsia" w:ascii="宋体" w:hAnsi="宋体" w:cs="宋体"/>
                <w:color w:val="auto"/>
                <w:sz w:val="21"/>
                <w:szCs w:val="21"/>
                <w:highlight w:val="none"/>
                <w:lang w:eastAsia="zh-CN"/>
              </w:rPr>
              <w:t>）</w:t>
            </w:r>
          </w:p>
        </w:tc>
        <w:tc>
          <w:tcPr>
            <w:tcW w:w="1004" w:type="dxa"/>
            <w:tcBorders>
              <w:tl2br w:val="nil"/>
              <w:tr2bl w:val="nil"/>
            </w:tcBorders>
            <w:noWrap w:val="0"/>
            <w:vAlign w:val="center"/>
          </w:tcPr>
          <w:p w14:paraId="4546B9B1">
            <w:pPr>
              <w:pStyle w:val="14"/>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30</w:t>
            </w:r>
          </w:p>
        </w:tc>
        <w:tc>
          <w:tcPr>
            <w:tcW w:w="1116" w:type="dxa"/>
            <w:tcBorders>
              <w:tl2br w:val="nil"/>
              <w:tr2bl w:val="nil"/>
            </w:tcBorders>
            <w:noWrap w:val="0"/>
            <w:vAlign w:val="center"/>
          </w:tcPr>
          <w:p w14:paraId="26E8B8DC">
            <w:pPr>
              <w:spacing w:line="240" w:lineRule="auto"/>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0</w:t>
            </w:r>
          </w:p>
        </w:tc>
        <w:tc>
          <w:tcPr>
            <w:tcW w:w="1170" w:type="dxa"/>
            <w:tcBorders>
              <w:tl2br w:val="nil"/>
              <w:tr2bl w:val="nil"/>
            </w:tcBorders>
            <w:noWrap w:val="0"/>
            <w:vAlign w:val="center"/>
          </w:tcPr>
          <w:p w14:paraId="7194948A">
            <w:pPr>
              <w:spacing w:line="240" w:lineRule="auto"/>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0</w:t>
            </w:r>
          </w:p>
        </w:tc>
        <w:tc>
          <w:tcPr>
            <w:tcW w:w="1302" w:type="dxa"/>
            <w:tcBorders>
              <w:tl2br w:val="nil"/>
              <w:tr2bl w:val="nil"/>
            </w:tcBorders>
            <w:noWrap w:val="0"/>
            <w:vAlign w:val="center"/>
          </w:tcPr>
          <w:p w14:paraId="48779391">
            <w:pPr>
              <w:spacing w:line="240" w:lineRule="auto"/>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30</w:t>
            </w:r>
          </w:p>
        </w:tc>
        <w:tc>
          <w:tcPr>
            <w:tcW w:w="1363" w:type="dxa"/>
            <w:tcBorders>
              <w:tl2br w:val="nil"/>
              <w:tr2bl w:val="nil"/>
            </w:tcBorders>
            <w:noWrap w:val="0"/>
            <w:vAlign w:val="center"/>
          </w:tcPr>
          <w:p w14:paraId="036D81B5">
            <w:pPr>
              <w:pStyle w:val="14"/>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0</w:t>
            </w:r>
          </w:p>
        </w:tc>
      </w:tr>
      <w:tr w14:paraId="189DA02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4" w:hRule="atLeast"/>
        </w:trPr>
        <w:tc>
          <w:tcPr>
            <w:tcW w:w="661" w:type="dxa"/>
            <w:vMerge w:val="continue"/>
            <w:tcBorders>
              <w:tl2br w:val="nil"/>
              <w:tr2bl w:val="nil"/>
            </w:tcBorders>
            <w:noWrap w:val="0"/>
            <w:vAlign w:val="center"/>
          </w:tcPr>
          <w:p w14:paraId="76361581">
            <w:pPr>
              <w:spacing w:line="240" w:lineRule="auto"/>
              <w:ind w:firstLine="0" w:firstLineChars="0"/>
              <w:jc w:val="center"/>
              <w:rPr>
                <w:rFonts w:hint="eastAsia" w:ascii="宋体" w:hAnsi="宋体" w:eastAsia="宋体" w:cs="宋体"/>
                <w:color w:val="auto"/>
                <w:sz w:val="21"/>
                <w:szCs w:val="21"/>
                <w:highlight w:val="none"/>
              </w:rPr>
            </w:pPr>
          </w:p>
        </w:tc>
        <w:tc>
          <w:tcPr>
            <w:tcW w:w="1912" w:type="dxa"/>
            <w:tcBorders>
              <w:tl2br w:val="nil"/>
              <w:tr2bl w:val="nil"/>
            </w:tcBorders>
            <w:noWrap w:val="0"/>
            <w:vAlign w:val="center"/>
          </w:tcPr>
          <w:p w14:paraId="272D7E04">
            <w:pPr>
              <w:pStyle w:val="14"/>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铜削（</w:t>
            </w:r>
            <w:r>
              <w:rPr>
                <w:rFonts w:hint="eastAsia" w:ascii="宋体" w:hAnsi="宋体" w:eastAsia="宋体" w:cs="宋体"/>
                <w:color w:val="auto"/>
                <w:sz w:val="21"/>
                <w:szCs w:val="21"/>
                <w:highlight w:val="none"/>
              </w:rPr>
              <w:t>t/a</w:t>
            </w:r>
            <w:r>
              <w:rPr>
                <w:rFonts w:hint="eastAsia" w:ascii="宋体" w:hAnsi="宋体" w:cs="宋体"/>
                <w:color w:val="auto"/>
                <w:sz w:val="21"/>
                <w:szCs w:val="21"/>
                <w:highlight w:val="none"/>
                <w:lang w:eastAsia="zh-CN"/>
              </w:rPr>
              <w:t>）</w:t>
            </w:r>
          </w:p>
        </w:tc>
        <w:tc>
          <w:tcPr>
            <w:tcW w:w="1004" w:type="dxa"/>
            <w:tcBorders>
              <w:tl2br w:val="nil"/>
              <w:tr2bl w:val="nil"/>
            </w:tcBorders>
            <w:noWrap w:val="0"/>
            <w:vAlign w:val="center"/>
          </w:tcPr>
          <w:p w14:paraId="2A60CEE5">
            <w:pPr>
              <w:pStyle w:val="14"/>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3</w:t>
            </w:r>
          </w:p>
        </w:tc>
        <w:tc>
          <w:tcPr>
            <w:tcW w:w="1116" w:type="dxa"/>
            <w:tcBorders>
              <w:tl2br w:val="nil"/>
              <w:tr2bl w:val="nil"/>
            </w:tcBorders>
            <w:noWrap w:val="0"/>
            <w:vAlign w:val="center"/>
          </w:tcPr>
          <w:p w14:paraId="165A59BC">
            <w:pPr>
              <w:spacing w:line="240" w:lineRule="auto"/>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0</w:t>
            </w:r>
          </w:p>
        </w:tc>
        <w:tc>
          <w:tcPr>
            <w:tcW w:w="1170" w:type="dxa"/>
            <w:tcBorders>
              <w:tl2br w:val="nil"/>
              <w:tr2bl w:val="nil"/>
            </w:tcBorders>
            <w:noWrap w:val="0"/>
            <w:vAlign w:val="center"/>
          </w:tcPr>
          <w:p w14:paraId="3362795F">
            <w:pPr>
              <w:spacing w:line="240" w:lineRule="auto"/>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0</w:t>
            </w:r>
          </w:p>
        </w:tc>
        <w:tc>
          <w:tcPr>
            <w:tcW w:w="1302" w:type="dxa"/>
            <w:tcBorders>
              <w:tl2br w:val="nil"/>
              <w:tr2bl w:val="nil"/>
            </w:tcBorders>
            <w:noWrap w:val="0"/>
            <w:vAlign w:val="center"/>
          </w:tcPr>
          <w:p w14:paraId="13E7D955">
            <w:pPr>
              <w:spacing w:line="240" w:lineRule="auto"/>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3</w:t>
            </w:r>
          </w:p>
        </w:tc>
        <w:tc>
          <w:tcPr>
            <w:tcW w:w="1363" w:type="dxa"/>
            <w:tcBorders>
              <w:tl2br w:val="nil"/>
              <w:tr2bl w:val="nil"/>
            </w:tcBorders>
            <w:noWrap w:val="0"/>
            <w:vAlign w:val="center"/>
          </w:tcPr>
          <w:p w14:paraId="2B1B7F5F">
            <w:pPr>
              <w:pStyle w:val="14"/>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0</w:t>
            </w:r>
          </w:p>
        </w:tc>
      </w:tr>
      <w:tr w14:paraId="24EA5BF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4" w:hRule="atLeast"/>
        </w:trPr>
        <w:tc>
          <w:tcPr>
            <w:tcW w:w="661" w:type="dxa"/>
            <w:vMerge w:val="continue"/>
            <w:tcBorders>
              <w:tl2br w:val="nil"/>
              <w:tr2bl w:val="nil"/>
            </w:tcBorders>
            <w:noWrap w:val="0"/>
            <w:vAlign w:val="center"/>
          </w:tcPr>
          <w:p w14:paraId="4E8266C6">
            <w:pPr>
              <w:spacing w:line="240" w:lineRule="auto"/>
              <w:ind w:firstLine="0" w:firstLineChars="0"/>
              <w:jc w:val="center"/>
              <w:rPr>
                <w:rFonts w:hint="eastAsia" w:ascii="宋体" w:hAnsi="宋体" w:eastAsia="宋体" w:cs="宋体"/>
                <w:color w:val="auto"/>
                <w:sz w:val="21"/>
                <w:szCs w:val="21"/>
                <w:highlight w:val="none"/>
              </w:rPr>
            </w:pPr>
          </w:p>
        </w:tc>
        <w:tc>
          <w:tcPr>
            <w:tcW w:w="1912" w:type="dxa"/>
            <w:tcBorders>
              <w:tl2br w:val="nil"/>
              <w:tr2bl w:val="nil"/>
            </w:tcBorders>
            <w:noWrap w:val="0"/>
            <w:vAlign w:val="center"/>
          </w:tcPr>
          <w:p w14:paraId="4AE9C766">
            <w:pPr>
              <w:pStyle w:val="72"/>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sz w:val="21"/>
                <w:szCs w:val="21"/>
                <w:highlight w:val="none"/>
                <w:lang w:val="en-US" w:eastAsia="zh-CN"/>
              </w:rPr>
              <w:t>废槽液</w:t>
            </w:r>
          </w:p>
        </w:tc>
        <w:tc>
          <w:tcPr>
            <w:tcW w:w="1004" w:type="dxa"/>
            <w:tcBorders>
              <w:tl2br w:val="nil"/>
              <w:tr2bl w:val="nil"/>
            </w:tcBorders>
            <w:noWrap w:val="0"/>
            <w:vAlign w:val="center"/>
          </w:tcPr>
          <w:p w14:paraId="2A0DC81A">
            <w:pPr>
              <w:spacing w:line="240" w:lineRule="auto"/>
              <w:ind w:firstLine="0" w:firstLineChars="0"/>
              <w:jc w:val="center"/>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0</w:t>
            </w:r>
          </w:p>
        </w:tc>
        <w:tc>
          <w:tcPr>
            <w:tcW w:w="1116" w:type="dxa"/>
            <w:tcBorders>
              <w:tl2br w:val="nil"/>
              <w:tr2bl w:val="nil"/>
            </w:tcBorders>
            <w:noWrap w:val="0"/>
            <w:vAlign w:val="center"/>
          </w:tcPr>
          <w:p w14:paraId="16C95D35">
            <w:pPr>
              <w:pStyle w:val="72"/>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sz w:val="21"/>
                <w:szCs w:val="21"/>
                <w:highlight w:val="none"/>
                <w:vertAlign w:val="baseline"/>
                <w:lang w:val="en-US" w:eastAsia="zh-CN"/>
              </w:rPr>
              <w:t>2</w:t>
            </w:r>
          </w:p>
        </w:tc>
        <w:tc>
          <w:tcPr>
            <w:tcW w:w="1170" w:type="dxa"/>
            <w:tcBorders>
              <w:tl2br w:val="nil"/>
              <w:tr2bl w:val="nil"/>
            </w:tcBorders>
            <w:noWrap w:val="0"/>
            <w:vAlign w:val="center"/>
          </w:tcPr>
          <w:p w14:paraId="369D0A63">
            <w:pPr>
              <w:spacing w:line="240" w:lineRule="auto"/>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0</w:t>
            </w:r>
          </w:p>
        </w:tc>
        <w:tc>
          <w:tcPr>
            <w:tcW w:w="1302" w:type="dxa"/>
            <w:tcBorders>
              <w:tl2br w:val="nil"/>
              <w:tr2bl w:val="nil"/>
            </w:tcBorders>
            <w:noWrap w:val="0"/>
            <w:vAlign w:val="center"/>
          </w:tcPr>
          <w:p w14:paraId="501E1DFF">
            <w:pPr>
              <w:pStyle w:val="72"/>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sz w:val="21"/>
                <w:szCs w:val="21"/>
                <w:highlight w:val="none"/>
                <w:vertAlign w:val="baseline"/>
                <w:lang w:val="en-US" w:eastAsia="zh-CN"/>
              </w:rPr>
              <w:t>2</w:t>
            </w:r>
          </w:p>
        </w:tc>
        <w:tc>
          <w:tcPr>
            <w:tcW w:w="1363" w:type="dxa"/>
            <w:tcBorders>
              <w:tl2br w:val="nil"/>
              <w:tr2bl w:val="nil"/>
            </w:tcBorders>
            <w:noWrap w:val="0"/>
            <w:vAlign w:val="center"/>
          </w:tcPr>
          <w:p w14:paraId="2E2D494C">
            <w:pPr>
              <w:pStyle w:val="72"/>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sz w:val="21"/>
                <w:szCs w:val="21"/>
                <w:highlight w:val="none"/>
                <w:vertAlign w:val="baseline"/>
                <w:lang w:val="en-US" w:eastAsia="zh-CN"/>
              </w:rPr>
              <w:t>+2</w:t>
            </w:r>
          </w:p>
        </w:tc>
      </w:tr>
      <w:tr w14:paraId="5AEE7D6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4" w:hRule="atLeast"/>
        </w:trPr>
        <w:tc>
          <w:tcPr>
            <w:tcW w:w="661" w:type="dxa"/>
            <w:vMerge w:val="continue"/>
            <w:tcBorders>
              <w:tl2br w:val="nil"/>
              <w:tr2bl w:val="nil"/>
            </w:tcBorders>
            <w:noWrap w:val="0"/>
            <w:vAlign w:val="center"/>
          </w:tcPr>
          <w:p w14:paraId="5FC5B9A1">
            <w:pPr>
              <w:spacing w:line="240" w:lineRule="auto"/>
              <w:ind w:firstLine="0" w:firstLineChars="0"/>
              <w:jc w:val="center"/>
              <w:rPr>
                <w:rFonts w:hint="eastAsia" w:ascii="宋体" w:hAnsi="宋体" w:eastAsia="宋体" w:cs="宋体"/>
                <w:color w:val="auto"/>
                <w:sz w:val="21"/>
                <w:szCs w:val="21"/>
                <w:highlight w:val="none"/>
              </w:rPr>
            </w:pPr>
          </w:p>
        </w:tc>
        <w:tc>
          <w:tcPr>
            <w:tcW w:w="1912" w:type="dxa"/>
            <w:tcBorders>
              <w:tl2br w:val="nil"/>
              <w:tr2bl w:val="nil"/>
            </w:tcBorders>
            <w:noWrap w:val="0"/>
            <w:vAlign w:val="center"/>
          </w:tcPr>
          <w:p w14:paraId="28FAC36D">
            <w:pPr>
              <w:pStyle w:val="72"/>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sz w:val="21"/>
                <w:szCs w:val="21"/>
                <w:highlight w:val="none"/>
                <w:lang w:val="en-US" w:eastAsia="zh-CN"/>
              </w:rPr>
              <w:t>废吸收剂</w:t>
            </w:r>
          </w:p>
        </w:tc>
        <w:tc>
          <w:tcPr>
            <w:tcW w:w="1004" w:type="dxa"/>
            <w:tcBorders>
              <w:tl2br w:val="nil"/>
              <w:tr2bl w:val="nil"/>
            </w:tcBorders>
            <w:noWrap w:val="0"/>
            <w:vAlign w:val="center"/>
          </w:tcPr>
          <w:p w14:paraId="42572157">
            <w:pPr>
              <w:spacing w:line="240" w:lineRule="auto"/>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0</w:t>
            </w:r>
          </w:p>
        </w:tc>
        <w:tc>
          <w:tcPr>
            <w:tcW w:w="1116" w:type="dxa"/>
            <w:tcBorders>
              <w:tl2br w:val="nil"/>
              <w:tr2bl w:val="nil"/>
            </w:tcBorders>
            <w:noWrap w:val="0"/>
            <w:vAlign w:val="center"/>
          </w:tcPr>
          <w:p w14:paraId="16CA135B">
            <w:pPr>
              <w:pStyle w:val="72"/>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cs="宋体"/>
                <w:color w:val="auto"/>
                <w:sz w:val="21"/>
                <w:szCs w:val="21"/>
                <w:highlight w:val="none"/>
                <w:lang w:val="en-US" w:eastAsia="zh-CN"/>
              </w:rPr>
            </w:pPr>
            <w:r>
              <w:rPr>
                <w:rFonts w:hint="eastAsia" w:ascii="宋体" w:hAnsi="宋体" w:eastAsia="宋体" w:cs="宋体"/>
                <w:sz w:val="21"/>
                <w:szCs w:val="21"/>
                <w:highlight w:val="none"/>
                <w:vertAlign w:val="baseline"/>
                <w:lang w:val="en-US" w:eastAsia="zh-CN"/>
              </w:rPr>
              <w:t>0.1</w:t>
            </w:r>
          </w:p>
        </w:tc>
        <w:tc>
          <w:tcPr>
            <w:tcW w:w="1170" w:type="dxa"/>
            <w:tcBorders>
              <w:tl2br w:val="nil"/>
              <w:tr2bl w:val="nil"/>
            </w:tcBorders>
            <w:noWrap w:val="0"/>
            <w:vAlign w:val="center"/>
          </w:tcPr>
          <w:p w14:paraId="107DFD5C">
            <w:pPr>
              <w:spacing w:line="240" w:lineRule="auto"/>
              <w:ind w:firstLine="0" w:firstLineChars="0"/>
              <w:jc w:val="center"/>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0</w:t>
            </w:r>
          </w:p>
        </w:tc>
        <w:tc>
          <w:tcPr>
            <w:tcW w:w="1302" w:type="dxa"/>
            <w:tcBorders>
              <w:tl2br w:val="nil"/>
              <w:tr2bl w:val="nil"/>
            </w:tcBorders>
            <w:noWrap w:val="0"/>
            <w:vAlign w:val="center"/>
          </w:tcPr>
          <w:p w14:paraId="6AC2E013">
            <w:pPr>
              <w:pStyle w:val="72"/>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cs="宋体"/>
                <w:color w:val="auto"/>
                <w:sz w:val="21"/>
                <w:szCs w:val="21"/>
                <w:highlight w:val="none"/>
                <w:lang w:val="en-US" w:eastAsia="zh-CN"/>
              </w:rPr>
            </w:pPr>
            <w:r>
              <w:rPr>
                <w:rFonts w:hint="eastAsia" w:ascii="宋体" w:hAnsi="宋体" w:eastAsia="宋体" w:cs="宋体"/>
                <w:sz w:val="21"/>
                <w:szCs w:val="21"/>
                <w:highlight w:val="none"/>
                <w:vertAlign w:val="baseline"/>
                <w:lang w:val="en-US" w:eastAsia="zh-CN"/>
              </w:rPr>
              <w:t>0.1</w:t>
            </w:r>
          </w:p>
        </w:tc>
        <w:tc>
          <w:tcPr>
            <w:tcW w:w="1363" w:type="dxa"/>
            <w:tcBorders>
              <w:tl2br w:val="nil"/>
              <w:tr2bl w:val="nil"/>
            </w:tcBorders>
            <w:noWrap w:val="0"/>
            <w:vAlign w:val="center"/>
          </w:tcPr>
          <w:p w14:paraId="77712AC6">
            <w:pPr>
              <w:pStyle w:val="72"/>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cs="宋体"/>
                <w:color w:val="auto"/>
                <w:sz w:val="21"/>
                <w:szCs w:val="21"/>
                <w:highlight w:val="none"/>
                <w:lang w:val="en-US" w:eastAsia="zh-CN"/>
              </w:rPr>
            </w:pPr>
            <w:r>
              <w:rPr>
                <w:rFonts w:hint="eastAsia" w:ascii="宋体" w:hAnsi="宋体" w:eastAsia="宋体" w:cs="宋体"/>
                <w:sz w:val="21"/>
                <w:szCs w:val="21"/>
                <w:highlight w:val="none"/>
                <w:vertAlign w:val="baseline"/>
                <w:lang w:val="en-US" w:eastAsia="zh-CN"/>
              </w:rPr>
              <w:t>+0.1</w:t>
            </w:r>
          </w:p>
        </w:tc>
      </w:tr>
      <w:tr w14:paraId="2562209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4" w:hRule="atLeast"/>
        </w:trPr>
        <w:tc>
          <w:tcPr>
            <w:tcW w:w="661" w:type="dxa"/>
            <w:vMerge w:val="continue"/>
            <w:tcBorders>
              <w:tl2br w:val="nil"/>
              <w:tr2bl w:val="nil"/>
            </w:tcBorders>
            <w:noWrap w:val="0"/>
            <w:vAlign w:val="center"/>
          </w:tcPr>
          <w:p w14:paraId="0DC6CBD8">
            <w:pPr>
              <w:spacing w:line="240" w:lineRule="auto"/>
              <w:ind w:firstLine="0" w:firstLineChars="0"/>
              <w:jc w:val="center"/>
              <w:rPr>
                <w:rFonts w:hint="eastAsia" w:ascii="宋体" w:hAnsi="宋体" w:eastAsia="宋体" w:cs="宋体"/>
                <w:color w:val="auto"/>
                <w:sz w:val="21"/>
                <w:szCs w:val="21"/>
                <w:highlight w:val="none"/>
              </w:rPr>
            </w:pPr>
          </w:p>
        </w:tc>
        <w:tc>
          <w:tcPr>
            <w:tcW w:w="1912" w:type="dxa"/>
            <w:tcBorders>
              <w:tl2br w:val="nil"/>
              <w:tr2bl w:val="nil"/>
            </w:tcBorders>
            <w:noWrap w:val="0"/>
            <w:vAlign w:val="center"/>
          </w:tcPr>
          <w:p w14:paraId="3C9EEC05">
            <w:pPr>
              <w:pStyle w:val="72"/>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sz w:val="21"/>
                <w:szCs w:val="21"/>
                <w:highlight w:val="none"/>
                <w:lang w:val="en-US" w:eastAsia="zh-CN"/>
              </w:rPr>
              <w:t>电镀滤（废）渣和污泥</w:t>
            </w:r>
          </w:p>
        </w:tc>
        <w:tc>
          <w:tcPr>
            <w:tcW w:w="1004" w:type="dxa"/>
            <w:tcBorders>
              <w:tl2br w:val="nil"/>
              <w:tr2bl w:val="nil"/>
            </w:tcBorders>
            <w:noWrap w:val="0"/>
            <w:vAlign w:val="center"/>
          </w:tcPr>
          <w:p w14:paraId="04A373E3">
            <w:pPr>
              <w:spacing w:line="240" w:lineRule="auto"/>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0</w:t>
            </w:r>
          </w:p>
        </w:tc>
        <w:tc>
          <w:tcPr>
            <w:tcW w:w="1116" w:type="dxa"/>
            <w:tcBorders>
              <w:tl2br w:val="nil"/>
              <w:tr2bl w:val="nil"/>
            </w:tcBorders>
            <w:noWrap w:val="0"/>
            <w:vAlign w:val="center"/>
          </w:tcPr>
          <w:p w14:paraId="52F12E33">
            <w:pPr>
              <w:pStyle w:val="72"/>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cs="宋体"/>
                <w:color w:val="auto"/>
                <w:sz w:val="21"/>
                <w:szCs w:val="21"/>
                <w:highlight w:val="none"/>
                <w:lang w:val="en-US" w:eastAsia="zh-CN"/>
              </w:rPr>
            </w:pPr>
            <w:r>
              <w:rPr>
                <w:rFonts w:hint="eastAsia" w:ascii="宋体" w:hAnsi="宋体" w:eastAsia="宋体" w:cs="宋体"/>
                <w:sz w:val="21"/>
                <w:szCs w:val="21"/>
                <w:highlight w:val="none"/>
                <w:vertAlign w:val="baseline"/>
                <w:lang w:val="en-US" w:eastAsia="zh-CN"/>
              </w:rPr>
              <w:t>0.74</w:t>
            </w:r>
          </w:p>
        </w:tc>
        <w:tc>
          <w:tcPr>
            <w:tcW w:w="1170" w:type="dxa"/>
            <w:tcBorders>
              <w:tl2br w:val="nil"/>
              <w:tr2bl w:val="nil"/>
            </w:tcBorders>
            <w:noWrap w:val="0"/>
            <w:vAlign w:val="center"/>
          </w:tcPr>
          <w:p w14:paraId="068A9B00">
            <w:pPr>
              <w:spacing w:line="240" w:lineRule="auto"/>
              <w:ind w:firstLine="0" w:firstLineChars="0"/>
              <w:jc w:val="center"/>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0</w:t>
            </w:r>
          </w:p>
        </w:tc>
        <w:tc>
          <w:tcPr>
            <w:tcW w:w="1302" w:type="dxa"/>
            <w:tcBorders>
              <w:tl2br w:val="nil"/>
              <w:tr2bl w:val="nil"/>
            </w:tcBorders>
            <w:noWrap w:val="0"/>
            <w:vAlign w:val="center"/>
          </w:tcPr>
          <w:p w14:paraId="2012E3B3">
            <w:pPr>
              <w:pStyle w:val="72"/>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cs="宋体"/>
                <w:color w:val="auto"/>
                <w:sz w:val="21"/>
                <w:szCs w:val="21"/>
                <w:highlight w:val="none"/>
                <w:lang w:val="en-US" w:eastAsia="zh-CN"/>
              </w:rPr>
            </w:pPr>
            <w:r>
              <w:rPr>
                <w:rFonts w:hint="eastAsia" w:ascii="宋体" w:hAnsi="宋体" w:eastAsia="宋体" w:cs="宋体"/>
                <w:sz w:val="21"/>
                <w:szCs w:val="21"/>
                <w:highlight w:val="none"/>
                <w:vertAlign w:val="baseline"/>
                <w:lang w:val="en-US" w:eastAsia="zh-CN"/>
              </w:rPr>
              <w:t>0.74</w:t>
            </w:r>
          </w:p>
        </w:tc>
        <w:tc>
          <w:tcPr>
            <w:tcW w:w="1363" w:type="dxa"/>
            <w:tcBorders>
              <w:tl2br w:val="nil"/>
              <w:tr2bl w:val="nil"/>
            </w:tcBorders>
            <w:noWrap w:val="0"/>
            <w:vAlign w:val="center"/>
          </w:tcPr>
          <w:p w14:paraId="60658F55">
            <w:pPr>
              <w:pStyle w:val="72"/>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cs="宋体"/>
                <w:color w:val="auto"/>
                <w:sz w:val="21"/>
                <w:szCs w:val="21"/>
                <w:highlight w:val="none"/>
                <w:lang w:val="en-US" w:eastAsia="zh-CN"/>
              </w:rPr>
            </w:pPr>
            <w:r>
              <w:rPr>
                <w:rFonts w:hint="eastAsia" w:ascii="宋体" w:hAnsi="宋体" w:eastAsia="宋体" w:cs="宋体"/>
                <w:sz w:val="21"/>
                <w:szCs w:val="21"/>
                <w:highlight w:val="none"/>
                <w:vertAlign w:val="baseline"/>
                <w:lang w:val="en-US" w:eastAsia="zh-CN"/>
              </w:rPr>
              <w:t>+0.74</w:t>
            </w:r>
          </w:p>
        </w:tc>
      </w:tr>
      <w:tr w14:paraId="1B965C1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4" w:hRule="atLeast"/>
        </w:trPr>
        <w:tc>
          <w:tcPr>
            <w:tcW w:w="661" w:type="dxa"/>
            <w:vMerge w:val="continue"/>
            <w:tcBorders>
              <w:tl2br w:val="nil"/>
              <w:tr2bl w:val="nil"/>
            </w:tcBorders>
            <w:noWrap w:val="0"/>
            <w:vAlign w:val="center"/>
          </w:tcPr>
          <w:p w14:paraId="6C2AE17D">
            <w:pPr>
              <w:spacing w:line="240" w:lineRule="auto"/>
              <w:ind w:firstLine="0" w:firstLineChars="0"/>
              <w:jc w:val="center"/>
              <w:rPr>
                <w:rFonts w:hint="eastAsia" w:ascii="宋体" w:hAnsi="宋体" w:eastAsia="宋体" w:cs="宋体"/>
                <w:color w:val="auto"/>
                <w:sz w:val="21"/>
                <w:szCs w:val="21"/>
                <w:highlight w:val="none"/>
              </w:rPr>
            </w:pPr>
          </w:p>
        </w:tc>
        <w:tc>
          <w:tcPr>
            <w:tcW w:w="1912" w:type="dxa"/>
            <w:tcBorders>
              <w:tl2br w:val="nil"/>
              <w:tr2bl w:val="nil"/>
            </w:tcBorders>
            <w:noWrap w:val="0"/>
            <w:vAlign w:val="center"/>
          </w:tcPr>
          <w:p w14:paraId="117AF507">
            <w:pPr>
              <w:pStyle w:val="72"/>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sz w:val="21"/>
                <w:szCs w:val="21"/>
                <w:highlight w:val="none"/>
                <w:lang w:val="en-US" w:eastAsia="zh-CN"/>
              </w:rPr>
              <w:t>废过滤机滤芯</w:t>
            </w:r>
          </w:p>
        </w:tc>
        <w:tc>
          <w:tcPr>
            <w:tcW w:w="1004" w:type="dxa"/>
            <w:tcBorders>
              <w:tl2br w:val="nil"/>
              <w:tr2bl w:val="nil"/>
            </w:tcBorders>
            <w:noWrap w:val="0"/>
            <w:vAlign w:val="center"/>
          </w:tcPr>
          <w:p w14:paraId="2F4E0306">
            <w:pPr>
              <w:spacing w:line="240" w:lineRule="auto"/>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0</w:t>
            </w:r>
          </w:p>
        </w:tc>
        <w:tc>
          <w:tcPr>
            <w:tcW w:w="1116" w:type="dxa"/>
            <w:tcBorders>
              <w:tl2br w:val="nil"/>
              <w:tr2bl w:val="nil"/>
            </w:tcBorders>
            <w:noWrap w:val="0"/>
            <w:vAlign w:val="center"/>
          </w:tcPr>
          <w:p w14:paraId="5F4D53E7">
            <w:pPr>
              <w:pStyle w:val="72"/>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cs="宋体"/>
                <w:color w:val="auto"/>
                <w:sz w:val="21"/>
                <w:szCs w:val="21"/>
                <w:highlight w:val="none"/>
                <w:lang w:val="en-US" w:eastAsia="zh-CN"/>
              </w:rPr>
            </w:pPr>
            <w:r>
              <w:rPr>
                <w:rFonts w:hint="eastAsia" w:ascii="宋体" w:hAnsi="宋体" w:eastAsia="宋体" w:cs="宋体"/>
                <w:sz w:val="21"/>
                <w:szCs w:val="21"/>
                <w:highlight w:val="none"/>
                <w:vertAlign w:val="baseline"/>
                <w:lang w:val="en-US" w:eastAsia="zh-CN"/>
              </w:rPr>
              <w:t>0.7468</w:t>
            </w:r>
          </w:p>
        </w:tc>
        <w:tc>
          <w:tcPr>
            <w:tcW w:w="1170" w:type="dxa"/>
            <w:tcBorders>
              <w:tl2br w:val="nil"/>
              <w:tr2bl w:val="nil"/>
            </w:tcBorders>
            <w:noWrap w:val="0"/>
            <w:vAlign w:val="center"/>
          </w:tcPr>
          <w:p w14:paraId="5501DD65">
            <w:pPr>
              <w:spacing w:line="240" w:lineRule="auto"/>
              <w:ind w:firstLine="0" w:firstLineChars="0"/>
              <w:jc w:val="center"/>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0</w:t>
            </w:r>
          </w:p>
        </w:tc>
        <w:tc>
          <w:tcPr>
            <w:tcW w:w="1302" w:type="dxa"/>
            <w:tcBorders>
              <w:tl2br w:val="nil"/>
              <w:tr2bl w:val="nil"/>
            </w:tcBorders>
            <w:noWrap w:val="0"/>
            <w:vAlign w:val="center"/>
          </w:tcPr>
          <w:p w14:paraId="6030B4D8">
            <w:pPr>
              <w:pStyle w:val="72"/>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cs="宋体"/>
                <w:color w:val="auto"/>
                <w:sz w:val="21"/>
                <w:szCs w:val="21"/>
                <w:highlight w:val="none"/>
                <w:lang w:val="en-US" w:eastAsia="zh-CN"/>
              </w:rPr>
            </w:pPr>
            <w:r>
              <w:rPr>
                <w:rFonts w:hint="eastAsia" w:ascii="宋体" w:hAnsi="宋体" w:eastAsia="宋体" w:cs="宋体"/>
                <w:sz w:val="21"/>
                <w:szCs w:val="21"/>
                <w:highlight w:val="none"/>
                <w:vertAlign w:val="baseline"/>
                <w:lang w:val="en-US" w:eastAsia="zh-CN"/>
              </w:rPr>
              <w:t>0.7468</w:t>
            </w:r>
          </w:p>
        </w:tc>
        <w:tc>
          <w:tcPr>
            <w:tcW w:w="1363" w:type="dxa"/>
            <w:tcBorders>
              <w:tl2br w:val="nil"/>
              <w:tr2bl w:val="nil"/>
            </w:tcBorders>
            <w:noWrap w:val="0"/>
            <w:vAlign w:val="center"/>
          </w:tcPr>
          <w:p w14:paraId="4D02BF07">
            <w:pPr>
              <w:pStyle w:val="72"/>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cs="宋体"/>
                <w:color w:val="auto"/>
                <w:sz w:val="21"/>
                <w:szCs w:val="21"/>
                <w:highlight w:val="none"/>
                <w:lang w:val="en-US" w:eastAsia="zh-CN"/>
              </w:rPr>
            </w:pPr>
            <w:r>
              <w:rPr>
                <w:rFonts w:hint="eastAsia" w:ascii="宋体" w:hAnsi="宋体" w:eastAsia="宋体" w:cs="宋体"/>
                <w:sz w:val="21"/>
                <w:szCs w:val="21"/>
                <w:highlight w:val="none"/>
                <w:vertAlign w:val="baseline"/>
                <w:lang w:val="en-US" w:eastAsia="zh-CN"/>
              </w:rPr>
              <w:t>+0.7468</w:t>
            </w:r>
          </w:p>
        </w:tc>
      </w:tr>
      <w:tr w14:paraId="448DD45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4" w:hRule="atLeast"/>
        </w:trPr>
        <w:tc>
          <w:tcPr>
            <w:tcW w:w="661" w:type="dxa"/>
            <w:vMerge w:val="continue"/>
            <w:tcBorders>
              <w:tl2br w:val="nil"/>
              <w:tr2bl w:val="nil"/>
            </w:tcBorders>
            <w:noWrap w:val="0"/>
            <w:vAlign w:val="center"/>
          </w:tcPr>
          <w:p w14:paraId="723E45D9">
            <w:pPr>
              <w:spacing w:line="240" w:lineRule="auto"/>
              <w:ind w:firstLine="0" w:firstLineChars="0"/>
              <w:jc w:val="center"/>
              <w:rPr>
                <w:rFonts w:hint="eastAsia" w:ascii="宋体" w:hAnsi="宋体" w:eastAsia="宋体" w:cs="宋体"/>
                <w:color w:val="auto"/>
                <w:sz w:val="21"/>
                <w:szCs w:val="21"/>
                <w:highlight w:val="none"/>
              </w:rPr>
            </w:pPr>
          </w:p>
        </w:tc>
        <w:tc>
          <w:tcPr>
            <w:tcW w:w="1912" w:type="dxa"/>
            <w:tcBorders>
              <w:tl2br w:val="nil"/>
              <w:tr2bl w:val="nil"/>
            </w:tcBorders>
            <w:noWrap w:val="0"/>
            <w:vAlign w:val="center"/>
          </w:tcPr>
          <w:p w14:paraId="6FAD861B">
            <w:pPr>
              <w:pStyle w:val="72"/>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sz w:val="21"/>
                <w:szCs w:val="21"/>
                <w:highlight w:val="none"/>
                <w:lang w:val="en-US" w:eastAsia="zh-CN"/>
              </w:rPr>
              <w:t>废交换树脂</w:t>
            </w:r>
          </w:p>
        </w:tc>
        <w:tc>
          <w:tcPr>
            <w:tcW w:w="1004" w:type="dxa"/>
            <w:tcBorders>
              <w:tl2br w:val="nil"/>
              <w:tr2bl w:val="nil"/>
            </w:tcBorders>
            <w:noWrap w:val="0"/>
            <w:vAlign w:val="center"/>
          </w:tcPr>
          <w:p w14:paraId="230B9B5C">
            <w:pPr>
              <w:spacing w:line="240" w:lineRule="auto"/>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0</w:t>
            </w:r>
          </w:p>
        </w:tc>
        <w:tc>
          <w:tcPr>
            <w:tcW w:w="1116" w:type="dxa"/>
            <w:tcBorders>
              <w:tl2br w:val="nil"/>
              <w:tr2bl w:val="nil"/>
            </w:tcBorders>
            <w:noWrap w:val="0"/>
            <w:vAlign w:val="center"/>
          </w:tcPr>
          <w:p w14:paraId="4FC086E2">
            <w:pPr>
              <w:pStyle w:val="72"/>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cs="宋体"/>
                <w:color w:val="auto"/>
                <w:sz w:val="21"/>
                <w:szCs w:val="21"/>
                <w:highlight w:val="none"/>
                <w:lang w:val="en-US" w:eastAsia="zh-CN"/>
              </w:rPr>
            </w:pPr>
            <w:r>
              <w:rPr>
                <w:rFonts w:hint="eastAsia" w:ascii="宋体" w:hAnsi="宋体" w:eastAsia="宋体" w:cs="宋体"/>
                <w:sz w:val="21"/>
                <w:szCs w:val="21"/>
                <w:highlight w:val="none"/>
                <w:vertAlign w:val="baseline"/>
                <w:lang w:val="en-US" w:eastAsia="zh-CN"/>
              </w:rPr>
              <w:t>0.4</w:t>
            </w:r>
          </w:p>
        </w:tc>
        <w:tc>
          <w:tcPr>
            <w:tcW w:w="1170" w:type="dxa"/>
            <w:tcBorders>
              <w:tl2br w:val="nil"/>
              <w:tr2bl w:val="nil"/>
            </w:tcBorders>
            <w:noWrap w:val="0"/>
            <w:vAlign w:val="center"/>
          </w:tcPr>
          <w:p w14:paraId="37DA7F27">
            <w:pPr>
              <w:spacing w:line="240" w:lineRule="auto"/>
              <w:ind w:firstLine="0" w:firstLineChars="0"/>
              <w:jc w:val="center"/>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0</w:t>
            </w:r>
          </w:p>
        </w:tc>
        <w:tc>
          <w:tcPr>
            <w:tcW w:w="1302" w:type="dxa"/>
            <w:tcBorders>
              <w:tl2br w:val="nil"/>
              <w:tr2bl w:val="nil"/>
            </w:tcBorders>
            <w:noWrap w:val="0"/>
            <w:vAlign w:val="center"/>
          </w:tcPr>
          <w:p w14:paraId="2D6B5F42">
            <w:pPr>
              <w:pStyle w:val="72"/>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cs="宋体"/>
                <w:color w:val="auto"/>
                <w:sz w:val="21"/>
                <w:szCs w:val="21"/>
                <w:highlight w:val="none"/>
                <w:lang w:val="en-US" w:eastAsia="zh-CN"/>
              </w:rPr>
            </w:pPr>
            <w:r>
              <w:rPr>
                <w:rFonts w:hint="eastAsia" w:ascii="宋体" w:hAnsi="宋体" w:eastAsia="宋体" w:cs="宋体"/>
                <w:sz w:val="21"/>
                <w:szCs w:val="21"/>
                <w:highlight w:val="none"/>
                <w:vertAlign w:val="baseline"/>
                <w:lang w:val="en-US" w:eastAsia="zh-CN"/>
              </w:rPr>
              <w:t>0.4</w:t>
            </w:r>
          </w:p>
        </w:tc>
        <w:tc>
          <w:tcPr>
            <w:tcW w:w="1363" w:type="dxa"/>
            <w:tcBorders>
              <w:tl2br w:val="nil"/>
              <w:tr2bl w:val="nil"/>
            </w:tcBorders>
            <w:noWrap w:val="0"/>
            <w:vAlign w:val="center"/>
          </w:tcPr>
          <w:p w14:paraId="79DA47AC">
            <w:pPr>
              <w:pStyle w:val="72"/>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cs="宋体"/>
                <w:color w:val="auto"/>
                <w:sz w:val="21"/>
                <w:szCs w:val="21"/>
                <w:highlight w:val="none"/>
                <w:lang w:val="en-US" w:eastAsia="zh-CN"/>
              </w:rPr>
            </w:pPr>
            <w:r>
              <w:rPr>
                <w:rFonts w:hint="eastAsia" w:ascii="宋体" w:hAnsi="宋体" w:eastAsia="宋体" w:cs="宋体"/>
                <w:sz w:val="21"/>
                <w:szCs w:val="21"/>
                <w:highlight w:val="none"/>
                <w:vertAlign w:val="baseline"/>
                <w:lang w:val="en-US" w:eastAsia="zh-CN"/>
              </w:rPr>
              <w:t>+0.4</w:t>
            </w:r>
          </w:p>
        </w:tc>
      </w:tr>
    </w:tbl>
    <w:p w14:paraId="42DCC2C5">
      <w:pPr>
        <w:rPr>
          <w:rFonts w:hint="eastAsia"/>
          <w:color w:val="auto"/>
          <w:highlight w:val="none"/>
          <w:lang w:val="en-US" w:eastAsia="zh-CN"/>
        </w:rPr>
      </w:pPr>
    </w:p>
    <w:p w14:paraId="77EB6416">
      <w:pPr>
        <w:pStyle w:val="72"/>
        <w:rPr>
          <w:rFonts w:hint="default"/>
          <w:lang w:val="en-US" w:eastAsia="zh-CN"/>
        </w:rPr>
      </w:pPr>
    </w:p>
    <w:p w14:paraId="35F8C785">
      <w:pPr>
        <w:bidi w:val="0"/>
        <w:rPr>
          <w:rFonts w:hint="default"/>
          <w:lang w:val="en-US" w:eastAsia="zh-CN"/>
        </w:rPr>
      </w:pPr>
    </w:p>
    <w:p w14:paraId="64A7A98E">
      <w:pPr>
        <w:bidi w:val="0"/>
        <w:rPr>
          <w:rFonts w:hint="default"/>
          <w:lang w:val="en-US" w:eastAsia="zh-CN"/>
        </w:rPr>
        <w:sectPr>
          <w:pgSz w:w="11906" w:h="16838"/>
          <w:pgMar w:top="1440" w:right="1800" w:bottom="1440" w:left="1800" w:header="850" w:footer="964" w:gutter="0"/>
          <w:pgBorders>
            <w:top w:val="none" w:sz="0" w:space="0"/>
            <w:left w:val="none" w:sz="0" w:space="0"/>
            <w:bottom w:val="none" w:sz="0" w:space="0"/>
            <w:right w:val="none" w:sz="0" w:space="0"/>
          </w:pgBorders>
          <w:pgNumType w:fmt="decimal"/>
          <w:cols w:space="425" w:num="1"/>
          <w:docGrid w:linePitch="326" w:charSpace="0"/>
        </w:sectPr>
      </w:pPr>
    </w:p>
    <w:p w14:paraId="60776091">
      <w:pPr>
        <w:pStyle w:val="2"/>
        <w:widowControl/>
        <w:kinsoku/>
        <w:wordWrap/>
        <w:overflowPunct/>
        <w:topLinePunct w:val="0"/>
        <w:autoSpaceDE/>
        <w:autoSpaceDN/>
        <w:bidi w:val="0"/>
        <w:adjustRightInd/>
        <w:snapToGrid/>
        <w:spacing w:before="0" w:after="0"/>
        <w:textAlignment w:val="auto"/>
      </w:pPr>
      <w:bookmarkStart w:id="352" w:name="_Toc32524"/>
      <w:r>
        <w:rPr>
          <w:rFonts w:hint="eastAsia"/>
          <w:lang w:val="en-US" w:eastAsia="zh-CN"/>
        </w:rPr>
        <w:t>6</w:t>
      </w:r>
      <w:r>
        <w:t>环境现状调查与评价</w:t>
      </w:r>
      <w:bookmarkEnd w:id="346"/>
      <w:bookmarkEnd w:id="352"/>
    </w:p>
    <w:p w14:paraId="205A2A71">
      <w:pPr>
        <w:pStyle w:val="3"/>
        <w:widowControl/>
        <w:kinsoku/>
        <w:wordWrap/>
        <w:overflowPunct/>
        <w:topLinePunct w:val="0"/>
        <w:autoSpaceDE/>
        <w:autoSpaceDN/>
        <w:bidi w:val="0"/>
        <w:adjustRightInd/>
        <w:snapToGrid/>
        <w:spacing w:before="0" w:after="0"/>
        <w:textAlignment w:val="auto"/>
        <w:rPr>
          <w:color w:val="auto"/>
        </w:rPr>
      </w:pPr>
      <w:bookmarkStart w:id="353" w:name="_Toc204133315"/>
      <w:bookmarkStart w:id="354" w:name="_Toc140141549"/>
      <w:bookmarkStart w:id="355" w:name="_Toc140140250"/>
      <w:bookmarkStart w:id="356" w:name="_Toc195947509"/>
      <w:bookmarkStart w:id="357" w:name="_Toc221623444"/>
      <w:bookmarkStart w:id="358" w:name="_Toc195947334"/>
      <w:bookmarkStart w:id="359" w:name="_Toc195947597"/>
      <w:bookmarkStart w:id="360" w:name="_Toc343689918"/>
      <w:bookmarkStart w:id="361" w:name="_Toc3906"/>
      <w:r>
        <w:rPr>
          <w:rFonts w:hint="eastAsia"/>
          <w:color w:val="auto"/>
          <w:lang w:val="en-US" w:eastAsia="zh-CN"/>
        </w:rPr>
        <w:t>6</w:t>
      </w:r>
      <w:r>
        <w:rPr>
          <w:color w:val="auto"/>
        </w:rPr>
        <w:t>.1</w:t>
      </w:r>
      <w:bookmarkEnd w:id="353"/>
      <w:bookmarkEnd w:id="354"/>
      <w:bookmarkEnd w:id="355"/>
      <w:bookmarkEnd w:id="356"/>
      <w:bookmarkEnd w:id="357"/>
      <w:bookmarkEnd w:id="358"/>
      <w:bookmarkEnd w:id="359"/>
      <w:r>
        <w:rPr>
          <w:color w:val="auto"/>
        </w:rPr>
        <w:t>区域环境概况</w:t>
      </w:r>
      <w:bookmarkEnd w:id="360"/>
      <w:bookmarkEnd w:id="361"/>
    </w:p>
    <w:p w14:paraId="3185481A">
      <w:pPr>
        <w:pStyle w:val="5"/>
        <w:widowControl/>
        <w:kinsoku/>
        <w:wordWrap/>
        <w:overflowPunct/>
        <w:topLinePunct w:val="0"/>
        <w:autoSpaceDE/>
        <w:autoSpaceDN/>
        <w:bidi w:val="0"/>
        <w:adjustRightInd/>
        <w:snapToGrid/>
        <w:spacing w:before="0" w:after="0"/>
        <w:textAlignment w:val="auto"/>
        <w:rPr>
          <w:color w:val="auto"/>
        </w:rPr>
      </w:pPr>
      <w:bookmarkStart w:id="362" w:name="_Toc140141550"/>
      <w:bookmarkStart w:id="363" w:name="_Toc195947335"/>
      <w:r>
        <w:rPr>
          <w:rFonts w:hint="eastAsia"/>
          <w:color w:val="auto"/>
          <w:lang w:val="en-US" w:eastAsia="zh-CN"/>
        </w:rPr>
        <w:t>6</w:t>
      </w:r>
      <w:r>
        <w:rPr>
          <w:color w:val="auto"/>
        </w:rPr>
        <w:t>.1.1区域地理位置</w:t>
      </w:r>
      <w:bookmarkEnd w:id="362"/>
      <w:bookmarkEnd w:id="363"/>
    </w:p>
    <w:bookmarkEnd w:id="347"/>
    <w:p w14:paraId="60E77497">
      <w:pPr>
        <w:adjustRightInd w:val="0"/>
        <w:snapToGrid w:val="0"/>
        <w:spacing w:before="156" w:beforeLines="50" w:line="360" w:lineRule="auto"/>
        <w:ind w:firstLine="480" w:firstLineChars="200"/>
        <w:rPr>
          <w:rFonts w:hint="eastAsia" w:ascii="宋体" w:hAnsi="宋体"/>
          <w:sz w:val="24"/>
        </w:rPr>
      </w:pPr>
      <w:r>
        <w:rPr>
          <w:rFonts w:hint="eastAsia" w:ascii="宋体" w:hAnsi="宋体"/>
          <w:sz w:val="24"/>
        </w:rPr>
        <w:t>本溪市位于辽宁省东南部，地处东经123°34′～125°46′，北纬40°49′～41°35′之间，下辖平山、明山、溪湖、南芬四区及本溪满族自治县、桓仁满族自治县两县。全境总面积8411.32km2，呈哑铃型分布，北靠沈阳、抚顺，南接丹东，西邻辽阳、鞍山，东傍吉林通化。</w:t>
      </w:r>
    </w:p>
    <w:p w14:paraId="0812C344">
      <w:pPr>
        <w:bidi w:val="0"/>
        <w:rPr>
          <w:rFonts w:hint="eastAsia"/>
          <w:lang w:val="en-US" w:eastAsia="zh-CN"/>
        </w:rPr>
      </w:pPr>
      <w:r>
        <w:rPr>
          <w:rFonts w:hint="eastAsia"/>
          <w:lang w:val="en-US" w:eastAsia="zh-CN"/>
        </w:rPr>
        <w:t>溪湖区位于本溪市西北部、辽东半岛腹地，东临明山区，西毗辽阳市南街</w:t>
      </w:r>
      <w:r>
        <w:rPr>
          <w:rFonts w:hint="eastAsia"/>
          <w:lang w:val="en-US" w:eastAsia="zh-CN"/>
        </w:rPr>
        <w:fldChar w:fldCharType="begin"/>
      </w:r>
      <w:r>
        <w:rPr>
          <w:rFonts w:hint="eastAsia"/>
          <w:lang w:val="en-US" w:eastAsia="zh-CN"/>
        </w:rPr>
        <w:instrText xml:space="preserve"> HYPERLINK "https://baike.so.com/doc/5852920-6065760.html" \t "https://baike.so.com/doc/_blank" </w:instrText>
      </w:r>
      <w:r>
        <w:rPr>
          <w:rFonts w:hint="eastAsia"/>
          <w:lang w:val="en-US" w:eastAsia="zh-CN"/>
        </w:rPr>
        <w:fldChar w:fldCharType="separate"/>
      </w:r>
      <w:r>
        <w:rPr>
          <w:rFonts w:hint="eastAsia"/>
          <w:lang w:val="en-US" w:eastAsia="zh-CN"/>
        </w:rPr>
        <w:t>平山区</w:t>
      </w:r>
      <w:r>
        <w:rPr>
          <w:rFonts w:hint="eastAsia"/>
          <w:lang w:val="en-US" w:eastAsia="zh-CN"/>
        </w:rPr>
        <w:fldChar w:fldCharType="end"/>
      </w:r>
      <w:r>
        <w:rPr>
          <w:rFonts w:hint="eastAsia"/>
          <w:lang w:val="en-US" w:eastAsia="zh-CN"/>
        </w:rPr>
        <w:t>，北靠</w:t>
      </w:r>
      <w:r>
        <w:rPr>
          <w:rFonts w:hint="eastAsia"/>
          <w:lang w:val="en-US" w:eastAsia="zh-CN"/>
        </w:rPr>
        <w:fldChar w:fldCharType="begin"/>
      </w:r>
      <w:r>
        <w:rPr>
          <w:rFonts w:hint="eastAsia"/>
          <w:lang w:val="en-US" w:eastAsia="zh-CN"/>
        </w:rPr>
        <w:instrText xml:space="preserve"> HYPERLINK "https://baike.so.com/doc/5422674-5660874.html" \t "https://baike.so.com/doc/_blank" </w:instrText>
      </w:r>
      <w:r>
        <w:rPr>
          <w:rFonts w:hint="eastAsia"/>
          <w:lang w:val="en-US" w:eastAsia="zh-CN"/>
        </w:rPr>
        <w:fldChar w:fldCharType="separate"/>
      </w:r>
      <w:r>
        <w:rPr>
          <w:rFonts w:hint="eastAsia"/>
          <w:lang w:val="en-US" w:eastAsia="zh-CN"/>
        </w:rPr>
        <w:t>沈阳市</w:t>
      </w:r>
      <w:r>
        <w:rPr>
          <w:rFonts w:hint="eastAsia"/>
          <w:lang w:val="en-US" w:eastAsia="zh-CN"/>
        </w:rPr>
        <w:fldChar w:fldCharType="end"/>
      </w:r>
      <w:r>
        <w:rPr>
          <w:rFonts w:hint="eastAsia"/>
          <w:lang w:val="en-US" w:eastAsia="zh-CN"/>
        </w:rPr>
        <w:t>、</w:t>
      </w:r>
      <w:r>
        <w:rPr>
          <w:rFonts w:hint="eastAsia"/>
          <w:lang w:val="en-US" w:eastAsia="zh-CN"/>
        </w:rPr>
        <w:fldChar w:fldCharType="begin"/>
      </w:r>
      <w:r>
        <w:rPr>
          <w:rFonts w:hint="eastAsia"/>
          <w:lang w:val="en-US" w:eastAsia="zh-CN"/>
        </w:rPr>
        <w:instrText xml:space="preserve"> HYPERLINK "https://baike.so.com/doc/2729899-2881553.html" \t "https://baike.so.com/doc/_blank" </w:instrText>
      </w:r>
      <w:r>
        <w:rPr>
          <w:rFonts w:hint="eastAsia"/>
          <w:lang w:val="en-US" w:eastAsia="zh-CN"/>
        </w:rPr>
        <w:fldChar w:fldCharType="separate"/>
      </w:r>
      <w:r>
        <w:rPr>
          <w:rFonts w:hint="eastAsia"/>
          <w:lang w:val="en-US" w:eastAsia="zh-CN"/>
        </w:rPr>
        <w:t>抚顺市</w:t>
      </w:r>
      <w:r>
        <w:rPr>
          <w:rFonts w:hint="eastAsia"/>
          <w:lang w:val="en-US" w:eastAsia="zh-CN"/>
        </w:rPr>
        <w:fldChar w:fldCharType="end"/>
      </w:r>
      <w:r>
        <w:rPr>
          <w:rFonts w:hint="eastAsia"/>
          <w:lang w:val="en-US" w:eastAsia="zh-CN"/>
        </w:rPr>
        <w:t>，中心位置位于北纬41°19′37.38″，东经123°45′42.45″；总面积138平方公里。</w:t>
      </w:r>
    </w:p>
    <w:p w14:paraId="70E3405C">
      <w:pPr>
        <w:bidi w:val="0"/>
      </w:pPr>
      <w:r>
        <w:t>本项目选址位于</w:t>
      </w:r>
      <w:r>
        <w:rPr>
          <w:rFonts w:hint="eastAsia"/>
          <w:lang w:eastAsia="zh-CN"/>
        </w:rPr>
        <w:t>本溪市溪湖区东风街道办事处新合村，本溪佰汇铜业有限公司现有标准化厂房内</w:t>
      </w:r>
      <w:r>
        <w:t>，地理坐标：东经</w:t>
      </w:r>
      <w:r>
        <w:rPr>
          <w:rFonts w:hint="eastAsia"/>
        </w:rPr>
        <w:t>123.707356010</w:t>
      </w:r>
      <w:r>
        <w:t>，北纬</w:t>
      </w:r>
      <w:r>
        <w:rPr>
          <w:rFonts w:hint="eastAsia"/>
        </w:rPr>
        <w:t>41.308844249</w:t>
      </w:r>
      <w:r>
        <w:t>。</w:t>
      </w:r>
    </w:p>
    <w:p w14:paraId="2D68CCCC">
      <w:pPr>
        <w:pStyle w:val="5"/>
        <w:bidi w:val="0"/>
      </w:pPr>
      <w:bookmarkStart w:id="364" w:name="_Toc195947336"/>
      <w:bookmarkStart w:id="365" w:name="_Toc140141551"/>
      <w:r>
        <w:rPr>
          <w:rFonts w:hint="eastAsia"/>
          <w:lang w:val="en-US" w:eastAsia="zh-CN"/>
        </w:rPr>
        <w:t>6</w:t>
      </w:r>
      <w:r>
        <w:t>.1.2自然环境概述</w:t>
      </w:r>
    </w:p>
    <w:p w14:paraId="0C9B4728">
      <w:pPr>
        <w:pStyle w:val="6"/>
        <w:bidi w:val="0"/>
      </w:pPr>
      <w:r>
        <w:rPr>
          <w:rFonts w:hint="eastAsia"/>
          <w:lang w:val="en-US" w:eastAsia="zh-CN"/>
        </w:rPr>
        <w:t>6</w:t>
      </w:r>
      <w:r>
        <w:t>.1.2.1地形地貌</w:t>
      </w:r>
      <w:bookmarkEnd w:id="364"/>
      <w:bookmarkEnd w:id="365"/>
    </w:p>
    <w:p w14:paraId="47E28C02">
      <w:pPr>
        <w:snapToGrid w:val="0"/>
        <w:spacing w:line="360" w:lineRule="auto"/>
        <w:ind w:firstLine="480" w:firstLineChars="200"/>
        <w:rPr>
          <w:rFonts w:hint="default" w:ascii="Times New Roman" w:hAnsi="Times New Roman" w:cs="Times New Roman"/>
          <w:sz w:val="24"/>
        </w:rPr>
      </w:pPr>
      <w:bookmarkStart w:id="366" w:name="_Toc195947337"/>
      <w:bookmarkStart w:id="367" w:name="_Toc140141552"/>
      <w:r>
        <w:rPr>
          <w:rFonts w:hint="default" w:ascii="Times New Roman" w:hAnsi="Times New Roman" w:cs="Times New Roman"/>
          <w:sz w:val="24"/>
        </w:rPr>
        <w:t>区内分为两个工程地质区。沙河两侧为堆积河谷平原区，以亚粘土和中密沙砾为主，地耐力在15吨左右。其余地带为构造侵蚀中低山脉为主的工程地质区，以风化岩层和亚粘土为主，地耐力在25吨以上。高新区地震为六度设防。</w:t>
      </w:r>
    </w:p>
    <w:p w14:paraId="04DF973F">
      <w:pPr>
        <w:ind w:firstLine="480" w:firstLineChars="200"/>
      </w:pPr>
      <w:r>
        <w:rPr>
          <w:rFonts w:hint="eastAsia" w:ascii="Times New Roman" w:hAnsi="Times New Roman" w:eastAsia="宋体" w:cs="Times New Roman"/>
          <w:szCs w:val="24"/>
          <w:lang w:eastAsia="zh-CN"/>
        </w:rPr>
        <w:t>溪湖</w:t>
      </w:r>
      <w:r>
        <w:rPr>
          <w:rFonts w:hint="default" w:ascii="Times New Roman" w:hAnsi="Times New Roman" w:eastAsia="宋体" w:cs="Times New Roman"/>
          <w:szCs w:val="24"/>
        </w:rPr>
        <w:t>区土壤属辽宁东部山地棕色森林土和暖棕色森林土，在山间谷地还分布有少量的草甸土壤，主要岩性为砂砾卵石和沙土掺碎石，厚度约5-10m。本地区地层属古生界下寒武系毛庄组，两翼依次为碱厂组页岩、砂岩，周围为太古界鞍山群麻岩、变粒岩及混合花岗岩。地表为第四纪坡洪积亚粘土，覆盖厚度为2-3m。土壤呈中性或微酸性反应，pH值为5.0～7.0，土壤盐基饱和度变化较大。草甸土主要分布于河流平原山间沟谷与低阶地，草甸土所处地形平坦，地下水位约1～2m，多为淡水，矿化度&lt;0.5克/升。</w:t>
      </w:r>
    </w:p>
    <w:p w14:paraId="3FBB1B95">
      <w:pPr>
        <w:pStyle w:val="6"/>
        <w:bidi w:val="0"/>
      </w:pPr>
      <w:r>
        <w:rPr>
          <w:rFonts w:hint="eastAsia"/>
          <w:lang w:val="en-US" w:eastAsia="zh-CN"/>
        </w:rPr>
        <w:t>6</w:t>
      </w:r>
      <w:r>
        <w:t>.1.2.2水文</w:t>
      </w:r>
      <w:bookmarkEnd w:id="366"/>
      <w:bookmarkEnd w:id="367"/>
      <w:r>
        <w:t>特征</w:t>
      </w:r>
    </w:p>
    <w:p w14:paraId="73A7DD46">
      <w:pPr>
        <w:ind w:firstLine="240" w:firstLineChars="100"/>
      </w:pPr>
      <w:r>
        <w:t>（1）地表水</w:t>
      </w:r>
    </w:p>
    <w:p w14:paraId="6F8D1D43">
      <w:pPr>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溪湖区有3条较大河流，均属太子河水系，其中北沙河全长16.6公里，系太子河右岸最大支河，发源于抚顺市海浪乡，流经张其寨、歪头山进入沈阳市境内。新兴河10公里，火连寨河14.6公里。</w:t>
      </w:r>
    </w:p>
    <w:p w14:paraId="44277D24">
      <w:pPr>
        <w:ind w:firstLine="480" w:firstLineChars="200"/>
      </w:pPr>
      <w:r>
        <w:rPr>
          <w:rFonts w:hint="default" w:ascii="Times New Roman" w:hAnsi="Times New Roman" w:cs="Times New Roman"/>
          <w:sz w:val="24"/>
        </w:rPr>
        <w:t>地下水属类孔隙含水岩系，主要分布在太子河及沟谷附近，由冲积、冲洪积的第四系地层组成，富水性不等，其中一级阶地的河滩为强富水性地段，单井涌水可达1000－2000t/d。</w:t>
      </w:r>
    </w:p>
    <w:p w14:paraId="618ADE73">
      <w:pPr>
        <w:ind w:firstLine="480" w:firstLineChars="200"/>
      </w:pPr>
      <w:r>
        <w:t>（2）地质</w:t>
      </w:r>
    </w:p>
    <w:p w14:paraId="6FAB32EF">
      <w:pPr>
        <w:spacing w:line="360" w:lineRule="auto"/>
        <w:ind w:firstLine="480" w:firstLineChars="200"/>
        <w:rPr>
          <w:rFonts w:hint="default" w:ascii="Times New Roman" w:hAnsi="Times New Roman" w:cs="Times New Roman"/>
          <w:color w:val="auto"/>
          <w:sz w:val="24"/>
          <w:lang w:bidi="ar"/>
        </w:rPr>
      </w:pPr>
      <w:bookmarkStart w:id="368" w:name="_Toc140141553"/>
      <w:bookmarkStart w:id="369" w:name="_Toc195947338"/>
      <w:bookmarkStart w:id="370" w:name="_Toc163872109"/>
      <w:bookmarkStart w:id="371" w:name="_Toc192985356"/>
      <w:bookmarkStart w:id="372" w:name="_Toc163958800"/>
      <w:bookmarkStart w:id="373" w:name="_Toc163958860"/>
      <w:bookmarkStart w:id="374" w:name="_Toc163959020"/>
      <w:bookmarkStart w:id="375" w:name="_Toc163639441"/>
      <w:r>
        <w:rPr>
          <w:rFonts w:hint="default" w:ascii="Times New Roman" w:hAnsi="Times New Roman" w:cs="Times New Roman"/>
          <w:color w:val="auto"/>
          <w:sz w:val="24"/>
          <w:lang w:bidi="ar"/>
        </w:rPr>
        <w:t>矿区位于中朝准地台、胶辽台隆、太子河—浑江台陷、辽阳—本溪凹陷，田师付—南甸断裂带西侧。</w:t>
      </w:r>
    </w:p>
    <w:p w14:paraId="478D9482">
      <w:pPr>
        <w:spacing w:line="360" w:lineRule="auto"/>
        <w:ind w:firstLine="480" w:firstLineChars="200"/>
        <w:rPr>
          <w:rFonts w:hint="default" w:ascii="Times New Roman" w:hAnsi="Times New Roman" w:cs="Times New Roman"/>
          <w:color w:val="auto"/>
          <w:sz w:val="24"/>
          <w:lang w:bidi="ar"/>
        </w:rPr>
      </w:pPr>
      <w:r>
        <w:rPr>
          <w:rFonts w:hint="default" w:ascii="Times New Roman" w:hAnsi="Times New Roman" w:cs="Times New Roman"/>
          <w:color w:val="auto"/>
          <w:sz w:val="24"/>
          <w:lang w:bidi="ar"/>
        </w:rPr>
        <w:t>地层：矿区内大面积出露的灰岩为奥陶系下统冶里组和亮甲山组地层。冶里组（O1y）：底部为白云岩及白云质灰岩，下部为竹叶状灰岩夹薄层灰岩、白云质灰岩，上部为薄层灰岩、竹叶状夹黄绿色页岩，顶部为白色、灰白色结晶灰岩（既为本矿矿体）与下伏张夏组呈平行不整合接触，厚度159m。</w:t>
      </w:r>
    </w:p>
    <w:p w14:paraId="0E865669">
      <w:pPr>
        <w:ind w:firstLine="480" w:firstLineChars="200"/>
      </w:pPr>
      <w:r>
        <w:rPr>
          <w:rFonts w:hint="default" w:ascii="Times New Roman" w:hAnsi="Times New Roman" w:cs="Times New Roman"/>
          <w:color w:val="auto"/>
          <w:sz w:val="24"/>
          <w:lang w:bidi="ar"/>
        </w:rPr>
        <w:t>亮甲山组（O1L）：底部是含燧石结核灰岩、花纹灰岩夹结晶石灰岩，下部为竹叶状灰岩、中厚层灰岩，上部为灰白色灰岩含燧石结核夹少许白云质灰岩，连续沉积在冶里组之上，厚度156m。</w:t>
      </w:r>
    </w:p>
    <w:p w14:paraId="3D0E5D60">
      <w:pPr>
        <w:ind w:firstLine="240"/>
        <w:rPr>
          <w:rFonts w:hint="eastAsia" w:eastAsia="宋体"/>
          <w:lang w:eastAsia="zh-CN"/>
        </w:rPr>
      </w:pPr>
      <w:r>
        <w:t>（3）</w:t>
      </w:r>
      <w:r>
        <w:rPr>
          <w:rFonts w:hint="eastAsia"/>
          <w:lang w:eastAsia="zh-CN"/>
        </w:rPr>
        <w:t>土壤</w:t>
      </w:r>
    </w:p>
    <w:p w14:paraId="02DD71DB">
      <w:pPr>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土壤类型为棕壤土及各种石质土、草甸土，棕壤土又称棕色森林土，棕壤土主要分布在中山、低山、丘陵和漫岗地形部分，海拔高程在300—1000公尺以下。土壤呈中性或微酸性反应，pH值为5.0～7.0，土壤盐基饱和度变化较大。</w:t>
      </w:r>
    </w:p>
    <w:p w14:paraId="43EA7CEC">
      <w:pPr>
        <w:ind w:firstLine="480" w:firstLineChars="200"/>
        <w:rPr>
          <w:rFonts w:hint="default" w:ascii="Times New Roman" w:hAnsi="Times New Roman" w:cs="Times New Roman"/>
          <w:sz w:val="24"/>
        </w:rPr>
      </w:pPr>
      <w:r>
        <w:rPr>
          <w:rFonts w:hint="default" w:ascii="Times New Roman" w:hAnsi="Times New Roman" w:cs="Times New Roman"/>
          <w:sz w:val="24"/>
        </w:rPr>
        <w:t>草甸土主要分布于河流平原山间沟谷与低阶地，草甸土所处地形平坦，地下水位约1～2m，多为淡水，矿化度&lt;0.5克/升。</w:t>
      </w:r>
    </w:p>
    <w:p w14:paraId="79B1407B">
      <w:pPr>
        <w:pStyle w:val="6"/>
        <w:bidi w:val="0"/>
      </w:pPr>
      <w:r>
        <w:rPr>
          <w:rFonts w:hint="eastAsia"/>
          <w:lang w:val="en-US" w:eastAsia="zh-CN"/>
        </w:rPr>
        <w:t>6</w:t>
      </w:r>
      <w:r>
        <w:t>.1.2.3气候特征</w:t>
      </w:r>
      <w:bookmarkEnd w:id="368"/>
      <w:bookmarkEnd w:id="369"/>
    </w:p>
    <w:bookmarkEnd w:id="370"/>
    <w:bookmarkEnd w:id="371"/>
    <w:bookmarkEnd w:id="372"/>
    <w:bookmarkEnd w:id="373"/>
    <w:bookmarkEnd w:id="374"/>
    <w:bookmarkEnd w:id="375"/>
    <w:p w14:paraId="28300A6D">
      <w:pPr>
        <w:ind w:firstLine="480" w:firstLineChars="200"/>
      </w:pPr>
      <w:bookmarkStart w:id="376" w:name="_Toc120679432"/>
      <w:bookmarkStart w:id="377" w:name="_Toc316287688"/>
      <w:bookmarkStart w:id="378" w:name="_Toc271705280"/>
      <w:bookmarkStart w:id="379" w:name="_Toc313972663"/>
      <w:r>
        <w:rPr>
          <w:rFonts w:hint="default" w:ascii="Times New Roman" w:hAnsi="Times New Roman" w:eastAsia="宋体" w:cs="Times New Roman"/>
          <w:szCs w:val="24"/>
        </w:rPr>
        <w:t>本溪</w:t>
      </w:r>
      <w:r>
        <w:rPr>
          <w:rFonts w:hint="eastAsia" w:ascii="Times New Roman" w:hAnsi="Times New Roman" w:eastAsia="宋体" w:cs="Times New Roman"/>
          <w:szCs w:val="24"/>
          <w:lang w:eastAsia="zh-CN"/>
        </w:rPr>
        <w:t>溪湖</w:t>
      </w:r>
      <w:r>
        <w:rPr>
          <w:rFonts w:hint="default" w:ascii="Times New Roman" w:hAnsi="Times New Roman" w:eastAsia="宋体" w:cs="Times New Roman"/>
          <w:szCs w:val="24"/>
        </w:rPr>
        <w:t>区属温带湿润季风气候区，年平均气温7.8ºC（33年均温），最高气温37.8ºC，最低气温-33.6ºC。一月份平均气温-11.4ºC，七月份平均气温24.3ºC。全年无霜期平均为156天，冰冻期5个月左右，土壤平均冻结深度为1.2m。年平均降雨量793.7mm，多集中在7、8月两个月，年平均蒸发量为1600mm，该地区全年主导风向为东南风，年平均风速为2.7m/s，最大风速为12.6m/s。</w:t>
      </w:r>
    </w:p>
    <w:bookmarkEnd w:id="376"/>
    <w:bookmarkEnd w:id="377"/>
    <w:p w14:paraId="7CD4CDCB">
      <w:pPr>
        <w:pStyle w:val="3"/>
        <w:bidi w:val="0"/>
      </w:pPr>
      <w:bookmarkStart w:id="380" w:name="_Toc14132"/>
      <w:r>
        <w:rPr>
          <w:rFonts w:hint="eastAsia"/>
          <w:lang w:val="en-US" w:eastAsia="zh-CN"/>
        </w:rPr>
        <w:t>6</w:t>
      </w:r>
      <w:r>
        <w:t>.2评价区环境质量现状</w:t>
      </w:r>
      <w:bookmarkEnd w:id="378"/>
      <w:bookmarkEnd w:id="379"/>
      <w:bookmarkEnd w:id="380"/>
    </w:p>
    <w:p w14:paraId="12B7E981">
      <w:pPr>
        <w:pStyle w:val="5"/>
        <w:rPr>
          <w:color w:val="auto"/>
        </w:rPr>
      </w:pPr>
      <w:r>
        <w:rPr>
          <w:rFonts w:hint="eastAsia"/>
          <w:color w:val="auto"/>
          <w:lang w:val="en-US" w:eastAsia="zh-CN"/>
        </w:rPr>
        <w:t>6</w:t>
      </w:r>
      <w:r>
        <w:rPr>
          <w:color w:val="auto"/>
        </w:rPr>
        <w:t>.2.1环境空气质量现状调查与评价</w:t>
      </w:r>
    </w:p>
    <w:p w14:paraId="155F095C">
      <w:pPr>
        <w:pStyle w:val="6"/>
        <w:rPr>
          <w:color w:val="auto"/>
        </w:rPr>
      </w:pPr>
      <w:r>
        <w:rPr>
          <w:rFonts w:hint="eastAsia"/>
          <w:color w:val="auto"/>
          <w:lang w:val="en-US" w:eastAsia="zh-CN"/>
        </w:rPr>
        <w:t>6</w:t>
      </w:r>
      <w:r>
        <w:rPr>
          <w:color w:val="auto"/>
        </w:rPr>
        <w:t>.2.1.1</w:t>
      </w:r>
      <w:r>
        <w:rPr>
          <w:szCs w:val="24"/>
        </w:rPr>
        <w:t>空气质量达标区判定</w:t>
      </w:r>
    </w:p>
    <w:p w14:paraId="430D8765">
      <w:pPr>
        <w:autoSpaceDE w:val="0"/>
        <w:spacing w:line="360" w:lineRule="auto"/>
        <w:ind w:right="193" w:firstLine="480" w:firstLineChars="200"/>
        <w:rPr>
          <w:rFonts w:hint="default" w:ascii="Times New Roman" w:hAnsi="Times New Roman" w:cs="Times New Roman"/>
          <w:spacing w:val="4"/>
          <w:kern w:val="0"/>
          <w:sz w:val="24"/>
        </w:rPr>
      </w:pPr>
      <w:r>
        <w:rPr>
          <w:rFonts w:hint="default"/>
        </w:rPr>
        <w:t>按照《环境影响评价技术导则·大气环境》（HJ2.2-2018）6.2.1.1的规定：项目所在区域达标判定，优先采用国家或地方生态环境主管部门公开发布的评价基准年环境质量公告或环境质量报告中的数据或结论。本次评价项目所在区达标判断依据为2018年本溪市空气质量统计数据</w:t>
      </w:r>
      <w:r>
        <w:rPr>
          <w:rFonts w:hint="default" w:ascii="Times New Roman" w:hAnsi="Times New Roman" w:cs="Times New Roman"/>
          <w:spacing w:val="4"/>
          <w:kern w:val="0"/>
          <w:sz w:val="24"/>
        </w:rPr>
        <w:t>，具体见下表。</w:t>
      </w:r>
    </w:p>
    <w:p w14:paraId="664DD163">
      <w:pPr>
        <w:spacing w:line="240" w:lineRule="auto"/>
        <w:jc w:val="center"/>
        <w:rPr>
          <w:rFonts w:hint="default" w:ascii="Times New Roman" w:hAnsi="Times New Roman" w:eastAsia="黑体" w:cs="Times New Roman"/>
          <w:bCs/>
          <w:szCs w:val="21"/>
        </w:rPr>
      </w:pPr>
      <w:r>
        <w:rPr>
          <w:rFonts w:hint="eastAsia" w:ascii="黑体" w:hAnsi="黑体" w:eastAsia="黑体" w:cs="黑体"/>
          <w:bCs/>
          <w:sz w:val="21"/>
          <w:szCs w:val="21"/>
        </w:rPr>
        <w:t>表</w:t>
      </w:r>
      <w:r>
        <w:rPr>
          <w:rFonts w:hint="eastAsia" w:ascii="黑体" w:hAnsi="黑体" w:eastAsia="黑体" w:cs="黑体"/>
          <w:bCs/>
          <w:sz w:val="21"/>
          <w:szCs w:val="21"/>
          <w:lang w:val="en-US" w:eastAsia="zh-CN"/>
        </w:rPr>
        <w:t>6-1</w:t>
      </w:r>
      <w:r>
        <w:rPr>
          <w:rFonts w:hint="eastAsia" w:ascii="黑体" w:hAnsi="黑体" w:eastAsia="黑体" w:cs="黑体"/>
          <w:bCs/>
          <w:sz w:val="21"/>
          <w:szCs w:val="21"/>
        </w:rPr>
        <w:t>区域空气质量现状评价表</w:t>
      </w:r>
    </w:p>
    <w:tbl>
      <w:tblPr>
        <w:tblStyle w:val="52"/>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887"/>
        <w:gridCol w:w="3108"/>
        <w:gridCol w:w="1145"/>
        <w:gridCol w:w="1172"/>
        <w:gridCol w:w="1140"/>
        <w:gridCol w:w="1076"/>
      </w:tblGrid>
      <w:tr w14:paraId="13990FD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87" w:type="dxa"/>
            <w:tcBorders>
              <w:tl2br w:val="nil"/>
              <w:tr2bl w:val="nil"/>
            </w:tcBorders>
            <w:noWrap w:val="0"/>
            <w:vAlign w:val="center"/>
          </w:tcPr>
          <w:p w14:paraId="420E365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bCs/>
                <w:kern w:val="0"/>
                <w:sz w:val="21"/>
                <w:szCs w:val="21"/>
              </w:rPr>
            </w:pPr>
            <w:r>
              <w:rPr>
                <w:rFonts w:hint="eastAsia" w:ascii="宋体" w:hAnsi="宋体" w:eastAsia="宋体" w:cs="宋体"/>
                <w:bCs/>
                <w:kern w:val="0"/>
                <w:sz w:val="21"/>
                <w:szCs w:val="21"/>
              </w:rPr>
              <w:t>污染物</w:t>
            </w:r>
          </w:p>
        </w:tc>
        <w:tc>
          <w:tcPr>
            <w:tcW w:w="3108" w:type="dxa"/>
            <w:tcBorders>
              <w:tl2br w:val="nil"/>
              <w:tr2bl w:val="nil"/>
            </w:tcBorders>
            <w:noWrap w:val="0"/>
            <w:vAlign w:val="center"/>
          </w:tcPr>
          <w:p w14:paraId="0245197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bCs/>
                <w:kern w:val="0"/>
                <w:sz w:val="21"/>
                <w:szCs w:val="21"/>
              </w:rPr>
            </w:pPr>
            <w:r>
              <w:rPr>
                <w:rFonts w:hint="eastAsia" w:ascii="宋体" w:hAnsi="宋体" w:eastAsia="宋体" w:cs="宋体"/>
                <w:bCs/>
                <w:kern w:val="0"/>
                <w:sz w:val="21"/>
                <w:szCs w:val="21"/>
              </w:rPr>
              <w:t>年评价指标</w:t>
            </w:r>
          </w:p>
        </w:tc>
        <w:tc>
          <w:tcPr>
            <w:tcW w:w="1145" w:type="dxa"/>
            <w:tcBorders>
              <w:tl2br w:val="nil"/>
              <w:tr2bl w:val="nil"/>
            </w:tcBorders>
            <w:noWrap w:val="0"/>
            <w:vAlign w:val="center"/>
          </w:tcPr>
          <w:p w14:paraId="7B14A70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bCs/>
                <w:kern w:val="0"/>
                <w:sz w:val="21"/>
                <w:szCs w:val="21"/>
              </w:rPr>
            </w:pPr>
            <w:r>
              <w:rPr>
                <w:rFonts w:hint="eastAsia" w:ascii="宋体" w:hAnsi="宋体" w:eastAsia="宋体" w:cs="宋体"/>
                <w:bCs/>
                <w:kern w:val="0"/>
                <w:sz w:val="21"/>
                <w:szCs w:val="21"/>
              </w:rPr>
              <w:t>现状浓度(μg/m</w:t>
            </w:r>
            <w:r>
              <w:rPr>
                <w:rFonts w:hint="eastAsia" w:ascii="宋体" w:hAnsi="宋体" w:eastAsia="宋体" w:cs="宋体"/>
                <w:bCs/>
                <w:kern w:val="0"/>
                <w:sz w:val="21"/>
                <w:szCs w:val="21"/>
                <w:vertAlign w:val="superscript"/>
              </w:rPr>
              <w:t>3</w:t>
            </w:r>
            <w:r>
              <w:rPr>
                <w:rFonts w:hint="eastAsia" w:ascii="宋体" w:hAnsi="宋体" w:eastAsia="宋体" w:cs="宋体"/>
                <w:bCs/>
                <w:kern w:val="0"/>
                <w:sz w:val="21"/>
                <w:szCs w:val="21"/>
              </w:rPr>
              <w:t>)</w:t>
            </w:r>
          </w:p>
        </w:tc>
        <w:tc>
          <w:tcPr>
            <w:tcW w:w="1172" w:type="dxa"/>
            <w:tcBorders>
              <w:tl2br w:val="nil"/>
              <w:tr2bl w:val="nil"/>
            </w:tcBorders>
            <w:noWrap w:val="0"/>
            <w:vAlign w:val="center"/>
          </w:tcPr>
          <w:p w14:paraId="7C69355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bCs/>
                <w:kern w:val="0"/>
                <w:sz w:val="21"/>
                <w:szCs w:val="21"/>
              </w:rPr>
            </w:pPr>
            <w:r>
              <w:rPr>
                <w:rFonts w:hint="eastAsia" w:ascii="宋体" w:hAnsi="宋体" w:eastAsia="宋体" w:cs="宋体"/>
                <w:bCs/>
                <w:kern w:val="0"/>
                <w:sz w:val="21"/>
                <w:szCs w:val="21"/>
              </w:rPr>
              <w:t>标准值(μg/m</w:t>
            </w:r>
            <w:r>
              <w:rPr>
                <w:rFonts w:hint="eastAsia" w:ascii="宋体" w:hAnsi="宋体" w:eastAsia="宋体" w:cs="宋体"/>
                <w:bCs/>
                <w:kern w:val="0"/>
                <w:sz w:val="21"/>
                <w:szCs w:val="21"/>
                <w:vertAlign w:val="superscript"/>
              </w:rPr>
              <w:t>3</w:t>
            </w:r>
            <w:r>
              <w:rPr>
                <w:rFonts w:hint="eastAsia" w:ascii="宋体" w:hAnsi="宋体" w:eastAsia="宋体" w:cs="宋体"/>
                <w:bCs/>
                <w:kern w:val="0"/>
                <w:sz w:val="21"/>
                <w:szCs w:val="21"/>
              </w:rPr>
              <w:t>)</w:t>
            </w:r>
          </w:p>
        </w:tc>
        <w:tc>
          <w:tcPr>
            <w:tcW w:w="1140" w:type="dxa"/>
            <w:tcBorders>
              <w:tl2br w:val="nil"/>
              <w:tr2bl w:val="nil"/>
            </w:tcBorders>
            <w:noWrap w:val="0"/>
            <w:vAlign w:val="center"/>
          </w:tcPr>
          <w:p w14:paraId="5552370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bCs/>
                <w:kern w:val="0"/>
                <w:sz w:val="21"/>
                <w:szCs w:val="21"/>
              </w:rPr>
            </w:pPr>
            <w:r>
              <w:rPr>
                <w:rFonts w:hint="eastAsia" w:ascii="宋体" w:hAnsi="宋体" w:eastAsia="宋体" w:cs="宋体"/>
                <w:bCs/>
                <w:kern w:val="0"/>
                <w:sz w:val="21"/>
                <w:szCs w:val="21"/>
              </w:rPr>
              <w:t>占标率/%</w:t>
            </w:r>
          </w:p>
        </w:tc>
        <w:tc>
          <w:tcPr>
            <w:tcW w:w="1076" w:type="dxa"/>
            <w:tcBorders>
              <w:tl2br w:val="nil"/>
              <w:tr2bl w:val="nil"/>
            </w:tcBorders>
            <w:noWrap w:val="0"/>
            <w:vAlign w:val="center"/>
          </w:tcPr>
          <w:p w14:paraId="231BB22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bCs/>
                <w:kern w:val="0"/>
                <w:sz w:val="21"/>
                <w:szCs w:val="21"/>
              </w:rPr>
            </w:pPr>
            <w:r>
              <w:rPr>
                <w:rFonts w:hint="eastAsia" w:ascii="宋体" w:hAnsi="宋体" w:eastAsia="宋体" w:cs="宋体"/>
                <w:bCs/>
                <w:kern w:val="0"/>
                <w:sz w:val="21"/>
                <w:szCs w:val="21"/>
              </w:rPr>
              <w:t>达标情况</w:t>
            </w:r>
          </w:p>
        </w:tc>
      </w:tr>
      <w:tr w14:paraId="03E2EB4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87" w:type="dxa"/>
            <w:vMerge w:val="restart"/>
            <w:tcBorders>
              <w:tl2br w:val="nil"/>
              <w:tr2bl w:val="nil"/>
            </w:tcBorders>
            <w:noWrap w:val="0"/>
            <w:vAlign w:val="center"/>
          </w:tcPr>
          <w:p w14:paraId="2089806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bCs/>
                <w:kern w:val="0"/>
                <w:sz w:val="21"/>
                <w:szCs w:val="21"/>
              </w:rPr>
            </w:pPr>
            <w:r>
              <w:rPr>
                <w:rFonts w:hint="eastAsia" w:ascii="宋体" w:hAnsi="宋体" w:eastAsia="宋体" w:cs="宋体"/>
                <w:bCs/>
                <w:kern w:val="0"/>
                <w:sz w:val="21"/>
                <w:szCs w:val="21"/>
              </w:rPr>
              <w:t>SO</w:t>
            </w:r>
            <w:r>
              <w:rPr>
                <w:rFonts w:hint="eastAsia" w:ascii="宋体" w:hAnsi="宋体" w:eastAsia="宋体" w:cs="宋体"/>
                <w:bCs/>
                <w:kern w:val="0"/>
                <w:sz w:val="21"/>
                <w:szCs w:val="21"/>
                <w:vertAlign w:val="subscript"/>
              </w:rPr>
              <w:t>2</w:t>
            </w:r>
          </w:p>
        </w:tc>
        <w:tc>
          <w:tcPr>
            <w:tcW w:w="3108" w:type="dxa"/>
            <w:tcBorders>
              <w:tl2br w:val="nil"/>
              <w:tr2bl w:val="nil"/>
            </w:tcBorders>
            <w:noWrap w:val="0"/>
            <w:vAlign w:val="center"/>
          </w:tcPr>
          <w:p w14:paraId="69FC4AA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bCs/>
                <w:kern w:val="0"/>
                <w:sz w:val="21"/>
                <w:szCs w:val="21"/>
              </w:rPr>
            </w:pPr>
            <w:r>
              <w:rPr>
                <w:rFonts w:hint="eastAsia" w:ascii="宋体" w:hAnsi="宋体" w:eastAsia="宋体" w:cs="宋体"/>
                <w:bCs/>
                <w:kern w:val="0"/>
                <w:sz w:val="21"/>
                <w:szCs w:val="21"/>
              </w:rPr>
              <w:t>年平均质量浓度</w:t>
            </w:r>
          </w:p>
        </w:tc>
        <w:tc>
          <w:tcPr>
            <w:tcW w:w="1145" w:type="dxa"/>
            <w:tcBorders>
              <w:tl2br w:val="nil"/>
              <w:tr2bl w:val="nil"/>
            </w:tcBorders>
            <w:noWrap w:val="0"/>
            <w:vAlign w:val="center"/>
          </w:tcPr>
          <w:p w14:paraId="79FE455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bCs/>
                <w:kern w:val="0"/>
                <w:sz w:val="21"/>
                <w:szCs w:val="21"/>
              </w:rPr>
            </w:pPr>
            <w:r>
              <w:rPr>
                <w:rFonts w:hint="eastAsia" w:ascii="宋体" w:hAnsi="宋体" w:eastAsia="宋体" w:cs="宋体"/>
                <w:bCs/>
                <w:kern w:val="0"/>
                <w:sz w:val="21"/>
                <w:szCs w:val="21"/>
              </w:rPr>
              <w:t>21</w:t>
            </w:r>
          </w:p>
        </w:tc>
        <w:tc>
          <w:tcPr>
            <w:tcW w:w="1172" w:type="dxa"/>
            <w:tcBorders>
              <w:tl2br w:val="nil"/>
              <w:tr2bl w:val="nil"/>
            </w:tcBorders>
            <w:noWrap w:val="0"/>
            <w:vAlign w:val="center"/>
          </w:tcPr>
          <w:p w14:paraId="4E2B417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bCs/>
                <w:kern w:val="0"/>
                <w:sz w:val="21"/>
                <w:szCs w:val="21"/>
              </w:rPr>
            </w:pPr>
            <w:r>
              <w:rPr>
                <w:rFonts w:hint="eastAsia" w:ascii="宋体" w:hAnsi="宋体" w:eastAsia="宋体" w:cs="宋体"/>
                <w:bCs/>
                <w:kern w:val="0"/>
                <w:sz w:val="21"/>
                <w:szCs w:val="21"/>
              </w:rPr>
              <w:t>60</w:t>
            </w:r>
          </w:p>
        </w:tc>
        <w:tc>
          <w:tcPr>
            <w:tcW w:w="1140" w:type="dxa"/>
            <w:tcBorders>
              <w:tl2br w:val="nil"/>
              <w:tr2bl w:val="nil"/>
            </w:tcBorders>
            <w:noWrap w:val="0"/>
            <w:vAlign w:val="center"/>
          </w:tcPr>
          <w:p w14:paraId="2D685DE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bCs/>
                <w:kern w:val="0"/>
                <w:sz w:val="21"/>
                <w:szCs w:val="21"/>
              </w:rPr>
            </w:pPr>
            <w:r>
              <w:rPr>
                <w:rFonts w:hint="eastAsia" w:ascii="宋体" w:hAnsi="宋体" w:eastAsia="宋体" w:cs="宋体"/>
                <w:bCs/>
                <w:kern w:val="0"/>
                <w:sz w:val="21"/>
                <w:szCs w:val="21"/>
              </w:rPr>
              <w:t>35</w:t>
            </w:r>
          </w:p>
        </w:tc>
        <w:tc>
          <w:tcPr>
            <w:tcW w:w="1076" w:type="dxa"/>
            <w:tcBorders>
              <w:tl2br w:val="nil"/>
              <w:tr2bl w:val="nil"/>
            </w:tcBorders>
            <w:noWrap w:val="0"/>
            <w:vAlign w:val="center"/>
          </w:tcPr>
          <w:p w14:paraId="1F052B9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bCs/>
                <w:kern w:val="0"/>
                <w:sz w:val="21"/>
                <w:szCs w:val="21"/>
              </w:rPr>
            </w:pPr>
            <w:r>
              <w:rPr>
                <w:rFonts w:hint="eastAsia" w:ascii="宋体" w:hAnsi="宋体" w:eastAsia="宋体" w:cs="宋体"/>
                <w:bCs/>
                <w:kern w:val="0"/>
                <w:sz w:val="21"/>
                <w:szCs w:val="21"/>
              </w:rPr>
              <w:t>达标</w:t>
            </w:r>
          </w:p>
        </w:tc>
      </w:tr>
      <w:tr w14:paraId="0D26914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87" w:type="dxa"/>
            <w:vMerge w:val="continue"/>
            <w:tcBorders>
              <w:tl2br w:val="nil"/>
              <w:tr2bl w:val="nil"/>
            </w:tcBorders>
            <w:noWrap w:val="0"/>
            <w:vAlign w:val="center"/>
          </w:tcPr>
          <w:p w14:paraId="0CAF292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rPr>
                <w:rFonts w:hint="eastAsia" w:ascii="宋体" w:hAnsi="宋体" w:eastAsia="宋体" w:cs="宋体"/>
                <w:bCs/>
                <w:kern w:val="0"/>
                <w:sz w:val="21"/>
                <w:szCs w:val="21"/>
              </w:rPr>
            </w:pPr>
          </w:p>
        </w:tc>
        <w:tc>
          <w:tcPr>
            <w:tcW w:w="3108" w:type="dxa"/>
            <w:tcBorders>
              <w:tl2br w:val="nil"/>
              <w:tr2bl w:val="nil"/>
            </w:tcBorders>
            <w:noWrap w:val="0"/>
            <w:vAlign w:val="center"/>
          </w:tcPr>
          <w:p w14:paraId="1FEBA92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bCs/>
                <w:kern w:val="0"/>
                <w:sz w:val="21"/>
                <w:szCs w:val="21"/>
              </w:rPr>
            </w:pPr>
            <w:r>
              <w:rPr>
                <w:rFonts w:hint="eastAsia" w:ascii="宋体" w:hAnsi="宋体" w:eastAsia="宋体" w:cs="宋体"/>
                <w:bCs/>
                <w:kern w:val="0"/>
                <w:sz w:val="21"/>
                <w:szCs w:val="21"/>
              </w:rPr>
              <w:t>第98百分位数日平均质量浓度</w:t>
            </w:r>
          </w:p>
        </w:tc>
        <w:tc>
          <w:tcPr>
            <w:tcW w:w="1145" w:type="dxa"/>
            <w:tcBorders>
              <w:tl2br w:val="nil"/>
              <w:tr2bl w:val="nil"/>
            </w:tcBorders>
            <w:noWrap w:val="0"/>
            <w:vAlign w:val="center"/>
          </w:tcPr>
          <w:p w14:paraId="65E4F69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bCs/>
                <w:kern w:val="0"/>
                <w:sz w:val="21"/>
                <w:szCs w:val="21"/>
              </w:rPr>
            </w:pPr>
            <w:r>
              <w:rPr>
                <w:rFonts w:hint="eastAsia" w:ascii="宋体" w:hAnsi="宋体" w:eastAsia="宋体" w:cs="宋体"/>
                <w:bCs/>
                <w:kern w:val="0"/>
                <w:sz w:val="21"/>
                <w:szCs w:val="21"/>
              </w:rPr>
              <w:t>52</w:t>
            </w:r>
          </w:p>
        </w:tc>
        <w:tc>
          <w:tcPr>
            <w:tcW w:w="1172" w:type="dxa"/>
            <w:tcBorders>
              <w:tl2br w:val="nil"/>
              <w:tr2bl w:val="nil"/>
            </w:tcBorders>
            <w:noWrap w:val="0"/>
            <w:vAlign w:val="center"/>
          </w:tcPr>
          <w:p w14:paraId="6F517BC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bCs/>
                <w:kern w:val="0"/>
                <w:sz w:val="21"/>
                <w:szCs w:val="21"/>
              </w:rPr>
            </w:pPr>
            <w:r>
              <w:rPr>
                <w:rFonts w:hint="eastAsia" w:ascii="宋体" w:hAnsi="宋体" w:eastAsia="宋体" w:cs="宋体"/>
                <w:bCs/>
                <w:kern w:val="0"/>
                <w:sz w:val="21"/>
                <w:szCs w:val="21"/>
              </w:rPr>
              <w:t>150</w:t>
            </w:r>
          </w:p>
        </w:tc>
        <w:tc>
          <w:tcPr>
            <w:tcW w:w="1140" w:type="dxa"/>
            <w:tcBorders>
              <w:tl2br w:val="nil"/>
              <w:tr2bl w:val="nil"/>
            </w:tcBorders>
            <w:noWrap w:val="0"/>
            <w:vAlign w:val="center"/>
          </w:tcPr>
          <w:p w14:paraId="4386A67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bCs/>
                <w:kern w:val="0"/>
                <w:sz w:val="21"/>
                <w:szCs w:val="21"/>
              </w:rPr>
            </w:pPr>
            <w:r>
              <w:rPr>
                <w:rFonts w:hint="eastAsia" w:ascii="宋体" w:hAnsi="宋体" w:eastAsia="宋体" w:cs="宋体"/>
                <w:bCs/>
                <w:kern w:val="0"/>
                <w:sz w:val="21"/>
                <w:szCs w:val="21"/>
              </w:rPr>
              <w:t>34.67</w:t>
            </w:r>
          </w:p>
        </w:tc>
        <w:tc>
          <w:tcPr>
            <w:tcW w:w="1076" w:type="dxa"/>
            <w:tcBorders>
              <w:tl2br w:val="nil"/>
              <w:tr2bl w:val="nil"/>
            </w:tcBorders>
            <w:noWrap w:val="0"/>
            <w:vAlign w:val="center"/>
          </w:tcPr>
          <w:p w14:paraId="1A8F3A4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bCs/>
                <w:kern w:val="0"/>
                <w:sz w:val="21"/>
                <w:szCs w:val="21"/>
              </w:rPr>
            </w:pPr>
            <w:r>
              <w:rPr>
                <w:rFonts w:hint="eastAsia" w:ascii="宋体" w:hAnsi="宋体" w:eastAsia="宋体" w:cs="宋体"/>
                <w:bCs/>
                <w:kern w:val="0"/>
                <w:sz w:val="21"/>
                <w:szCs w:val="21"/>
              </w:rPr>
              <w:t>达标</w:t>
            </w:r>
          </w:p>
        </w:tc>
      </w:tr>
      <w:tr w14:paraId="3ABA79B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87" w:type="dxa"/>
            <w:vMerge w:val="restart"/>
            <w:tcBorders>
              <w:tl2br w:val="nil"/>
              <w:tr2bl w:val="nil"/>
            </w:tcBorders>
            <w:noWrap w:val="0"/>
            <w:vAlign w:val="center"/>
          </w:tcPr>
          <w:p w14:paraId="4CF90EF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bCs/>
                <w:kern w:val="0"/>
                <w:sz w:val="21"/>
                <w:szCs w:val="21"/>
              </w:rPr>
            </w:pPr>
            <w:r>
              <w:rPr>
                <w:rFonts w:hint="eastAsia" w:ascii="宋体" w:hAnsi="宋体" w:eastAsia="宋体" w:cs="宋体"/>
                <w:bCs/>
                <w:kern w:val="0"/>
                <w:sz w:val="21"/>
                <w:szCs w:val="21"/>
              </w:rPr>
              <w:t>NO</w:t>
            </w:r>
            <w:r>
              <w:rPr>
                <w:rFonts w:hint="eastAsia" w:ascii="宋体" w:hAnsi="宋体" w:eastAsia="宋体" w:cs="宋体"/>
                <w:bCs/>
                <w:kern w:val="0"/>
                <w:sz w:val="21"/>
                <w:szCs w:val="21"/>
                <w:vertAlign w:val="subscript"/>
              </w:rPr>
              <w:t>2</w:t>
            </w:r>
          </w:p>
        </w:tc>
        <w:tc>
          <w:tcPr>
            <w:tcW w:w="3108" w:type="dxa"/>
            <w:tcBorders>
              <w:tl2br w:val="nil"/>
              <w:tr2bl w:val="nil"/>
            </w:tcBorders>
            <w:noWrap w:val="0"/>
            <w:vAlign w:val="center"/>
          </w:tcPr>
          <w:p w14:paraId="5F3DBB8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bCs/>
                <w:kern w:val="0"/>
                <w:sz w:val="21"/>
                <w:szCs w:val="21"/>
              </w:rPr>
            </w:pPr>
            <w:r>
              <w:rPr>
                <w:rFonts w:hint="eastAsia" w:ascii="宋体" w:hAnsi="宋体" w:eastAsia="宋体" w:cs="宋体"/>
                <w:bCs/>
                <w:kern w:val="0"/>
                <w:sz w:val="21"/>
                <w:szCs w:val="21"/>
              </w:rPr>
              <w:t>年平均质量浓度</w:t>
            </w:r>
          </w:p>
        </w:tc>
        <w:tc>
          <w:tcPr>
            <w:tcW w:w="1145" w:type="dxa"/>
            <w:tcBorders>
              <w:tl2br w:val="nil"/>
              <w:tr2bl w:val="nil"/>
            </w:tcBorders>
            <w:noWrap w:val="0"/>
            <w:vAlign w:val="center"/>
          </w:tcPr>
          <w:p w14:paraId="7A6FBC3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bCs/>
                <w:kern w:val="0"/>
                <w:sz w:val="21"/>
                <w:szCs w:val="21"/>
              </w:rPr>
            </w:pPr>
            <w:r>
              <w:rPr>
                <w:rFonts w:hint="eastAsia" w:ascii="宋体" w:hAnsi="宋体" w:eastAsia="宋体" w:cs="宋体"/>
                <w:bCs/>
                <w:kern w:val="0"/>
                <w:sz w:val="21"/>
                <w:szCs w:val="21"/>
              </w:rPr>
              <w:t>31</w:t>
            </w:r>
          </w:p>
        </w:tc>
        <w:tc>
          <w:tcPr>
            <w:tcW w:w="1172" w:type="dxa"/>
            <w:tcBorders>
              <w:tl2br w:val="nil"/>
              <w:tr2bl w:val="nil"/>
            </w:tcBorders>
            <w:noWrap w:val="0"/>
            <w:vAlign w:val="center"/>
          </w:tcPr>
          <w:p w14:paraId="0C24DA4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bCs/>
                <w:kern w:val="0"/>
                <w:sz w:val="21"/>
                <w:szCs w:val="21"/>
              </w:rPr>
            </w:pPr>
            <w:r>
              <w:rPr>
                <w:rFonts w:hint="eastAsia" w:ascii="宋体" w:hAnsi="宋体" w:eastAsia="宋体" w:cs="宋体"/>
                <w:bCs/>
                <w:kern w:val="0"/>
                <w:sz w:val="21"/>
                <w:szCs w:val="21"/>
              </w:rPr>
              <w:t>40</w:t>
            </w:r>
          </w:p>
        </w:tc>
        <w:tc>
          <w:tcPr>
            <w:tcW w:w="1140" w:type="dxa"/>
            <w:tcBorders>
              <w:tl2br w:val="nil"/>
              <w:tr2bl w:val="nil"/>
            </w:tcBorders>
            <w:noWrap w:val="0"/>
            <w:vAlign w:val="center"/>
          </w:tcPr>
          <w:p w14:paraId="19457AC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bCs/>
                <w:kern w:val="0"/>
                <w:sz w:val="21"/>
                <w:szCs w:val="21"/>
              </w:rPr>
            </w:pPr>
            <w:r>
              <w:rPr>
                <w:rFonts w:hint="eastAsia" w:ascii="宋体" w:hAnsi="宋体" w:eastAsia="宋体" w:cs="宋体"/>
                <w:bCs/>
                <w:kern w:val="0"/>
                <w:sz w:val="21"/>
                <w:szCs w:val="21"/>
              </w:rPr>
              <w:t>77.5</w:t>
            </w:r>
          </w:p>
        </w:tc>
        <w:tc>
          <w:tcPr>
            <w:tcW w:w="1076" w:type="dxa"/>
            <w:tcBorders>
              <w:tl2br w:val="nil"/>
              <w:tr2bl w:val="nil"/>
            </w:tcBorders>
            <w:noWrap w:val="0"/>
            <w:vAlign w:val="center"/>
          </w:tcPr>
          <w:p w14:paraId="4972C79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bCs/>
                <w:kern w:val="0"/>
                <w:sz w:val="21"/>
                <w:szCs w:val="21"/>
              </w:rPr>
            </w:pPr>
            <w:r>
              <w:rPr>
                <w:rFonts w:hint="eastAsia" w:ascii="宋体" w:hAnsi="宋体" w:eastAsia="宋体" w:cs="宋体"/>
                <w:bCs/>
                <w:kern w:val="0"/>
                <w:sz w:val="21"/>
                <w:szCs w:val="21"/>
              </w:rPr>
              <w:t>达标</w:t>
            </w:r>
          </w:p>
        </w:tc>
      </w:tr>
      <w:tr w14:paraId="5893DB7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87" w:type="dxa"/>
            <w:vMerge w:val="continue"/>
            <w:tcBorders>
              <w:tl2br w:val="nil"/>
              <w:tr2bl w:val="nil"/>
            </w:tcBorders>
            <w:noWrap w:val="0"/>
            <w:vAlign w:val="center"/>
          </w:tcPr>
          <w:p w14:paraId="10C107E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rPr>
                <w:rFonts w:hint="eastAsia" w:ascii="宋体" w:hAnsi="宋体" w:eastAsia="宋体" w:cs="宋体"/>
                <w:bCs/>
                <w:kern w:val="0"/>
                <w:sz w:val="21"/>
                <w:szCs w:val="21"/>
              </w:rPr>
            </w:pPr>
          </w:p>
        </w:tc>
        <w:tc>
          <w:tcPr>
            <w:tcW w:w="3108" w:type="dxa"/>
            <w:tcBorders>
              <w:tl2br w:val="nil"/>
              <w:tr2bl w:val="nil"/>
            </w:tcBorders>
            <w:noWrap w:val="0"/>
            <w:vAlign w:val="center"/>
          </w:tcPr>
          <w:p w14:paraId="3CFABE4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bCs/>
                <w:kern w:val="0"/>
                <w:sz w:val="21"/>
                <w:szCs w:val="21"/>
              </w:rPr>
            </w:pPr>
            <w:r>
              <w:rPr>
                <w:rFonts w:hint="eastAsia" w:ascii="宋体" w:hAnsi="宋体" w:eastAsia="宋体" w:cs="宋体"/>
                <w:bCs/>
                <w:kern w:val="0"/>
                <w:sz w:val="21"/>
                <w:szCs w:val="21"/>
              </w:rPr>
              <w:t>第98百分位数日平均质量浓度</w:t>
            </w:r>
          </w:p>
        </w:tc>
        <w:tc>
          <w:tcPr>
            <w:tcW w:w="1145" w:type="dxa"/>
            <w:tcBorders>
              <w:tl2br w:val="nil"/>
              <w:tr2bl w:val="nil"/>
            </w:tcBorders>
            <w:noWrap w:val="0"/>
            <w:vAlign w:val="center"/>
          </w:tcPr>
          <w:p w14:paraId="2D10C5E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bCs/>
                <w:kern w:val="0"/>
                <w:sz w:val="21"/>
                <w:szCs w:val="21"/>
              </w:rPr>
            </w:pPr>
            <w:r>
              <w:rPr>
                <w:rFonts w:hint="eastAsia" w:ascii="宋体" w:hAnsi="宋体" w:eastAsia="宋体" w:cs="宋体"/>
                <w:bCs/>
                <w:kern w:val="0"/>
                <w:sz w:val="21"/>
                <w:szCs w:val="21"/>
              </w:rPr>
              <w:t>56</w:t>
            </w:r>
          </w:p>
        </w:tc>
        <w:tc>
          <w:tcPr>
            <w:tcW w:w="1172" w:type="dxa"/>
            <w:tcBorders>
              <w:tl2br w:val="nil"/>
              <w:tr2bl w:val="nil"/>
            </w:tcBorders>
            <w:noWrap w:val="0"/>
            <w:vAlign w:val="center"/>
          </w:tcPr>
          <w:p w14:paraId="580DE4B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bCs/>
                <w:kern w:val="0"/>
                <w:sz w:val="21"/>
                <w:szCs w:val="21"/>
              </w:rPr>
            </w:pPr>
            <w:r>
              <w:rPr>
                <w:rFonts w:hint="eastAsia" w:ascii="宋体" w:hAnsi="宋体" w:eastAsia="宋体" w:cs="宋体"/>
                <w:bCs/>
                <w:kern w:val="0"/>
                <w:sz w:val="21"/>
                <w:szCs w:val="21"/>
              </w:rPr>
              <w:t>80</w:t>
            </w:r>
          </w:p>
        </w:tc>
        <w:tc>
          <w:tcPr>
            <w:tcW w:w="1140" w:type="dxa"/>
            <w:tcBorders>
              <w:tl2br w:val="nil"/>
              <w:tr2bl w:val="nil"/>
            </w:tcBorders>
            <w:noWrap w:val="0"/>
            <w:vAlign w:val="center"/>
          </w:tcPr>
          <w:p w14:paraId="489B9AD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bCs/>
                <w:kern w:val="0"/>
                <w:sz w:val="21"/>
                <w:szCs w:val="21"/>
              </w:rPr>
            </w:pPr>
            <w:r>
              <w:rPr>
                <w:rFonts w:hint="eastAsia" w:ascii="宋体" w:hAnsi="宋体" w:eastAsia="宋体" w:cs="宋体"/>
                <w:bCs/>
                <w:kern w:val="0"/>
                <w:sz w:val="21"/>
                <w:szCs w:val="21"/>
              </w:rPr>
              <w:t>70</w:t>
            </w:r>
          </w:p>
        </w:tc>
        <w:tc>
          <w:tcPr>
            <w:tcW w:w="1076" w:type="dxa"/>
            <w:tcBorders>
              <w:tl2br w:val="nil"/>
              <w:tr2bl w:val="nil"/>
            </w:tcBorders>
            <w:noWrap w:val="0"/>
            <w:vAlign w:val="center"/>
          </w:tcPr>
          <w:p w14:paraId="791C19E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bCs/>
                <w:kern w:val="0"/>
                <w:sz w:val="21"/>
                <w:szCs w:val="21"/>
              </w:rPr>
            </w:pPr>
            <w:r>
              <w:rPr>
                <w:rFonts w:hint="eastAsia" w:ascii="宋体" w:hAnsi="宋体" w:eastAsia="宋体" w:cs="宋体"/>
                <w:bCs/>
                <w:kern w:val="0"/>
                <w:sz w:val="21"/>
                <w:szCs w:val="21"/>
              </w:rPr>
              <w:t>达标</w:t>
            </w:r>
          </w:p>
        </w:tc>
      </w:tr>
      <w:tr w14:paraId="3F94E7F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87" w:type="dxa"/>
            <w:vMerge w:val="restart"/>
            <w:tcBorders>
              <w:tl2br w:val="nil"/>
              <w:tr2bl w:val="nil"/>
            </w:tcBorders>
            <w:noWrap w:val="0"/>
            <w:vAlign w:val="center"/>
          </w:tcPr>
          <w:p w14:paraId="1FFE788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bCs/>
                <w:kern w:val="0"/>
                <w:sz w:val="21"/>
                <w:szCs w:val="21"/>
              </w:rPr>
            </w:pPr>
            <w:r>
              <w:rPr>
                <w:rFonts w:hint="eastAsia" w:ascii="宋体" w:hAnsi="宋体" w:eastAsia="宋体" w:cs="宋体"/>
                <w:bCs/>
                <w:kern w:val="0"/>
                <w:sz w:val="21"/>
                <w:szCs w:val="21"/>
              </w:rPr>
              <w:t>PM</w:t>
            </w:r>
            <w:r>
              <w:rPr>
                <w:rFonts w:hint="eastAsia" w:ascii="宋体" w:hAnsi="宋体" w:eastAsia="宋体" w:cs="宋体"/>
                <w:bCs/>
                <w:kern w:val="0"/>
                <w:sz w:val="21"/>
                <w:szCs w:val="21"/>
                <w:vertAlign w:val="subscript"/>
              </w:rPr>
              <w:t>10</w:t>
            </w:r>
          </w:p>
        </w:tc>
        <w:tc>
          <w:tcPr>
            <w:tcW w:w="3108" w:type="dxa"/>
            <w:tcBorders>
              <w:tl2br w:val="nil"/>
              <w:tr2bl w:val="nil"/>
            </w:tcBorders>
            <w:noWrap w:val="0"/>
            <w:vAlign w:val="center"/>
          </w:tcPr>
          <w:p w14:paraId="49CB925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bCs/>
                <w:kern w:val="0"/>
                <w:sz w:val="21"/>
                <w:szCs w:val="21"/>
              </w:rPr>
            </w:pPr>
            <w:r>
              <w:rPr>
                <w:rFonts w:hint="eastAsia" w:ascii="宋体" w:hAnsi="宋体" w:eastAsia="宋体" w:cs="宋体"/>
                <w:bCs/>
                <w:kern w:val="0"/>
                <w:sz w:val="21"/>
                <w:szCs w:val="21"/>
              </w:rPr>
              <w:t>年平均质量浓度</w:t>
            </w:r>
          </w:p>
        </w:tc>
        <w:tc>
          <w:tcPr>
            <w:tcW w:w="1145" w:type="dxa"/>
            <w:tcBorders>
              <w:tl2br w:val="nil"/>
              <w:tr2bl w:val="nil"/>
            </w:tcBorders>
            <w:noWrap w:val="0"/>
            <w:vAlign w:val="center"/>
          </w:tcPr>
          <w:p w14:paraId="44573A5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bCs/>
                <w:kern w:val="0"/>
                <w:sz w:val="21"/>
                <w:szCs w:val="21"/>
              </w:rPr>
            </w:pPr>
            <w:r>
              <w:rPr>
                <w:rFonts w:hint="eastAsia" w:ascii="宋体" w:hAnsi="宋体" w:eastAsia="宋体" w:cs="宋体"/>
                <w:bCs/>
                <w:kern w:val="0"/>
                <w:sz w:val="21"/>
                <w:szCs w:val="21"/>
              </w:rPr>
              <w:t>65</w:t>
            </w:r>
          </w:p>
        </w:tc>
        <w:tc>
          <w:tcPr>
            <w:tcW w:w="1172" w:type="dxa"/>
            <w:tcBorders>
              <w:tl2br w:val="nil"/>
              <w:tr2bl w:val="nil"/>
            </w:tcBorders>
            <w:noWrap w:val="0"/>
            <w:vAlign w:val="center"/>
          </w:tcPr>
          <w:p w14:paraId="01B42F1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bCs/>
                <w:kern w:val="0"/>
                <w:sz w:val="21"/>
                <w:szCs w:val="21"/>
              </w:rPr>
            </w:pPr>
            <w:r>
              <w:rPr>
                <w:rFonts w:hint="eastAsia" w:ascii="宋体" w:hAnsi="宋体" w:eastAsia="宋体" w:cs="宋体"/>
                <w:bCs/>
                <w:kern w:val="0"/>
                <w:sz w:val="21"/>
                <w:szCs w:val="21"/>
              </w:rPr>
              <w:t>70</w:t>
            </w:r>
          </w:p>
        </w:tc>
        <w:tc>
          <w:tcPr>
            <w:tcW w:w="1140" w:type="dxa"/>
            <w:tcBorders>
              <w:tl2br w:val="nil"/>
              <w:tr2bl w:val="nil"/>
            </w:tcBorders>
            <w:noWrap w:val="0"/>
            <w:vAlign w:val="center"/>
          </w:tcPr>
          <w:p w14:paraId="536D3DA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bCs/>
                <w:kern w:val="0"/>
                <w:sz w:val="21"/>
                <w:szCs w:val="21"/>
              </w:rPr>
            </w:pPr>
            <w:r>
              <w:rPr>
                <w:rFonts w:hint="eastAsia" w:ascii="宋体" w:hAnsi="宋体" w:eastAsia="宋体" w:cs="宋体"/>
                <w:bCs/>
                <w:kern w:val="0"/>
                <w:sz w:val="21"/>
                <w:szCs w:val="21"/>
              </w:rPr>
              <w:t>92.86</w:t>
            </w:r>
          </w:p>
        </w:tc>
        <w:tc>
          <w:tcPr>
            <w:tcW w:w="1076" w:type="dxa"/>
            <w:tcBorders>
              <w:tl2br w:val="nil"/>
              <w:tr2bl w:val="nil"/>
            </w:tcBorders>
            <w:noWrap w:val="0"/>
            <w:vAlign w:val="center"/>
          </w:tcPr>
          <w:p w14:paraId="07739D8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bCs/>
                <w:kern w:val="0"/>
                <w:sz w:val="21"/>
                <w:szCs w:val="21"/>
              </w:rPr>
            </w:pPr>
            <w:r>
              <w:rPr>
                <w:rFonts w:hint="eastAsia" w:ascii="宋体" w:hAnsi="宋体" w:eastAsia="宋体" w:cs="宋体"/>
                <w:bCs/>
                <w:kern w:val="0"/>
                <w:sz w:val="21"/>
                <w:szCs w:val="21"/>
              </w:rPr>
              <w:t>达标</w:t>
            </w:r>
          </w:p>
        </w:tc>
      </w:tr>
      <w:tr w14:paraId="3A795D6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87" w:type="dxa"/>
            <w:vMerge w:val="continue"/>
            <w:tcBorders>
              <w:tl2br w:val="nil"/>
              <w:tr2bl w:val="nil"/>
            </w:tcBorders>
            <w:noWrap w:val="0"/>
            <w:vAlign w:val="center"/>
          </w:tcPr>
          <w:p w14:paraId="52B20FA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rPr>
                <w:rFonts w:hint="eastAsia" w:ascii="宋体" w:hAnsi="宋体" w:eastAsia="宋体" w:cs="宋体"/>
                <w:bCs/>
                <w:kern w:val="0"/>
                <w:sz w:val="21"/>
                <w:szCs w:val="21"/>
              </w:rPr>
            </w:pPr>
          </w:p>
        </w:tc>
        <w:tc>
          <w:tcPr>
            <w:tcW w:w="3108" w:type="dxa"/>
            <w:tcBorders>
              <w:tl2br w:val="nil"/>
              <w:tr2bl w:val="nil"/>
            </w:tcBorders>
            <w:noWrap w:val="0"/>
            <w:vAlign w:val="center"/>
          </w:tcPr>
          <w:p w14:paraId="4E2A40B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bCs/>
                <w:kern w:val="0"/>
                <w:sz w:val="21"/>
                <w:szCs w:val="21"/>
              </w:rPr>
            </w:pPr>
            <w:r>
              <w:rPr>
                <w:rFonts w:hint="eastAsia" w:ascii="宋体" w:hAnsi="宋体" w:eastAsia="宋体" w:cs="宋体"/>
                <w:bCs/>
                <w:kern w:val="0"/>
                <w:sz w:val="21"/>
                <w:szCs w:val="21"/>
              </w:rPr>
              <w:t>第95百分位数日平均质量浓度</w:t>
            </w:r>
          </w:p>
        </w:tc>
        <w:tc>
          <w:tcPr>
            <w:tcW w:w="1145" w:type="dxa"/>
            <w:tcBorders>
              <w:tl2br w:val="nil"/>
              <w:tr2bl w:val="nil"/>
            </w:tcBorders>
            <w:noWrap w:val="0"/>
            <w:vAlign w:val="center"/>
          </w:tcPr>
          <w:p w14:paraId="2CD423B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bCs/>
                <w:kern w:val="0"/>
                <w:sz w:val="21"/>
                <w:szCs w:val="21"/>
              </w:rPr>
            </w:pPr>
            <w:r>
              <w:rPr>
                <w:rFonts w:hint="eastAsia" w:ascii="宋体" w:hAnsi="宋体" w:eastAsia="宋体" w:cs="宋体"/>
                <w:bCs/>
                <w:kern w:val="0"/>
                <w:sz w:val="21"/>
                <w:szCs w:val="21"/>
              </w:rPr>
              <w:t>120</w:t>
            </w:r>
          </w:p>
        </w:tc>
        <w:tc>
          <w:tcPr>
            <w:tcW w:w="1172" w:type="dxa"/>
            <w:tcBorders>
              <w:tl2br w:val="nil"/>
              <w:tr2bl w:val="nil"/>
            </w:tcBorders>
            <w:noWrap w:val="0"/>
            <w:vAlign w:val="center"/>
          </w:tcPr>
          <w:p w14:paraId="6430EC2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bCs/>
                <w:kern w:val="0"/>
                <w:sz w:val="21"/>
                <w:szCs w:val="21"/>
              </w:rPr>
            </w:pPr>
            <w:r>
              <w:rPr>
                <w:rFonts w:hint="eastAsia" w:ascii="宋体" w:hAnsi="宋体" w:eastAsia="宋体" w:cs="宋体"/>
                <w:bCs/>
                <w:kern w:val="0"/>
                <w:sz w:val="21"/>
                <w:szCs w:val="21"/>
              </w:rPr>
              <w:t>150</w:t>
            </w:r>
          </w:p>
        </w:tc>
        <w:tc>
          <w:tcPr>
            <w:tcW w:w="1140" w:type="dxa"/>
            <w:tcBorders>
              <w:tl2br w:val="nil"/>
              <w:tr2bl w:val="nil"/>
            </w:tcBorders>
            <w:noWrap w:val="0"/>
            <w:vAlign w:val="center"/>
          </w:tcPr>
          <w:p w14:paraId="63BD6C7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bCs/>
                <w:kern w:val="0"/>
                <w:sz w:val="21"/>
                <w:szCs w:val="21"/>
              </w:rPr>
            </w:pPr>
            <w:r>
              <w:rPr>
                <w:rFonts w:hint="eastAsia" w:ascii="宋体" w:hAnsi="宋体" w:eastAsia="宋体" w:cs="宋体"/>
                <w:bCs/>
                <w:kern w:val="0"/>
                <w:sz w:val="21"/>
                <w:szCs w:val="21"/>
              </w:rPr>
              <w:t>80</w:t>
            </w:r>
          </w:p>
        </w:tc>
        <w:tc>
          <w:tcPr>
            <w:tcW w:w="1076" w:type="dxa"/>
            <w:tcBorders>
              <w:tl2br w:val="nil"/>
              <w:tr2bl w:val="nil"/>
            </w:tcBorders>
            <w:noWrap w:val="0"/>
            <w:vAlign w:val="center"/>
          </w:tcPr>
          <w:p w14:paraId="63ABB20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bCs/>
                <w:kern w:val="0"/>
                <w:sz w:val="21"/>
                <w:szCs w:val="21"/>
              </w:rPr>
            </w:pPr>
            <w:r>
              <w:rPr>
                <w:rFonts w:hint="eastAsia" w:ascii="宋体" w:hAnsi="宋体" w:eastAsia="宋体" w:cs="宋体"/>
                <w:bCs/>
                <w:kern w:val="0"/>
                <w:sz w:val="21"/>
                <w:szCs w:val="21"/>
              </w:rPr>
              <w:t>达标</w:t>
            </w:r>
          </w:p>
        </w:tc>
      </w:tr>
      <w:tr w14:paraId="576CF91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87" w:type="dxa"/>
            <w:vMerge w:val="restart"/>
            <w:tcBorders>
              <w:tl2br w:val="nil"/>
              <w:tr2bl w:val="nil"/>
            </w:tcBorders>
            <w:noWrap w:val="0"/>
            <w:vAlign w:val="center"/>
          </w:tcPr>
          <w:p w14:paraId="3DB8A95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bCs/>
                <w:kern w:val="0"/>
                <w:sz w:val="21"/>
                <w:szCs w:val="21"/>
              </w:rPr>
            </w:pPr>
            <w:r>
              <w:rPr>
                <w:rFonts w:hint="eastAsia" w:ascii="宋体" w:hAnsi="宋体" w:eastAsia="宋体" w:cs="宋体"/>
                <w:bCs/>
                <w:kern w:val="0"/>
                <w:sz w:val="21"/>
                <w:szCs w:val="21"/>
              </w:rPr>
              <w:t>PM</w:t>
            </w:r>
            <w:r>
              <w:rPr>
                <w:rFonts w:hint="eastAsia" w:ascii="宋体" w:hAnsi="宋体" w:eastAsia="宋体" w:cs="宋体"/>
                <w:bCs/>
                <w:kern w:val="0"/>
                <w:sz w:val="21"/>
                <w:szCs w:val="21"/>
                <w:vertAlign w:val="subscript"/>
              </w:rPr>
              <w:t>2.5</w:t>
            </w:r>
          </w:p>
        </w:tc>
        <w:tc>
          <w:tcPr>
            <w:tcW w:w="3108" w:type="dxa"/>
            <w:tcBorders>
              <w:tl2br w:val="nil"/>
              <w:tr2bl w:val="nil"/>
            </w:tcBorders>
            <w:noWrap w:val="0"/>
            <w:vAlign w:val="center"/>
          </w:tcPr>
          <w:p w14:paraId="62C7944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bCs/>
                <w:kern w:val="0"/>
                <w:sz w:val="21"/>
                <w:szCs w:val="21"/>
              </w:rPr>
            </w:pPr>
            <w:r>
              <w:rPr>
                <w:rFonts w:hint="eastAsia" w:ascii="宋体" w:hAnsi="宋体" w:eastAsia="宋体" w:cs="宋体"/>
                <w:bCs/>
                <w:kern w:val="0"/>
                <w:sz w:val="21"/>
                <w:szCs w:val="21"/>
              </w:rPr>
              <w:t>年平均质量浓度</w:t>
            </w:r>
          </w:p>
        </w:tc>
        <w:tc>
          <w:tcPr>
            <w:tcW w:w="1145" w:type="dxa"/>
            <w:tcBorders>
              <w:tl2br w:val="nil"/>
              <w:tr2bl w:val="nil"/>
            </w:tcBorders>
            <w:noWrap w:val="0"/>
            <w:vAlign w:val="center"/>
          </w:tcPr>
          <w:p w14:paraId="7C2E905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bCs/>
                <w:kern w:val="0"/>
                <w:sz w:val="21"/>
                <w:szCs w:val="21"/>
              </w:rPr>
            </w:pPr>
            <w:r>
              <w:rPr>
                <w:rFonts w:hint="eastAsia" w:ascii="宋体" w:hAnsi="宋体" w:eastAsia="宋体" w:cs="宋体"/>
                <w:bCs/>
                <w:kern w:val="0"/>
                <w:sz w:val="21"/>
                <w:szCs w:val="21"/>
              </w:rPr>
              <w:t>34</w:t>
            </w:r>
          </w:p>
        </w:tc>
        <w:tc>
          <w:tcPr>
            <w:tcW w:w="1172" w:type="dxa"/>
            <w:tcBorders>
              <w:tl2br w:val="nil"/>
              <w:tr2bl w:val="nil"/>
            </w:tcBorders>
            <w:noWrap w:val="0"/>
            <w:vAlign w:val="center"/>
          </w:tcPr>
          <w:p w14:paraId="6E861F5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bCs/>
                <w:kern w:val="0"/>
                <w:sz w:val="21"/>
                <w:szCs w:val="21"/>
              </w:rPr>
            </w:pPr>
            <w:r>
              <w:rPr>
                <w:rFonts w:hint="eastAsia" w:ascii="宋体" w:hAnsi="宋体" w:eastAsia="宋体" w:cs="宋体"/>
                <w:bCs/>
                <w:kern w:val="0"/>
                <w:sz w:val="21"/>
                <w:szCs w:val="21"/>
              </w:rPr>
              <w:t>35</w:t>
            </w:r>
          </w:p>
        </w:tc>
        <w:tc>
          <w:tcPr>
            <w:tcW w:w="1140" w:type="dxa"/>
            <w:tcBorders>
              <w:tl2br w:val="nil"/>
              <w:tr2bl w:val="nil"/>
            </w:tcBorders>
            <w:noWrap w:val="0"/>
            <w:vAlign w:val="center"/>
          </w:tcPr>
          <w:p w14:paraId="4B30EB4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bCs/>
                <w:kern w:val="0"/>
                <w:sz w:val="21"/>
                <w:szCs w:val="21"/>
              </w:rPr>
            </w:pPr>
            <w:r>
              <w:rPr>
                <w:rFonts w:hint="eastAsia" w:ascii="宋体" w:hAnsi="宋体" w:eastAsia="宋体" w:cs="宋体"/>
                <w:bCs/>
                <w:kern w:val="0"/>
                <w:sz w:val="21"/>
                <w:szCs w:val="21"/>
              </w:rPr>
              <w:t>97.14</w:t>
            </w:r>
          </w:p>
        </w:tc>
        <w:tc>
          <w:tcPr>
            <w:tcW w:w="1076" w:type="dxa"/>
            <w:tcBorders>
              <w:tl2br w:val="nil"/>
              <w:tr2bl w:val="nil"/>
            </w:tcBorders>
            <w:noWrap w:val="0"/>
            <w:vAlign w:val="center"/>
          </w:tcPr>
          <w:p w14:paraId="17A0786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bCs/>
                <w:kern w:val="0"/>
                <w:sz w:val="21"/>
                <w:szCs w:val="21"/>
              </w:rPr>
            </w:pPr>
            <w:r>
              <w:rPr>
                <w:rFonts w:hint="eastAsia" w:ascii="宋体" w:hAnsi="宋体" w:eastAsia="宋体" w:cs="宋体"/>
                <w:bCs/>
                <w:kern w:val="0"/>
                <w:sz w:val="21"/>
                <w:szCs w:val="21"/>
              </w:rPr>
              <w:t>达标</w:t>
            </w:r>
          </w:p>
        </w:tc>
      </w:tr>
      <w:tr w14:paraId="440CB8E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87" w:type="dxa"/>
            <w:vMerge w:val="continue"/>
            <w:tcBorders>
              <w:tl2br w:val="nil"/>
              <w:tr2bl w:val="nil"/>
            </w:tcBorders>
            <w:noWrap w:val="0"/>
            <w:vAlign w:val="center"/>
          </w:tcPr>
          <w:p w14:paraId="5D82F5A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rPr>
                <w:rFonts w:hint="eastAsia" w:ascii="宋体" w:hAnsi="宋体" w:eastAsia="宋体" w:cs="宋体"/>
                <w:bCs/>
                <w:kern w:val="0"/>
                <w:sz w:val="21"/>
                <w:szCs w:val="21"/>
              </w:rPr>
            </w:pPr>
          </w:p>
        </w:tc>
        <w:tc>
          <w:tcPr>
            <w:tcW w:w="3108" w:type="dxa"/>
            <w:tcBorders>
              <w:tl2br w:val="nil"/>
              <w:tr2bl w:val="nil"/>
            </w:tcBorders>
            <w:noWrap w:val="0"/>
            <w:vAlign w:val="center"/>
          </w:tcPr>
          <w:p w14:paraId="38037FF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bCs/>
                <w:kern w:val="0"/>
                <w:sz w:val="21"/>
                <w:szCs w:val="21"/>
              </w:rPr>
            </w:pPr>
            <w:r>
              <w:rPr>
                <w:rFonts w:hint="eastAsia" w:ascii="宋体" w:hAnsi="宋体" w:eastAsia="宋体" w:cs="宋体"/>
                <w:bCs/>
                <w:kern w:val="0"/>
                <w:sz w:val="21"/>
                <w:szCs w:val="21"/>
              </w:rPr>
              <w:t>第95百分位数日平均质量浓度</w:t>
            </w:r>
          </w:p>
        </w:tc>
        <w:tc>
          <w:tcPr>
            <w:tcW w:w="1145" w:type="dxa"/>
            <w:tcBorders>
              <w:tl2br w:val="nil"/>
              <w:tr2bl w:val="nil"/>
            </w:tcBorders>
            <w:noWrap w:val="0"/>
            <w:vAlign w:val="center"/>
          </w:tcPr>
          <w:p w14:paraId="3E52CD5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bCs/>
                <w:kern w:val="0"/>
                <w:sz w:val="21"/>
                <w:szCs w:val="21"/>
              </w:rPr>
            </w:pPr>
            <w:r>
              <w:rPr>
                <w:rFonts w:hint="eastAsia" w:ascii="宋体" w:hAnsi="宋体" w:eastAsia="宋体" w:cs="宋体"/>
                <w:bCs/>
                <w:kern w:val="0"/>
                <w:sz w:val="21"/>
                <w:szCs w:val="21"/>
              </w:rPr>
              <w:t>70</w:t>
            </w:r>
          </w:p>
        </w:tc>
        <w:tc>
          <w:tcPr>
            <w:tcW w:w="1172" w:type="dxa"/>
            <w:tcBorders>
              <w:tl2br w:val="nil"/>
              <w:tr2bl w:val="nil"/>
            </w:tcBorders>
            <w:noWrap w:val="0"/>
            <w:vAlign w:val="center"/>
          </w:tcPr>
          <w:p w14:paraId="6F8844D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bCs/>
                <w:kern w:val="0"/>
                <w:sz w:val="21"/>
                <w:szCs w:val="21"/>
              </w:rPr>
            </w:pPr>
            <w:r>
              <w:rPr>
                <w:rFonts w:hint="eastAsia" w:ascii="宋体" w:hAnsi="宋体" w:eastAsia="宋体" w:cs="宋体"/>
                <w:bCs/>
                <w:kern w:val="0"/>
                <w:sz w:val="21"/>
                <w:szCs w:val="21"/>
              </w:rPr>
              <w:t>75</w:t>
            </w:r>
          </w:p>
        </w:tc>
        <w:tc>
          <w:tcPr>
            <w:tcW w:w="1140" w:type="dxa"/>
            <w:tcBorders>
              <w:tl2br w:val="nil"/>
              <w:tr2bl w:val="nil"/>
            </w:tcBorders>
            <w:noWrap w:val="0"/>
            <w:vAlign w:val="center"/>
          </w:tcPr>
          <w:p w14:paraId="1C7473C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bCs/>
                <w:kern w:val="0"/>
                <w:sz w:val="21"/>
                <w:szCs w:val="21"/>
              </w:rPr>
            </w:pPr>
            <w:r>
              <w:rPr>
                <w:rFonts w:hint="eastAsia" w:ascii="宋体" w:hAnsi="宋体" w:eastAsia="宋体" w:cs="宋体"/>
                <w:bCs/>
                <w:kern w:val="0"/>
                <w:sz w:val="21"/>
                <w:szCs w:val="21"/>
              </w:rPr>
              <w:t>93.33</w:t>
            </w:r>
          </w:p>
        </w:tc>
        <w:tc>
          <w:tcPr>
            <w:tcW w:w="1076" w:type="dxa"/>
            <w:tcBorders>
              <w:tl2br w:val="nil"/>
              <w:tr2bl w:val="nil"/>
            </w:tcBorders>
            <w:noWrap w:val="0"/>
            <w:vAlign w:val="center"/>
          </w:tcPr>
          <w:p w14:paraId="7CEF967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bCs/>
                <w:kern w:val="0"/>
                <w:sz w:val="21"/>
                <w:szCs w:val="21"/>
              </w:rPr>
            </w:pPr>
            <w:r>
              <w:rPr>
                <w:rFonts w:hint="eastAsia" w:ascii="宋体" w:hAnsi="宋体" w:eastAsia="宋体" w:cs="宋体"/>
                <w:bCs/>
                <w:kern w:val="0"/>
                <w:sz w:val="21"/>
                <w:szCs w:val="21"/>
              </w:rPr>
              <w:t>达标</w:t>
            </w:r>
          </w:p>
        </w:tc>
      </w:tr>
      <w:tr w14:paraId="4E1A6D2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87" w:type="dxa"/>
            <w:tcBorders>
              <w:tl2br w:val="nil"/>
              <w:tr2bl w:val="nil"/>
            </w:tcBorders>
            <w:noWrap w:val="0"/>
            <w:vAlign w:val="center"/>
          </w:tcPr>
          <w:p w14:paraId="7FEF5E6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bCs/>
                <w:kern w:val="0"/>
                <w:sz w:val="21"/>
                <w:szCs w:val="21"/>
              </w:rPr>
            </w:pPr>
            <w:r>
              <w:rPr>
                <w:rFonts w:hint="eastAsia" w:ascii="宋体" w:hAnsi="宋体" w:eastAsia="宋体" w:cs="宋体"/>
                <w:bCs/>
                <w:kern w:val="0"/>
                <w:sz w:val="21"/>
                <w:szCs w:val="21"/>
              </w:rPr>
              <w:t>CO</w:t>
            </w:r>
          </w:p>
        </w:tc>
        <w:tc>
          <w:tcPr>
            <w:tcW w:w="3108" w:type="dxa"/>
            <w:tcBorders>
              <w:tl2br w:val="nil"/>
              <w:tr2bl w:val="nil"/>
            </w:tcBorders>
            <w:noWrap w:val="0"/>
            <w:vAlign w:val="center"/>
          </w:tcPr>
          <w:p w14:paraId="04E8C13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bCs/>
                <w:kern w:val="0"/>
                <w:sz w:val="21"/>
                <w:szCs w:val="21"/>
              </w:rPr>
            </w:pPr>
            <w:r>
              <w:rPr>
                <w:rFonts w:hint="eastAsia" w:ascii="宋体" w:hAnsi="宋体" w:eastAsia="宋体" w:cs="宋体"/>
                <w:bCs/>
                <w:kern w:val="0"/>
                <w:sz w:val="21"/>
                <w:szCs w:val="21"/>
              </w:rPr>
              <w:t>第95百分位数日平均质量浓度</w:t>
            </w:r>
          </w:p>
        </w:tc>
        <w:tc>
          <w:tcPr>
            <w:tcW w:w="1145" w:type="dxa"/>
            <w:tcBorders>
              <w:tl2br w:val="nil"/>
              <w:tr2bl w:val="nil"/>
            </w:tcBorders>
            <w:noWrap w:val="0"/>
            <w:vAlign w:val="center"/>
          </w:tcPr>
          <w:p w14:paraId="2964B33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bCs/>
                <w:kern w:val="0"/>
                <w:sz w:val="21"/>
                <w:szCs w:val="21"/>
              </w:rPr>
            </w:pPr>
            <w:r>
              <w:rPr>
                <w:rFonts w:hint="eastAsia" w:ascii="宋体" w:hAnsi="宋体" w:eastAsia="宋体" w:cs="宋体"/>
                <w:bCs/>
                <w:kern w:val="0"/>
                <w:sz w:val="21"/>
                <w:szCs w:val="21"/>
              </w:rPr>
              <w:t>2200</w:t>
            </w:r>
          </w:p>
        </w:tc>
        <w:tc>
          <w:tcPr>
            <w:tcW w:w="1172" w:type="dxa"/>
            <w:tcBorders>
              <w:tl2br w:val="nil"/>
              <w:tr2bl w:val="nil"/>
            </w:tcBorders>
            <w:noWrap w:val="0"/>
            <w:vAlign w:val="center"/>
          </w:tcPr>
          <w:p w14:paraId="17FECC7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bCs/>
                <w:kern w:val="0"/>
                <w:sz w:val="21"/>
                <w:szCs w:val="21"/>
              </w:rPr>
            </w:pPr>
            <w:r>
              <w:rPr>
                <w:rFonts w:hint="eastAsia" w:ascii="宋体" w:hAnsi="宋体" w:eastAsia="宋体" w:cs="宋体"/>
                <w:bCs/>
                <w:kern w:val="0"/>
                <w:sz w:val="21"/>
                <w:szCs w:val="21"/>
              </w:rPr>
              <w:t>4000</w:t>
            </w:r>
          </w:p>
        </w:tc>
        <w:tc>
          <w:tcPr>
            <w:tcW w:w="1140" w:type="dxa"/>
            <w:tcBorders>
              <w:tl2br w:val="nil"/>
              <w:tr2bl w:val="nil"/>
            </w:tcBorders>
            <w:noWrap w:val="0"/>
            <w:vAlign w:val="center"/>
          </w:tcPr>
          <w:p w14:paraId="62A8E9B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bCs/>
                <w:kern w:val="0"/>
                <w:sz w:val="21"/>
                <w:szCs w:val="21"/>
              </w:rPr>
            </w:pPr>
            <w:r>
              <w:rPr>
                <w:rFonts w:hint="eastAsia" w:ascii="宋体" w:hAnsi="宋体" w:eastAsia="宋体" w:cs="宋体"/>
                <w:bCs/>
                <w:kern w:val="0"/>
                <w:sz w:val="21"/>
                <w:szCs w:val="21"/>
              </w:rPr>
              <w:t>55</w:t>
            </w:r>
          </w:p>
        </w:tc>
        <w:tc>
          <w:tcPr>
            <w:tcW w:w="1076" w:type="dxa"/>
            <w:tcBorders>
              <w:tl2br w:val="nil"/>
              <w:tr2bl w:val="nil"/>
            </w:tcBorders>
            <w:noWrap w:val="0"/>
            <w:vAlign w:val="center"/>
          </w:tcPr>
          <w:p w14:paraId="3A2D9D4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bCs/>
                <w:kern w:val="0"/>
                <w:sz w:val="21"/>
                <w:szCs w:val="21"/>
              </w:rPr>
            </w:pPr>
            <w:r>
              <w:rPr>
                <w:rFonts w:hint="eastAsia" w:ascii="宋体" w:hAnsi="宋体" w:eastAsia="宋体" w:cs="宋体"/>
                <w:bCs/>
                <w:kern w:val="0"/>
                <w:sz w:val="21"/>
                <w:szCs w:val="21"/>
              </w:rPr>
              <w:t>达标</w:t>
            </w:r>
          </w:p>
        </w:tc>
      </w:tr>
      <w:tr w14:paraId="7C577DB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87" w:type="dxa"/>
            <w:tcBorders>
              <w:tl2br w:val="nil"/>
              <w:tr2bl w:val="nil"/>
            </w:tcBorders>
            <w:noWrap w:val="0"/>
            <w:vAlign w:val="center"/>
          </w:tcPr>
          <w:p w14:paraId="6EEB118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bCs/>
                <w:kern w:val="0"/>
                <w:sz w:val="21"/>
                <w:szCs w:val="21"/>
              </w:rPr>
            </w:pPr>
            <w:r>
              <w:rPr>
                <w:rFonts w:hint="eastAsia" w:ascii="宋体" w:hAnsi="宋体" w:eastAsia="宋体" w:cs="宋体"/>
                <w:bCs/>
                <w:kern w:val="0"/>
                <w:sz w:val="21"/>
                <w:szCs w:val="21"/>
              </w:rPr>
              <w:t>O</w:t>
            </w:r>
            <w:r>
              <w:rPr>
                <w:rFonts w:hint="eastAsia" w:ascii="宋体" w:hAnsi="宋体" w:eastAsia="宋体" w:cs="宋体"/>
                <w:bCs/>
                <w:kern w:val="0"/>
                <w:sz w:val="21"/>
                <w:szCs w:val="21"/>
                <w:vertAlign w:val="subscript"/>
              </w:rPr>
              <w:t>3</w:t>
            </w:r>
          </w:p>
        </w:tc>
        <w:tc>
          <w:tcPr>
            <w:tcW w:w="3108" w:type="dxa"/>
            <w:tcBorders>
              <w:tl2br w:val="nil"/>
              <w:tr2bl w:val="nil"/>
            </w:tcBorders>
            <w:noWrap w:val="0"/>
            <w:vAlign w:val="center"/>
          </w:tcPr>
          <w:p w14:paraId="7777634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bCs/>
                <w:kern w:val="0"/>
                <w:sz w:val="21"/>
                <w:szCs w:val="21"/>
              </w:rPr>
            </w:pPr>
            <w:r>
              <w:rPr>
                <w:rFonts w:hint="eastAsia" w:ascii="宋体" w:hAnsi="宋体" w:eastAsia="宋体" w:cs="宋体"/>
                <w:bCs/>
                <w:kern w:val="0"/>
                <w:sz w:val="21"/>
                <w:szCs w:val="21"/>
              </w:rPr>
              <w:t>第90百分位数日平均质量浓度</w:t>
            </w:r>
          </w:p>
        </w:tc>
        <w:tc>
          <w:tcPr>
            <w:tcW w:w="1145" w:type="dxa"/>
            <w:tcBorders>
              <w:tl2br w:val="nil"/>
              <w:tr2bl w:val="nil"/>
            </w:tcBorders>
            <w:noWrap w:val="0"/>
            <w:vAlign w:val="center"/>
          </w:tcPr>
          <w:p w14:paraId="3133CB8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bCs/>
                <w:kern w:val="0"/>
                <w:sz w:val="21"/>
                <w:szCs w:val="21"/>
              </w:rPr>
            </w:pPr>
            <w:r>
              <w:rPr>
                <w:rFonts w:hint="eastAsia" w:ascii="宋体" w:hAnsi="宋体" w:eastAsia="宋体" w:cs="宋体"/>
                <w:bCs/>
                <w:kern w:val="0"/>
                <w:sz w:val="21"/>
                <w:szCs w:val="21"/>
              </w:rPr>
              <w:t>137</w:t>
            </w:r>
          </w:p>
        </w:tc>
        <w:tc>
          <w:tcPr>
            <w:tcW w:w="1172" w:type="dxa"/>
            <w:tcBorders>
              <w:tl2br w:val="nil"/>
              <w:tr2bl w:val="nil"/>
            </w:tcBorders>
            <w:noWrap w:val="0"/>
            <w:vAlign w:val="center"/>
          </w:tcPr>
          <w:p w14:paraId="301D572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bCs/>
                <w:kern w:val="0"/>
                <w:sz w:val="21"/>
                <w:szCs w:val="21"/>
              </w:rPr>
            </w:pPr>
            <w:r>
              <w:rPr>
                <w:rFonts w:hint="eastAsia" w:ascii="宋体" w:hAnsi="宋体" w:eastAsia="宋体" w:cs="宋体"/>
                <w:bCs/>
                <w:kern w:val="0"/>
                <w:sz w:val="21"/>
                <w:szCs w:val="21"/>
              </w:rPr>
              <w:t>160</w:t>
            </w:r>
          </w:p>
        </w:tc>
        <w:tc>
          <w:tcPr>
            <w:tcW w:w="1140" w:type="dxa"/>
            <w:tcBorders>
              <w:tl2br w:val="nil"/>
              <w:tr2bl w:val="nil"/>
            </w:tcBorders>
            <w:noWrap w:val="0"/>
            <w:vAlign w:val="center"/>
          </w:tcPr>
          <w:p w14:paraId="564204D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bCs/>
                <w:kern w:val="0"/>
                <w:sz w:val="21"/>
                <w:szCs w:val="21"/>
              </w:rPr>
            </w:pPr>
            <w:r>
              <w:rPr>
                <w:rFonts w:hint="eastAsia" w:ascii="宋体" w:hAnsi="宋体" w:eastAsia="宋体" w:cs="宋体"/>
                <w:bCs/>
                <w:kern w:val="0"/>
                <w:sz w:val="21"/>
                <w:szCs w:val="21"/>
              </w:rPr>
              <w:t>85.63</w:t>
            </w:r>
          </w:p>
        </w:tc>
        <w:tc>
          <w:tcPr>
            <w:tcW w:w="1076" w:type="dxa"/>
            <w:tcBorders>
              <w:tl2br w:val="nil"/>
              <w:tr2bl w:val="nil"/>
            </w:tcBorders>
            <w:noWrap w:val="0"/>
            <w:vAlign w:val="center"/>
          </w:tcPr>
          <w:p w14:paraId="59E314C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bCs/>
                <w:kern w:val="0"/>
                <w:sz w:val="21"/>
                <w:szCs w:val="21"/>
              </w:rPr>
            </w:pPr>
            <w:r>
              <w:rPr>
                <w:rFonts w:hint="eastAsia" w:ascii="宋体" w:hAnsi="宋体" w:eastAsia="宋体" w:cs="宋体"/>
                <w:bCs/>
                <w:kern w:val="0"/>
                <w:sz w:val="21"/>
                <w:szCs w:val="21"/>
              </w:rPr>
              <w:t>达标</w:t>
            </w:r>
          </w:p>
        </w:tc>
      </w:tr>
    </w:tbl>
    <w:p w14:paraId="6230636D">
      <w:pPr>
        <w:bidi w:val="0"/>
        <w:rPr>
          <w:rFonts w:hint="eastAsia" w:eastAsia="宋体"/>
          <w:lang w:eastAsia="zh-CN"/>
        </w:rPr>
      </w:pPr>
      <w:r>
        <w:rPr>
          <w:rFonts w:hint="default" w:ascii="Times New Roman" w:hAnsi="Times New Roman" w:cs="Times New Roman"/>
          <w:b w:val="0"/>
          <w:bCs/>
          <w:spacing w:val="4"/>
          <w:kern w:val="0"/>
          <w:szCs w:val="24"/>
        </w:rPr>
        <w:t>2018年，本溪市城区环境空气中各污染物浓度均满足国家《环境空气质量标准》（GB3095-2012）及修改单中二级标准，所以项目所在区域属于达标区。</w:t>
      </w:r>
    </w:p>
    <w:p w14:paraId="65117226">
      <w:pPr>
        <w:pStyle w:val="6"/>
        <w:bidi w:val="0"/>
      </w:pPr>
      <w:r>
        <w:rPr>
          <w:rFonts w:hint="eastAsia"/>
          <w:lang w:val="en-US" w:eastAsia="zh-CN"/>
        </w:rPr>
        <w:t>6</w:t>
      </w:r>
      <w:r>
        <w:t>.2.1.2特征污染物区域环境质量现状评价</w:t>
      </w:r>
    </w:p>
    <w:p w14:paraId="48177E4A">
      <w:pPr>
        <w:bidi w:val="0"/>
      </w:pPr>
      <w:r>
        <w:rPr>
          <w:rFonts w:hint="eastAsia"/>
          <w:lang w:eastAsia="zh-CN"/>
        </w:rPr>
        <w:t>本项目生产过程中产生的甲</w:t>
      </w:r>
      <w:r>
        <w:rPr>
          <w:rFonts w:hint="eastAsia"/>
          <w:highlight w:val="none"/>
          <w:lang w:eastAsia="zh-CN"/>
        </w:rPr>
        <w:t>基磺酸废气以</w:t>
      </w:r>
      <w:r>
        <w:rPr>
          <w:rFonts w:hint="eastAsia"/>
          <w:highlight w:val="none"/>
          <w:lang w:val="en-US" w:eastAsia="zh-CN"/>
        </w:rPr>
        <w:t>TVOCs</w:t>
      </w:r>
      <w:r>
        <w:rPr>
          <w:rFonts w:hint="eastAsia"/>
          <w:highlight w:val="none"/>
          <w:lang w:eastAsia="zh-CN"/>
        </w:rPr>
        <w:t>计，特</w:t>
      </w:r>
      <w:r>
        <w:rPr>
          <w:rFonts w:hint="eastAsia"/>
          <w:lang w:eastAsia="zh-CN"/>
        </w:rPr>
        <w:t>征污染物区域环境质量现状委托沈阳市中正检测技术有限公司</w:t>
      </w:r>
      <w:r>
        <w:rPr>
          <w:rFonts w:hint="eastAsia"/>
          <w:lang w:val="en-US" w:eastAsia="zh-CN"/>
        </w:rPr>
        <w:t>进行现场监测，监测时间为2020.5.13~5.19</w:t>
      </w:r>
      <w:r>
        <w:t>。</w:t>
      </w:r>
    </w:p>
    <w:p w14:paraId="51080582">
      <w:pPr>
        <w:ind w:firstLine="480" w:firstLineChars="200"/>
      </w:pPr>
      <w:r>
        <w:t>（1）监测项目</w:t>
      </w:r>
    </w:p>
    <w:p w14:paraId="0938C611">
      <w:pPr>
        <w:ind w:firstLine="480" w:firstLineChars="200"/>
      </w:pPr>
      <w:r>
        <w:rPr>
          <w:rFonts w:hint="eastAsia"/>
          <w:highlight w:val="none"/>
          <w:lang w:val="en-US" w:eastAsia="zh-CN"/>
        </w:rPr>
        <w:t>TVOCs</w:t>
      </w:r>
      <w:r>
        <w:t>。</w:t>
      </w:r>
    </w:p>
    <w:p w14:paraId="4C28C32C">
      <w:pPr>
        <w:ind w:firstLine="480" w:firstLineChars="200"/>
      </w:pPr>
      <w:r>
        <w:t>（2）监测频率</w:t>
      </w:r>
    </w:p>
    <w:p w14:paraId="7593608B">
      <w:pPr>
        <w:ind w:firstLine="480" w:firstLineChars="200"/>
      </w:pPr>
      <w:r>
        <w:t>连续7天监测，每天监测4次（时间为0</w:t>
      </w:r>
      <w:r>
        <w:rPr>
          <w:rFonts w:hint="eastAsia"/>
          <w:lang w:val="en-US" w:eastAsia="zh-CN"/>
        </w:rPr>
        <w:t>9</w:t>
      </w:r>
      <w:r>
        <w:t>:00、</w:t>
      </w:r>
      <w:r>
        <w:rPr>
          <w:rFonts w:hint="eastAsia"/>
          <w:lang w:val="en-US" w:eastAsia="zh-CN"/>
        </w:rPr>
        <w:t>10</w:t>
      </w:r>
      <w:r>
        <w:t>：00、1</w:t>
      </w:r>
      <w:r>
        <w:rPr>
          <w:rFonts w:hint="eastAsia"/>
          <w:lang w:val="en-US" w:eastAsia="zh-CN"/>
        </w:rPr>
        <w:t>1</w:t>
      </w:r>
      <w:r>
        <w:t>:00）。</w:t>
      </w:r>
    </w:p>
    <w:p w14:paraId="6D6BA06A">
      <w:pPr>
        <w:ind w:firstLine="480" w:firstLineChars="200"/>
      </w:pPr>
      <w:r>
        <w:t>（3）监测及评价结果</w:t>
      </w:r>
    </w:p>
    <w:p w14:paraId="33E2B7DF">
      <w:pPr>
        <w:spacing w:before="120" w:beforeLines="50" w:line="240" w:lineRule="auto"/>
        <w:jc w:val="center"/>
        <w:rPr>
          <w:b/>
          <w:bCs/>
          <w:sz w:val="21"/>
          <w:szCs w:val="21"/>
        </w:rPr>
      </w:pPr>
      <w:r>
        <w:rPr>
          <w:rFonts w:hint="eastAsia" w:ascii="黑体" w:hAnsi="黑体" w:eastAsia="黑体" w:cs="黑体"/>
          <w:b w:val="0"/>
          <w:bCs w:val="0"/>
          <w:sz w:val="21"/>
          <w:szCs w:val="21"/>
        </w:rPr>
        <w:t>表</w:t>
      </w:r>
      <w:r>
        <w:rPr>
          <w:rFonts w:hint="eastAsia" w:ascii="黑体" w:hAnsi="黑体" w:eastAsia="黑体" w:cs="黑体"/>
          <w:b w:val="0"/>
          <w:bCs w:val="0"/>
          <w:sz w:val="21"/>
          <w:szCs w:val="21"/>
          <w:lang w:val="en-US" w:eastAsia="zh-CN"/>
        </w:rPr>
        <w:t>6-1监测</w:t>
      </w:r>
      <w:r>
        <w:rPr>
          <w:rFonts w:hint="eastAsia" w:ascii="黑体" w:hAnsi="黑体" w:eastAsia="黑体" w:cs="黑体"/>
          <w:b w:val="0"/>
          <w:bCs w:val="0"/>
          <w:sz w:val="21"/>
          <w:szCs w:val="21"/>
        </w:rPr>
        <w:t>结果</w:t>
      </w:r>
    </w:p>
    <w:tbl>
      <w:tblPr>
        <w:tblStyle w:val="52"/>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507"/>
        <w:gridCol w:w="1975"/>
        <w:gridCol w:w="781"/>
        <w:gridCol w:w="902"/>
        <w:gridCol w:w="907"/>
        <w:gridCol w:w="902"/>
        <w:gridCol w:w="902"/>
        <w:gridCol w:w="908"/>
        <w:gridCol w:w="741"/>
      </w:tblGrid>
      <w:tr w14:paraId="2ABBA1C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297" w:type="pct"/>
            <w:vMerge w:val="restart"/>
            <w:tcBorders>
              <w:tl2br w:val="nil"/>
              <w:tr2bl w:val="nil"/>
            </w:tcBorders>
            <w:noWrap w:val="0"/>
            <w:vAlign w:val="center"/>
          </w:tcPr>
          <w:p w14:paraId="1ED6AE4D">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检测项目</w:t>
            </w:r>
          </w:p>
        </w:tc>
        <w:tc>
          <w:tcPr>
            <w:tcW w:w="1158" w:type="pct"/>
            <w:vMerge w:val="restart"/>
            <w:tcBorders>
              <w:tl2br w:val="nil"/>
              <w:tr2bl w:val="nil"/>
            </w:tcBorders>
            <w:noWrap w:val="0"/>
            <w:vAlign w:val="center"/>
          </w:tcPr>
          <w:p w14:paraId="0CC96917">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采样日期 </w:t>
            </w:r>
          </w:p>
        </w:tc>
        <w:tc>
          <w:tcPr>
            <w:tcW w:w="3109" w:type="pct"/>
            <w:gridSpan w:val="6"/>
            <w:tcBorders>
              <w:tl2br w:val="nil"/>
              <w:tr2bl w:val="nil"/>
            </w:tcBorders>
            <w:noWrap w:val="0"/>
            <w:vAlign w:val="center"/>
          </w:tcPr>
          <w:p w14:paraId="5851CA0A">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检测结果 </w:t>
            </w:r>
          </w:p>
        </w:tc>
        <w:tc>
          <w:tcPr>
            <w:tcW w:w="434" w:type="pct"/>
            <w:vMerge w:val="restart"/>
            <w:tcBorders>
              <w:tl2br w:val="nil"/>
              <w:tr2bl w:val="nil"/>
            </w:tcBorders>
            <w:noWrap w:val="0"/>
            <w:vAlign w:val="center"/>
          </w:tcPr>
          <w:p w14:paraId="1FFE97B5">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sz w:val="21"/>
                <w:szCs w:val="21"/>
                <w:highlight w:val="none"/>
                <w:vertAlign w:val="subscript"/>
              </w:rPr>
            </w:pPr>
            <w:r>
              <w:rPr>
                <w:rFonts w:hint="eastAsia" w:ascii="宋体" w:hAnsi="宋体" w:eastAsia="宋体" w:cs="宋体"/>
                <w:sz w:val="21"/>
                <w:szCs w:val="21"/>
                <w:highlight w:val="none"/>
              </w:rPr>
              <w:t>单位</w:t>
            </w:r>
          </w:p>
        </w:tc>
      </w:tr>
      <w:tr w14:paraId="398CC20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93" w:hRule="atLeast"/>
          <w:tblHeader/>
          <w:jc w:val="center"/>
        </w:trPr>
        <w:tc>
          <w:tcPr>
            <w:tcW w:w="297" w:type="pct"/>
            <w:vMerge w:val="continue"/>
            <w:tcBorders>
              <w:tl2br w:val="nil"/>
              <w:tr2bl w:val="nil"/>
            </w:tcBorders>
            <w:noWrap w:val="0"/>
            <w:vAlign w:val="center"/>
          </w:tcPr>
          <w:p w14:paraId="521304AF">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highlight w:val="none"/>
              </w:rPr>
            </w:pPr>
          </w:p>
        </w:tc>
        <w:tc>
          <w:tcPr>
            <w:tcW w:w="1158" w:type="pct"/>
            <w:vMerge w:val="continue"/>
            <w:tcBorders>
              <w:tl2br w:val="nil"/>
              <w:tr2bl w:val="nil"/>
            </w:tcBorders>
            <w:noWrap w:val="0"/>
            <w:vAlign w:val="center"/>
          </w:tcPr>
          <w:p w14:paraId="5DF5A20A">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highlight w:val="none"/>
              </w:rPr>
            </w:pPr>
          </w:p>
        </w:tc>
        <w:tc>
          <w:tcPr>
            <w:tcW w:w="1519" w:type="pct"/>
            <w:gridSpan w:val="3"/>
            <w:tcBorders>
              <w:tl2br w:val="nil"/>
              <w:tr2bl w:val="nil"/>
            </w:tcBorders>
            <w:noWrap w:val="0"/>
            <w:vAlign w:val="center"/>
          </w:tcPr>
          <w:p w14:paraId="472918D8">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val="en-US" w:eastAsia="zh-CN"/>
              </w:rPr>
              <w:t>厂址</w:t>
            </w:r>
          </w:p>
        </w:tc>
        <w:tc>
          <w:tcPr>
            <w:tcW w:w="1590" w:type="pct"/>
            <w:gridSpan w:val="3"/>
            <w:tcBorders>
              <w:tl2br w:val="nil"/>
              <w:tr2bl w:val="nil"/>
            </w:tcBorders>
            <w:noWrap w:val="0"/>
            <w:vAlign w:val="center"/>
          </w:tcPr>
          <w:p w14:paraId="55E7FEAB">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val="en-US" w:eastAsia="zh-CN"/>
              </w:rPr>
              <w:t>厂址下风向1000m</w:t>
            </w:r>
          </w:p>
        </w:tc>
        <w:tc>
          <w:tcPr>
            <w:tcW w:w="434" w:type="pct"/>
            <w:vMerge w:val="continue"/>
            <w:tcBorders>
              <w:tl2br w:val="nil"/>
              <w:tr2bl w:val="nil"/>
            </w:tcBorders>
            <w:noWrap w:val="0"/>
            <w:vAlign w:val="center"/>
          </w:tcPr>
          <w:p w14:paraId="28C39B42">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highlight w:val="none"/>
              </w:rPr>
            </w:pPr>
          </w:p>
        </w:tc>
      </w:tr>
      <w:tr w14:paraId="64C087C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93" w:hRule="atLeast"/>
          <w:tblHeader/>
          <w:jc w:val="center"/>
        </w:trPr>
        <w:tc>
          <w:tcPr>
            <w:tcW w:w="297" w:type="pct"/>
            <w:vMerge w:val="continue"/>
            <w:tcBorders>
              <w:tl2br w:val="nil"/>
              <w:tr2bl w:val="nil"/>
            </w:tcBorders>
            <w:noWrap w:val="0"/>
            <w:vAlign w:val="center"/>
          </w:tcPr>
          <w:p w14:paraId="31361C40">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rPr>
            </w:pPr>
          </w:p>
        </w:tc>
        <w:tc>
          <w:tcPr>
            <w:tcW w:w="1158" w:type="pct"/>
            <w:vMerge w:val="continue"/>
            <w:tcBorders>
              <w:tl2br w:val="nil"/>
              <w:tr2bl w:val="nil"/>
            </w:tcBorders>
            <w:noWrap w:val="0"/>
            <w:vAlign w:val="center"/>
          </w:tcPr>
          <w:p w14:paraId="4221F992">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rPr>
            </w:pPr>
          </w:p>
        </w:tc>
        <w:tc>
          <w:tcPr>
            <w:tcW w:w="458" w:type="pct"/>
            <w:tcBorders>
              <w:tl2br w:val="nil"/>
              <w:tr2bl w:val="nil"/>
            </w:tcBorders>
            <w:noWrap w:val="0"/>
            <w:vAlign w:val="center"/>
          </w:tcPr>
          <w:p w14:paraId="0F13F138">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第一次</w:t>
            </w:r>
          </w:p>
        </w:tc>
        <w:tc>
          <w:tcPr>
            <w:tcW w:w="529" w:type="pct"/>
            <w:tcBorders>
              <w:tl2br w:val="nil"/>
              <w:tr2bl w:val="nil"/>
            </w:tcBorders>
            <w:noWrap w:val="0"/>
            <w:vAlign w:val="center"/>
          </w:tcPr>
          <w:p w14:paraId="5463C50F">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rPr>
            </w:pPr>
            <w:r>
              <w:rPr>
                <w:rFonts w:hint="eastAsia" w:ascii="宋体" w:hAnsi="宋体" w:eastAsia="宋体" w:cs="宋体"/>
                <w:sz w:val="21"/>
                <w:szCs w:val="21"/>
                <w:lang w:val="en-US" w:eastAsia="zh-CN"/>
              </w:rPr>
              <w:t>第二次</w:t>
            </w:r>
          </w:p>
        </w:tc>
        <w:tc>
          <w:tcPr>
            <w:tcW w:w="531" w:type="pct"/>
            <w:tcBorders>
              <w:tl2br w:val="nil"/>
              <w:tr2bl w:val="nil"/>
            </w:tcBorders>
            <w:noWrap w:val="0"/>
            <w:vAlign w:val="center"/>
          </w:tcPr>
          <w:p w14:paraId="0D0418EF">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rPr>
            </w:pPr>
            <w:r>
              <w:rPr>
                <w:rFonts w:hint="eastAsia" w:ascii="宋体" w:hAnsi="宋体" w:eastAsia="宋体" w:cs="宋体"/>
                <w:sz w:val="21"/>
                <w:szCs w:val="21"/>
                <w:lang w:val="en-US" w:eastAsia="zh-CN"/>
              </w:rPr>
              <w:t>第三次</w:t>
            </w:r>
          </w:p>
        </w:tc>
        <w:tc>
          <w:tcPr>
            <w:tcW w:w="529" w:type="pct"/>
            <w:tcBorders>
              <w:tl2br w:val="nil"/>
              <w:tr2bl w:val="nil"/>
            </w:tcBorders>
            <w:noWrap w:val="0"/>
            <w:vAlign w:val="center"/>
          </w:tcPr>
          <w:p w14:paraId="18937CB9">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第一次</w:t>
            </w:r>
          </w:p>
        </w:tc>
        <w:tc>
          <w:tcPr>
            <w:tcW w:w="529" w:type="pct"/>
            <w:tcBorders>
              <w:tl2br w:val="nil"/>
              <w:tr2bl w:val="nil"/>
            </w:tcBorders>
            <w:noWrap w:val="0"/>
            <w:vAlign w:val="center"/>
          </w:tcPr>
          <w:p w14:paraId="140C8ABB">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第二次</w:t>
            </w:r>
          </w:p>
        </w:tc>
        <w:tc>
          <w:tcPr>
            <w:tcW w:w="532" w:type="pct"/>
            <w:tcBorders>
              <w:tl2br w:val="nil"/>
              <w:tr2bl w:val="nil"/>
            </w:tcBorders>
            <w:noWrap w:val="0"/>
            <w:vAlign w:val="center"/>
          </w:tcPr>
          <w:p w14:paraId="1FB0C8A7">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第三次</w:t>
            </w:r>
          </w:p>
        </w:tc>
        <w:tc>
          <w:tcPr>
            <w:tcW w:w="434" w:type="pct"/>
            <w:vMerge w:val="continue"/>
            <w:tcBorders>
              <w:tl2br w:val="nil"/>
              <w:tr2bl w:val="nil"/>
            </w:tcBorders>
            <w:noWrap w:val="0"/>
            <w:vAlign w:val="center"/>
          </w:tcPr>
          <w:p w14:paraId="05CFF222">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highlight w:val="none"/>
                <w:lang w:eastAsia="zh-CN"/>
              </w:rPr>
            </w:pPr>
          </w:p>
        </w:tc>
      </w:tr>
      <w:tr w14:paraId="40ABC77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97" w:type="pct"/>
            <w:vMerge w:val="restart"/>
            <w:tcBorders>
              <w:tl2br w:val="nil"/>
              <w:tr2bl w:val="nil"/>
            </w:tcBorders>
            <w:noWrap w:val="0"/>
            <w:vAlign w:val="center"/>
          </w:tcPr>
          <w:p w14:paraId="6FD771BE">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TVOC</w:t>
            </w:r>
          </w:p>
        </w:tc>
        <w:tc>
          <w:tcPr>
            <w:tcW w:w="1158" w:type="pct"/>
            <w:tcBorders>
              <w:tl2br w:val="nil"/>
              <w:tr2bl w:val="nil"/>
            </w:tcBorders>
            <w:noWrap w:val="0"/>
            <w:vAlign w:val="center"/>
          </w:tcPr>
          <w:p w14:paraId="41E6E900">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b w:val="0"/>
                <w:bCs w:val="0"/>
                <w:sz w:val="21"/>
                <w:szCs w:val="21"/>
                <w:highlight w:val="none"/>
              </w:rPr>
              <w:t>20</w:t>
            </w:r>
            <w:r>
              <w:rPr>
                <w:rFonts w:hint="eastAsia" w:ascii="宋体" w:hAnsi="宋体" w:eastAsia="宋体" w:cs="宋体"/>
                <w:b w:val="0"/>
                <w:bCs w:val="0"/>
                <w:sz w:val="21"/>
                <w:szCs w:val="21"/>
                <w:highlight w:val="none"/>
                <w:lang w:val="en-US" w:eastAsia="zh-CN"/>
              </w:rPr>
              <w:t>20</w:t>
            </w:r>
            <w:r>
              <w:rPr>
                <w:rFonts w:hint="eastAsia" w:ascii="宋体" w:hAnsi="宋体" w:eastAsia="宋体" w:cs="宋体"/>
                <w:b w:val="0"/>
                <w:bCs w:val="0"/>
                <w:sz w:val="21"/>
                <w:szCs w:val="21"/>
                <w:highlight w:val="none"/>
              </w:rPr>
              <w:t>年</w:t>
            </w:r>
            <w:r>
              <w:rPr>
                <w:rFonts w:hint="eastAsia" w:ascii="宋体" w:hAnsi="宋体" w:eastAsia="宋体" w:cs="宋体"/>
                <w:b w:val="0"/>
                <w:bCs w:val="0"/>
                <w:sz w:val="21"/>
                <w:szCs w:val="21"/>
                <w:highlight w:val="none"/>
                <w:lang w:val="en-US" w:eastAsia="zh-CN"/>
              </w:rPr>
              <w:t>05</w:t>
            </w:r>
            <w:r>
              <w:rPr>
                <w:rFonts w:hint="eastAsia" w:ascii="宋体" w:hAnsi="宋体" w:eastAsia="宋体" w:cs="宋体"/>
                <w:b w:val="0"/>
                <w:bCs w:val="0"/>
                <w:sz w:val="21"/>
                <w:szCs w:val="21"/>
                <w:highlight w:val="none"/>
              </w:rPr>
              <w:t>月</w:t>
            </w:r>
            <w:r>
              <w:rPr>
                <w:rFonts w:hint="eastAsia" w:ascii="宋体" w:hAnsi="宋体" w:eastAsia="宋体" w:cs="宋体"/>
                <w:b w:val="0"/>
                <w:bCs w:val="0"/>
                <w:sz w:val="21"/>
                <w:szCs w:val="21"/>
                <w:highlight w:val="none"/>
                <w:lang w:val="en-US" w:eastAsia="zh-CN"/>
              </w:rPr>
              <w:t>13</w:t>
            </w:r>
            <w:r>
              <w:rPr>
                <w:rFonts w:hint="eastAsia" w:ascii="宋体" w:hAnsi="宋体" w:eastAsia="宋体" w:cs="宋体"/>
                <w:b w:val="0"/>
                <w:bCs w:val="0"/>
                <w:sz w:val="21"/>
                <w:szCs w:val="21"/>
                <w:highlight w:val="none"/>
              </w:rPr>
              <w:t>日</w:t>
            </w:r>
          </w:p>
        </w:tc>
        <w:tc>
          <w:tcPr>
            <w:tcW w:w="458" w:type="pct"/>
            <w:tcBorders>
              <w:tl2br w:val="nil"/>
              <w:tr2bl w:val="nil"/>
            </w:tcBorders>
            <w:noWrap w:val="0"/>
            <w:vAlign w:val="center"/>
          </w:tcPr>
          <w:p w14:paraId="72719D16">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color w:val="0000FF"/>
                <w:sz w:val="21"/>
                <w:szCs w:val="21"/>
                <w:highlight w:val="none"/>
                <w:lang w:val="en-US" w:eastAsia="zh-CN"/>
              </w:rPr>
            </w:pPr>
            <w:r>
              <w:rPr>
                <w:rFonts w:hint="eastAsia" w:ascii="宋体" w:hAnsi="宋体" w:eastAsia="宋体" w:cs="宋体"/>
                <w:kern w:val="0"/>
                <w:sz w:val="21"/>
                <w:szCs w:val="21"/>
                <w:highlight w:val="none"/>
                <w:lang w:val="en-US" w:eastAsia="zh-CN" w:bidi="ar"/>
              </w:rPr>
              <w:t>0.34</w:t>
            </w:r>
          </w:p>
        </w:tc>
        <w:tc>
          <w:tcPr>
            <w:tcW w:w="529" w:type="pct"/>
            <w:tcBorders>
              <w:tl2br w:val="nil"/>
              <w:tr2bl w:val="nil"/>
            </w:tcBorders>
            <w:noWrap w:val="0"/>
            <w:vAlign w:val="center"/>
          </w:tcPr>
          <w:p w14:paraId="3DC744AC">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kern w:val="0"/>
                <w:sz w:val="21"/>
                <w:szCs w:val="21"/>
                <w:highlight w:val="none"/>
                <w:lang w:val="en-US" w:eastAsia="zh-CN" w:bidi="ar"/>
              </w:rPr>
            </w:pPr>
            <w:r>
              <w:rPr>
                <w:rFonts w:hint="eastAsia" w:ascii="宋体" w:hAnsi="宋体" w:eastAsia="宋体" w:cs="宋体"/>
                <w:kern w:val="0"/>
                <w:sz w:val="21"/>
                <w:szCs w:val="21"/>
                <w:highlight w:val="none"/>
                <w:lang w:val="en-US" w:eastAsia="zh-CN" w:bidi="ar"/>
              </w:rPr>
              <w:t>0.36</w:t>
            </w:r>
          </w:p>
        </w:tc>
        <w:tc>
          <w:tcPr>
            <w:tcW w:w="531" w:type="pct"/>
            <w:tcBorders>
              <w:tl2br w:val="nil"/>
              <w:tr2bl w:val="nil"/>
            </w:tcBorders>
            <w:noWrap w:val="0"/>
            <w:vAlign w:val="center"/>
          </w:tcPr>
          <w:p w14:paraId="00C6C092">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kern w:val="0"/>
                <w:sz w:val="21"/>
                <w:szCs w:val="21"/>
                <w:highlight w:val="none"/>
                <w:lang w:val="en-US" w:eastAsia="zh-CN" w:bidi="ar"/>
              </w:rPr>
            </w:pPr>
            <w:r>
              <w:rPr>
                <w:rFonts w:hint="eastAsia" w:ascii="宋体" w:hAnsi="宋体" w:eastAsia="宋体" w:cs="宋体"/>
                <w:kern w:val="0"/>
                <w:sz w:val="21"/>
                <w:szCs w:val="21"/>
                <w:highlight w:val="none"/>
                <w:lang w:val="en-US" w:eastAsia="zh-CN" w:bidi="ar"/>
              </w:rPr>
              <w:t>0.33</w:t>
            </w:r>
          </w:p>
        </w:tc>
        <w:tc>
          <w:tcPr>
            <w:tcW w:w="529" w:type="pct"/>
            <w:tcBorders>
              <w:tl2br w:val="nil"/>
              <w:tr2bl w:val="nil"/>
            </w:tcBorders>
            <w:noWrap w:val="0"/>
            <w:vAlign w:val="center"/>
          </w:tcPr>
          <w:p w14:paraId="1B64D908">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kern w:val="0"/>
                <w:sz w:val="21"/>
                <w:szCs w:val="21"/>
                <w:highlight w:val="none"/>
                <w:lang w:val="en-US" w:eastAsia="zh-CN" w:bidi="ar"/>
              </w:rPr>
            </w:pPr>
            <w:r>
              <w:rPr>
                <w:rFonts w:hint="eastAsia" w:ascii="宋体" w:hAnsi="宋体" w:eastAsia="宋体" w:cs="宋体"/>
                <w:kern w:val="0"/>
                <w:sz w:val="21"/>
                <w:szCs w:val="21"/>
                <w:highlight w:val="none"/>
                <w:lang w:val="en-US" w:eastAsia="zh-CN" w:bidi="ar"/>
              </w:rPr>
              <w:t>0.31</w:t>
            </w:r>
          </w:p>
        </w:tc>
        <w:tc>
          <w:tcPr>
            <w:tcW w:w="529" w:type="pct"/>
            <w:tcBorders>
              <w:tl2br w:val="nil"/>
              <w:tr2bl w:val="nil"/>
            </w:tcBorders>
            <w:noWrap w:val="0"/>
            <w:vAlign w:val="center"/>
          </w:tcPr>
          <w:p w14:paraId="3CD2F80F">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kern w:val="0"/>
                <w:sz w:val="21"/>
                <w:szCs w:val="21"/>
                <w:highlight w:val="none"/>
                <w:lang w:val="en-US" w:eastAsia="zh-CN" w:bidi="ar"/>
              </w:rPr>
            </w:pPr>
            <w:r>
              <w:rPr>
                <w:rFonts w:hint="eastAsia" w:ascii="宋体" w:hAnsi="宋体" w:eastAsia="宋体" w:cs="宋体"/>
                <w:kern w:val="0"/>
                <w:sz w:val="21"/>
                <w:szCs w:val="21"/>
                <w:highlight w:val="none"/>
                <w:lang w:val="en-US" w:eastAsia="zh-CN" w:bidi="ar"/>
              </w:rPr>
              <w:t>0.32</w:t>
            </w:r>
          </w:p>
        </w:tc>
        <w:tc>
          <w:tcPr>
            <w:tcW w:w="532" w:type="pct"/>
            <w:tcBorders>
              <w:tl2br w:val="nil"/>
              <w:tr2bl w:val="nil"/>
            </w:tcBorders>
            <w:noWrap w:val="0"/>
            <w:vAlign w:val="center"/>
          </w:tcPr>
          <w:p w14:paraId="0308883F">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kern w:val="0"/>
                <w:sz w:val="21"/>
                <w:szCs w:val="21"/>
                <w:highlight w:val="none"/>
                <w:lang w:val="en-US" w:eastAsia="zh-CN" w:bidi="ar"/>
              </w:rPr>
            </w:pPr>
            <w:r>
              <w:rPr>
                <w:rFonts w:hint="eastAsia" w:ascii="宋体" w:hAnsi="宋体" w:eastAsia="宋体" w:cs="宋体"/>
                <w:kern w:val="0"/>
                <w:sz w:val="21"/>
                <w:szCs w:val="21"/>
                <w:highlight w:val="none"/>
                <w:lang w:val="en-US" w:eastAsia="zh-CN" w:bidi="ar"/>
              </w:rPr>
              <w:t>0.30</w:t>
            </w:r>
          </w:p>
        </w:tc>
        <w:tc>
          <w:tcPr>
            <w:tcW w:w="434" w:type="pct"/>
            <w:tcBorders>
              <w:tl2br w:val="nil"/>
              <w:tr2bl w:val="nil"/>
            </w:tcBorders>
            <w:noWrap w:val="0"/>
            <w:vAlign w:val="center"/>
          </w:tcPr>
          <w:p w14:paraId="60367EE2">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highlight w:val="none"/>
              </w:rPr>
            </w:pPr>
            <w:r>
              <w:rPr>
                <w:rFonts w:hint="eastAsia" w:ascii="宋体" w:hAnsi="宋体" w:eastAsia="宋体" w:cs="宋体"/>
                <w:color w:val="auto"/>
                <w:sz w:val="21"/>
                <w:szCs w:val="21"/>
              </w:rPr>
              <w:t>mg/m³</w:t>
            </w:r>
          </w:p>
        </w:tc>
      </w:tr>
      <w:tr w14:paraId="43A9A1A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97" w:type="pct"/>
            <w:vMerge w:val="continue"/>
            <w:tcBorders>
              <w:tl2br w:val="nil"/>
              <w:tr2bl w:val="nil"/>
            </w:tcBorders>
            <w:noWrap w:val="0"/>
            <w:vAlign w:val="center"/>
          </w:tcPr>
          <w:p w14:paraId="732D75ED">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highlight w:val="none"/>
              </w:rPr>
            </w:pPr>
          </w:p>
        </w:tc>
        <w:tc>
          <w:tcPr>
            <w:tcW w:w="1158" w:type="pct"/>
            <w:tcBorders>
              <w:tl2br w:val="nil"/>
              <w:tr2bl w:val="nil"/>
            </w:tcBorders>
            <w:noWrap w:val="0"/>
            <w:vAlign w:val="center"/>
          </w:tcPr>
          <w:p w14:paraId="1E3DBBF4">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b w:val="0"/>
                <w:bCs w:val="0"/>
                <w:sz w:val="21"/>
                <w:szCs w:val="21"/>
                <w:highlight w:val="none"/>
              </w:rPr>
              <w:t>20</w:t>
            </w:r>
            <w:r>
              <w:rPr>
                <w:rFonts w:hint="eastAsia" w:ascii="宋体" w:hAnsi="宋体" w:eastAsia="宋体" w:cs="宋体"/>
                <w:b w:val="0"/>
                <w:bCs w:val="0"/>
                <w:sz w:val="21"/>
                <w:szCs w:val="21"/>
                <w:highlight w:val="none"/>
                <w:lang w:val="en-US" w:eastAsia="zh-CN"/>
              </w:rPr>
              <w:t>20</w:t>
            </w:r>
            <w:r>
              <w:rPr>
                <w:rFonts w:hint="eastAsia" w:ascii="宋体" w:hAnsi="宋体" w:eastAsia="宋体" w:cs="宋体"/>
                <w:b w:val="0"/>
                <w:bCs w:val="0"/>
                <w:sz w:val="21"/>
                <w:szCs w:val="21"/>
                <w:highlight w:val="none"/>
              </w:rPr>
              <w:t>年</w:t>
            </w:r>
            <w:r>
              <w:rPr>
                <w:rFonts w:hint="eastAsia" w:ascii="宋体" w:hAnsi="宋体" w:eastAsia="宋体" w:cs="宋体"/>
                <w:b w:val="0"/>
                <w:bCs w:val="0"/>
                <w:sz w:val="21"/>
                <w:szCs w:val="21"/>
                <w:highlight w:val="none"/>
                <w:lang w:val="en-US" w:eastAsia="zh-CN"/>
              </w:rPr>
              <w:t>05</w:t>
            </w:r>
            <w:r>
              <w:rPr>
                <w:rFonts w:hint="eastAsia" w:ascii="宋体" w:hAnsi="宋体" w:eastAsia="宋体" w:cs="宋体"/>
                <w:b w:val="0"/>
                <w:bCs w:val="0"/>
                <w:sz w:val="21"/>
                <w:szCs w:val="21"/>
                <w:highlight w:val="none"/>
              </w:rPr>
              <w:t>月</w:t>
            </w:r>
            <w:r>
              <w:rPr>
                <w:rFonts w:hint="eastAsia" w:ascii="宋体" w:hAnsi="宋体" w:eastAsia="宋体" w:cs="宋体"/>
                <w:b w:val="0"/>
                <w:bCs w:val="0"/>
                <w:sz w:val="21"/>
                <w:szCs w:val="21"/>
                <w:highlight w:val="none"/>
                <w:lang w:val="en-US" w:eastAsia="zh-CN"/>
              </w:rPr>
              <w:t>14</w:t>
            </w:r>
            <w:r>
              <w:rPr>
                <w:rFonts w:hint="eastAsia" w:ascii="宋体" w:hAnsi="宋体" w:eastAsia="宋体" w:cs="宋体"/>
                <w:b w:val="0"/>
                <w:bCs w:val="0"/>
                <w:sz w:val="21"/>
                <w:szCs w:val="21"/>
                <w:highlight w:val="none"/>
              </w:rPr>
              <w:t>日</w:t>
            </w:r>
          </w:p>
        </w:tc>
        <w:tc>
          <w:tcPr>
            <w:tcW w:w="458" w:type="pct"/>
            <w:tcBorders>
              <w:tl2br w:val="nil"/>
              <w:tr2bl w:val="nil"/>
            </w:tcBorders>
            <w:noWrap w:val="0"/>
            <w:vAlign w:val="center"/>
          </w:tcPr>
          <w:p w14:paraId="1B446C57">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color w:val="0000FF"/>
                <w:sz w:val="21"/>
                <w:szCs w:val="21"/>
                <w:highlight w:val="none"/>
                <w:lang w:val="en-US" w:eastAsia="zh-CN"/>
              </w:rPr>
            </w:pPr>
            <w:r>
              <w:rPr>
                <w:rFonts w:hint="eastAsia" w:ascii="宋体" w:hAnsi="宋体" w:eastAsia="宋体" w:cs="宋体"/>
                <w:kern w:val="0"/>
                <w:sz w:val="21"/>
                <w:szCs w:val="21"/>
                <w:highlight w:val="none"/>
                <w:lang w:val="en-US" w:eastAsia="zh-CN" w:bidi="ar"/>
              </w:rPr>
              <w:t>0.38</w:t>
            </w:r>
          </w:p>
        </w:tc>
        <w:tc>
          <w:tcPr>
            <w:tcW w:w="529" w:type="pct"/>
            <w:tcBorders>
              <w:tl2br w:val="nil"/>
              <w:tr2bl w:val="nil"/>
            </w:tcBorders>
            <w:noWrap w:val="0"/>
            <w:vAlign w:val="center"/>
          </w:tcPr>
          <w:p w14:paraId="4DC3931E">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kern w:val="0"/>
                <w:sz w:val="21"/>
                <w:szCs w:val="21"/>
                <w:highlight w:val="none"/>
                <w:lang w:val="en-US" w:eastAsia="zh-CN" w:bidi="ar"/>
              </w:rPr>
            </w:pPr>
            <w:r>
              <w:rPr>
                <w:rFonts w:hint="eastAsia" w:ascii="宋体" w:hAnsi="宋体" w:eastAsia="宋体" w:cs="宋体"/>
                <w:kern w:val="0"/>
                <w:sz w:val="21"/>
                <w:szCs w:val="21"/>
                <w:highlight w:val="none"/>
                <w:lang w:val="en-US" w:eastAsia="zh-CN" w:bidi="ar"/>
              </w:rPr>
              <w:t>0.39</w:t>
            </w:r>
          </w:p>
        </w:tc>
        <w:tc>
          <w:tcPr>
            <w:tcW w:w="531" w:type="pct"/>
            <w:tcBorders>
              <w:tl2br w:val="nil"/>
              <w:tr2bl w:val="nil"/>
            </w:tcBorders>
            <w:noWrap w:val="0"/>
            <w:vAlign w:val="center"/>
          </w:tcPr>
          <w:p w14:paraId="005E9E72">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kern w:val="0"/>
                <w:sz w:val="21"/>
                <w:szCs w:val="21"/>
                <w:highlight w:val="none"/>
                <w:lang w:val="en-US" w:eastAsia="zh-CN" w:bidi="ar"/>
              </w:rPr>
            </w:pPr>
            <w:r>
              <w:rPr>
                <w:rFonts w:hint="eastAsia" w:ascii="宋体" w:hAnsi="宋体" w:eastAsia="宋体" w:cs="宋体"/>
                <w:kern w:val="0"/>
                <w:sz w:val="21"/>
                <w:szCs w:val="21"/>
                <w:highlight w:val="none"/>
                <w:lang w:val="en-US" w:eastAsia="zh-CN" w:bidi="ar"/>
              </w:rPr>
              <w:t>0.35</w:t>
            </w:r>
          </w:p>
        </w:tc>
        <w:tc>
          <w:tcPr>
            <w:tcW w:w="529" w:type="pct"/>
            <w:tcBorders>
              <w:tl2br w:val="nil"/>
              <w:tr2bl w:val="nil"/>
            </w:tcBorders>
            <w:noWrap w:val="0"/>
            <w:vAlign w:val="center"/>
          </w:tcPr>
          <w:p w14:paraId="04E72F94">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kern w:val="0"/>
                <w:sz w:val="21"/>
                <w:szCs w:val="21"/>
                <w:highlight w:val="none"/>
                <w:lang w:val="en-US" w:eastAsia="zh-CN" w:bidi="ar"/>
              </w:rPr>
            </w:pPr>
            <w:r>
              <w:rPr>
                <w:rFonts w:hint="eastAsia" w:ascii="宋体" w:hAnsi="宋体" w:eastAsia="宋体" w:cs="宋体"/>
                <w:kern w:val="0"/>
                <w:sz w:val="21"/>
                <w:szCs w:val="21"/>
                <w:highlight w:val="none"/>
                <w:lang w:val="en-US" w:eastAsia="zh-CN" w:bidi="ar"/>
              </w:rPr>
              <w:t>0.33</w:t>
            </w:r>
          </w:p>
        </w:tc>
        <w:tc>
          <w:tcPr>
            <w:tcW w:w="529" w:type="pct"/>
            <w:tcBorders>
              <w:tl2br w:val="nil"/>
              <w:tr2bl w:val="nil"/>
            </w:tcBorders>
            <w:noWrap w:val="0"/>
            <w:vAlign w:val="center"/>
          </w:tcPr>
          <w:p w14:paraId="36B9B6FA">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kern w:val="0"/>
                <w:sz w:val="21"/>
                <w:szCs w:val="21"/>
                <w:highlight w:val="none"/>
                <w:lang w:val="en-US" w:eastAsia="zh-CN" w:bidi="ar"/>
              </w:rPr>
            </w:pPr>
            <w:r>
              <w:rPr>
                <w:rFonts w:hint="eastAsia" w:ascii="宋体" w:hAnsi="宋体" w:eastAsia="宋体" w:cs="宋体"/>
                <w:kern w:val="0"/>
                <w:sz w:val="21"/>
                <w:szCs w:val="21"/>
                <w:highlight w:val="none"/>
                <w:lang w:val="en-US" w:eastAsia="zh-CN" w:bidi="ar"/>
              </w:rPr>
              <w:t>0.34</w:t>
            </w:r>
          </w:p>
        </w:tc>
        <w:tc>
          <w:tcPr>
            <w:tcW w:w="532" w:type="pct"/>
            <w:tcBorders>
              <w:tl2br w:val="nil"/>
              <w:tr2bl w:val="nil"/>
            </w:tcBorders>
            <w:noWrap w:val="0"/>
            <w:vAlign w:val="center"/>
          </w:tcPr>
          <w:p w14:paraId="7693AFC0">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kern w:val="0"/>
                <w:sz w:val="21"/>
                <w:szCs w:val="21"/>
                <w:highlight w:val="none"/>
                <w:lang w:val="en-US" w:eastAsia="zh-CN" w:bidi="ar"/>
              </w:rPr>
            </w:pPr>
            <w:r>
              <w:rPr>
                <w:rFonts w:hint="eastAsia" w:ascii="宋体" w:hAnsi="宋体" w:eastAsia="宋体" w:cs="宋体"/>
                <w:kern w:val="0"/>
                <w:sz w:val="21"/>
                <w:szCs w:val="21"/>
                <w:highlight w:val="none"/>
                <w:lang w:val="en-US" w:eastAsia="zh-CN" w:bidi="ar"/>
              </w:rPr>
              <w:t>0.32</w:t>
            </w:r>
          </w:p>
        </w:tc>
        <w:tc>
          <w:tcPr>
            <w:tcW w:w="434" w:type="pct"/>
            <w:tcBorders>
              <w:tl2br w:val="nil"/>
              <w:tr2bl w:val="nil"/>
            </w:tcBorders>
            <w:noWrap w:val="0"/>
            <w:vAlign w:val="center"/>
          </w:tcPr>
          <w:p w14:paraId="62F8740F">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kern w:val="0"/>
                <w:sz w:val="21"/>
                <w:szCs w:val="21"/>
                <w:highlight w:val="none"/>
                <w:lang w:bidi="ar"/>
              </w:rPr>
            </w:pPr>
            <w:r>
              <w:rPr>
                <w:rFonts w:hint="eastAsia" w:ascii="宋体" w:hAnsi="宋体" w:eastAsia="宋体" w:cs="宋体"/>
                <w:color w:val="auto"/>
                <w:sz w:val="21"/>
                <w:szCs w:val="21"/>
              </w:rPr>
              <w:t>mg/m³</w:t>
            </w:r>
          </w:p>
        </w:tc>
      </w:tr>
      <w:tr w14:paraId="4E1B62A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97" w:type="pct"/>
            <w:vMerge w:val="continue"/>
            <w:tcBorders>
              <w:tl2br w:val="nil"/>
              <w:tr2bl w:val="nil"/>
            </w:tcBorders>
            <w:noWrap w:val="0"/>
            <w:vAlign w:val="center"/>
          </w:tcPr>
          <w:p w14:paraId="583B9959">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highlight w:val="none"/>
              </w:rPr>
            </w:pPr>
          </w:p>
        </w:tc>
        <w:tc>
          <w:tcPr>
            <w:tcW w:w="1158" w:type="pct"/>
            <w:tcBorders>
              <w:tl2br w:val="nil"/>
              <w:tr2bl w:val="nil"/>
            </w:tcBorders>
            <w:noWrap w:val="0"/>
            <w:vAlign w:val="center"/>
          </w:tcPr>
          <w:p w14:paraId="6309D28B">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val="0"/>
                <w:bCs w:val="0"/>
                <w:kern w:val="2"/>
                <w:sz w:val="21"/>
                <w:szCs w:val="21"/>
                <w:highlight w:val="none"/>
                <w:lang w:val="en-US" w:eastAsia="zh-CN" w:bidi="ar-SA"/>
              </w:rPr>
            </w:pPr>
            <w:r>
              <w:rPr>
                <w:rFonts w:hint="eastAsia" w:ascii="宋体" w:hAnsi="宋体" w:eastAsia="宋体" w:cs="宋体"/>
                <w:b w:val="0"/>
                <w:bCs w:val="0"/>
                <w:sz w:val="21"/>
                <w:szCs w:val="21"/>
                <w:highlight w:val="none"/>
              </w:rPr>
              <w:t>20</w:t>
            </w:r>
            <w:r>
              <w:rPr>
                <w:rFonts w:hint="eastAsia" w:ascii="宋体" w:hAnsi="宋体" w:eastAsia="宋体" w:cs="宋体"/>
                <w:b w:val="0"/>
                <w:bCs w:val="0"/>
                <w:sz w:val="21"/>
                <w:szCs w:val="21"/>
                <w:highlight w:val="none"/>
                <w:lang w:val="en-US" w:eastAsia="zh-CN"/>
              </w:rPr>
              <w:t>20</w:t>
            </w:r>
            <w:r>
              <w:rPr>
                <w:rFonts w:hint="eastAsia" w:ascii="宋体" w:hAnsi="宋体" w:eastAsia="宋体" w:cs="宋体"/>
                <w:b w:val="0"/>
                <w:bCs w:val="0"/>
                <w:sz w:val="21"/>
                <w:szCs w:val="21"/>
                <w:highlight w:val="none"/>
              </w:rPr>
              <w:t>年</w:t>
            </w:r>
            <w:r>
              <w:rPr>
                <w:rFonts w:hint="eastAsia" w:ascii="宋体" w:hAnsi="宋体" w:eastAsia="宋体" w:cs="宋体"/>
                <w:b w:val="0"/>
                <w:bCs w:val="0"/>
                <w:sz w:val="21"/>
                <w:szCs w:val="21"/>
                <w:highlight w:val="none"/>
                <w:lang w:val="en-US" w:eastAsia="zh-CN"/>
              </w:rPr>
              <w:t>05</w:t>
            </w:r>
            <w:r>
              <w:rPr>
                <w:rFonts w:hint="eastAsia" w:ascii="宋体" w:hAnsi="宋体" w:eastAsia="宋体" w:cs="宋体"/>
                <w:b w:val="0"/>
                <w:bCs w:val="0"/>
                <w:sz w:val="21"/>
                <w:szCs w:val="21"/>
                <w:highlight w:val="none"/>
              </w:rPr>
              <w:t>月</w:t>
            </w:r>
            <w:r>
              <w:rPr>
                <w:rFonts w:hint="eastAsia" w:ascii="宋体" w:hAnsi="宋体" w:eastAsia="宋体" w:cs="宋体"/>
                <w:b w:val="0"/>
                <w:bCs w:val="0"/>
                <w:sz w:val="21"/>
                <w:szCs w:val="21"/>
                <w:highlight w:val="none"/>
                <w:lang w:val="en-US" w:eastAsia="zh-CN"/>
              </w:rPr>
              <w:t>15</w:t>
            </w:r>
            <w:r>
              <w:rPr>
                <w:rFonts w:hint="eastAsia" w:ascii="宋体" w:hAnsi="宋体" w:eastAsia="宋体" w:cs="宋体"/>
                <w:b w:val="0"/>
                <w:bCs w:val="0"/>
                <w:sz w:val="21"/>
                <w:szCs w:val="21"/>
                <w:highlight w:val="none"/>
              </w:rPr>
              <w:t>日</w:t>
            </w:r>
          </w:p>
        </w:tc>
        <w:tc>
          <w:tcPr>
            <w:tcW w:w="458" w:type="pct"/>
            <w:tcBorders>
              <w:tl2br w:val="nil"/>
              <w:tr2bl w:val="nil"/>
            </w:tcBorders>
            <w:noWrap w:val="0"/>
            <w:vAlign w:val="center"/>
          </w:tcPr>
          <w:p w14:paraId="492DD9DC">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color w:val="0000FF"/>
                <w:sz w:val="21"/>
                <w:szCs w:val="21"/>
                <w:highlight w:val="none"/>
                <w:lang w:val="en-US" w:eastAsia="zh-CN"/>
              </w:rPr>
            </w:pPr>
            <w:r>
              <w:rPr>
                <w:rFonts w:hint="eastAsia" w:ascii="宋体" w:hAnsi="宋体" w:eastAsia="宋体" w:cs="宋体"/>
                <w:kern w:val="0"/>
                <w:sz w:val="21"/>
                <w:szCs w:val="21"/>
                <w:highlight w:val="none"/>
                <w:lang w:val="en-US" w:eastAsia="zh-CN" w:bidi="ar"/>
              </w:rPr>
              <w:t>0.39</w:t>
            </w:r>
          </w:p>
        </w:tc>
        <w:tc>
          <w:tcPr>
            <w:tcW w:w="529" w:type="pct"/>
            <w:tcBorders>
              <w:tl2br w:val="nil"/>
              <w:tr2bl w:val="nil"/>
            </w:tcBorders>
            <w:noWrap w:val="0"/>
            <w:vAlign w:val="center"/>
          </w:tcPr>
          <w:p w14:paraId="0CC73423">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kern w:val="0"/>
                <w:sz w:val="21"/>
                <w:szCs w:val="21"/>
                <w:highlight w:val="none"/>
                <w:lang w:val="en-US" w:eastAsia="zh-CN" w:bidi="ar"/>
              </w:rPr>
            </w:pPr>
            <w:r>
              <w:rPr>
                <w:rFonts w:hint="eastAsia" w:ascii="宋体" w:hAnsi="宋体" w:eastAsia="宋体" w:cs="宋体"/>
                <w:kern w:val="0"/>
                <w:sz w:val="21"/>
                <w:szCs w:val="21"/>
                <w:highlight w:val="none"/>
                <w:lang w:val="en-US" w:eastAsia="zh-CN" w:bidi="ar"/>
              </w:rPr>
              <w:t>0.39</w:t>
            </w:r>
          </w:p>
        </w:tc>
        <w:tc>
          <w:tcPr>
            <w:tcW w:w="531" w:type="pct"/>
            <w:tcBorders>
              <w:tl2br w:val="nil"/>
              <w:tr2bl w:val="nil"/>
            </w:tcBorders>
            <w:noWrap w:val="0"/>
            <w:vAlign w:val="center"/>
          </w:tcPr>
          <w:p w14:paraId="622AE797">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kern w:val="0"/>
                <w:sz w:val="21"/>
                <w:szCs w:val="21"/>
                <w:highlight w:val="none"/>
                <w:lang w:val="en-US" w:eastAsia="zh-CN" w:bidi="ar"/>
              </w:rPr>
            </w:pPr>
            <w:r>
              <w:rPr>
                <w:rFonts w:hint="eastAsia" w:ascii="宋体" w:hAnsi="宋体" w:eastAsia="宋体" w:cs="宋体"/>
                <w:kern w:val="0"/>
                <w:sz w:val="21"/>
                <w:szCs w:val="21"/>
                <w:highlight w:val="none"/>
                <w:lang w:val="en-US" w:eastAsia="zh-CN" w:bidi="ar"/>
              </w:rPr>
              <w:t>0.37</w:t>
            </w:r>
          </w:p>
        </w:tc>
        <w:tc>
          <w:tcPr>
            <w:tcW w:w="529" w:type="pct"/>
            <w:tcBorders>
              <w:tl2br w:val="nil"/>
              <w:tr2bl w:val="nil"/>
            </w:tcBorders>
            <w:noWrap w:val="0"/>
            <w:vAlign w:val="center"/>
          </w:tcPr>
          <w:p w14:paraId="1190B279">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kern w:val="0"/>
                <w:sz w:val="21"/>
                <w:szCs w:val="21"/>
                <w:highlight w:val="none"/>
                <w:lang w:val="en-US" w:eastAsia="zh-CN" w:bidi="ar"/>
              </w:rPr>
            </w:pPr>
            <w:r>
              <w:rPr>
                <w:rFonts w:hint="eastAsia" w:ascii="宋体" w:hAnsi="宋体" w:eastAsia="宋体" w:cs="宋体"/>
                <w:kern w:val="0"/>
                <w:sz w:val="21"/>
                <w:szCs w:val="21"/>
                <w:highlight w:val="none"/>
                <w:lang w:val="en-US" w:eastAsia="zh-CN" w:bidi="ar"/>
              </w:rPr>
              <w:t>0.36</w:t>
            </w:r>
          </w:p>
        </w:tc>
        <w:tc>
          <w:tcPr>
            <w:tcW w:w="529" w:type="pct"/>
            <w:tcBorders>
              <w:tl2br w:val="nil"/>
              <w:tr2bl w:val="nil"/>
            </w:tcBorders>
            <w:noWrap w:val="0"/>
            <w:vAlign w:val="center"/>
          </w:tcPr>
          <w:p w14:paraId="5474DD80">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kern w:val="0"/>
                <w:sz w:val="21"/>
                <w:szCs w:val="21"/>
                <w:highlight w:val="none"/>
                <w:lang w:val="en-US" w:eastAsia="zh-CN" w:bidi="ar"/>
              </w:rPr>
            </w:pPr>
            <w:r>
              <w:rPr>
                <w:rFonts w:hint="eastAsia" w:ascii="宋体" w:hAnsi="宋体" w:eastAsia="宋体" w:cs="宋体"/>
                <w:kern w:val="0"/>
                <w:sz w:val="21"/>
                <w:szCs w:val="21"/>
                <w:highlight w:val="none"/>
                <w:lang w:val="en-US" w:eastAsia="zh-CN" w:bidi="ar"/>
              </w:rPr>
              <w:t>0.37</w:t>
            </w:r>
          </w:p>
        </w:tc>
        <w:tc>
          <w:tcPr>
            <w:tcW w:w="532" w:type="pct"/>
            <w:tcBorders>
              <w:tl2br w:val="nil"/>
              <w:tr2bl w:val="nil"/>
            </w:tcBorders>
            <w:noWrap w:val="0"/>
            <w:vAlign w:val="center"/>
          </w:tcPr>
          <w:p w14:paraId="2FE59337">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kern w:val="0"/>
                <w:sz w:val="21"/>
                <w:szCs w:val="21"/>
                <w:highlight w:val="none"/>
                <w:lang w:val="en-US" w:eastAsia="zh-CN" w:bidi="ar"/>
              </w:rPr>
            </w:pPr>
            <w:r>
              <w:rPr>
                <w:rFonts w:hint="eastAsia" w:ascii="宋体" w:hAnsi="宋体" w:eastAsia="宋体" w:cs="宋体"/>
                <w:kern w:val="0"/>
                <w:sz w:val="21"/>
                <w:szCs w:val="21"/>
                <w:highlight w:val="none"/>
                <w:lang w:val="en-US" w:eastAsia="zh-CN" w:bidi="ar"/>
              </w:rPr>
              <w:t>0.33</w:t>
            </w:r>
          </w:p>
        </w:tc>
        <w:tc>
          <w:tcPr>
            <w:tcW w:w="434" w:type="pct"/>
            <w:tcBorders>
              <w:tl2br w:val="nil"/>
              <w:tr2bl w:val="nil"/>
            </w:tcBorders>
            <w:noWrap w:val="0"/>
            <w:vAlign w:val="center"/>
          </w:tcPr>
          <w:p w14:paraId="15B90376">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kern w:val="0"/>
                <w:sz w:val="21"/>
                <w:szCs w:val="21"/>
                <w:highlight w:val="none"/>
                <w:lang w:bidi="ar"/>
              </w:rPr>
            </w:pPr>
            <w:r>
              <w:rPr>
                <w:rFonts w:hint="eastAsia" w:ascii="宋体" w:hAnsi="宋体" w:eastAsia="宋体" w:cs="宋体"/>
                <w:color w:val="auto"/>
                <w:sz w:val="21"/>
                <w:szCs w:val="21"/>
              </w:rPr>
              <w:t>mg/m³</w:t>
            </w:r>
          </w:p>
        </w:tc>
      </w:tr>
      <w:tr w14:paraId="164D60C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97" w:type="pct"/>
            <w:vMerge w:val="continue"/>
            <w:tcBorders>
              <w:tl2br w:val="nil"/>
              <w:tr2bl w:val="nil"/>
            </w:tcBorders>
            <w:noWrap w:val="0"/>
            <w:vAlign w:val="center"/>
          </w:tcPr>
          <w:p w14:paraId="244C0EC7">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highlight w:val="none"/>
              </w:rPr>
            </w:pPr>
          </w:p>
        </w:tc>
        <w:tc>
          <w:tcPr>
            <w:tcW w:w="1158" w:type="pct"/>
            <w:tcBorders>
              <w:tl2br w:val="nil"/>
              <w:tr2bl w:val="nil"/>
            </w:tcBorders>
            <w:noWrap w:val="0"/>
            <w:vAlign w:val="center"/>
          </w:tcPr>
          <w:p w14:paraId="0F2313F8">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val="0"/>
                <w:bCs w:val="0"/>
                <w:kern w:val="2"/>
                <w:sz w:val="21"/>
                <w:szCs w:val="21"/>
                <w:highlight w:val="none"/>
                <w:lang w:val="en-US" w:eastAsia="zh-CN" w:bidi="ar-SA"/>
              </w:rPr>
            </w:pPr>
            <w:r>
              <w:rPr>
                <w:rFonts w:hint="eastAsia" w:ascii="宋体" w:hAnsi="宋体" w:eastAsia="宋体" w:cs="宋体"/>
                <w:b w:val="0"/>
                <w:bCs w:val="0"/>
                <w:sz w:val="21"/>
                <w:szCs w:val="21"/>
                <w:highlight w:val="none"/>
              </w:rPr>
              <w:t>20</w:t>
            </w:r>
            <w:r>
              <w:rPr>
                <w:rFonts w:hint="eastAsia" w:ascii="宋体" w:hAnsi="宋体" w:eastAsia="宋体" w:cs="宋体"/>
                <w:b w:val="0"/>
                <w:bCs w:val="0"/>
                <w:sz w:val="21"/>
                <w:szCs w:val="21"/>
                <w:highlight w:val="none"/>
                <w:lang w:val="en-US" w:eastAsia="zh-CN"/>
              </w:rPr>
              <w:t>20</w:t>
            </w:r>
            <w:r>
              <w:rPr>
                <w:rFonts w:hint="eastAsia" w:ascii="宋体" w:hAnsi="宋体" w:eastAsia="宋体" w:cs="宋体"/>
                <w:b w:val="0"/>
                <w:bCs w:val="0"/>
                <w:sz w:val="21"/>
                <w:szCs w:val="21"/>
                <w:highlight w:val="none"/>
              </w:rPr>
              <w:t>年</w:t>
            </w:r>
            <w:r>
              <w:rPr>
                <w:rFonts w:hint="eastAsia" w:ascii="宋体" w:hAnsi="宋体" w:eastAsia="宋体" w:cs="宋体"/>
                <w:b w:val="0"/>
                <w:bCs w:val="0"/>
                <w:sz w:val="21"/>
                <w:szCs w:val="21"/>
                <w:highlight w:val="none"/>
                <w:lang w:val="en-US" w:eastAsia="zh-CN"/>
              </w:rPr>
              <w:t>05</w:t>
            </w:r>
            <w:r>
              <w:rPr>
                <w:rFonts w:hint="eastAsia" w:ascii="宋体" w:hAnsi="宋体" w:eastAsia="宋体" w:cs="宋体"/>
                <w:b w:val="0"/>
                <w:bCs w:val="0"/>
                <w:sz w:val="21"/>
                <w:szCs w:val="21"/>
                <w:highlight w:val="none"/>
              </w:rPr>
              <w:t>月</w:t>
            </w:r>
            <w:r>
              <w:rPr>
                <w:rFonts w:hint="eastAsia" w:ascii="宋体" w:hAnsi="宋体" w:eastAsia="宋体" w:cs="宋体"/>
                <w:b w:val="0"/>
                <w:bCs w:val="0"/>
                <w:sz w:val="21"/>
                <w:szCs w:val="21"/>
                <w:highlight w:val="none"/>
                <w:lang w:val="en-US" w:eastAsia="zh-CN"/>
              </w:rPr>
              <w:t>16</w:t>
            </w:r>
            <w:r>
              <w:rPr>
                <w:rFonts w:hint="eastAsia" w:ascii="宋体" w:hAnsi="宋体" w:eastAsia="宋体" w:cs="宋体"/>
                <w:b w:val="0"/>
                <w:bCs w:val="0"/>
                <w:sz w:val="21"/>
                <w:szCs w:val="21"/>
                <w:highlight w:val="none"/>
              </w:rPr>
              <w:t>日</w:t>
            </w:r>
          </w:p>
        </w:tc>
        <w:tc>
          <w:tcPr>
            <w:tcW w:w="458" w:type="pct"/>
            <w:tcBorders>
              <w:tl2br w:val="nil"/>
              <w:tr2bl w:val="nil"/>
            </w:tcBorders>
            <w:noWrap w:val="0"/>
            <w:vAlign w:val="center"/>
          </w:tcPr>
          <w:p w14:paraId="47D0F6CC">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color w:val="0000FF"/>
                <w:sz w:val="21"/>
                <w:szCs w:val="21"/>
                <w:highlight w:val="none"/>
                <w:lang w:val="en-US" w:eastAsia="zh-CN"/>
              </w:rPr>
            </w:pPr>
            <w:r>
              <w:rPr>
                <w:rFonts w:hint="eastAsia" w:ascii="宋体" w:hAnsi="宋体" w:eastAsia="宋体" w:cs="宋体"/>
                <w:kern w:val="0"/>
                <w:sz w:val="21"/>
                <w:szCs w:val="21"/>
                <w:highlight w:val="none"/>
                <w:lang w:val="en-US" w:eastAsia="zh-CN" w:bidi="ar"/>
              </w:rPr>
              <w:t>0.36</w:t>
            </w:r>
          </w:p>
        </w:tc>
        <w:tc>
          <w:tcPr>
            <w:tcW w:w="529" w:type="pct"/>
            <w:tcBorders>
              <w:tl2br w:val="nil"/>
              <w:tr2bl w:val="nil"/>
            </w:tcBorders>
            <w:noWrap w:val="0"/>
            <w:vAlign w:val="center"/>
          </w:tcPr>
          <w:p w14:paraId="176958BC">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kern w:val="0"/>
                <w:sz w:val="21"/>
                <w:szCs w:val="21"/>
                <w:highlight w:val="none"/>
                <w:lang w:val="en-US" w:eastAsia="zh-CN" w:bidi="ar"/>
              </w:rPr>
            </w:pPr>
            <w:r>
              <w:rPr>
                <w:rFonts w:hint="eastAsia" w:ascii="宋体" w:hAnsi="宋体" w:eastAsia="宋体" w:cs="宋体"/>
                <w:kern w:val="0"/>
                <w:sz w:val="21"/>
                <w:szCs w:val="21"/>
                <w:highlight w:val="none"/>
                <w:lang w:val="en-US" w:eastAsia="zh-CN" w:bidi="ar"/>
              </w:rPr>
              <w:t>0.37</w:t>
            </w:r>
          </w:p>
        </w:tc>
        <w:tc>
          <w:tcPr>
            <w:tcW w:w="531" w:type="pct"/>
            <w:tcBorders>
              <w:tl2br w:val="nil"/>
              <w:tr2bl w:val="nil"/>
            </w:tcBorders>
            <w:noWrap w:val="0"/>
            <w:vAlign w:val="center"/>
          </w:tcPr>
          <w:p w14:paraId="14C95EE5">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kern w:val="0"/>
                <w:sz w:val="21"/>
                <w:szCs w:val="21"/>
                <w:highlight w:val="none"/>
                <w:lang w:val="en-US" w:eastAsia="zh-CN" w:bidi="ar"/>
              </w:rPr>
            </w:pPr>
            <w:r>
              <w:rPr>
                <w:rFonts w:hint="eastAsia" w:ascii="宋体" w:hAnsi="宋体" w:eastAsia="宋体" w:cs="宋体"/>
                <w:kern w:val="0"/>
                <w:sz w:val="21"/>
                <w:szCs w:val="21"/>
                <w:highlight w:val="none"/>
                <w:lang w:val="en-US" w:eastAsia="zh-CN" w:bidi="ar"/>
              </w:rPr>
              <w:t>0.35</w:t>
            </w:r>
          </w:p>
        </w:tc>
        <w:tc>
          <w:tcPr>
            <w:tcW w:w="529" w:type="pct"/>
            <w:tcBorders>
              <w:tl2br w:val="nil"/>
              <w:tr2bl w:val="nil"/>
            </w:tcBorders>
            <w:noWrap w:val="0"/>
            <w:vAlign w:val="center"/>
          </w:tcPr>
          <w:p w14:paraId="00CB3BC0">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kern w:val="0"/>
                <w:sz w:val="21"/>
                <w:szCs w:val="21"/>
                <w:highlight w:val="none"/>
                <w:lang w:val="en-US" w:eastAsia="zh-CN" w:bidi="ar"/>
              </w:rPr>
            </w:pPr>
            <w:r>
              <w:rPr>
                <w:rFonts w:hint="eastAsia" w:ascii="宋体" w:hAnsi="宋体" w:eastAsia="宋体" w:cs="宋体"/>
                <w:kern w:val="0"/>
                <w:sz w:val="21"/>
                <w:szCs w:val="21"/>
                <w:highlight w:val="none"/>
                <w:lang w:val="en-US" w:eastAsia="zh-CN" w:bidi="ar"/>
              </w:rPr>
              <w:t>0.34</w:t>
            </w:r>
          </w:p>
        </w:tc>
        <w:tc>
          <w:tcPr>
            <w:tcW w:w="529" w:type="pct"/>
            <w:tcBorders>
              <w:tl2br w:val="nil"/>
              <w:tr2bl w:val="nil"/>
            </w:tcBorders>
            <w:noWrap w:val="0"/>
            <w:vAlign w:val="center"/>
          </w:tcPr>
          <w:p w14:paraId="05B55677">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kern w:val="0"/>
                <w:sz w:val="21"/>
                <w:szCs w:val="21"/>
                <w:highlight w:val="none"/>
                <w:lang w:val="en-US" w:eastAsia="zh-CN" w:bidi="ar"/>
              </w:rPr>
            </w:pPr>
            <w:r>
              <w:rPr>
                <w:rFonts w:hint="eastAsia" w:ascii="宋体" w:hAnsi="宋体" w:eastAsia="宋体" w:cs="宋体"/>
                <w:kern w:val="0"/>
                <w:sz w:val="21"/>
                <w:szCs w:val="21"/>
                <w:highlight w:val="none"/>
                <w:lang w:val="en-US" w:eastAsia="zh-CN" w:bidi="ar"/>
              </w:rPr>
              <w:t>0.35</w:t>
            </w:r>
          </w:p>
        </w:tc>
        <w:tc>
          <w:tcPr>
            <w:tcW w:w="532" w:type="pct"/>
            <w:tcBorders>
              <w:tl2br w:val="nil"/>
              <w:tr2bl w:val="nil"/>
            </w:tcBorders>
            <w:noWrap w:val="0"/>
            <w:vAlign w:val="center"/>
          </w:tcPr>
          <w:p w14:paraId="63673F4A">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kern w:val="0"/>
                <w:sz w:val="21"/>
                <w:szCs w:val="21"/>
                <w:highlight w:val="none"/>
                <w:lang w:val="en-US" w:eastAsia="zh-CN" w:bidi="ar"/>
              </w:rPr>
            </w:pPr>
            <w:r>
              <w:rPr>
                <w:rFonts w:hint="eastAsia" w:ascii="宋体" w:hAnsi="宋体" w:eastAsia="宋体" w:cs="宋体"/>
                <w:kern w:val="0"/>
                <w:sz w:val="21"/>
                <w:szCs w:val="21"/>
                <w:highlight w:val="none"/>
                <w:lang w:val="en-US" w:eastAsia="zh-CN" w:bidi="ar"/>
              </w:rPr>
              <w:t>0.31</w:t>
            </w:r>
          </w:p>
        </w:tc>
        <w:tc>
          <w:tcPr>
            <w:tcW w:w="434" w:type="pct"/>
            <w:tcBorders>
              <w:tl2br w:val="nil"/>
              <w:tr2bl w:val="nil"/>
            </w:tcBorders>
            <w:noWrap w:val="0"/>
            <w:vAlign w:val="center"/>
          </w:tcPr>
          <w:p w14:paraId="3211A5AC">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kern w:val="0"/>
                <w:sz w:val="21"/>
                <w:szCs w:val="21"/>
                <w:highlight w:val="none"/>
                <w:lang w:bidi="ar"/>
              </w:rPr>
            </w:pPr>
            <w:r>
              <w:rPr>
                <w:rFonts w:hint="eastAsia" w:ascii="宋体" w:hAnsi="宋体" w:eastAsia="宋体" w:cs="宋体"/>
                <w:color w:val="auto"/>
                <w:sz w:val="21"/>
                <w:szCs w:val="21"/>
              </w:rPr>
              <w:t>mg/m³</w:t>
            </w:r>
          </w:p>
        </w:tc>
      </w:tr>
      <w:tr w14:paraId="584D24F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97" w:type="pct"/>
            <w:vMerge w:val="continue"/>
            <w:tcBorders>
              <w:tl2br w:val="nil"/>
              <w:tr2bl w:val="nil"/>
            </w:tcBorders>
            <w:noWrap w:val="0"/>
            <w:vAlign w:val="center"/>
          </w:tcPr>
          <w:p w14:paraId="3D0B8906">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highlight w:val="none"/>
              </w:rPr>
            </w:pPr>
          </w:p>
        </w:tc>
        <w:tc>
          <w:tcPr>
            <w:tcW w:w="1158" w:type="pct"/>
            <w:tcBorders>
              <w:tl2br w:val="nil"/>
              <w:tr2bl w:val="nil"/>
            </w:tcBorders>
            <w:noWrap w:val="0"/>
            <w:vAlign w:val="center"/>
          </w:tcPr>
          <w:p w14:paraId="1720846D">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val="0"/>
                <w:bCs w:val="0"/>
                <w:kern w:val="2"/>
                <w:sz w:val="21"/>
                <w:szCs w:val="21"/>
                <w:highlight w:val="none"/>
                <w:lang w:val="en-US" w:eastAsia="zh-CN" w:bidi="ar-SA"/>
              </w:rPr>
            </w:pPr>
            <w:r>
              <w:rPr>
                <w:rFonts w:hint="eastAsia" w:ascii="宋体" w:hAnsi="宋体" w:eastAsia="宋体" w:cs="宋体"/>
                <w:b w:val="0"/>
                <w:bCs w:val="0"/>
                <w:sz w:val="21"/>
                <w:szCs w:val="21"/>
                <w:highlight w:val="none"/>
              </w:rPr>
              <w:t>20</w:t>
            </w:r>
            <w:r>
              <w:rPr>
                <w:rFonts w:hint="eastAsia" w:ascii="宋体" w:hAnsi="宋体" w:eastAsia="宋体" w:cs="宋体"/>
                <w:b w:val="0"/>
                <w:bCs w:val="0"/>
                <w:sz w:val="21"/>
                <w:szCs w:val="21"/>
                <w:highlight w:val="none"/>
                <w:lang w:val="en-US" w:eastAsia="zh-CN"/>
              </w:rPr>
              <w:t>20</w:t>
            </w:r>
            <w:r>
              <w:rPr>
                <w:rFonts w:hint="eastAsia" w:ascii="宋体" w:hAnsi="宋体" w:eastAsia="宋体" w:cs="宋体"/>
                <w:b w:val="0"/>
                <w:bCs w:val="0"/>
                <w:sz w:val="21"/>
                <w:szCs w:val="21"/>
                <w:highlight w:val="none"/>
              </w:rPr>
              <w:t>年</w:t>
            </w:r>
            <w:r>
              <w:rPr>
                <w:rFonts w:hint="eastAsia" w:ascii="宋体" w:hAnsi="宋体" w:eastAsia="宋体" w:cs="宋体"/>
                <w:b w:val="0"/>
                <w:bCs w:val="0"/>
                <w:sz w:val="21"/>
                <w:szCs w:val="21"/>
                <w:highlight w:val="none"/>
                <w:lang w:val="en-US" w:eastAsia="zh-CN"/>
              </w:rPr>
              <w:t>05</w:t>
            </w:r>
            <w:r>
              <w:rPr>
                <w:rFonts w:hint="eastAsia" w:ascii="宋体" w:hAnsi="宋体" w:eastAsia="宋体" w:cs="宋体"/>
                <w:b w:val="0"/>
                <w:bCs w:val="0"/>
                <w:sz w:val="21"/>
                <w:szCs w:val="21"/>
                <w:highlight w:val="none"/>
              </w:rPr>
              <w:t>月</w:t>
            </w:r>
            <w:r>
              <w:rPr>
                <w:rFonts w:hint="eastAsia" w:ascii="宋体" w:hAnsi="宋体" w:eastAsia="宋体" w:cs="宋体"/>
                <w:b w:val="0"/>
                <w:bCs w:val="0"/>
                <w:sz w:val="21"/>
                <w:szCs w:val="21"/>
                <w:highlight w:val="none"/>
                <w:lang w:val="en-US" w:eastAsia="zh-CN"/>
              </w:rPr>
              <w:t>17</w:t>
            </w:r>
            <w:r>
              <w:rPr>
                <w:rFonts w:hint="eastAsia" w:ascii="宋体" w:hAnsi="宋体" w:eastAsia="宋体" w:cs="宋体"/>
                <w:b w:val="0"/>
                <w:bCs w:val="0"/>
                <w:sz w:val="21"/>
                <w:szCs w:val="21"/>
                <w:highlight w:val="none"/>
              </w:rPr>
              <w:t>日</w:t>
            </w:r>
          </w:p>
        </w:tc>
        <w:tc>
          <w:tcPr>
            <w:tcW w:w="458" w:type="pct"/>
            <w:tcBorders>
              <w:tl2br w:val="nil"/>
              <w:tr2bl w:val="nil"/>
            </w:tcBorders>
            <w:noWrap w:val="0"/>
            <w:vAlign w:val="center"/>
          </w:tcPr>
          <w:p w14:paraId="760C04D8">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color w:val="0000FF"/>
                <w:sz w:val="21"/>
                <w:szCs w:val="21"/>
                <w:highlight w:val="none"/>
                <w:lang w:val="en-US" w:eastAsia="zh-CN"/>
              </w:rPr>
            </w:pPr>
            <w:r>
              <w:rPr>
                <w:rFonts w:hint="eastAsia" w:ascii="宋体" w:hAnsi="宋体" w:eastAsia="宋体" w:cs="宋体"/>
                <w:kern w:val="0"/>
                <w:sz w:val="21"/>
                <w:szCs w:val="21"/>
                <w:highlight w:val="none"/>
                <w:lang w:val="en-US" w:eastAsia="zh-CN" w:bidi="ar"/>
              </w:rPr>
              <w:t>0.35</w:t>
            </w:r>
          </w:p>
        </w:tc>
        <w:tc>
          <w:tcPr>
            <w:tcW w:w="529" w:type="pct"/>
            <w:tcBorders>
              <w:tl2br w:val="nil"/>
              <w:tr2bl w:val="nil"/>
            </w:tcBorders>
            <w:noWrap w:val="0"/>
            <w:vAlign w:val="center"/>
          </w:tcPr>
          <w:p w14:paraId="6C970F32">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kern w:val="0"/>
                <w:sz w:val="21"/>
                <w:szCs w:val="21"/>
                <w:highlight w:val="none"/>
                <w:lang w:val="en-US" w:eastAsia="zh-CN" w:bidi="ar"/>
              </w:rPr>
            </w:pPr>
            <w:r>
              <w:rPr>
                <w:rFonts w:hint="eastAsia" w:ascii="宋体" w:hAnsi="宋体" w:eastAsia="宋体" w:cs="宋体"/>
                <w:kern w:val="0"/>
                <w:sz w:val="21"/>
                <w:szCs w:val="21"/>
                <w:highlight w:val="none"/>
                <w:lang w:val="en-US" w:eastAsia="zh-CN" w:bidi="ar"/>
              </w:rPr>
              <w:t>0.36</w:t>
            </w:r>
          </w:p>
        </w:tc>
        <w:tc>
          <w:tcPr>
            <w:tcW w:w="531" w:type="pct"/>
            <w:tcBorders>
              <w:tl2br w:val="nil"/>
              <w:tr2bl w:val="nil"/>
            </w:tcBorders>
            <w:noWrap w:val="0"/>
            <w:vAlign w:val="center"/>
          </w:tcPr>
          <w:p w14:paraId="49809D99">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kern w:val="0"/>
                <w:sz w:val="21"/>
                <w:szCs w:val="21"/>
                <w:highlight w:val="none"/>
                <w:lang w:val="en-US" w:eastAsia="zh-CN" w:bidi="ar"/>
              </w:rPr>
            </w:pPr>
            <w:r>
              <w:rPr>
                <w:rFonts w:hint="eastAsia" w:ascii="宋体" w:hAnsi="宋体" w:eastAsia="宋体" w:cs="宋体"/>
                <w:kern w:val="0"/>
                <w:sz w:val="21"/>
                <w:szCs w:val="21"/>
                <w:highlight w:val="none"/>
                <w:lang w:val="en-US" w:eastAsia="zh-CN" w:bidi="ar"/>
              </w:rPr>
              <w:t>0.34</w:t>
            </w:r>
          </w:p>
        </w:tc>
        <w:tc>
          <w:tcPr>
            <w:tcW w:w="529" w:type="pct"/>
            <w:tcBorders>
              <w:tl2br w:val="nil"/>
              <w:tr2bl w:val="nil"/>
            </w:tcBorders>
            <w:noWrap w:val="0"/>
            <w:vAlign w:val="center"/>
          </w:tcPr>
          <w:p w14:paraId="24476DC2">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kern w:val="0"/>
                <w:sz w:val="21"/>
                <w:szCs w:val="21"/>
                <w:highlight w:val="none"/>
                <w:lang w:val="en-US" w:eastAsia="zh-CN" w:bidi="ar"/>
              </w:rPr>
            </w:pPr>
            <w:r>
              <w:rPr>
                <w:rFonts w:hint="eastAsia" w:ascii="宋体" w:hAnsi="宋体" w:eastAsia="宋体" w:cs="宋体"/>
                <w:kern w:val="0"/>
                <w:sz w:val="21"/>
                <w:szCs w:val="21"/>
                <w:highlight w:val="none"/>
                <w:lang w:val="en-US" w:eastAsia="zh-CN" w:bidi="ar"/>
              </w:rPr>
              <w:t>0.33</w:t>
            </w:r>
          </w:p>
        </w:tc>
        <w:tc>
          <w:tcPr>
            <w:tcW w:w="529" w:type="pct"/>
            <w:tcBorders>
              <w:tl2br w:val="nil"/>
              <w:tr2bl w:val="nil"/>
            </w:tcBorders>
            <w:noWrap w:val="0"/>
            <w:vAlign w:val="center"/>
          </w:tcPr>
          <w:p w14:paraId="1B136EF1">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kern w:val="0"/>
                <w:sz w:val="21"/>
                <w:szCs w:val="21"/>
                <w:highlight w:val="none"/>
                <w:lang w:val="en-US" w:eastAsia="zh-CN" w:bidi="ar"/>
              </w:rPr>
            </w:pPr>
            <w:r>
              <w:rPr>
                <w:rFonts w:hint="eastAsia" w:ascii="宋体" w:hAnsi="宋体" w:eastAsia="宋体" w:cs="宋体"/>
                <w:kern w:val="0"/>
                <w:sz w:val="21"/>
                <w:szCs w:val="21"/>
                <w:highlight w:val="none"/>
                <w:lang w:val="en-US" w:eastAsia="zh-CN" w:bidi="ar"/>
              </w:rPr>
              <w:t>0.34</w:t>
            </w:r>
          </w:p>
        </w:tc>
        <w:tc>
          <w:tcPr>
            <w:tcW w:w="532" w:type="pct"/>
            <w:tcBorders>
              <w:tl2br w:val="nil"/>
              <w:tr2bl w:val="nil"/>
            </w:tcBorders>
            <w:noWrap w:val="0"/>
            <w:vAlign w:val="center"/>
          </w:tcPr>
          <w:p w14:paraId="20306EF4">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kern w:val="0"/>
                <w:sz w:val="21"/>
                <w:szCs w:val="21"/>
                <w:highlight w:val="none"/>
                <w:lang w:val="en-US" w:eastAsia="zh-CN" w:bidi="ar"/>
              </w:rPr>
            </w:pPr>
            <w:r>
              <w:rPr>
                <w:rFonts w:hint="eastAsia" w:ascii="宋体" w:hAnsi="宋体" w:eastAsia="宋体" w:cs="宋体"/>
                <w:kern w:val="0"/>
                <w:sz w:val="21"/>
                <w:szCs w:val="21"/>
                <w:highlight w:val="none"/>
                <w:lang w:val="en-US" w:eastAsia="zh-CN" w:bidi="ar"/>
              </w:rPr>
              <w:t>0.30</w:t>
            </w:r>
          </w:p>
        </w:tc>
        <w:tc>
          <w:tcPr>
            <w:tcW w:w="434" w:type="pct"/>
            <w:tcBorders>
              <w:tl2br w:val="nil"/>
              <w:tr2bl w:val="nil"/>
            </w:tcBorders>
            <w:noWrap w:val="0"/>
            <w:vAlign w:val="center"/>
          </w:tcPr>
          <w:p w14:paraId="160C3F9A">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kern w:val="0"/>
                <w:sz w:val="21"/>
                <w:szCs w:val="21"/>
                <w:highlight w:val="none"/>
                <w:lang w:bidi="ar"/>
              </w:rPr>
            </w:pPr>
            <w:r>
              <w:rPr>
                <w:rFonts w:hint="eastAsia" w:ascii="宋体" w:hAnsi="宋体" w:eastAsia="宋体" w:cs="宋体"/>
                <w:color w:val="auto"/>
                <w:sz w:val="21"/>
                <w:szCs w:val="21"/>
              </w:rPr>
              <w:t>mg/m³</w:t>
            </w:r>
          </w:p>
        </w:tc>
      </w:tr>
      <w:tr w14:paraId="6B0F626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97" w:type="pct"/>
            <w:vMerge w:val="continue"/>
            <w:tcBorders>
              <w:tl2br w:val="nil"/>
              <w:tr2bl w:val="nil"/>
            </w:tcBorders>
            <w:noWrap w:val="0"/>
            <w:vAlign w:val="center"/>
          </w:tcPr>
          <w:p w14:paraId="08A32B03">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highlight w:val="none"/>
              </w:rPr>
            </w:pPr>
          </w:p>
        </w:tc>
        <w:tc>
          <w:tcPr>
            <w:tcW w:w="1158" w:type="pct"/>
            <w:tcBorders>
              <w:tl2br w:val="nil"/>
              <w:tr2bl w:val="nil"/>
            </w:tcBorders>
            <w:noWrap w:val="0"/>
            <w:vAlign w:val="center"/>
          </w:tcPr>
          <w:p w14:paraId="243B2293">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val="0"/>
                <w:bCs w:val="0"/>
                <w:kern w:val="2"/>
                <w:sz w:val="21"/>
                <w:szCs w:val="21"/>
                <w:highlight w:val="none"/>
                <w:lang w:val="en-US" w:eastAsia="zh-CN" w:bidi="ar-SA"/>
              </w:rPr>
            </w:pPr>
            <w:r>
              <w:rPr>
                <w:rFonts w:hint="eastAsia" w:ascii="宋体" w:hAnsi="宋体" w:eastAsia="宋体" w:cs="宋体"/>
                <w:b w:val="0"/>
                <w:bCs w:val="0"/>
                <w:sz w:val="21"/>
                <w:szCs w:val="21"/>
                <w:highlight w:val="none"/>
              </w:rPr>
              <w:t>20</w:t>
            </w:r>
            <w:r>
              <w:rPr>
                <w:rFonts w:hint="eastAsia" w:ascii="宋体" w:hAnsi="宋体" w:eastAsia="宋体" w:cs="宋体"/>
                <w:b w:val="0"/>
                <w:bCs w:val="0"/>
                <w:sz w:val="21"/>
                <w:szCs w:val="21"/>
                <w:highlight w:val="none"/>
                <w:lang w:val="en-US" w:eastAsia="zh-CN"/>
              </w:rPr>
              <w:t>20</w:t>
            </w:r>
            <w:r>
              <w:rPr>
                <w:rFonts w:hint="eastAsia" w:ascii="宋体" w:hAnsi="宋体" w:eastAsia="宋体" w:cs="宋体"/>
                <w:b w:val="0"/>
                <w:bCs w:val="0"/>
                <w:sz w:val="21"/>
                <w:szCs w:val="21"/>
                <w:highlight w:val="none"/>
              </w:rPr>
              <w:t>年</w:t>
            </w:r>
            <w:r>
              <w:rPr>
                <w:rFonts w:hint="eastAsia" w:ascii="宋体" w:hAnsi="宋体" w:eastAsia="宋体" w:cs="宋体"/>
                <w:b w:val="0"/>
                <w:bCs w:val="0"/>
                <w:sz w:val="21"/>
                <w:szCs w:val="21"/>
                <w:highlight w:val="none"/>
                <w:lang w:val="en-US" w:eastAsia="zh-CN"/>
              </w:rPr>
              <w:t>05</w:t>
            </w:r>
            <w:r>
              <w:rPr>
                <w:rFonts w:hint="eastAsia" w:ascii="宋体" w:hAnsi="宋体" w:eastAsia="宋体" w:cs="宋体"/>
                <w:b w:val="0"/>
                <w:bCs w:val="0"/>
                <w:sz w:val="21"/>
                <w:szCs w:val="21"/>
                <w:highlight w:val="none"/>
              </w:rPr>
              <w:t>月</w:t>
            </w:r>
            <w:r>
              <w:rPr>
                <w:rFonts w:hint="eastAsia" w:ascii="宋体" w:hAnsi="宋体" w:eastAsia="宋体" w:cs="宋体"/>
                <w:b w:val="0"/>
                <w:bCs w:val="0"/>
                <w:sz w:val="21"/>
                <w:szCs w:val="21"/>
                <w:highlight w:val="none"/>
                <w:lang w:val="en-US" w:eastAsia="zh-CN"/>
              </w:rPr>
              <w:t>18</w:t>
            </w:r>
            <w:r>
              <w:rPr>
                <w:rFonts w:hint="eastAsia" w:ascii="宋体" w:hAnsi="宋体" w:eastAsia="宋体" w:cs="宋体"/>
                <w:b w:val="0"/>
                <w:bCs w:val="0"/>
                <w:sz w:val="21"/>
                <w:szCs w:val="21"/>
                <w:highlight w:val="none"/>
              </w:rPr>
              <w:t>日</w:t>
            </w:r>
          </w:p>
        </w:tc>
        <w:tc>
          <w:tcPr>
            <w:tcW w:w="458" w:type="pct"/>
            <w:tcBorders>
              <w:tl2br w:val="nil"/>
              <w:tr2bl w:val="nil"/>
            </w:tcBorders>
            <w:noWrap w:val="0"/>
            <w:vAlign w:val="center"/>
          </w:tcPr>
          <w:p w14:paraId="2BF07C98">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color w:val="0000FF"/>
                <w:sz w:val="21"/>
                <w:szCs w:val="21"/>
                <w:highlight w:val="none"/>
                <w:lang w:val="en-US" w:eastAsia="zh-CN"/>
              </w:rPr>
            </w:pPr>
            <w:r>
              <w:rPr>
                <w:rFonts w:hint="eastAsia" w:ascii="宋体" w:hAnsi="宋体" w:eastAsia="宋体" w:cs="宋体"/>
                <w:kern w:val="0"/>
                <w:sz w:val="21"/>
                <w:szCs w:val="21"/>
                <w:highlight w:val="none"/>
                <w:lang w:val="en-US" w:eastAsia="zh-CN" w:bidi="ar"/>
              </w:rPr>
              <w:t>0.36</w:t>
            </w:r>
          </w:p>
        </w:tc>
        <w:tc>
          <w:tcPr>
            <w:tcW w:w="529" w:type="pct"/>
            <w:tcBorders>
              <w:tl2br w:val="nil"/>
              <w:tr2bl w:val="nil"/>
            </w:tcBorders>
            <w:noWrap w:val="0"/>
            <w:vAlign w:val="center"/>
          </w:tcPr>
          <w:p w14:paraId="732E8EF6">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kern w:val="0"/>
                <w:sz w:val="21"/>
                <w:szCs w:val="21"/>
                <w:highlight w:val="none"/>
                <w:lang w:val="en-US" w:eastAsia="zh-CN" w:bidi="ar"/>
              </w:rPr>
            </w:pPr>
            <w:r>
              <w:rPr>
                <w:rFonts w:hint="eastAsia" w:ascii="宋体" w:hAnsi="宋体" w:eastAsia="宋体" w:cs="宋体"/>
                <w:kern w:val="0"/>
                <w:sz w:val="21"/>
                <w:szCs w:val="21"/>
                <w:highlight w:val="none"/>
                <w:lang w:val="en-US" w:eastAsia="zh-CN" w:bidi="ar"/>
              </w:rPr>
              <w:t>0.38</w:t>
            </w:r>
          </w:p>
        </w:tc>
        <w:tc>
          <w:tcPr>
            <w:tcW w:w="531" w:type="pct"/>
            <w:tcBorders>
              <w:tl2br w:val="nil"/>
              <w:tr2bl w:val="nil"/>
            </w:tcBorders>
            <w:noWrap w:val="0"/>
            <w:vAlign w:val="center"/>
          </w:tcPr>
          <w:p w14:paraId="1EAAB25E">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kern w:val="0"/>
                <w:sz w:val="21"/>
                <w:szCs w:val="21"/>
                <w:highlight w:val="none"/>
                <w:lang w:val="en-US" w:eastAsia="zh-CN" w:bidi="ar"/>
              </w:rPr>
            </w:pPr>
            <w:r>
              <w:rPr>
                <w:rFonts w:hint="eastAsia" w:ascii="宋体" w:hAnsi="宋体" w:eastAsia="宋体" w:cs="宋体"/>
                <w:kern w:val="0"/>
                <w:sz w:val="21"/>
                <w:szCs w:val="21"/>
                <w:highlight w:val="none"/>
                <w:lang w:val="en-US" w:eastAsia="zh-CN" w:bidi="ar"/>
              </w:rPr>
              <w:t>0.35</w:t>
            </w:r>
          </w:p>
        </w:tc>
        <w:tc>
          <w:tcPr>
            <w:tcW w:w="529" w:type="pct"/>
            <w:tcBorders>
              <w:tl2br w:val="nil"/>
              <w:tr2bl w:val="nil"/>
            </w:tcBorders>
            <w:noWrap w:val="0"/>
            <w:vAlign w:val="center"/>
          </w:tcPr>
          <w:p w14:paraId="51421AED">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kern w:val="0"/>
                <w:sz w:val="21"/>
                <w:szCs w:val="21"/>
                <w:highlight w:val="none"/>
                <w:lang w:val="en-US" w:eastAsia="zh-CN" w:bidi="ar"/>
              </w:rPr>
            </w:pPr>
            <w:r>
              <w:rPr>
                <w:rFonts w:hint="eastAsia" w:ascii="宋体" w:hAnsi="宋体" w:eastAsia="宋体" w:cs="宋体"/>
                <w:kern w:val="0"/>
                <w:sz w:val="21"/>
                <w:szCs w:val="21"/>
                <w:highlight w:val="none"/>
                <w:lang w:val="en-US" w:eastAsia="zh-CN" w:bidi="ar"/>
              </w:rPr>
              <w:t>0.34</w:t>
            </w:r>
          </w:p>
        </w:tc>
        <w:tc>
          <w:tcPr>
            <w:tcW w:w="529" w:type="pct"/>
            <w:tcBorders>
              <w:tl2br w:val="nil"/>
              <w:tr2bl w:val="nil"/>
            </w:tcBorders>
            <w:noWrap w:val="0"/>
            <w:vAlign w:val="center"/>
          </w:tcPr>
          <w:p w14:paraId="4E153451">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kern w:val="0"/>
                <w:sz w:val="21"/>
                <w:szCs w:val="21"/>
                <w:highlight w:val="none"/>
                <w:lang w:val="en-US" w:eastAsia="zh-CN" w:bidi="ar"/>
              </w:rPr>
            </w:pPr>
            <w:r>
              <w:rPr>
                <w:rFonts w:hint="eastAsia" w:ascii="宋体" w:hAnsi="宋体" w:eastAsia="宋体" w:cs="宋体"/>
                <w:kern w:val="0"/>
                <w:sz w:val="21"/>
                <w:szCs w:val="21"/>
                <w:highlight w:val="none"/>
                <w:lang w:val="en-US" w:eastAsia="zh-CN" w:bidi="ar"/>
              </w:rPr>
              <w:t>0.35</w:t>
            </w:r>
          </w:p>
        </w:tc>
        <w:tc>
          <w:tcPr>
            <w:tcW w:w="532" w:type="pct"/>
            <w:tcBorders>
              <w:tl2br w:val="nil"/>
              <w:tr2bl w:val="nil"/>
            </w:tcBorders>
            <w:noWrap w:val="0"/>
            <w:vAlign w:val="center"/>
          </w:tcPr>
          <w:p w14:paraId="6B55169E">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kern w:val="0"/>
                <w:sz w:val="21"/>
                <w:szCs w:val="21"/>
                <w:highlight w:val="none"/>
                <w:lang w:val="en-US" w:eastAsia="zh-CN" w:bidi="ar"/>
              </w:rPr>
            </w:pPr>
            <w:r>
              <w:rPr>
                <w:rFonts w:hint="eastAsia" w:ascii="宋体" w:hAnsi="宋体" w:eastAsia="宋体" w:cs="宋体"/>
                <w:kern w:val="0"/>
                <w:sz w:val="21"/>
                <w:szCs w:val="21"/>
                <w:highlight w:val="none"/>
                <w:lang w:val="en-US" w:eastAsia="zh-CN" w:bidi="ar"/>
              </w:rPr>
              <w:t>0.31</w:t>
            </w:r>
          </w:p>
        </w:tc>
        <w:tc>
          <w:tcPr>
            <w:tcW w:w="434" w:type="pct"/>
            <w:tcBorders>
              <w:tl2br w:val="nil"/>
              <w:tr2bl w:val="nil"/>
            </w:tcBorders>
            <w:noWrap w:val="0"/>
            <w:vAlign w:val="center"/>
          </w:tcPr>
          <w:p w14:paraId="272CE5C9">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kern w:val="0"/>
                <w:sz w:val="21"/>
                <w:szCs w:val="21"/>
                <w:highlight w:val="none"/>
                <w:lang w:bidi="ar"/>
              </w:rPr>
            </w:pPr>
            <w:r>
              <w:rPr>
                <w:rFonts w:hint="eastAsia" w:ascii="宋体" w:hAnsi="宋体" w:eastAsia="宋体" w:cs="宋体"/>
                <w:color w:val="auto"/>
                <w:sz w:val="21"/>
                <w:szCs w:val="21"/>
              </w:rPr>
              <w:t>mg/m³</w:t>
            </w:r>
          </w:p>
        </w:tc>
      </w:tr>
      <w:tr w14:paraId="4F46C8E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97" w:type="pct"/>
            <w:vMerge w:val="continue"/>
            <w:tcBorders>
              <w:tl2br w:val="nil"/>
              <w:tr2bl w:val="nil"/>
            </w:tcBorders>
            <w:noWrap w:val="0"/>
            <w:vAlign w:val="center"/>
          </w:tcPr>
          <w:p w14:paraId="222F591F">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highlight w:val="none"/>
              </w:rPr>
            </w:pPr>
          </w:p>
        </w:tc>
        <w:tc>
          <w:tcPr>
            <w:tcW w:w="1158" w:type="pct"/>
            <w:tcBorders>
              <w:tl2br w:val="nil"/>
              <w:tr2bl w:val="nil"/>
            </w:tcBorders>
            <w:noWrap w:val="0"/>
            <w:vAlign w:val="center"/>
          </w:tcPr>
          <w:p w14:paraId="44BE98CC">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val="0"/>
                <w:bCs w:val="0"/>
                <w:kern w:val="2"/>
                <w:sz w:val="21"/>
                <w:szCs w:val="21"/>
                <w:highlight w:val="none"/>
                <w:lang w:val="en-US" w:eastAsia="zh-CN" w:bidi="ar-SA"/>
              </w:rPr>
            </w:pPr>
            <w:r>
              <w:rPr>
                <w:rFonts w:hint="eastAsia" w:ascii="宋体" w:hAnsi="宋体" w:eastAsia="宋体" w:cs="宋体"/>
                <w:b w:val="0"/>
                <w:bCs w:val="0"/>
                <w:sz w:val="21"/>
                <w:szCs w:val="21"/>
                <w:highlight w:val="none"/>
              </w:rPr>
              <w:t>20</w:t>
            </w:r>
            <w:r>
              <w:rPr>
                <w:rFonts w:hint="eastAsia" w:ascii="宋体" w:hAnsi="宋体" w:eastAsia="宋体" w:cs="宋体"/>
                <w:b w:val="0"/>
                <w:bCs w:val="0"/>
                <w:sz w:val="21"/>
                <w:szCs w:val="21"/>
                <w:highlight w:val="none"/>
                <w:lang w:val="en-US" w:eastAsia="zh-CN"/>
              </w:rPr>
              <w:t>20</w:t>
            </w:r>
            <w:r>
              <w:rPr>
                <w:rFonts w:hint="eastAsia" w:ascii="宋体" w:hAnsi="宋体" w:eastAsia="宋体" w:cs="宋体"/>
                <w:b w:val="0"/>
                <w:bCs w:val="0"/>
                <w:sz w:val="21"/>
                <w:szCs w:val="21"/>
                <w:highlight w:val="none"/>
              </w:rPr>
              <w:t>年</w:t>
            </w:r>
            <w:r>
              <w:rPr>
                <w:rFonts w:hint="eastAsia" w:ascii="宋体" w:hAnsi="宋体" w:eastAsia="宋体" w:cs="宋体"/>
                <w:b w:val="0"/>
                <w:bCs w:val="0"/>
                <w:sz w:val="21"/>
                <w:szCs w:val="21"/>
                <w:highlight w:val="none"/>
                <w:lang w:val="en-US" w:eastAsia="zh-CN"/>
              </w:rPr>
              <w:t>05</w:t>
            </w:r>
            <w:r>
              <w:rPr>
                <w:rFonts w:hint="eastAsia" w:ascii="宋体" w:hAnsi="宋体" w:eastAsia="宋体" w:cs="宋体"/>
                <w:b w:val="0"/>
                <w:bCs w:val="0"/>
                <w:sz w:val="21"/>
                <w:szCs w:val="21"/>
                <w:highlight w:val="none"/>
              </w:rPr>
              <w:t>月</w:t>
            </w:r>
            <w:r>
              <w:rPr>
                <w:rFonts w:hint="eastAsia" w:ascii="宋体" w:hAnsi="宋体" w:eastAsia="宋体" w:cs="宋体"/>
                <w:b w:val="0"/>
                <w:bCs w:val="0"/>
                <w:sz w:val="21"/>
                <w:szCs w:val="21"/>
                <w:highlight w:val="none"/>
                <w:lang w:val="en-US" w:eastAsia="zh-CN"/>
              </w:rPr>
              <w:t>19</w:t>
            </w:r>
            <w:r>
              <w:rPr>
                <w:rFonts w:hint="eastAsia" w:ascii="宋体" w:hAnsi="宋体" w:eastAsia="宋体" w:cs="宋体"/>
                <w:b w:val="0"/>
                <w:bCs w:val="0"/>
                <w:sz w:val="21"/>
                <w:szCs w:val="21"/>
                <w:highlight w:val="none"/>
              </w:rPr>
              <w:t>日</w:t>
            </w:r>
          </w:p>
        </w:tc>
        <w:tc>
          <w:tcPr>
            <w:tcW w:w="458" w:type="pct"/>
            <w:tcBorders>
              <w:tl2br w:val="nil"/>
              <w:tr2bl w:val="nil"/>
            </w:tcBorders>
            <w:noWrap w:val="0"/>
            <w:vAlign w:val="center"/>
          </w:tcPr>
          <w:p w14:paraId="1787ADD4">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color w:val="0000FF"/>
                <w:sz w:val="21"/>
                <w:szCs w:val="21"/>
                <w:highlight w:val="none"/>
                <w:lang w:val="en-US" w:eastAsia="zh-CN"/>
              </w:rPr>
            </w:pPr>
            <w:r>
              <w:rPr>
                <w:rFonts w:hint="eastAsia" w:ascii="宋体" w:hAnsi="宋体" w:eastAsia="宋体" w:cs="宋体"/>
                <w:kern w:val="0"/>
                <w:sz w:val="21"/>
                <w:szCs w:val="21"/>
                <w:highlight w:val="none"/>
                <w:lang w:val="en-US" w:eastAsia="zh-CN" w:bidi="ar"/>
              </w:rPr>
              <w:t>0.37</w:t>
            </w:r>
          </w:p>
        </w:tc>
        <w:tc>
          <w:tcPr>
            <w:tcW w:w="529" w:type="pct"/>
            <w:tcBorders>
              <w:tl2br w:val="nil"/>
              <w:tr2bl w:val="nil"/>
            </w:tcBorders>
            <w:noWrap w:val="0"/>
            <w:vAlign w:val="center"/>
          </w:tcPr>
          <w:p w14:paraId="5BDC3957">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kern w:val="0"/>
                <w:sz w:val="21"/>
                <w:szCs w:val="21"/>
                <w:highlight w:val="none"/>
                <w:lang w:val="en-US" w:eastAsia="zh-CN" w:bidi="ar"/>
              </w:rPr>
            </w:pPr>
            <w:r>
              <w:rPr>
                <w:rFonts w:hint="eastAsia" w:ascii="宋体" w:hAnsi="宋体" w:eastAsia="宋体" w:cs="宋体"/>
                <w:kern w:val="0"/>
                <w:sz w:val="21"/>
                <w:szCs w:val="21"/>
                <w:highlight w:val="none"/>
                <w:lang w:val="en-US" w:eastAsia="zh-CN" w:bidi="ar"/>
              </w:rPr>
              <w:t>0.39</w:t>
            </w:r>
          </w:p>
        </w:tc>
        <w:tc>
          <w:tcPr>
            <w:tcW w:w="531" w:type="pct"/>
            <w:tcBorders>
              <w:tl2br w:val="nil"/>
              <w:tr2bl w:val="nil"/>
            </w:tcBorders>
            <w:noWrap w:val="0"/>
            <w:vAlign w:val="center"/>
          </w:tcPr>
          <w:p w14:paraId="39F3AEA1">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kern w:val="0"/>
                <w:sz w:val="21"/>
                <w:szCs w:val="21"/>
                <w:highlight w:val="none"/>
                <w:lang w:val="en-US" w:eastAsia="zh-CN" w:bidi="ar"/>
              </w:rPr>
            </w:pPr>
            <w:r>
              <w:rPr>
                <w:rFonts w:hint="eastAsia" w:ascii="宋体" w:hAnsi="宋体" w:eastAsia="宋体" w:cs="宋体"/>
                <w:kern w:val="0"/>
                <w:sz w:val="21"/>
                <w:szCs w:val="21"/>
                <w:highlight w:val="none"/>
                <w:lang w:val="en-US" w:eastAsia="zh-CN" w:bidi="ar"/>
              </w:rPr>
              <w:t>0.36</w:t>
            </w:r>
          </w:p>
        </w:tc>
        <w:tc>
          <w:tcPr>
            <w:tcW w:w="529" w:type="pct"/>
            <w:tcBorders>
              <w:tl2br w:val="nil"/>
              <w:tr2bl w:val="nil"/>
            </w:tcBorders>
            <w:noWrap w:val="0"/>
            <w:vAlign w:val="center"/>
          </w:tcPr>
          <w:p w14:paraId="00FD3F75">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kern w:val="0"/>
                <w:sz w:val="21"/>
                <w:szCs w:val="21"/>
                <w:highlight w:val="none"/>
                <w:lang w:val="en-US" w:eastAsia="zh-CN" w:bidi="ar"/>
              </w:rPr>
            </w:pPr>
            <w:r>
              <w:rPr>
                <w:rFonts w:hint="eastAsia" w:ascii="宋体" w:hAnsi="宋体" w:eastAsia="宋体" w:cs="宋体"/>
                <w:kern w:val="0"/>
                <w:sz w:val="21"/>
                <w:szCs w:val="21"/>
                <w:highlight w:val="none"/>
                <w:lang w:val="en-US" w:eastAsia="zh-CN" w:bidi="ar"/>
              </w:rPr>
              <w:t>0.32</w:t>
            </w:r>
          </w:p>
        </w:tc>
        <w:tc>
          <w:tcPr>
            <w:tcW w:w="529" w:type="pct"/>
            <w:tcBorders>
              <w:tl2br w:val="nil"/>
              <w:tr2bl w:val="nil"/>
            </w:tcBorders>
            <w:noWrap w:val="0"/>
            <w:vAlign w:val="center"/>
          </w:tcPr>
          <w:p w14:paraId="7F80371F">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kern w:val="0"/>
                <w:sz w:val="21"/>
                <w:szCs w:val="21"/>
                <w:highlight w:val="none"/>
                <w:lang w:val="en-US" w:eastAsia="zh-CN" w:bidi="ar"/>
              </w:rPr>
            </w:pPr>
            <w:r>
              <w:rPr>
                <w:rFonts w:hint="eastAsia" w:ascii="宋体" w:hAnsi="宋体" w:eastAsia="宋体" w:cs="宋体"/>
                <w:kern w:val="0"/>
                <w:sz w:val="21"/>
                <w:szCs w:val="21"/>
                <w:highlight w:val="none"/>
                <w:lang w:val="en-US" w:eastAsia="zh-CN" w:bidi="ar"/>
              </w:rPr>
              <w:t>0.34</w:t>
            </w:r>
          </w:p>
        </w:tc>
        <w:tc>
          <w:tcPr>
            <w:tcW w:w="532" w:type="pct"/>
            <w:tcBorders>
              <w:tl2br w:val="nil"/>
              <w:tr2bl w:val="nil"/>
            </w:tcBorders>
            <w:noWrap w:val="0"/>
            <w:vAlign w:val="center"/>
          </w:tcPr>
          <w:p w14:paraId="61A785A0">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kern w:val="0"/>
                <w:sz w:val="21"/>
                <w:szCs w:val="21"/>
                <w:highlight w:val="none"/>
                <w:lang w:val="en-US" w:eastAsia="zh-CN" w:bidi="ar"/>
              </w:rPr>
            </w:pPr>
            <w:r>
              <w:rPr>
                <w:rFonts w:hint="eastAsia" w:ascii="宋体" w:hAnsi="宋体" w:eastAsia="宋体" w:cs="宋体"/>
                <w:kern w:val="0"/>
                <w:sz w:val="21"/>
                <w:szCs w:val="21"/>
                <w:highlight w:val="none"/>
                <w:lang w:val="en-US" w:eastAsia="zh-CN" w:bidi="ar"/>
              </w:rPr>
              <w:t>0.30</w:t>
            </w:r>
          </w:p>
        </w:tc>
        <w:tc>
          <w:tcPr>
            <w:tcW w:w="434" w:type="pct"/>
            <w:tcBorders>
              <w:tl2br w:val="nil"/>
              <w:tr2bl w:val="nil"/>
            </w:tcBorders>
            <w:noWrap w:val="0"/>
            <w:vAlign w:val="center"/>
          </w:tcPr>
          <w:p w14:paraId="32AC50B8">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kern w:val="0"/>
                <w:sz w:val="21"/>
                <w:szCs w:val="21"/>
                <w:highlight w:val="none"/>
                <w:lang w:bidi="ar"/>
              </w:rPr>
            </w:pPr>
            <w:r>
              <w:rPr>
                <w:rFonts w:hint="eastAsia" w:ascii="宋体" w:hAnsi="宋体" w:eastAsia="宋体" w:cs="宋体"/>
                <w:color w:val="auto"/>
                <w:sz w:val="21"/>
                <w:szCs w:val="21"/>
              </w:rPr>
              <w:t>mg/m³</w:t>
            </w:r>
          </w:p>
        </w:tc>
      </w:tr>
    </w:tbl>
    <w:p w14:paraId="7EF449A6">
      <w:pPr>
        <w:spacing w:before="120" w:beforeLines="50"/>
        <w:ind w:firstLine="480" w:firstLineChars="200"/>
      </w:pPr>
      <w:r>
        <w:t>根据以上监测结果可知，各监测点位</w:t>
      </w:r>
      <w:r>
        <w:rPr>
          <w:rFonts w:hint="eastAsia"/>
          <w:highlight w:val="none"/>
          <w:lang w:val="en-US" w:eastAsia="zh-CN"/>
        </w:rPr>
        <w:t>TVOCs</w:t>
      </w:r>
      <w:r>
        <w:rPr>
          <w:rFonts w:hint="eastAsia"/>
          <w:lang w:eastAsia="zh-CN"/>
        </w:rPr>
        <w:t>的</w:t>
      </w:r>
      <w:r>
        <w:rPr>
          <w:rFonts w:hint="eastAsia"/>
          <w:lang w:val="en-US" w:eastAsia="zh-CN"/>
        </w:rPr>
        <w:t>8小最大浓度</w:t>
      </w:r>
      <w:r>
        <w:t>值均符合《环境影响评价技术导则大气环境》（HJ2.2-2018）附录D</w:t>
      </w:r>
      <w:r>
        <w:rPr>
          <w:rFonts w:hint="eastAsia"/>
          <w:lang w:eastAsia="zh-CN"/>
        </w:rPr>
        <w:t>（参照总挥发性有机物）参考限值</w:t>
      </w:r>
      <w:r>
        <w:rPr>
          <w:rFonts w:hint="eastAsia"/>
          <w:lang w:val="en-US" w:eastAsia="zh-CN"/>
        </w:rPr>
        <w:t>0.6mg/m</w:t>
      </w:r>
      <w:r>
        <w:rPr>
          <w:rFonts w:hint="eastAsia"/>
          <w:vertAlign w:val="superscript"/>
          <w:lang w:val="en-US" w:eastAsia="zh-CN"/>
        </w:rPr>
        <w:t>3</w:t>
      </w:r>
      <w:r>
        <w:rPr>
          <w:rFonts w:hint="eastAsia"/>
          <w:lang w:val="en-US" w:eastAsia="zh-CN"/>
        </w:rPr>
        <w:t>（8h最大浓度）</w:t>
      </w:r>
      <w:r>
        <w:t>。</w:t>
      </w:r>
    </w:p>
    <w:p w14:paraId="379F8EDC">
      <w:pPr>
        <w:pStyle w:val="5"/>
        <w:keepNext/>
        <w:keepLines/>
        <w:pageBreakBefore w:val="0"/>
        <w:widowControl/>
        <w:kinsoku/>
        <w:wordWrap/>
        <w:overflowPunct/>
        <w:topLinePunct w:val="0"/>
        <w:autoSpaceDE/>
        <w:autoSpaceDN/>
        <w:bidi w:val="0"/>
        <w:adjustRightInd/>
        <w:snapToGrid/>
        <w:spacing w:before="0" w:after="0"/>
        <w:textAlignment w:val="auto"/>
      </w:pPr>
      <w:r>
        <w:rPr>
          <w:rFonts w:hint="eastAsia"/>
          <w:lang w:val="en-US" w:eastAsia="zh-CN"/>
        </w:rPr>
        <w:t>6</w:t>
      </w:r>
      <w:r>
        <w:t>.2.2地表水环境质量现状</w:t>
      </w:r>
    </w:p>
    <w:p w14:paraId="243DE007">
      <w:pPr>
        <w:bidi w:val="0"/>
      </w:pPr>
      <w:r>
        <w:t>本项目所在</w:t>
      </w:r>
      <w:r>
        <w:rPr>
          <w:rFonts w:hint="eastAsia"/>
          <w:lang w:eastAsia="zh-CN"/>
        </w:rPr>
        <w:t>区域水体</w:t>
      </w:r>
      <w:r>
        <w:t>的</w:t>
      </w:r>
      <w:r>
        <w:rPr>
          <w:rFonts w:hint="eastAsia"/>
          <w:lang w:eastAsia="zh-CN"/>
        </w:rPr>
        <w:t>太子</w:t>
      </w:r>
      <w:r>
        <w:t>河执行《地表水环境质量标准》（GB3838-2002）中</w:t>
      </w:r>
      <w:r>
        <w:rPr>
          <w:rFonts w:hint="eastAsia"/>
        </w:rPr>
        <w:t>Ⅳ</w:t>
      </w:r>
      <w:r>
        <w:t>类标准</w:t>
      </w:r>
      <w:r>
        <w:rPr>
          <w:rFonts w:hint="eastAsia"/>
          <w:lang w:eastAsia="zh-CN"/>
        </w:rPr>
        <w:t>，地表水环境质量引用《</w:t>
      </w:r>
      <w:r>
        <w:rPr>
          <w:rFonts w:hint="default"/>
        </w:rPr>
        <w:t>2018年本溪市</w:t>
      </w:r>
      <w:r>
        <w:rPr>
          <w:rFonts w:hint="eastAsia"/>
          <w:lang w:eastAsia="zh-CN"/>
        </w:rPr>
        <w:t>环境质量简报》中兴安断面相关资料。</w:t>
      </w:r>
      <w:r>
        <w:rPr>
          <w:rFonts w:hint="eastAsia"/>
        </w:rPr>
        <w:t>兴安断面位于太子河入辽阳境之前，为控制断面，控制太子河流出本溪城区的水质状况，水质评价执行国家《地表水环境质量标准》</w:t>
      </w:r>
      <w:r>
        <w:t>（GB</w:t>
      </w:r>
      <w:r>
        <w:rPr>
          <w:rFonts w:hint="eastAsia"/>
        </w:rPr>
        <w:t xml:space="preserve"> </w:t>
      </w:r>
      <w:r>
        <w:t>3838-2002）Ⅳ</w:t>
      </w:r>
      <w:r>
        <w:rPr>
          <w:rFonts w:hint="eastAsia"/>
        </w:rPr>
        <w:t>类标准。2018年兴安断面各项指标年均值达标，水质为</w:t>
      </w:r>
      <w:r>
        <w:t>Ⅳ</w:t>
      </w:r>
      <w:r>
        <w:rPr>
          <w:rFonts w:hint="eastAsia"/>
        </w:rPr>
        <w:t>类，与去年相比有所好转。</w:t>
      </w:r>
    </w:p>
    <w:p w14:paraId="4C68D9DA">
      <w:pPr>
        <w:bidi w:val="0"/>
        <w:rPr>
          <w:rFonts w:hint="eastAsia"/>
        </w:rPr>
      </w:pPr>
      <w:r>
        <w:t>全部24项地表水环境质量标准基本项目中，挥发酚、总汞、总铅、总铜、总锌、硒、总砷、总镉、六价铬、阴离子表面活性剂等10项全年</w:t>
      </w:r>
      <w:r>
        <w:rPr>
          <w:rFonts w:hint="eastAsia"/>
        </w:rPr>
        <w:t>基本未检出。</w:t>
      </w:r>
    </w:p>
    <w:p w14:paraId="3843CF00">
      <w:pPr>
        <w:pStyle w:val="22"/>
        <w:spacing w:line="360" w:lineRule="auto"/>
        <w:rPr>
          <w:rFonts w:hint="eastAsia" w:eastAsia="宋体"/>
          <w:lang w:eastAsia="zh-CN"/>
        </w:rPr>
      </w:pPr>
      <w:r>
        <w:rPr>
          <w:rFonts w:hint="eastAsia"/>
          <w:lang w:eastAsia="zh-CN"/>
        </w:rPr>
        <w:t>由此可知本项目所在区域地表水满足</w:t>
      </w:r>
      <w:r>
        <w:t>《地表水环境质量标准》（GB3838-2002）中</w:t>
      </w:r>
      <w:r>
        <w:rPr>
          <w:rFonts w:hint="eastAsia"/>
        </w:rPr>
        <w:t>Ⅳ</w:t>
      </w:r>
      <w:r>
        <w:t>类标准</w:t>
      </w:r>
      <w:r>
        <w:rPr>
          <w:rFonts w:hint="eastAsia"/>
          <w:lang w:eastAsia="zh-CN"/>
        </w:rPr>
        <w:t>。</w:t>
      </w:r>
    </w:p>
    <w:p w14:paraId="5707CD2F">
      <w:pPr>
        <w:pStyle w:val="5"/>
        <w:keepNext/>
        <w:keepLines/>
        <w:pageBreakBefore w:val="0"/>
        <w:widowControl/>
        <w:kinsoku/>
        <w:wordWrap/>
        <w:overflowPunct/>
        <w:topLinePunct w:val="0"/>
        <w:autoSpaceDE/>
        <w:autoSpaceDN/>
        <w:bidi w:val="0"/>
        <w:adjustRightInd/>
        <w:snapToGrid/>
        <w:spacing w:before="0" w:after="0" w:line="360" w:lineRule="auto"/>
        <w:textAlignment w:val="auto"/>
      </w:pPr>
      <w:r>
        <w:rPr>
          <w:rFonts w:hint="eastAsia"/>
          <w:lang w:val="en-US" w:eastAsia="zh-CN"/>
        </w:rPr>
        <w:t>6</w:t>
      </w:r>
      <w:r>
        <w:t>.2.3地下水环境质量现状</w:t>
      </w:r>
    </w:p>
    <w:p w14:paraId="5CC504F0">
      <w:pPr>
        <w:spacing w:line="360" w:lineRule="auto"/>
        <w:ind w:firstLine="480" w:firstLineChars="200"/>
      </w:pPr>
      <w:bookmarkStart w:id="381" w:name="OLE_LINK97"/>
      <w:bookmarkStart w:id="382" w:name="OLE_LINK80"/>
      <w:r>
        <w:rPr>
          <w:rFonts w:hint="eastAsia"/>
          <w:lang w:eastAsia="zh-CN"/>
        </w:rPr>
        <w:t>本项目地下水环境质量现状委托</w:t>
      </w:r>
      <w:r>
        <w:rPr>
          <w:rFonts w:hint="default"/>
          <w:lang w:val="en-US" w:eastAsia="zh-CN"/>
        </w:rPr>
        <w:t>辽宁嘉良检测技术工程有限公司</w:t>
      </w:r>
      <w:r>
        <w:rPr>
          <w:rFonts w:hint="eastAsia"/>
          <w:lang w:val="en-US" w:eastAsia="zh-CN"/>
        </w:rPr>
        <w:t>进行现场监测</w:t>
      </w:r>
      <w:r>
        <w:t>。监测点位和监测因子及监测频次如下表所示。</w:t>
      </w:r>
    </w:p>
    <w:p w14:paraId="4033042E">
      <w:pPr>
        <w:jc w:val="center"/>
        <w:rPr>
          <w:b/>
          <w:bCs/>
          <w:sz w:val="21"/>
          <w:szCs w:val="21"/>
        </w:rPr>
      </w:pPr>
    </w:p>
    <w:p w14:paraId="6154043C">
      <w:pPr>
        <w:jc w:val="center"/>
        <w:rPr>
          <w:b/>
          <w:bCs/>
          <w:sz w:val="21"/>
          <w:szCs w:val="21"/>
        </w:rPr>
      </w:pPr>
    </w:p>
    <w:p w14:paraId="40BFFCED">
      <w:pPr>
        <w:jc w:val="center"/>
        <w:rPr>
          <w:b/>
          <w:bCs/>
          <w:sz w:val="21"/>
          <w:szCs w:val="21"/>
        </w:rPr>
      </w:pPr>
    </w:p>
    <w:p w14:paraId="1AABB99A">
      <w:pPr>
        <w:jc w:val="center"/>
        <w:rPr>
          <w:b/>
          <w:bCs/>
          <w:sz w:val="21"/>
          <w:szCs w:val="21"/>
        </w:rPr>
      </w:pPr>
    </w:p>
    <w:p w14:paraId="0B2CA05A">
      <w:pPr>
        <w:jc w:val="center"/>
        <w:rPr>
          <w:b/>
          <w:bCs/>
          <w:sz w:val="21"/>
          <w:szCs w:val="21"/>
        </w:rPr>
      </w:pPr>
    </w:p>
    <w:p w14:paraId="7CBD5708">
      <w:pPr>
        <w:jc w:val="center"/>
        <w:rPr>
          <w:b/>
          <w:bCs/>
          <w:sz w:val="21"/>
          <w:szCs w:val="21"/>
        </w:rPr>
      </w:pPr>
    </w:p>
    <w:p w14:paraId="032D95F9">
      <w:pPr>
        <w:jc w:val="center"/>
        <w:rPr>
          <w:b/>
          <w:bCs/>
          <w:sz w:val="21"/>
          <w:szCs w:val="21"/>
        </w:rPr>
      </w:pPr>
    </w:p>
    <w:p w14:paraId="6A1F63F2">
      <w:pPr>
        <w:jc w:val="center"/>
        <w:rPr>
          <w:b/>
          <w:bCs/>
          <w:sz w:val="21"/>
          <w:szCs w:val="21"/>
        </w:rPr>
      </w:pPr>
      <w:r>
        <w:rPr>
          <w:b/>
          <w:bCs/>
          <w:sz w:val="21"/>
          <w:szCs w:val="21"/>
        </w:rPr>
        <w:t>表5.2-7  地下水质量监测概况</w:t>
      </w:r>
    </w:p>
    <w:tbl>
      <w:tblPr>
        <w:tblStyle w:val="52"/>
        <w:tblW w:w="4998" w:type="pct"/>
        <w:jc w:val="center"/>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Layout w:type="autofit"/>
        <w:tblCellMar>
          <w:top w:w="0" w:type="dxa"/>
          <w:left w:w="108" w:type="dxa"/>
          <w:bottom w:w="0" w:type="dxa"/>
          <w:right w:w="108" w:type="dxa"/>
        </w:tblCellMar>
      </w:tblPr>
      <w:tblGrid>
        <w:gridCol w:w="706"/>
        <w:gridCol w:w="3138"/>
        <w:gridCol w:w="2927"/>
        <w:gridCol w:w="1754"/>
      </w:tblGrid>
      <w:tr w14:paraId="320DC1BD">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669" w:hRule="atLeast"/>
          <w:jc w:val="center"/>
        </w:trPr>
        <w:tc>
          <w:tcPr>
            <w:tcW w:w="414" w:type="pct"/>
            <w:tcBorders>
              <w:tl2br w:val="nil"/>
              <w:tr2bl w:val="nil"/>
            </w:tcBorders>
            <w:noWrap w:val="0"/>
            <w:vAlign w:val="center"/>
          </w:tcPr>
          <w:p w14:paraId="547B7669">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lang w:eastAsia="zh-CN"/>
              </w:rPr>
              <w:t>检测</w:t>
            </w:r>
            <w:r>
              <w:rPr>
                <w:rFonts w:hint="eastAsia" w:ascii="宋体" w:hAnsi="宋体" w:eastAsia="宋体" w:cs="宋体"/>
                <w:sz w:val="21"/>
                <w:szCs w:val="21"/>
              </w:rPr>
              <w:t>类别</w:t>
            </w:r>
          </w:p>
        </w:tc>
        <w:tc>
          <w:tcPr>
            <w:tcW w:w="1840" w:type="pct"/>
            <w:tcBorders>
              <w:tl2br w:val="nil"/>
              <w:tr2bl w:val="nil"/>
            </w:tcBorders>
            <w:noWrap w:val="0"/>
            <w:vAlign w:val="center"/>
          </w:tcPr>
          <w:p w14:paraId="5427FAF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lang w:eastAsia="zh-CN"/>
              </w:rPr>
              <w:t>检测</w:t>
            </w:r>
            <w:r>
              <w:rPr>
                <w:rFonts w:hint="eastAsia" w:ascii="宋体" w:hAnsi="宋体" w:eastAsia="宋体" w:cs="宋体"/>
                <w:sz w:val="21"/>
                <w:szCs w:val="21"/>
              </w:rPr>
              <w:t>点位</w:t>
            </w:r>
          </w:p>
        </w:tc>
        <w:tc>
          <w:tcPr>
            <w:tcW w:w="1716" w:type="pct"/>
            <w:tcBorders>
              <w:tl2br w:val="nil"/>
              <w:tr2bl w:val="nil"/>
            </w:tcBorders>
            <w:noWrap w:val="0"/>
            <w:vAlign w:val="center"/>
          </w:tcPr>
          <w:p w14:paraId="32988CB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lang w:eastAsia="zh-CN"/>
              </w:rPr>
              <w:t>检测</w:t>
            </w:r>
            <w:r>
              <w:rPr>
                <w:rFonts w:hint="eastAsia" w:ascii="宋体" w:hAnsi="宋体" w:eastAsia="宋体" w:cs="宋体"/>
                <w:sz w:val="21"/>
                <w:szCs w:val="21"/>
              </w:rPr>
              <w:t>项目</w:t>
            </w:r>
          </w:p>
        </w:tc>
        <w:tc>
          <w:tcPr>
            <w:tcW w:w="1028" w:type="pct"/>
            <w:tcBorders>
              <w:tl2br w:val="nil"/>
              <w:tr2bl w:val="nil"/>
            </w:tcBorders>
            <w:noWrap w:val="0"/>
            <w:vAlign w:val="center"/>
          </w:tcPr>
          <w:p w14:paraId="11A50FC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lang w:eastAsia="zh-CN"/>
              </w:rPr>
              <w:t>检测</w:t>
            </w:r>
            <w:r>
              <w:rPr>
                <w:rFonts w:hint="eastAsia" w:ascii="宋体" w:hAnsi="宋体" w:eastAsia="宋体" w:cs="宋体"/>
                <w:sz w:val="21"/>
                <w:szCs w:val="21"/>
              </w:rPr>
              <w:t>频次</w:t>
            </w:r>
          </w:p>
        </w:tc>
      </w:tr>
      <w:tr w14:paraId="4D4C92AA">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1709" w:hRule="atLeast"/>
          <w:jc w:val="center"/>
        </w:trPr>
        <w:tc>
          <w:tcPr>
            <w:tcW w:w="414" w:type="pct"/>
            <w:vMerge w:val="restart"/>
            <w:tcBorders>
              <w:tl2br w:val="nil"/>
              <w:tr2bl w:val="nil"/>
            </w:tcBorders>
            <w:noWrap w:val="0"/>
            <w:vAlign w:val="center"/>
          </w:tcPr>
          <w:p w14:paraId="42A6653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地下水</w:t>
            </w:r>
          </w:p>
        </w:tc>
        <w:tc>
          <w:tcPr>
            <w:tcW w:w="1840" w:type="pct"/>
            <w:tcBorders>
              <w:tl2br w:val="nil"/>
              <w:tr2bl w:val="nil"/>
            </w:tcBorders>
            <w:noWrap w:val="0"/>
            <w:vAlign w:val="center"/>
          </w:tcPr>
          <w:p w14:paraId="7FEBD707">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厂区地下水井，</w:t>
            </w:r>
          </w:p>
          <w:p w14:paraId="1D90B587">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厂区上游地下水井（新兴村），</w:t>
            </w:r>
          </w:p>
          <w:p w14:paraId="40627F2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厂区下游地下水井（新合村）；</w:t>
            </w:r>
          </w:p>
        </w:tc>
        <w:tc>
          <w:tcPr>
            <w:tcW w:w="1716" w:type="pct"/>
            <w:tcBorders>
              <w:tl2br w:val="nil"/>
              <w:tr2bl w:val="nil"/>
            </w:tcBorders>
            <w:noWrap w:val="0"/>
            <w:vAlign w:val="center"/>
          </w:tcPr>
          <w:p w14:paraId="7AF5C4C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pH、氨氮、硝酸盐、亚硝酸盐、挥发性酚类、氰化物、砷、汞、铬（六价）、总硬度、铅、氟、镉、铁、锰、溶解性总固体、高锰酸盐指数、硫酸盐、氯化物、总大肠菌群、细菌总数、K+、Na+、Ca2+、Mg2+、碱度、Cl-、SO42-</w:t>
            </w:r>
            <w:r>
              <w:rPr>
                <w:rFonts w:hint="eastAsia" w:ascii="宋体" w:hAnsi="宋体" w:cs="宋体"/>
                <w:sz w:val="21"/>
                <w:szCs w:val="21"/>
                <w:lang w:val="en-US" w:eastAsia="zh-CN"/>
              </w:rPr>
              <w:t>、水位</w:t>
            </w:r>
          </w:p>
        </w:tc>
        <w:tc>
          <w:tcPr>
            <w:tcW w:w="1028" w:type="pct"/>
            <w:tcBorders>
              <w:tl2br w:val="nil"/>
              <w:tr2bl w:val="nil"/>
            </w:tcBorders>
            <w:noWrap w:val="0"/>
            <w:vAlign w:val="center"/>
          </w:tcPr>
          <w:p w14:paraId="307E6819">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检测1次</w:t>
            </w:r>
          </w:p>
        </w:tc>
      </w:tr>
      <w:tr w14:paraId="2AB60014">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1709" w:hRule="atLeast"/>
          <w:jc w:val="center"/>
        </w:trPr>
        <w:tc>
          <w:tcPr>
            <w:tcW w:w="414" w:type="pct"/>
            <w:vMerge w:val="continue"/>
            <w:tcBorders>
              <w:tl2br w:val="nil"/>
              <w:tr2bl w:val="nil"/>
            </w:tcBorders>
            <w:noWrap w:val="0"/>
            <w:vAlign w:val="center"/>
          </w:tcPr>
          <w:p w14:paraId="2BB60748">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kern w:val="2"/>
                <w:sz w:val="21"/>
                <w:szCs w:val="21"/>
                <w:lang w:val="en-US" w:eastAsia="zh-CN"/>
              </w:rPr>
            </w:pPr>
          </w:p>
        </w:tc>
        <w:tc>
          <w:tcPr>
            <w:tcW w:w="1840" w:type="pct"/>
            <w:tcBorders>
              <w:tl2br w:val="nil"/>
              <w:tr2bl w:val="nil"/>
            </w:tcBorders>
            <w:noWrap w:val="0"/>
            <w:vAlign w:val="center"/>
          </w:tcPr>
          <w:p w14:paraId="10287DFB">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厂区下游地下水井4#、厂区下游地下水井5#、厂区下游地下水井6#</w:t>
            </w:r>
          </w:p>
        </w:tc>
        <w:tc>
          <w:tcPr>
            <w:tcW w:w="1716" w:type="pct"/>
            <w:tcBorders>
              <w:tl2br w:val="nil"/>
              <w:tr2bl w:val="nil"/>
            </w:tcBorders>
            <w:noWrap w:val="0"/>
            <w:vAlign w:val="center"/>
          </w:tcPr>
          <w:p w14:paraId="712DB19F">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cs="宋体"/>
                <w:sz w:val="21"/>
                <w:szCs w:val="21"/>
                <w:lang w:val="en-US" w:eastAsia="zh-CN"/>
              </w:rPr>
              <w:t>水位</w:t>
            </w:r>
          </w:p>
        </w:tc>
        <w:tc>
          <w:tcPr>
            <w:tcW w:w="1028" w:type="pct"/>
            <w:tcBorders>
              <w:tl2br w:val="nil"/>
              <w:tr2bl w:val="nil"/>
            </w:tcBorders>
            <w:noWrap w:val="0"/>
            <w:vAlign w:val="center"/>
          </w:tcPr>
          <w:p w14:paraId="14B7ADB0">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检测1次</w:t>
            </w:r>
          </w:p>
        </w:tc>
      </w:tr>
    </w:tbl>
    <w:p w14:paraId="24E6CCF5">
      <w:pPr>
        <w:spacing w:before="120" w:beforeLines="50"/>
        <w:ind w:firstLine="480" w:firstLineChars="200"/>
      </w:pPr>
      <w:r>
        <w:t>监测及评价结果如下。</w:t>
      </w:r>
    </w:p>
    <w:p w14:paraId="2976DD1F">
      <w:pPr>
        <w:pStyle w:val="22"/>
        <w:ind w:left="0" w:leftChars="0" w:firstLine="0" w:firstLineChars="0"/>
        <w:jc w:val="center"/>
        <w:rPr>
          <w:rFonts w:hint="eastAsia" w:ascii="Times New Roman" w:hAnsi="Times New Roman" w:eastAsia="宋体" w:cs="Times New Roman"/>
          <w:b/>
          <w:bCs/>
          <w:kern w:val="2"/>
          <w:sz w:val="21"/>
          <w:szCs w:val="21"/>
          <w:lang w:val="en-US" w:eastAsia="zh-CN" w:bidi="ar-SA"/>
        </w:rPr>
      </w:pPr>
      <w:r>
        <w:rPr>
          <w:rFonts w:hint="eastAsia" w:ascii="Times New Roman" w:hAnsi="Times New Roman" w:eastAsia="宋体" w:cs="Times New Roman"/>
          <w:b/>
          <w:bCs/>
          <w:kern w:val="2"/>
          <w:sz w:val="21"/>
          <w:szCs w:val="21"/>
          <w:lang w:val="en-US" w:eastAsia="zh-CN" w:bidi="ar-SA"/>
        </w:rPr>
        <w:t>表6-3地下水水位监测结果表</w:t>
      </w:r>
    </w:p>
    <w:tbl>
      <w:tblPr>
        <w:tblStyle w:val="52"/>
        <w:tblW w:w="4998"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1298"/>
        <w:gridCol w:w="1738"/>
        <w:gridCol w:w="2444"/>
        <w:gridCol w:w="1758"/>
        <w:gridCol w:w="1287"/>
      </w:tblGrid>
      <w:tr w14:paraId="4AB571C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532" w:hRule="atLeast"/>
          <w:jc w:val="center"/>
        </w:trPr>
        <w:tc>
          <w:tcPr>
            <w:tcW w:w="761" w:type="pct"/>
            <w:tcBorders>
              <w:tl2br w:val="nil"/>
              <w:tr2bl w:val="nil"/>
            </w:tcBorders>
            <w:noWrap w:val="0"/>
            <w:vAlign w:val="center"/>
          </w:tcPr>
          <w:p w14:paraId="4DF4E2C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检测类别</w:t>
            </w:r>
          </w:p>
        </w:tc>
        <w:tc>
          <w:tcPr>
            <w:tcW w:w="1019" w:type="pct"/>
            <w:tcBorders>
              <w:tl2br w:val="nil"/>
              <w:tr2bl w:val="nil"/>
            </w:tcBorders>
            <w:noWrap w:val="0"/>
            <w:vAlign w:val="center"/>
          </w:tcPr>
          <w:p w14:paraId="70C317C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采样日期</w:t>
            </w:r>
          </w:p>
        </w:tc>
        <w:tc>
          <w:tcPr>
            <w:tcW w:w="1433" w:type="pct"/>
            <w:tcBorders>
              <w:tl2br w:val="nil"/>
              <w:tr2bl w:val="nil"/>
            </w:tcBorders>
            <w:noWrap w:val="0"/>
            <w:vAlign w:val="center"/>
          </w:tcPr>
          <w:p w14:paraId="0E7F70F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采样点位</w:t>
            </w:r>
          </w:p>
        </w:tc>
        <w:tc>
          <w:tcPr>
            <w:tcW w:w="1031" w:type="pct"/>
            <w:tcBorders>
              <w:tl2br w:val="nil"/>
              <w:tr2bl w:val="nil"/>
            </w:tcBorders>
            <w:noWrap w:val="0"/>
            <w:vAlign w:val="center"/>
          </w:tcPr>
          <w:p w14:paraId="7F6730C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采样信息</w:t>
            </w:r>
          </w:p>
        </w:tc>
        <w:tc>
          <w:tcPr>
            <w:tcW w:w="754" w:type="pct"/>
            <w:tcBorders>
              <w:tl2br w:val="nil"/>
              <w:tr2bl w:val="nil"/>
            </w:tcBorders>
            <w:noWrap w:val="0"/>
            <w:vAlign w:val="center"/>
          </w:tcPr>
          <w:p w14:paraId="0C63DFA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水井深度</w:t>
            </w:r>
          </w:p>
        </w:tc>
      </w:tr>
      <w:tr w14:paraId="7AC331F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22" w:hRule="atLeast"/>
          <w:jc w:val="center"/>
        </w:trPr>
        <w:tc>
          <w:tcPr>
            <w:tcW w:w="761" w:type="pct"/>
            <w:vMerge w:val="restart"/>
            <w:tcBorders>
              <w:tl2br w:val="nil"/>
              <w:tr2bl w:val="nil"/>
            </w:tcBorders>
            <w:noWrap w:val="0"/>
            <w:vAlign w:val="center"/>
          </w:tcPr>
          <w:p w14:paraId="30CD52C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地下水</w:t>
            </w:r>
          </w:p>
        </w:tc>
        <w:tc>
          <w:tcPr>
            <w:tcW w:w="1019" w:type="pct"/>
            <w:vMerge w:val="restart"/>
            <w:tcBorders>
              <w:tl2br w:val="nil"/>
              <w:tr2bl w:val="nil"/>
            </w:tcBorders>
            <w:noWrap w:val="0"/>
            <w:vAlign w:val="center"/>
          </w:tcPr>
          <w:p w14:paraId="79A3AA7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2020.5.19</w:t>
            </w:r>
          </w:p>
        </w:tc>
        <w:tc>
          <w:tcPr>
            <w:tcW w:w="1433" w:type="pct"/>
            <w:tcBorders>
              <w:tl2br w:val="nil"/>
              <w:tr2bl w:val="nil"/>
            </w:tcBorders>
            <w:noWrap w:val="0"/>
            <w:vAlign w:val="center"/>
          </w:tcPr>
          <w:p w14:paraId="786EF2F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厂区地下水井1#</w:t>
            </w:r>
          </w:p>
        </w:tc>
        <w:tc>
          <w:tcPr>
            <w:tcW w:w="1031" w:type="pct"/>
            <w:tcBorders>
              <w:tl2br w:val="nil"/>
              <w:tr2bl w:val="nil"/>
            </w:tcBorders>
            <w:noWrap w:val="0"/>
            <w:vAlign w:val="center"/>
          </w:tcPr>
          <w:p w14:paraId="7594CBD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清澈、透明</w:t>
            </w:r>
          </w:p>
        </w:tc>
        <w:tc>
          <w:tcPr>
            <w:tcW w:w="754" w:type="pct"/>
            <w:tcBorders>
              <w:tl2br w:val="nil"/>
              <w:tr2bl w:val="nil"/>
            </w:tcBorders>
            <w:noWrap w:val="0"/>
            <w:vAlign w:val="center"/>
          </w:tcPr>
          <w:p w14:paraId="51D99D0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70m</w:t>
            </w:r>
          </w:p>
        </w:tc>
      </w:tr>
      <w:tr w14:paraId="507B8AB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3" w:hRule="atLeast"/>
          <w:jc w:val="center"/>
        </w:trPr>
        <w:tc>
          <w:tcPr>
            <w:tcW w:w="761" w:type="pct"/>
            <w:vMerge w:val="continue"/>
            <w:tcBorders>
              <w:tl2br w:val="nil"/>
              <w:tr2bl w:val="nil"/>
            </w:tcBorders>
            <w:noWrap w:val="0"/>
            <w:vAlign w:val="center"/>
          </w:tcPr>
          <w:p w14:paraId="6D03E13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lang w:eastAsia="zh-CN"/>
              </w:rPr>
            </w:pPr>
          </w:p>
        </w:tc>
        <w:tc>
          <w:tcPr>
            <w:tcW w:w="1019" w:type="pct"/>
            <w:vMerge w:val="continue"/>
            <w:tcBorders>
              <w:tl2br w:val="nil"/>
              <w:tr2bl w:val="nil"/>
            </w:tcBorders>
            <w:noWrap w:val="0"/>
            <w:vAlign w:val="center"/>
          </w:tcPr>
          <w:p w14:paraId="3C3B77B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lang w:eastAsia="zh-CN"/>
              </w:rPr>
            </w:pPr>
          </w:p>
        </w:tc>
        <w:tc>
          <w:tcPr>
            <w:tcW w:w="1433" w:type="pct"/>
            <w:tcBorders>
              <w:tl2br w:val="nil"/>
              <w:tr2bl w:val="nil"/>
            </w:tcBorders>
            <w:noWrap w:val="0"/>
            <w:vAlign w:val="center"/>
          </w:tcPr>
          <w:p w14:paraId="1A436D0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厂区上游地下水井2#</w:t>
            </w:r>
          </w:p>
        </w:tc>
        <w:tc>
          <w:tcPr>
            <w:tcW w:w="1031" w:type="pct"/>
            <w:tcBorders>
              <w:tl2br w:val="nil"/>
              <w:tr2bl w:val="nil"/>
            </w:tcBorders>
            <w:noWrap w:val="0"/>
            <w:vAlign w:val="center"/>
          </w:tcPr>
          <w:p w14:paraId="28552DA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清澈、透明</w:t>
            </w:r>
          </w:p>
        </w:tc>
        <w:tc>
          <w:tcPr>
            <w:tcW w:w="754" w:type="pct"/>
            <w:tcBorders>
              <w:tl2br w:val="nil"/>
              <w:tr2bl w:val="nil"/>
            </w:tcBorders>
            <w:noWrap w:val="0"/>
            <w:vAlign w:val="center"/>
          </w:tcPr>
          <w:p w14:paraId="48EE65A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80m</w:t>
            </w:r>
          </w:p>
        </w:tc>
      </w:tr>
      <w:tr w14:paraId="35945DF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56" w:hRule="atLeast"/>
          <w:jc w:val="center"/>
        </w:trPr>
        <w:tc>
          <w:tcPr>
            <w:tcW w:w="761" w:type="pct"/>
            <w:vMerge w:val="continue"/>
            <w:tcBorders>
              <w:tl2br w:val="nil"/>
              <w:tr2bl w:val="nil"/>
            </w:tcBorders>
            <w:noWrap w:val="0"/>
            <w:vAlign w:val="center"/>
          </w:tcPr>
          <w:p w14:paraId="2CDB1F1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lang w:eastAsia="zh-CN"/>
              </w:rPr>
            </w:pPr>
          </w:p>
        </w:tc>
        <w:tc>
          <w:tcPr>
            <w:tcW w:w="1019" w:type="pct"/>
            <w:vMerge w:val="continue"/>
            <w:tcBorders>
              <w:tl2br w:val="nil"/>
              <w:tr2bl w:val="nil"/>
            </w:tcBorders>
            <w:noWrap w:val="0"/>
            <w:vAlign w:val="center"/>
          </w:tcPr>
          <w:p w14:paraId="6FB5416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lang w:eastAsia="zh-CN"/>
              </w:rPr>
            </w:pPr>
          </w:p>
        </w:tc>
        <w:tc>
          <w:tcPr>
            <w:tcW w:w="1433" w:type="pct"/>
            <w:tcBorders>
              <w:tl2br w:val="nil"/>
              <w:tr2bl w:val="nil"/>
            </w:tcBorders>
            <w:noWrap w:val="0"/>
            <w:vAlign w:val="center"/>
          </w:tcPr>
          <w:p w14:paraId="0BD5E0A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厂区下游地下水井3#</w:t>
            </w:r>
          </w:p>
        </w:tc>
        <w:tc>
          <w:tcPr>
            <w:tcW w:w="1031" w:type="pct"/>
            <w:tcBorders>
              <w:tl2br w:val="nil"/>
              <w:tr2bl w:val="nil"/>
            </w:tcBorders>
            <w:noWrap w:val="0"/>
            <w:vAlign w:val="center"/>
          </w:tcPr>
          <w:p w14:paraId="27B900D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清澈、透明</w:t>
            </w:r>
          </w:p>
        </w:tc>
        <w:tc>
          <w:tcPr>
            <w:tcW w:w="754" w:type="pct"/>
            <w:tcBorders>
              <w:tl2br w:val="nil"/>
              <w:tr2bl w:val="nil"/>
            </w:tcBorders>
            <w:noWrap w:val="0"/>
            <w:vAlign w:val="center"/>
          </w:tcPr>
          <w:p w14:paraId="495B306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15m</w:t>
            </w:r>
          </w:p>
        </w:tc>
      </w:tr>
      <w:tr w14:paraId="7EA06A2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06" w:hRule="atLeast"/>
          <w:jc w:val="center"/>
        </w:trPr>
        <w:tc>
          <w:tcPr>
            <w:tcW w:w="761" w:type="pct"/>
            <w:vMerge w:val="continue"/>
            <w:tcBorders>
              <w:tl2br w:val="nil"/>
              <w:tr2bl w:val="nil"/>
            </w:tcBorders>
            <w:noWrap w:val="0"/>
            <w:vAlign w:val="center"/>
          </w:tcPr>
          <w:p w14:paraId="59C1327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lang w:eastAsia="zh-CN"/>
              </w:rPr>
            </w:pPr>
          </w:p>
        </w:tc>
        <w:tc>
          <w:tcPr>
            <w:tcW w:w="1019" w:type="pct"/>
            <w:vMerge w:val="continue"/>
            <w:tcBorders>
              <w:tl2br w:val="nil"/>
              <w:tr2bl w:val="nil"/>
            </w:tcBorders>
            <w:noWrap w:val="0"/>
            <w:vAlign w:val="center"/>
          </w:tcPr>
          <w:p w14:paraId="424F8EB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lang w:eastAsia="zh-CN"/>
              </w:rPr>
            </w:pPr>
          </w:p>
        </w:tc>
        <w:tc>
          <w:tcPr>
            <w:tcW w:w="1433" w:type="pct"/>
            <w:tcBorders>
              <w:tl2br w:val="nil"/>
              <w:tr2bl w:val="nil"/>
            </w:tcBorders>
            <w:noWrap w:val="0"/>
            <w:vAlign w:val="center"/>
          </w:tcPr>
          <w:p w14:paraId="60F1718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厂区下游地下水井4#</w:t>
            </w:r>
          </w:p>
        </w:tc>
        <w:tc>
          <w:tcPr>
            <w:tcW w:w="1031" w:type="pct"/>
            <w:tcBorders>
              <w:tl2br w:val="nil"/>
              <w:tr2bl w:val="nil"/>
            </w:tcBorders>
            <w:noWrap w:val="0"/>
            <w:vAlign w:val="center"/>
          </w:tcPr>
          <w:p w14:paraId="7828C10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清澈、透明</w:t>
            </w:r>
          </w:p>
        </w:tc>
        <w:tc>
          <w:tcPr>
            <w:tcW w:w="754" w:type="pct"/>
            <w:tcBorders>
              <w:tl2br w:val="nil"/>
              <w:tr2bl w:val="nil"/>
            </w:tcBorders>
            <w:noWrap w:val="0"/>
            <w:vAlign w:val="center"/>
          </w:tcPr>
          <w:p w14:paraId="3420CCA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20m</w:t>
            </w:r>
          </w:p>
        </w:tc>
      </w:tr>
      <w:tr w14:paraId="54A7889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761" w:type="pct"/>
            <w:vMerge w:val="continue"/>
            <w:tcBorders>
              <w:tl2br w:val="nil"/>
              <w:tr2bl w:val="nil"/>
            </w:tcBorders>
            <w:noWrap w:val="0"/>
            <w:vAlign w:val="center"/>
          </w:tcPr>
          <w:p w14:paraId="3288699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lang w:eastAsia="zh-CN"/>
              </w:rPr>
            </w:pPr>
          </w:p>
        </w:tc>
        <w:tc>
          <w:tcPr>
            <w:tcW w:w="1019" w:type="pct"/>
            <w:vMerge w:val="continue"/>
            <w:tcBorders>
              <w:tl2br w:val="nil"/>
              <w:tr2bl w:val="nil"/>
            </w:tcBorders>
            <w:noWrap w:val="0"/>
            <w:vAlign w:val="center"/>
          </w:tcPr>
          <w:p w14:paraId="528433A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lang w:eastAsia="zh-CN"/>
              </w:rPr>
            </w:pPr>
          </w:p>
        </w:tc>
        <w:tc>
          <w:tcPr>
            <w:tcW w:w="1433" w:type="pct"/>
            <w:tcBorders>
              <w:tl2br w:val="nil"/>
              <w:tr2bl w:val="nil"/>
            </w:tcBorders>
            <w:noWrap w:val="0"/>
            <w:vAlign w:val="center"/>
          </w:tcPr>
          <w:p w14:paraId="4EB6305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厂区下游地下水井5#</w:t>
            </w:r>
          </w:p>
        </w:tc>
        <w:tc>
          <w:tcPr>
            <w:tcW w:w="1031" w:type="pct"/>
            <w:tcBorders>
              <w:tl2br w:val="nil"/>
              <w:tr2bl w:val="nil"/>
            </w:tcBorders>
            <w:noWrap w:val="0"/>
            <w:vAlign w:val="center"/>
          </w:tcPr>
          <w:p w14:paraId="7C32192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清澈、透明</w:t>
            </w:r>
          </w:p>
        </w:tc>
        <w:tc>
          <w:tcPr>
            <w:tcW w:w="754" w:type="pct"/>
            <w:tcBorders>
              <w:tl2br w:val="nil"/>
              <w:tr2bl w:val="nil"/>
            </w:tcBorders>
            <w:noWrap w:val="0"/>
            <w:vAlign w:val="center"/>
          </w:tcPr>
          <w:p w14:paraId="5212964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30m</w:t>
            </w:r>
          </w:p>
        </w:tc>
      </w:tr>
      <w:tr w14:paraId="4E04CF2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88" w:hRule="atLeast"/>
          <w:jc w:val="center"/>
        </w:trPr>
        <w:tc>
          <w:tcPr>
            <w:tcW w:w="761" w:type="pct"/>
            <w:vMerge w:val="continue"/>
            <w:tcBorders>
              <w:tl2br w:val="nil"/>
              <w:tr2bl w:val="nil"/>
            </w:tcBorders>
            <w:noWrap w:val="0"/>
            <w:vAlign w:val="center"/>
          </w:tcPr>
          <w:p w14:paraId="7546BBA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lang w:eastAsia="zh-CN"/>
              </w:rPr>
            </w:pPr>
          </w:p>
        </w:tc>
        <w:tc>
          <w:tcPr>
            <w:tcW w:w="1019" w:type="pct"/>
            <w:vMerge w:val="continue"/>
            <w:tcBorders>
              <w:tl2br w:val="nil"/>
              <w:tr2bl w:val="nil"/>
            </w:tcBorders>
            <w:noWrap w:val="0"/>
            <w:vAlign w:val="center"/>
          </w:tcPr>
          <w:p w14:paraId="7589CEB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lang w:eastAsia="zh-CN"/>
              </w:rPr>
            </w:pPr>
          </w:p>
        </w:tc>
        <w:tc>
          <w:tcPr>
            <w:tcW w:w="1433" w:type="pct"/>
            <w:tcBorders>
              <w:tl2br w:val="nil"/>
              <w:tr2bl w:val="nil"/>
            </w:tcBorders>
            <w:noWrap w:val="0"/>
            <w:vAlign w:val="center"/>
          </w:tcPr>
          <w:p w14:paraId="222E551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厂区下游地下水井6#</w:t>
            </w:r>
          </w:p>
        </w:tc>
        <w:tc>
          <w:tcPr>
            <w:tcW w:w="1031" w:type="pct"/>
            <w:tcBorders>
              <w:tl2br w:val="nil"/>
              <w:tr2bl w:val="nil"/>
            </w:tcBorders>
            <w:noWrap w:val="0"/>
            <w:vAlign w:val="center"/>
          </w:tcPr>
          <w:p w14:paraId="3A037DE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清澈、透明</w:t>
            </w:r>
          </w:p>
        </w:tc>
        <w:tc>
          <w:tcPr>
            <w:tcW w:w="754" w:type="pct"/>
            <w:tcBorders>
              <w:tl2br w:val="nil"/>
              <w:tr2bl w:val="nil"/>
            </w:tcBorders>
            <w:noWrap w:val="0"/>
            <w:vAlign w:val="center"/>
          </w:tcPr>
          <w:p w14:paraId="39C185B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20m</w:t>
            </w:r>
          </w:p>
        </w:tc>
      </w:tr>
    </w:tbl>
    <w:p w14:paraId="204DA7E0">
      <w:pPr>
        <w:pStyle w:val="22"/>
        <w:ind w:left="0" w:leftChars="0" w:firstLine="0" w:firstLineChars="0"/>
        <w:jc w:val="center"/>
        <w:rPr>
          <w:rFonts w:hint="eastAsia" w:ascii="Times New Roman" w:hAnsi="Times New Roman" w:eastAsia="宋体" w:cs="Times New Roman"/>
          <w:b/>
          <w:bCs/>
          <w:kern w:val="2"/>
          <w:sz w:val="21"/>
          <w:szCs w:val="21"/>
          <w:lang w:val="en-US" w:eastAsia="zh-CN" w:bidi="ar-SA"/>
        </w:rPr>
      </w:pPr>
    </w:p>
    <w:p w14:paraId="2C2AD0F8">
      <w:pPr>
        <w:pStyle w:val="22"/>
        <w:rPr>
          <w:rFonts w:hint="eastAsia"/>
          <w:lang w:val="en-US" w:eastAsia="zh-CN"/>
        </w:rPr>
      </w:pPr>
    </w:p>
    <w:p w14:paraId="28039DC8">
      <w:pPr>
        <w:pStyle w:val="22"/>
        <w:rPr>
          <w:rFonts w:hint="default"/>
          <w:lang w:val="en-US" w:eastAsia="zh-CN"/>
        </w:rPr>
        <w:sectPr>
          <w:footerReference r:id="rId10" w:type="default"/>
          <w:pgSz w:w="11906" w:h="16838"/>
          <w:pgMar w:top="1440" w:right="1797" w:bottom="1440" w:left="1797" w:header="907" w:footer="907" w:gutter="0"/>
          <w:pgBorders>
            <w:top w:val="none" w:sz="0" w:space="0"/>
            <w:left w:val="none" w:sz="0" w:space="0"/>
            <w:bottom w:val="none" w:sz="0" w:space="0"/>
            <w:right w:val="none" w:sz="0" w:space="0"/>
          </w:pgBorders>
          <w:pgNumType w:fmt="decimal"/>
          <w:cols w:space="425" w:num="1"/>
          <w:docGrid w:linePitch="326" w:charSpace="0"/>
        </w:sectPr>
      </w:pPr>
    </w:p>
    <w:p w14:paraId="02DECCC1">
      <w:pPr>
        <w:spacing w:line="240" w:lineRule="auto"/>
        <w:jc w:val="center"/>
        <w:rPr>
          <w:rFonts w:hint="eastAsia" w:ascii="黑体" w:hAnsi="黑体" w:eastAsia="黑体" w:cs="黑体"/>
          <w:b w:val="0"/>
          <w:bCs w:val="0"/>
          <w:sz w:val="21"/>
          <w:szCs w:val="21"/>
        </w:rPr>
      </w:pPr>
      <w:r>
        <w:rPr>
          <w:rFonts w:hint="eastAsia" w:ascii="黑体" w:hAnsi="黑体" w:eastAsia="黑体" w:cs="黑体"/>
          <w:b w:val="0"/>
          <w:bCs w:val="0"/>
          <w:sz w:val="21"/>
          <w:szCs w:val="21"/>
        </w:rPr>
        <w:t>表</w:t>
      </w:r>
      <w:r>
        <w:rPr>
          <w:rFonts w:hint="eastAsia" w:ascii="黑体" w:hAnsi="黑体" w:eastAsia="黑体" w:cs="黑体"/>
          <w:b w:val="0"/>
          <w:bCs w:val="0"/>
          <w:sz w:val="21"/>
          <w:szCs w:val="21"/>
          <w:lang w:val="en-US" w:eastAsia="zh-CN"/>
        </w:rPr>
        <w:t>6-4</w:t>
      </w:r>
      <w:r>
        <w:rPr>
          <w:rFonts w:hint="eastAsia" w:ascii="黑体" w:hAnsi="黑体" w:eastAsia="黑体" w:cs="黑体"/>
          <w:b w:val="0"/>
          <w:bCs w:val="0"/>
          <w:sz w:val="21"/>
          <w:szCs w:val="21"/>
        </w:rPr>
        <w:t>地下水</w:t>
      </w:r>
      <w:r>
        <w:rPr>
          <w:rFonts w:hint="eastAsia" w:ascii="黑体" w:hAnsi="黑体" w:eastAsia="黑体" w:cs="黑体"/>
          <w:b w:val="0"/>
          <w:bCs w:val="0"/>
          <w:sz w:val="21"/>
          <w:szCs w:val="21"/>
          <w:lang w:eastAsia="zh-CN"/>
        </w:rPr>
        <w:t>水质</w:t>
      </w:r>
      <w:r>
        <w:rPr>
          <w:rFonts w:hint="eastAsia" w:ascii="黑体" w:hAnsi="黑体" w:eastAsia="黑体" w:cs="黑体"/>
          <w:b w:val="0"/>
          <w:bCs w:val="0"/>
          <w:sz w:val="21"/>
          <w:szCs w:val="21"/>
        </w:rPr>
        <w:t>监测及评价结果</w:t>
      </w:r>
    </w:p>
    <w:tbl>
      <w:tblPr>
        <w:tblStyle w:val="53"/>
        <w:tblW w:w="4998"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741"/>
        <w:gridCol w:w="1537"/>
        <w:gridCol w:w="1400"/>
        <w:gridCol w:w="1772"/>
        <w:gridCol w:w="1690"/>
        <w:gridCol w:w="1385"/>
      </w:tblGrid>
      <w:tr w14:paraId="142BA1F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64" w:hRule="atLeast"/>
          <w:jc w:val="center"/>
        </w:trPr>
        <w:tc>
          <w:tcPr>
            <w:tcW w:w="434" w:type="pct"/>
            <w:vMerge w:val="restart"/>
            <w:tcBorders>
              <w:tl2br w:val="nil"/>
              <w:tr2bl w:val="nil"/>
            </w:tcBorders>
            <w:noWrap w:val="0"/>
            <w:vAlign w:val="center"/>
          </w:tcPr>
          <w:p w14:paraId="7EE5E1B1">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sz w:val="21"/>
                <w:szCs w:val="21"/>
                <w:highlight w:val="none"/>
                <w:lang w:eastAsia="zh-CN"/>
              </w:rPr>
              <w:t>采样日期</w:t>
            </w:r>
          </w:p>
        </w:tc>
        <w:tc>
          <w:tcPr>
            <w:tcW w:w="902" w:type="pct"/>
            <w:vMerge w:val="restart"/>
            <w:tcBorders>
              <w:tl2br w:val="nil"/>
              <w:tr2bl w:val="nil"/>
            </w:tcBorders>
            <w:noWrap w:val="0"/>
            <w:vAlign w:val="center"/>
          </w:tcPr>
          <w:p w14:paraId="042B15A1">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sz w:val="21"/>
                <w:szCs w:val="21"/>
                <w:highlight w:val="none"/>
                <w:lang w:eastAsia="zh-CN"/>
              </w:rPr>
              <w:t>检测项目</w:t>
            </w:r>
          </w:p>
        </w:tc>
        <w:tc>
          <w:tcPr>
            <w:tcW w:w="2850" w:type="pct"/>
            <w:gridSpan w:val="3"/>
            <w:tcBorders>
              <w:tl2br w:val="nil"/>
              <w:tr2bl w:val="nil"/>
            </w:tcBorders>
            <w:noWrap w:val="0"/>
            <w:vAlign w:val="center"/>
          </w:tcPr>
          <w:p w14:paraId="45BD9D70">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lang w:eastAsia="zh-CN"/>
              </w:rPr>
              <w:t>检测点位及检测</w:t>
            </w:r>
            <w:r>
              <w:rPr>
                <w:rFonts w:hint="eastAsia" w:ascii="宋体" w:hAnsi="宋体" w:eastAsia="宋体" w:cs="宋体"/>
                <w:color w:val="auto"/>
                <w:sz w:val="21"/>
                <w:szCs w:val="21"/>
                <w:highlight w:val="none"/>
              </w:rPr>
              <w:t>结果</w:t>
            </w:r>
          </w:p>
        </w:tc>
        <w:tc>
          <w:tcPr>
            <w:tcW w:w="812" w:type="pct"/>
            <w:vMerge w:val="restart"/>
            <w:tcBorders>
              <w:tl2br w:val="nil"/>
              <w:tr2bl w:val="nil"/>
            </w:tcBorders>
            <w:noWrap w:val="0"/>
            <w:vAlign w:val="center"/>
          </w:tcPr>
          <w:p w14:paraId="7E9D8B05">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标准限值</w:t>
            </w:r>
          </w:p>
        </w:tc>
      </w:tr>
      <w:tr w14:paraId="606E76F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64" w:hRule="atLeast"/>
          <w:jc w:val="center"/>
        </w:trPr>
        <w:tc>
          <w:tcPr>
            <w:tcW w:w="434" w:type="pct"/>
            <w:vMerge w:val="continue"/>
            <w:tcBorders>
              <w:tl2br w:val="nil"/>
              <w:tr2bl w:val="nil"/>
            </w:tcBorders>
            <w:noWrap w:val="0"/>
            <w:vAlign w:val="center"/>
          </w:tcPr>
          <w:p w14:paraId="6C3A7E1E">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color w:val="auto"/>
                <w:sz w:val="21"/>
                <w:szCs w:val="21"/>
                <w:highlight w:val="none"/>
                <w:lang w:eastAsia="zh-CN"/>
              </w:rPr>
            </w:pPr>
          </w:p>
        </w:tc>
        <w:tc>
          <w:tcPr>
            <w:tcW w:w="902" w:type="pct"/>
            <w:vMerge w:val="continue"/>
            <w:tcBorders>
              <w:tl2br w:val="nil"/>
              <w:tr2bl w:val="nil"/>
            </w:tcBorders>
            <w:noWrap w:val="0"/>
            <w:vAlign w:val="center"/>
          </w:tcPr>
          <w:p w14:paraId="13B82B85">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color w:val="auto"/>
                <w:sz w:val="21"/>
                <w:szCs w:val="21"/>
                <w:highlight w:val="none"/>
                <w:lang w:eastAsia="zh-CN"/>
              </w:rPr>
            </w:pPr>
          </w:p>
        </w:tc>
        <w:tc>
          <w:tcPr>
            <w:tcW w:w="821" w:type="pct"/>
            <w:tcBorders>
              <w:tl2br w:val="nil"/>
              <w:tr2bl w:val="nil"/>
            </w:tcBorders>
            <w:noWrap w:val="0"/>
            <w:vAlign w:val="center"/>
          </w:tcPr>
          <w:p w14:paraId="6D7FF778">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厂区</w:t>
            </w:r>
          </w:p>
          <w:p w14:paraId="5C8492E7">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highlight w:val="none"/>
                <w:lang w:val="en-US" w:eastAsia="zh-CN"/>
              </w:rPr>
            </w:pPr>
            <w:r>
              <w:rPr>
                <w:rFonts w:hint="eastAsia" w:ascii="宋体" w:hAnsi="宋体" w:eastAsia="宋体" w:cs="宋体"/>
                <w:sz w:val="21"/>
                <w:szCs w:val="21"/>
                <w:highlight w:val="none"/>
                <w:lang w:val="en-US" w:eastAsia="zh-CN"/>
              </w:rPr>
              <w:t>地下水井</w:t>
            </w:r>
          </w:p>
        </w:tc>
        <w:tc>
          <w:tcPr>
            <w:tcW w:w="1039" w:type="pct"/>
            <w:tcBorders>
              <w:tl2br w:val="nil"/>
              <w:tr2bl w:val="nil"/>
            </w:tcBorders>
            <w:noWrap w:val="0"/>
            <w:vAlign w:val="center"/>
          </w:tcPr>
          <w:p w14:paraId="63F87A2F">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厂区</w:t>
            </w:r>
          </w:p>
          <w:p w14:paraId="5B3EFB37">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上游地下水井</w:t>
            </w:r>
          </w:p>
          <w:p w14:paraId="3FB6D3FD">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sz w:val="21"/>
                <w:szCs w:val="21"/>
                <w:highlight w:val="none"/>
                <w:lang w:val="en-US" w:eastAsia="zh-CN"/>
              </w:rPr>
              <w:t>（新兴村）</w:t>
            </w:r>
          </w:p>
        </w:tc>
        <w:tc>
          <w:tcPr>
            <w:tcW w:w="990" w:type="pct"/>
            <w:tcBorders>
              <w:tl2br w:val="nil"/>
              <w:tr2bl w:val="nil"/>
            </w:tcBorders>
            <w:noWrap w:val="0"/>
            <w:vAlign w:val="center"/>
          </w:tcPr>
          <w:p w14:paraId="7A881093">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厂区</w:t>
            </w:r>
          </w:p>
          <w:p w14:paraId="76AFC08D">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下游地下水井</w:t>
            </w:r>
          </w:p>
          <w:p w14:paraId="23AC3C63">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sz w:val="21"/>
                <w:szCs w:val="21"/>
                <w:highlight w:val="none"/>
                <w:lang w:val="en-US" w:eastAsia="zh-CN"/>
              </w:rPr>
              <w:t>（新合村）</w:t>
            </w:r>
          </w:p>
        </w:tc>
        <w:tc>
          <w:tcPr>
            <w:tcW w:w="812" w:type="pct"/>
            <w:vMerge w:val="continue"/>
            <w:tcBorders>
              <w:tl2br w:val="nil"/>
              <w:tr2bl w:val="nil"/>
            </w:tcBorders>
            <w:noWrap w:val="0"/>
            <w:vAlign w:val="center"/>
          </w:tcPr>
          <w:p w14:paraId="6BD561CD">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highlight w:val="none"/>
                <w:lang w:val="en-US" w:eastAsia="zh-CN"/>
              </w:rPr>
            </w:pPr>
          </w:p>
        </w:tc>
      </w:tr>
      <w:tr w14:paraId="4377000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434" w:type="pct"/>
            <w:vMerge w:val="restart"/>
            <w:tcBorders>
              <w:tl2br w:val="nil"/>
              <w:tr2bl w:val="nil"/>
            </w:tcBorders>
            <w:noWrap w:val="0"/>
            <w:vAlign w:val="center"/>
          </w:tcPr>
          <w:p w14:paraId="5401E190">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lang w:val="en-US" w:eastAsia="zh-CN"/>
              </w:rPr>
              <w:t>04.03</w:t>
            </w:r>
          </w:p>
        </w:tc>
        <w:tc>
          <w:tcPr>
            <w:tcW w:w="902" w:type="pct"/>
            <w:tcBorders>
              <w:tl2br w:val="nil"/>
              <w:tr2bl w:val="nil"/>
            </w:tcBorders>
            <w:noWrap w:val="0"/>
            <w:vAlign w:val="center"/>
          </w:tcPr>
          <w:p w14:paraId="3590A0A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kern w:val="2"/>
                <w:sz w:val="21"/>
                <w:szCs w:val="21"/>
                <w:highlight w:val="none"/>
                <w:lang w:val="en-US" w:eastAsia="zh-CN"/>
              </w:rPr>
            </w:pPr>
            <w:r>
              <w:rPr>
                <w:rFonts w:hint="eastAsia" w:ascii="宋体" w:hAnsi="宋体" w:eastAsia="宋体" w:cs="宋体"/>
                <w:sz w:val="21"/>
                <w:szCs w:val="21"/>
                <w:highlight w:val="none"/>
              </w:rPr>
              <w:t>pH</w:t>
            </w:r>
            <w:r>
              <w:rPr>
                <w:rFonts w:hint="eastAsia" w:ascii="宋体" w:hAnsi="宋体" w:eastAsia="宋体" w:cs="宋体"/>
                <w:sz w:val="21"/>
                <w:szCs w:val="21"/>
                <w:highlight w:val="none"/>
                <w:lang w:eastAsia="zh-CN"/>
              </w:rPr>
              <w:t>（无量纲）</w:t>
            </w:r>
          </w:p>
        </w:tc>
        <w:tc>
          <w:tcPr>
            <w:tcW w:w="821" w:type="pct"/>
            <w:tcBorders>
              <w:tl2br w:val="nil"/>
              <w:tr2bl w:val="nil"/>
            </w:tcBorders>
            <w:noWrap w:val="0"/>
            <w:vAlign w:val="center"/>
          </w:tcPr>
          <w:p w14:paraId="28D4FAE7">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kern w:val="2"/>
                <w:sz w:val="21"/>
                <w:szCs w:val="21"/>
                <w:highlight w:val="none"/>
                <w:lang w:val="en-US" w:eastAsia="zh-CN"/>
              </w:rPr>
            </w:pPr>
            <w:r>
              <w:rPr>
                <w:rFonts w:hint="eastAsia" w:ascii="宋体" w:hAnsi="宋体" w:eastAsia="宋体" w:cs="宋体"/>
                <w:kern w:val="2"/>
                <w:sz w:val="21"/>
                <w:szCs w:val="21"/>
                <w:highlight w:val="none"/>
                <w:lang w:val="en-US" w:eastAsia="zh-CN"/>
              </w:rPr>
              <w:t>7.34</w:t>
            </w:r>
          </w:p>
        </w:tc>
        <w:tc>
          <w:tcPr>
            <w:tcW w:w="1039" w:type="pct"/>
            <w:tcBorders>
              <w:tl2br w:val="nil"/>
              <w:tr2bl w:val="nil"/>
            </w:tcBorders>
            <w:noWrap w:val="0"/>
            <w:vAlign w:val="center"/>
          </w:tcPr>
          <w:p w14:paraId="704185F4">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7.18</w:t>
            </w:r>
          </w:p>
        </w:tc>
        <w:tc>
          <w:tcPr>
            <w:tcW w:w="990" w:type="pct"/>
            <w:tcBorders>
              <w:tl2br w:val="nil"/>
              <w:tr2bl w:val="nil"/>
            </w:tcBorders>
            <w:noWrap w:val="0"/>
            <w:vAlign w:val="center"/>
          </w:tcPr>
          <w:p w14:paraId="4EC59AA3">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7.15</w:t>
            </w:r>
          </w:p>
        </w:tc>
        <w:tc>
          <w:tcPr>
            <w:tcW w:w="812" w:type="pct"/>
            <w:tcBorders>
              <w:tl2br w:val="nil"/>
              <w:tr2bl w:val="nil"/>
            </w:tcBorders>
            <w:noWrap w:val="0"/>
            <w:vAlign w:val="center"/>
          </w:tcPr>
          <w:p w14:paraId="14539B0B">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b w:val="0"/>
                <w:bCs/>
                <w:sz w:val="21"/>
                <w:szCs w:val="21"/>
                <w:highlight w:val="none"/>
              </w:rPr>
              <w:t>6.5～8.5</w:t>
            </w:r>
          </w:p>
        </w:tc>
      </w:tr>
      <w:tr w14:paraId="4794C20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434" w:type="pct"/>
            <w:vMerge w:val="continue"/>
            <w:tcBorders>
              <w:tl2br w:val="nil"/>
              <w:tr2bl w:val="nil"/>
            </w:tcBorders>
            <w:noWrap w:val="0"/>
            <w:vAlign w:val="center"/>
          </w:tcPr>
          <w:p w14:paraId="6AA977B1">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color w:val="auto"/>
                <w:sz w:val="21"/>
                <w:szCs w:val="21"/>
                <w:highlight w:val="none"/>
              </w:rPr>
            </w:pPr>
          </w:p>
        </w:tc>
        <w:tc>
          <w:tcPr>
            <w:tcW w:w="902" w:type="pct"/>
            <w:tcBorders>
              <w:tl2br w:val="nil"/>
              <w:tr2bl w:val="nil"/>
            </w:tcBorders>
            <w:noWrap w:val="0"/>
            <w:vAlign w:val="center"/>
          </w:tcPr>
          <w:p w14:paraId="62F1425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kern w:val="2"/>
                <w:sz w:val="21"/>
                <w:szCs w:val="21"/>
                <w:highlight w:val="none"/>
                <w:lang w:val="en-US" w:eastAsia="zh-CN"/>
              </w:rPr>
            </w:pPr>
            <w:r>
              <w:rPr>
                <w:rFonts w:hint="eastAsia" w:ascii="宋体" w:hAnsi="宋体" w:eastAsia="宋体" w:cs="宋体"/>
                <w:sz w:val="21"/>
                <w:szCs w:val="21"/>
                <w:highlight w:val="none"/>
                <w:lang w:eastAsia="zh-CN"/>
              </w:rPr>
              <w:t>氨氮</w:t>
            </w:r>
            <w:r>
              <w:rPr>
                <w:rFonts w:hint="eastAsia" w:ascii="宋体" w:hAnsi="宋体" w:eastAsia="宋体" w:cs="宋体"/>
                <w:color w:val="auto"/>
                <w:sz w:val="21"/>
                <w:szCs w:val="21"/>
                <w:highlight w:val="none"/>
                <w:lang w:val="en-US" w:eastAsia="zh-CN"/>
              </w:rPr>
              <w:t>mg/L</w:t>
            </w:r>
          </w:p>
        </w:tc>
        <w:tc>
          <w:tcPr>
            <w:tcW w:w="821" w:type="pct"/>
            <w:tcBorders>
              <w:tl2br w:val="nil"/>
              <w:tr2bl w:val="nil"/>
            </w:tcBorders>
            <w:noWrap w:val="0"/>
            <w:vAlign w:val="center"/>
          </w:tcPr>
          <w:p w14:paraId="387E7C7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0.431</w:t>
            </w:r>
          </w:p>
        </w:tc>
        <w:tc>
          <w:tcPr>
            <w:tcW w:w="1039" w:type="pct"/>
            <w:tcBorders>
              <w:tl2br w:val="nil"/>
              <w:tr2bl w:val="nil"/>
            </w:tcBorders>
            <w:noWrap w:val="0"/>
            <w:vAlign w:val="center"/>
          </w:tcPr>
          <w:p w14:paraId="228204BE">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0.448</w:t>
            </w:r>
          </w:p>
        </w:tc>
        <w:tc>
          <w:tcPr>
            <w:tcW w:w="990" w:type="pct"/>
            <w:tcBorders>
              <w:tl2br w:val="nil"/>
              <w:tr2bl w:val="nil"/>
            </w:tcBorders>
            <w:noWrap w:val="0"/>
            <w:vAlign w:val="center"/>
          </w:tcPr>
          <w:p w14:paraId="64688FE7">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auto"/>
                <w:sz w:val="21"/>
                <w:szCs w:val="21"/>
                <w:highlight w:val="none"/>
                <w:lang w:val="en-US" w:eastAsia="zh-CN"/>
              </w:rPr>
              <w:t>0.426</w:t>
            </w:r>
          </w:p>
        </w:tc>
        <w:tc>
          <w:tcPr>
            <w:tcW w:w="812" w:type="pct"/>
            <w:tcBorders>
              <w:tl2br w:val="nil"/>
              <w:tr2bl w:val="nil"/>
            </w:tcBorders>
            <w:noWrap w:val="0"/>
            <w:vAlign w:val="center"/>
          </w:tcPr>
          <w:p w14:paraId="7250CA48">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b w:val="0"/>
                <w:bCs/>
                <w:sz w:val="21"/>
                <w:szCs w:val="21"/>
                <w:highlight w:val="none"/>
              </w:rPr>
              <w:t>0.</w:t>
            </w:r>
            <w:r>
              <w:rPr>
                <w:rFonts w:hint="eastAsia" w:ascii="宋体" w:hAnsi="宋体" w:eastAsia="宋体" w:cs="宋体"/>
                <w:b w:val="0"/>
                <w:bCs/>
                <w:sz w:val="21"/>
                <w:szCs w:val="21"/>
                <w:highlight w:val="none"/>
                <w:lang w:val="en-US" w:eastAsia="zh-CN"/>
              </w:rPr>
              <w:t>5</w:t>
            </w:r>
          </w:p>
        </w:tc>
      </w:tr>
      <w:tr w14:paraId="25C3D6D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434" w:type="pct"/>
            <w:vMerge w:val="continue"/>
            <w:tcBorders>
              <w:tl2br w:val="nil"/>
              <w:tr2bl w:val="nil"/>
            </w:tcBorders>
            <w:noWrap w:val="0"/>
            <w:vAlign w:val="center"/>
          </w:tcPr>
          <w:p w14:paraId="6057EBBA">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color w:val="auto"/>
                <w:sz w:val="21"/>
                <w:szCs w:val="21"/>
                <w:highlight w:val="none"/>
                <w:vertAlign w:val="baseline"/>
                <w:lang w:val="en-US" w:eastAsia="zh-CN"/>
              </w:rPr>
            </w:pPr>
          </w:p>
        </w:tc>
        <w:tc>
          <w:tcPr>
            <w:tcW w:w="902" w:type="pct"/>
            <w:tcBorders>
              <w:tl2br w:val="nil"/>
              <w:tr2bl w:val="nil"/>
            </w:tcBorders>
            <w:noWrap w:val="0"/>
            <w:vAlign w:val="center"/>
          </w:tcPr>
          <w:p w14:paraId="4B751233">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kern w:val="2"/>
                <w:sz w:val="21"/>
                <w:szCs w:val="21"/>
                <w:highlight w:val="none"/>
                <w:lang w:val="en-US" w:eastAsia="zh-CN"/>
              </w:rPr>
            </w:pPr>
            <w:r>
              <w:rPr>
                <w:rFonts w:hint="eastAsia" w:ascii="宋体" w:hAnsi="宋体" w:eastAsia="宋体" w:cs="宋体"/>
                <w:sz w:val="21"/>
                <w:szCs w:val="21"/>
                <w:highlight w:val="none"/>
                <w:lang w:eastAsia="zh-CN"/>
              </w:rPr>
              <w:t>挥发性酚类</w:t>
            </w:r>
            <w:r>
              <w:rPr>
                <w:rFonts w:hint="eastAsia" w:ascii="宋体" w:hAnsi="宋体" w:eastAsia="宋体" w:cs="宋体"/>
                <w:color w:val="auto"/>
                <w:sz w:val="21"/>
                <w:szCs w:val="21"/>
                <w:highlight w:val="none"/>
                <w:lang w:val="en-US" w:eastAsia="zh-CN"/>
              </w:rPr>
              <w:t>mg/L</w:t>
            </w:r>
          </w:p>
        </w:tc>
        <w:tc>
          <w:tcPr>
            <w:tcW w:w="821" w:type="pct"/>
            <w:tcBorders>
              <w:tl2br w:val="nil"/>
              <w:tr2bl w:val="nil"/>
            </w:tcBorders>
            <w:noWrap w:val="0"/>
            <w:vAlign w:val="center"/>
          </w:tcPr>
          <w:p w14:paraId="2A0B4F9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kern w:val="2"/>
                <w:sz w:val="21"/>
                <w:szCs w:val="21"/>
                <w:highlight w:val="none"/>
                <w:lang w:val="en-US" w:eastAsia="zh-CN"/>
              </w:rPr>
            </w:pPr>
            <w:r>
              <w:rPr>
                <w:rFonts w:hint="eastAsia" w:ascii="宋体" w:hAnsi="宋体" w:eastAsia="宋体" w:cs="宋体"/>
                <w:kern w:val="2"/>
                <w:sz w:val="21"/>
                <w:szCs w:val="21"/>
                <w:highlight w:val="none"/>
                <w:lang w:val="en-US" w:eastAsia="zh-CN"/>
              </w:rPr>
              <w:t>ND</w:t>
            </w:r>
          </w:p>
        </w:tc>
        <w:tc>
          <w:tcPr>
            <w:tcW w:w="1039" w:type="pct"/>
            <w:tcBorders>
              <w:tl2br w:val="nil"/>
              <w:tr2bl w:val="nil"/>
            </w:tcBorders>
            <w:noWrap w:val="0"/>
            <w:vAlign w:val="center"/>
          </w:tcPr>
          <w:p w14:paraId="7328D094">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ND</w:t>
            </w:r>
          </w:p>
        </w:tc>
        <w:tc>
          <w:tcPr>
            <w:tcW w:w="990" w:type="pct"/>
            <w:tcBorders>
              <w:tl2br w:val="nil"/>
              <w:tr2bl w:val="nil"/>
            </w:tcBorders>
            <w:noWrap w:val="0"/>
            <w:vAlign w:val="center"/>
          </w:tcPr>
          <w:p w14:paraId="597EE556">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ND</w:t>
            </w:r>
          </w:p>
        </w:tc>
        <w:tc>
          <w:tcPr>
            <w:tcW w:w="812" w:type="pct"/>
            <w:tcBorders>
              <w:tl2br w:val="nil"/>
              <w:tr2bl w:val="nil"/>
            </w:tcBorders>
            <w:noWrap w:val="0"/>
            <w:vAlign w:val="center"/>
          </w:tcPr>
          <w:p w14:paraId="3EA7857A">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b w:val="0"/>
                <w:bCs/>
                <w:sz w:val="21"/>
                <w:szCs w:val="21"/>
                <w:highlight w:val="none"/>
              </w:rPr>
              <w:t>0.002</w:t>
            </w:r>
          </w:p>
        </w:tc>
      </w:tr>
      <w:tr w14:paraId="396B9C3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434" w:type="pct"/>
            <w:vMerge w:val="continue"/>
            <w:tcBorders>
              <w:tl2br w:val="nil"/>
              <w:tr2bl w:val="nil"/>
            </w:tcBorders>
            <w:noWrap w:val="0"/>
            <w:vAlign w:val="center"/>
          </w:tcPr>
          <w:p w14:paraId="0FF6EE53">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color w:val="auto"/>
                <w:sz w:val="21"/>
                <w:szCs w:val="21"/>
                <w:highlight w:val="none"/>
                <w:vertAlign w:val="baseline"/>
                <w:lang w:val="en-US" w:eastAsia="zh-CN"/>
              </w:rPr>
            </w:pPr>
          </w:p>
        </w:tc>
        <w:tc>
          <w:tcPr>
            <w:tcW w:w="902" w:type="pct"/>
            <w:tcBorders>
              <w:tl2br w:val="nil"/>
              <w:tr2bl w:val="nil"/>
            </w:tcBorders>
            <w:noWrap w:val="0"/>
            <w:vAlign w:val="center"/>
          </w:tcPr>
          <w:p w14:paraId="24C44CDB">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kern w:val="2"/>
                <w:sz w:val="21"/>
                <w:szCs w:val="21"/>
                <w:highlight w:val="none"/>
                <w:lang w:val="en-US" w:eastAsia="zh-CN"/>
              </w:rPr>
            </w:pPr>
            <w:r>
              <w:rPr>
                <w:rFonts w:hint="eastAsia" w:ascii="宋体" w:hAnsi="宋体" w:eastAsia="宋体" w:cs="宋体"/>
                <w:sz w:val="21"/>
                <w:szCs w:val="21"/>
                <w:highlight w:val="none"/>
                <w:lang w:eastAsia="zh-CN"/>
              </w:rPr>
              <w:t>氰化物</w:t>
            </w:r>
            <w:r>
              <w:rPr>
                <w:rFonts w:hint="eastAsia" w:ascii="宋体" w:hAnsi="宋体" w:eastAsia="宋体" w:cs="宋体"/>
                <w:color w:val="auto"/>
                <w:sz w:val="21"/>
                <w:szCs w:val="21"/>
                <w:highlight w:val="none"/>
                <w:lang w:val="en-US" w:eastAsia="zh-CN"/>
              </w:rPr>
              <w:t>mg/L</w:t>
            </w:r>
          </w:p>
        </w:tc>
        <w:tc>
          <w:tcPr>
            <w:tcW w:w="821" w:type="pct"/>
            <w:tcBorders>
              <w:tl2br w:val="nil"/>
              <w:tr2bl w:val="nil"/>
            </w:tcBorders>
            <w:noWrap w:val="0"/>
            <w:vAlign w:val="center"/>
          </w:tcPr>
          <w:p w14:paraId="4910748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kern w:val="2"/>
                <w:sz w:val="21"/>
                <w:szCs w:val="21"/>
                <w:highlight w:val="none"/>
                <w:lang w:val="en-US" w:eastAsia="zh-CN"/>
              </w:rPr>
            </w:pPr>
            <w:r>
              <w:rPr>
                <w:rFonts w:hint="eastAsia" w:ascii="宋体" w:hAnsi="宋体" w:eastAsia="宋体" w:cs="宋体"/>
                <w:kern w:val="2"/>
                <w:sz w:val="21"/>
                <w:szCs w:val="21"/>
                <w:highlight w:val="none"/>
                <w:lang w:val="en-US" w:eastAsia="zh-CN"/>
              </w:rPr>
              <w:t>ND</w:t>
            </w:r>
          </w:p>
        </w:tc>
        <w:tc>
          <w:tcPr>
            <w:tcW w:w="1039" w:type="pct"/>
            <w:tcBorders>
              <w:tl2br w:val="nil"/>
              <w:tr2bl w:val="nil"/>
            </w:tcBorders>
            <w:noWrap w:val="0"/>
            <w:vAlign w:val="center"/>
          </w:tcPr>
          <w:p w14:paraId="706BB769">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color w:val="auto"/>
                <w:kern w:val="2"/>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ND</w:t>
            </w:r>
          </w:p>
        </w:tc>
        <w:tc>
          <w:tcPr>
            <w:tcW w:w="990" w:type="pct"/>
            <w:tcBorders>
              <w:tl2br w:val="nil"/>
              <w:tr2bl w:val="nil"/>
            </w:tcBorders>
            <w:noWrap w:val="0"/>
            <w:vAlign w:val="center"/>
          </w:tcPr>
          <w:p w14:paraId="65FAEA08">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color w:val="000000"/>
                <w:kern w:val="2"/>
                <w:sz w:val="21"/>
                <w:szCs w:val="21"/>
                <w:highlight w:val="none"/>
                <w:lang w:val="en-US" w:eastAsia="zh-CN"/>
              </w:rPr>
            </w:pPr>
            <w:r>
              <w:rPr>
                <w:rFonts w:hint="eastAsia" w:ascii="宋体" w:hAnsi="宋体" w:eastAsia="宋体" w:cs="宋体"/>
                <w:color w:val="000000"/>
                <w:sz w:val="21"/>
                <w:szCs w:val="21"/>
                <w:highlight w:val="none"/>
                <w:lang w:val="en-US" w:eastAsia="zh-CN"/>
              </w:rPr>
              <w:t>ND</w:t>
            </w:r>
          </w:p>
        </w:tc>
        <w:tc>
          <w:tcPr>
            <w:tcW w:w="812" w:type="pct"/>
            <w:tcBorders>
              <w:tl2br w:val="nil"/>
              <w:tr2bl w:val="nil"/>
            </w:tcBorders>
            <w:noWrap w:val="0"/>
            <w:vAlign w:val="center"/>
          </w:tcPr>
          <w:p w14:paraId="6563BAE6">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b w:val="0"/>
                <w:bCs/>
                <w:sz w:val="21"/>
                <w:szCs w:val="21"/>
                <w:highlight w:val="none"/>
              </w:rPr>
              <w:t>0.05</w:t>
            </w:r>
          </w:p>
        </w:tc>
      </w:tr>
      <w:tr w14:paraId="2DB9E24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434" w:type="pct"/>
            <w:vMerge w:val="continue"/>
            <w:tcBorders>
              <w:tl2br w:val="nil"/>
              <w:tr2bl w:val="nil"/>
            </w:tcBorders>
            <w:noWrap w:val="0"/>
            <w:vAlign w:val="center"/>
          </w:tcPr>
          <w:p w14:paraId="2736DBFA">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color w:val="auto"/>
                <w:sz w:val="21"/>
                <w:szCs w:val="21"/>
                <w:highlight w:val="none"/>
              </w:rPr>
            </w:pPr>
          </w:p>
        </w:tc>
        <w:tc>
          <w:tcPr>
            <w:tcW w:w="902" w:type="pct"/>
            <w:tcBorders>
              <w:tl2br w:val="nil"/>
              <w:tr2bl w:val="nil"/>
            </w:tcBorders>
            <w:noWrap w:val="0"/>
            <w:vAlign w:val="center"/>
          </w:tcPr>
          <w:p w14:paraId="1A56722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sz w:val="21"/>
                <w:szCs w:val="21"/>
                <w:highlight w:val="none"/>
                <w:lang w:eastAsia="zh-CN"/>
              </w:rPr>
              <w:t>砷</w:t>
            </w:r>
            <w:r>
              <w:rPr>
                <w:rFonts w:hint="eastAsia" w:ascii="宋体" w:hAnsi="宋体" w:eastAsia="宋体" w:cs="宋体"/>
                <w:color w:val="auto"/>
                <w:sz w:val="21"/>
                <w:szCs w:val="21"/>
                <w:highlight w:val="none"/>
                <w:lang w:val="en-US" w:eastAsia="zh-CN"/>
              </w:rPr>
              <w:t>μg/L</w:t>
            </w:r>
          </w:p>
        </w:tc>
        <w:tc>
          <w:tcPr>
            <w:tcW w:w="821" w:type="pct"/>
            <w:tcBorders>
              <w:tl2br w:val="nil"/>
              <w:tr2bl w:val="nil"/>
            </w:tcBorders>
            <w:noWrap w:val="0"/>
            <w:vAlign w:val="center"/>
          </w:tcPr>
          <w:p w14:paraId="43693A4B">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kern w:val="2"/>
                <w:sz w:val="21"/>
                <w:szCs w:val="21"/>
                <w:highlight w:val="none"/>
                <w:lang w:val="en-US" w:eastAsia="zh-CN"/>
              </w:rPr>
            </w:pPr>
            <w:r>
              <w:rPr>
                <w:rFonts w:hint="eastAsia" w:ascii="宋体" w:hAnsi="宋体" w:eastAsia="宋体" w:cs="宋体"/>
                <w:kern w:val="2"/>
                <w:sz w:val="21"/>
                <w:szCs w:val="21"/>
                <w:highlight w:val="none"/>
                <w:lang w:val="en-US" w:eastAsia="zh-CN"/>
              </w:rPr>
              <w:t>ND</w:t>
            </w:r>
          </w:p>
        </w:tc>
        <w:tc>
          <w:tcPr>
            <w:tcW w:w="1039" w:type="pct"/>
            <w:tcBorders>
              <w:tl2br w:val="nil"/>
              <w:tr2bl w:val="nil"/>
            </w:tcBorders>
            <w:noWrap w:val="0"/>
            <w:vAlign w:val="center"/>
          </w:tcPr>
          <w:p w14:paraId="5C0AE659">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color w:val="auto"/>
                <w:kern w:val="2"/>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ND</w:t>
            </w:r>
          </w:p>
        </w:tc>
        <w:tc>
          <w:tcPr>
            <w:tcW w:w="990" w:type="pct"/>
            <w:tcBorders>
              <w:tl2br w:val="nil"/>
              <w:tr2bl w:val="nil"/>
            </w:tcBorders>
            <w:noWrap w:val="0"/>
            <w:vAlign w:val="center"/>
          </w:tcPr>
          <w:p w14:paraId="7EAFC81A">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color w:val="000000"/>
                <w:kern w:val="2"/>
                <w:sz w:val="21"/>
                <w:szCs w:val="21"/>
                <w:highlight w:val="none"/>
                <w:lang w:val="en-US" w:eastAsia="zh-CN"/>
              </w:rPr>
            </w:pPr>
            <w:r>
              <w:rPr>
                <w:rFonts w:hint="eastAsia" w:ascii="宋体" w:hAnsi="宋体" w:eastAsia="宋体" w:cs="宋体"/>
                <w:color w:val="000000"/>
                <w:sz w:val="21"/>
                <w:szCs w:val="21"/>
                <w:highlight w:val="none"/>
                <w:lang w:val="en-US" w:eastAsia="zh-CN"/>
              </w:rPr>
              <w:t>ND</w:t>
            </w:r>
          </w:p>
        </w:tc>
        <w:tc>
          <w:tcPr>
            <w:tcW w:w="812" w:type="pct"/>
            <w:tcBorders>
              <w:tl2br w:val="nil"/>
              <w:tr2bl w:val="nil"/>
            </w:tcBorders>
            <w:noWrap w:val="0"/>
            <w:vAlign w:val="center"/>
          </w:tcPr>
          <w:p w14:paraId="1728FF46">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b w:val="0"/>
                <w:bCs/>
                <w:sz w:val="21"/>
                <w:szCs w:val="21"/>
                <w:highlight w:val="none"/>
              </w:rPr>
              <w:t>0.05</w:t>
            </w:r>
          </w:p>
        </w:tc>
      </w:tr>
      <w:tr w14:paraId="1D781F0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434" w:type="pct"/>
            <w:vMerge w:val="continue"/>
            <w:tcBorders>
              <w:tl2br w:val="nil"/>
              <w:tr2bl w:val="nil"/>
            </w:tcBorders>
            <w:noWrap w:val="0"/>
            <w:vAlign w:val="center"/>
          </w:tcPr>
          <w:p w14:paraId="4E74B4D4">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color w:val="auto"/>
                <w:sz w:val="21"/>
                <w:szCs w:val="21"/>
                <w:highlight w:val="none"/>
                <w:vertAlign w:val="baseline"/>
                <w:lang w:val="en-US" w:eastAsia="zh-CN"/>
              </w:rPr>
            </w:pPr>
          </w:p>
        </w:tc>
        <w:tc>
          <w:tcPr>
            <w:tcW w:w="902" w:type="pct"/>
            <w:tcBorders>
              <w:tl2br w:val="nil"/>
              <w:tr2bl w:val="nil"/>
            </w:tcBorders>
            <w:noWrap w:val="0"/>
            <w:vAlign w:val="center"/>
          </w:tcPr>
          <w:p w14:paraId="35F5981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sz w:val="21"/>
                <w:szCs w:val="21"/>
                <w:highlight w:val="none"/>
                <w:lang w:eastAsia="zh-CN"/>
              </w:rPr>
              <w:t>汞</w:t>
            </w:r>
            <w:r>
              <w:rPr>
                <w:rFonts w:hint="eastAsia" w:ascii="宋体" w:hAnsi="宋体" w:eastAsia="宋体" w:cs="宋体"/>
                <w:color w:val="auto"/>
                <w:sz w:val="21"/>
                <w:szCs w:val="21"/>
                <w:highlight w:val="none"/>
                <w:lang w:val="en-US" w:eastAsia="zh-CN"/>
              </w:rPr>
              <w:t>mg/L</w:t>
            </w:r>
          </w:p>
        </w:tc>
        <w:tc>
          <w:tcPr>
            <w:tcW w:w="821" w:type="pct"/>
            <w:tcBorders>
              <w:tl2br w:val="nil"/>
              <w:tr2bl w:val="nil"/>
            </w:tcBorders>
            <w:noWrap w:val="0"/>
            <w:vAlign w:val="center"/>
          </w:tcPr>
          <w:p w14:paraId="0685DDF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0.00004</w:t>
            </w:r>
          </w:p>
        </w:tc>
        <w:tc>
          <w:tcPr>
            <w:tcW w:w="1039" w:type="pct"/>
            <w:tcBorders>
              <w:tl2br w:val="nil"/>
              <w:tr2bl w:val="nil"/>
            </w:tcBorders>
            <w:noWrap w:val="0"/>
            <w:vAlign w:val="center"/>
          </w:tcPr>
          <w:p w14:paraId="2455FEFD">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0.00004</w:t>
            </w:r>
          </w:p>
        </w:tc>
        <w:tc>
          <w:tcPr>
            <w:tcW w:w="990" w:type="pct"/>
            <w:tcBorders>
              <w:tl2br w:val="nil"/>
              <w:tr2bl w:val="nil"/>
            </w:tcBorders>
            <w:noWrap w:val="0"/>
            <w:vAlign w:val="center"/>
          </w:tcPr>
          <w:p w14:paraId="7EFD61BA">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0.00004</w:t>
            </w:r>
          </w:p>
        </w:tc>
        <w:tc>
          <w:tcPr>
            <w:tcW w:w="812" w:type="pct"/>
            <w:tcBorders>
              <w:tl2br w:val="nil"/>
              <w:tr2bl w:val="nil"/>
            </w:tcBorders>
            <w:noWrap w:val="0"/>
            <w:vAlign w:val="center"/>
          </w:tcPr>
          <w:p w14:paraId="04BD7706">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b w:val="0"/>
                <w:bCs/>
                <w:sz w:val="21"/>
                <w:szCs w:val="21"/>
                <w:highlight w:val="none"/>
              </w:rPr>
              <w:t>0.001</w:t>
            </w:r>
          </w:p>
        </w:tc>
      </w:tr>
      <w:tr w14:paraId="2BB8875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434" w:type="pct"/>
            <w:vMerge w:val="continue"/>
            <w:tcBorders>
              <w:tl2br w:val="nil"/>
              <w:tr2bl w:val="nil"/>
            </w:tcBorders>
            <w:noWrap w:val="0"/>
            <w:vAlign w:val="center"/>
          </w:tcPr>
          <w:p w14:paraId="3E51334C">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color w:val="auto"/>
                <w:sz w:val="21"/>
                <w:szCs w:val="21"/>
                <w:highlight w:val="none"/>
                <w:vertAlign w:val="baseline"/>
                <w:lang w:val="en-US" w:eastAsia="zh-CN"/>
              </w:rPr>
            </w:pPr>
          </w:p>
        </w:tc>
        <w:tc>
          <w:tcPr>
            <w:tcW w:w="902" w:type="pct"/>
            <w:tcBorders>
              <w:tl2br w:val="nil"/>
              <w:tr2bl w:val="nil"/>
            </w:tcBorders>
            <w:noWrap w:val="0"/>
            <w:vAlign w:val="center"/>
          </w:tcPr>
          <w:p w14:paraId="0C5A3BFB">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sz w:val="21"/>
                <w:szCs w:val="21"/>
                <w:highlight w:val="none"/>
                <w:lang w:eastAsia="zh-CN"/>
              </w:rPr>
              <w:t>铬（六价）</w:t>
            </w:r>
            <w:r>
              <w:rPr>
                <w:rFonts w:hint="eastAsia" w:ascii="宋体" w:hAnsi="宋体" w:eastAsia="宋体" w:cs="宋体"/>
                <w:color w:val="auto"/>
                <w:sz w:val="21"/>
                <w:szCs w:val="21"/>
                <w:highlight w:val="none"/>
                <w:lang w:val="en-US" w:eastAsia="zh-CN"/>
              </w:rPr>
              <w:t>mg/L</w:t>
            </w:r>
          </w:p>
        </w:tc>
        <w:tc>
          <w:tcPr>
            <w:tcW w:w="821" w:type="pct"/>
            <w:tcBorders>
              <w:tl2br w:val="nil"/>
              <w:tr2bl w:val="nil"/>
            </w:tcBorders>
            <w:noWrap w:val="0"/>
            <w:vAlign w:val="center"/>
          </w:tcPr>
          <w:p w14:paraId="3EF1D8A0">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kern w:val="2"/>
                <w:sz w:val="21"/>
                <w:szCs w:val="21"/>
                <w:highlight w:val="none"/>
                <w:lang w:val="en-US" w:eastAsia="zh-CN"/>
              </w:rPr>
            </w:pPr>
            <w:r>
              <w:rPr>
                <w:rFonts w:hint="eastAsia" w:ascii="宋体" w:hAnsi="宋体" w:eastAsia="宋体" w:cs="宋体"/>
                <w:kern w:val="2"/>
                <w:sz w:val="21"/>
                <w:szCs w:val="21"/>
                <w:highlight w:val="none"/>
                <w:lang w:val="en-US" w:eastAsia="zh-CN"/>
              </w:rPr>
              <w:t>ND</w:t>
            </w:r>
          </w:p>
        </w:tc>
        <w:tc>
          <w:tcPr>
            <w:tcW w:w="1039" w:type="pct"/>
            <w:tcBorders>
              <w:tl2br w:val="nil"/>
              <w:tr2bl w:val="nil"/>
            </w:tcBorders>
            <w:noWrap w:val="0"/>
            <w:vAlign w:val="center"/>
          </w:tcPr>
          <w:p w14:paraId="5C7803A8">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color w:val="auto"/>
                <w:kern w:val="2"/>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ND</w:t>
            </w:r>
          </w:p>
        </w:tc>
        <w:tc>
          <w:tcPr>
            <w:tcW w:w="990" w:type="pct"/>
            <w:tcBorders>
              <w:tl2br w:val="nil"/>
              <w:tr2bl w:val="nil"/>
            </w:tcBorders>
            <w:noWrap w:val="0"/>
            <w:vAlign w:val="center"/>
          </w:tcPr>
          <w:p w14:paraId="2D76B1CE">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color w:val="000000"/>
                <w:kern w:val="2"/>
                <w:sz w:val="21"/>
                <w:szCs w:val="21"/>
                <w:highlight w:val="none"/>
                <w:lang w:val="en-US" w:eastAsia="zh-CN"/>
              </w:rPr>
            </w:pPr>
            <w:r>
              <w:rPr>
                <w:rFonts w:hint="eastAsia" w:ascii="宋体" w:hAnsi="宋体" w:eastAsia="宋体" w:cs="宋体"/>
                <w:color w:val="000000"/>
                <w:sz w:val="21"/>
                <w:szCs w:val="21"/>
                <w:highlight w:val="none"/>
                <w:lang w:val="en-US" w:eastAsia="zh-CN"/>
              </w:rPr>
              <w:t>ND</w:t>
            </w:r>
          </w:p>
        </w:tc>
        <w:tc>
          <w:tcPr>
            <w:tcW w:w="812" w:type="pct"/>
            <w:tcBorders>
              <w:tl2br w:val="nil"/>
              <w:tr2bl w:val="nil"/>
            </w:tcBorders>
            <w:noWrap w:val="0"/>
            <w:vAlign w:val="center"/>
          </w:tcPr>
          <w:p w14:paraId="4B7393A4">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b w:val="0"/>
                <w:bCs/>
                <w:sz w:val="21"/>
                <w:szCs w:val="21"/>
                <w:highlight w:val="none"/>
              </w:rPr>
              <w:t>0.05</w:t>
            </w:r>
          </w:p>
        </w:tc>
      </w:tr>
      <w:tr w14:paraId="0A67340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434" w:type="pct"/>
            <w:vMerge w:val="continue"/>
            <w:tcBorders>
              <w:tl2br w:val="nil"/>
              <w:tr2bl w:val="nil"/>
            </w:tcBorders>
            <w:noWrap w:val="0"/>
            <w:vAlign w:val="center"/>
          </w:tcPr>
          <w:p w14:paraId="1A8A6958">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color w:val="auto"/>
                <w:sz w:val="21"/>
                <w:szCs w:val="21"/>
                <w:highlight w:val="none"/>
              </w:rPr>
            </w:pPr>
          </w:p>
        </w:tc>
        <w:tc>
          <w:tcPr>
            <w:tcW w:w="902" w:type="pct"/>
            <w:tcBorders>
              <w:tl2br w:val="nil"/>
              <w:tr2bl w:val="nil"/>
            </w:tcBorders>
            <w:noWrap w:val="0"/>
            <w:vAlign w:val="center"/>
          </w:tcPr>
          <w:p w14:paraId="26703A0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kern w:val="2"/>
                <w:sz w:val="21"/>
                <w:szCs w:val="21"/>
                <w:highlight w:val="none"/>
                <w:lang w:val="en-US" w:eastAsia="zh-CN"/>
              </w:rPr>
            </w:pPr>
            <w:r>
              <w:rPr>
                <w:rFonts w:hint="eastAsia" w:ascii="宋体" w:hAnsi="宋体" w:eastAsia="宋体" w:cs="宋体"/>
                <w:sz w:val="21"/>
                <w:szCs w:val="21"/>
                <w:highlight w:val="none"/>
                <w:lang w:eastAsia="zh-CN"/>
              </w:rPr>
              <w:t>总硬度</w:t>
            </w:r>
            <w:r>
              <w:rPr>
                <w:rFonts w:hint="eastAsia" w:ascii="宋体" w:hAnsi="宋体" w:eastAsia="宋体" w:cs="宋体"/>
                <w:color w:val="auto"/>
                <w:sz w:val="21"/>
                <w:szCs w:val="21"/>
                <w:highlight w:val="none"/>
                <w:lang w:val="en-US" w:eastAsia="zh-CN"/>
              </w:rPr>
              <w:t>mg/L</w:t>
            </w:r>
          </w:p>
        </w:tc>
        <w:tc>
          <w:tcPr>
            <w:tcW w:w="821" w:type="pct"/>
            <w:tcBorders>
              <w:tl2br w:val="nil"/>
              <w:tr2bl w:val="nil"/>
            </w:tcBorders>
            <w:noWrap w:val="0"/>
            <w:vAlign w:val="center"/>
          </w:tcPr>
          <w:p w14:paraId="2D8C5E9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kern w:val="2"/>
                <w:sz w:val="21"/>
                <w:szCs w:val="21"/>
                <w:highlight w:val="none"/>
                <w:lang w:val="en-US" w:eastAsia="zh-CN"/>
              </w:rPr>
            </w:pPr>
            <w:r>
              <w:rPr>
                <w:rFonts w:hint="eastAsia" w:ascii="宋体" w:hAnsi="宋体" w:eastAsia="宋体" w:cs="宋体"/>
                <w:kern w:val="2"/>
                <w:sz w:val="21"/>
                <w:szCs w:val="21"/>
                <w:highlight w:val="none"/>
                <w:lang w:val="en-US" w:eastAsia="zh-CN"/>
              </w:rPr>
              <w:t>422</w:t>
            </w:r>
          </w:p>
        </w:tc>
        <w:tc>
          <w:tcPr>
            <w:tcW w:w="1039" w:type="pct"/>
            <w:tcBorders>
              <w:tl2br w:val="nil"/>
              <w:tr2bl w:val="nil"/>
            </w:tcBorders>
            <w:noWrap w:val="0"/>
            <w:vAlign w:val="center"/>
          </w:tcPr>
          <w:p w14:paraId="24DE7E91">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249</w:t>
            </w:r>
          </w:p>
        </w:tc>
        <w:tc>
          <w:tcPr>
            <w:tcW w:w="990" w:type="pct"/>
            <w:tcBorders>
              <w:tl2br w:val="nil"/>
              <w:tr2bl w:val="nil"/>
            </w:tcBorders>
            <w:noWrap w:val="0"/>
            <w:vAlign w:val="center"/>
          </w:tcPr>
          <w:p w14:paraId="38620CCA">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442</w:t>
            </w:r>
          </w:p>
        </w:tc>
        <w:tc>
          <w:tcPr>
            <w:tcW w:w="812" w:type="pct"/>
            <w:tcBorders>
              <w:tl2br w:val="nil"/>
              <w:tr2bl w:val="nil"/>
            </w:tcBorders>
            <w:noWrap w:val="0"/>
            <w:vAlign w:val="center"/>
          </w:tcPr>
          <w:p w14:paraId="5AAEB1B4">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val="0"/>
                <w:bCs/>
                <w:sz w:val="21"/>
                <w:szCs w:val="21"/>
                <w:highlight w:val="none"/>
              </w:rPr>
              <w:t>450</w:t>
            </w:r>
          </w:p>
        </w:tc>
      </w:tr>
      <w:tr w14:paraId="4264C16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434" w:type="pct"/>
            <w:vMerge w:val="continue"/>
            <w:tcBorders>
              <w:tl2br w:val="nil"/>
              <w:tr2bl w:val="nil"/>
            </w:tcBorders>
            <w:noWrap w:val="0"/>
            <w:vAlign w:val="center"/>
          </w:tcPr>
          <w:p w14:paraId="536D8275">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color w:val="auto"/>
                <w:sz w:val="21"/>
                <w:szCs w:val="21"/>
                <w:highlight w:val="none"/>
                <w:vertAlign w:val="baseline"/>
                <w:lang w:val="en-US" w:eastAsia="zh-CN"/>
              </w:rPr>
            </w:pPr>
          </w:p>
        </w:tc>
        <w:tc>
          <w:tcPr>
            <w:tcW w:w="902" w:type="pct"/>
            <w:tcBorders>
              <w:tl2br w:val="nil"/>
              <w:tr2bl w:val="nil"/>
            </w:tcBorders>
            <w:noWrap w:val="0"/>
            <w:vAlign w:val="center"/>
          </w:tcPr>
          <w:p w14:paraId="376B17B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kern w:val="2"/>
                <w:sz w:val="21"/>
                <w:szCs w:val="21"/>
                <w:highlight w:val="none"/>
                <w:lang w:val="en-US" w:eastAsia="zh-CN"/>
              </w:rPr>
            </w:pPr>
            <w:r>
              <w:rPr>
                <w:rFonts w:hint="eastAsia" w:ascii="宋体" w:hAnsi="宋体" w:eastAsia="宋体" w:cs="宋体"/>
                <w:color w:val="auto"/>
                <w:sz w:val="21"/>
                <w:szCs w:val="21"/>
                <w:highlight w:val="none"/>
                <w:lang w:eastAsia="zh-CN"/>
              </w:rPr>
              <w:t>铅</w:t>
            </w:r>
            <w:r>
              <w:rPr>
                <w:rFonts w:hint="eastAsia" w:ascii="宋体" w:hAnsi="宋体" w:eastAsia="宋体" w:cs="宋体"/>
                <w:color w:val="auto"/>
                <w:sz w:val="21"/>
                <w:szCs w:val="21"/>
                <w:highlight w:val="none"/>
                <w:lang w:val="en-US" w:eastAsia="zh-CN"/>
              </w:rPr>
              <w:t>mg/L</w:t>
            </w:r>
          </w:p>
        </w:tc>
        <w:tc>
          <w:tcPr>
            <w:tcW w:w="821" w:type="pct"/>
            <w:tcBorders>
              <w:tl2br w:val="nil"/>
              <w:tr2bl w:val="nil"/>
            </w:tcBorders>
            <w:noWrap w:val="0"/>
            <w:vAlign w:val="center"/>
          </w:tcPr>
          <w:p w14:paraId="209862A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kern w:val="2"/>
                <w:sz w:val="21"/>
                <w:szCs w:val="21"/>
                <w:highlight w:val="none"/>
                <w:lang w:val="en-US" w:eastAsia="zh-CN"/>
              </w:rPr>
            </w:pPr>
            <w:r>
              <w:rPr>
                <w:rFonts w:hint="eastAsia" w:ascii="宋体" w:hAnsi="宋体" w:eastAsia="宋体" w:cs="宋体"/>
                <w:kern w:val="2"/>
                <w:sz w:val="21"/>
                <w:szCs w:val="21"/>
                <w:highlight w:val="none"/>
                <w:lang w:val="en-US" w:eastAsia="zh-CN"/>
              </w:rPr>
              <w:t>ND</w:t>
            </w:r>
          </w:p>
        </w:tc>
        <w:tc>
          <w:tcPr>
            <w:tcW w:w="1039" w:type="pct"/>
            <w:tcBorders>
              <w:tl2br w:val="nil"/>
              <w:tr2bl w:val="nil"/>
            </w:tcBorders>
            <w:noWrap w:val="0"/>
            <w:vAlign w:val="center"/>
          </w:tcPr>
          <w:p w14:paraId="55C9D7D9">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color w:val="auto"/>
                <w:kern w:val="2"/>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ND</w:t>
            </w:r>
          </w:p>
        </w:tc>
        <w:tc>
          <w:tcPr>
            <w:tcW w:w="990" w:type="pct"/>
            <w:tcBorders>
              <w:tl2br w:val="nil"/>
              <w:tr2bl w:val="nil"/>
            </w:tcBorders>
            <w:noWrap w:val="0"/>
            <w:vAlign w:val="center"/>
          </w:tcPr>
          <w:p w14:paraId="388A915A">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color w:val="000000"/>
                <w:kern w:val="2"/>
                <w:sz w:val="21"/>
                <w:szCs w:val="21"/>
                <w:highlight w:val="none"/>
                <w:lang w:val="en-US" w:eastAsia="zh-CN"/>
              </w:rPr>
            </w:pPr>
            <w:r>
              <w:rPr>
                <w:rFonts w:hint="eastAsia" w:ascii="宋体" w:hAnsi="宋体" w:eastAsia="宋体" w:cs="宋体"/>
                <w:color w:val="000000"/>
                <w:sz w:val="21"/>
                <w:szCs w:val="21"/>
                <w:highlight w:val="none"/>
                <w:lang w:val="en-US" w:eastAsia="zh-CN"/>
              </w:rPr>
              <w:t>ND</w:t>
            </w:r>
          </w:p>
        </w:tc>
        <w:tc>
          <w:tcPr>
            <w:tcW w:w="812" w:type="pct"/>
            <w:tcBorders>
              <w:tl2br w:val="nil"/>
              <w:tr2bl w:val="nil"/>
            </w:tcBorders>
            <w:noWrap w:val="0"/>
            <w:vAlign w:val="center"/>
          </w:tcPr>
          <w:p w14:paraId="06B7052D">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b w:val="0"/>
                <w:bCs/>
                <w:sz w:val="21"/>
                <w:szCs w:val="21"/>
                <w:highlight w:val="none"/>
              </w:rPr>
              <w:t>0.05</w:t>
            </w:r>
          </w:p>
        </w:tc>
      </w:tr>
      <w:tr w14:paraId="12062FA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434" w:type="pct"/>
            <w:vMerge w:val="continue"/>
            <w:tcBorders>
              <w:tl2br w:val="nil"/>
              <w:tr2bl w:val="nil"/>
            </w:tcBorders>
            <w:noWrap w:val="0"/>
            <w:vAlign w:val="center"/>
          </w:tcPr>
          <w:p w14:paraId="77647CA0">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color w:val="auto"/>
                <w:sz w:val="21"/>
                <w:szCs w:val="21"/>
                <w:highlight w:val="none"/>
                <w:vertAlign w:val="baseline"/>
                <w:lang w:val="en-US" w:eastAsia="zh-CN"/>
              </w:rPr>
            </w:pPr>
          </w:p>
        </w:tc>
        <w:tc>
          <w:tcPr>
            <w:tcW w:w="902" w:type="pct"/>
            <w:tcBorders>
              <w:tl2br w:val="nil"/>
              <w:tr2bl w:val="nil"/>
            </w:tcBorders>
            <w:noWrap w:val="0"/>
            <w:vAlign w:val="center"/>
          </w:tcPr>
          <w:p w14:paraId="701E4A3F">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sz w:val="21"/>
                <w:szCs w:val="21"/>
                <w:highlight w:val="none"/>
                <w:lang w:eastAsia="zh-CN"/>
              </w:rPr>
              <w:t>镉</w:t>
            </w:r>
            <w:r>
              <w:rPr>
                <w:rFonts w:hint="eastAsia" w:ascii="宋体" w:hAnsi="宋体" w:eastAsia="宋体" w:cs="宋体"/>
                <w:color w:val="auto"/>
                <w:sz w:val="21"/>
                <w:szCs w:val="21"/>
                <w:highlight w:val="none"/>
                <w:lang w:val="en-US" w:eastAsia="zh-CN"/>
              </w:rPr>
              <w:t>mg/L</w:t>
            </w:r>
          </w:p>
        </w:tc>
        <w:tc>
          <w:tcPr>
            <w:tcW w:w="821" w:type="pct"/>
            <w:tcBorders>
              <w:tl2br w:val="nil"/>
              <w:tr2bl w:val="nil"/>
            </w:tcBorders>
            <w:noWrap w:val="0"/>
            <w:vAlign w:val="center"/>
          </w:tcPr>
          <w:p w14:paraId="4679837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kern w:val="2"/>
                <w:sz w:val="21"/>
                <w:szCs w:val="21"/>
                <w:highlight w:val="none"/>
                <w:lang w:val="en-US" w:eastAsia="zh-CN"/>
              </w:rPr>
            </w:pPr>
            <w:r>
              <w:rPr>
                <w:rFonts w:hint="eastAsia" w:ascii="宋体" w:hAnsi="宋体" w:eastAsia="宋体" w:cs="宋体"/>
                <w:kern w:val="2"/>
                <w:sz w:val="21"/>
                <w:szCs w:val="21"/>
                <w:highlight w:val="none"/>
                <w:lang w:val="en-US" w:eastAsia="zh-CN"/>
              </w:rPr>
              <w:t>ND</w:t>
            </w:r>
          </w:p>
        </w:tc>
        <w:tc>
          <w:tcPr>
            <w:tcW w:w="1039" w:type="pct"/>
            <w:tcBorders>
              <w:tl2br w:val="nil"/>
              <w:tr2bl w:val="nil"/>
            </w:tcBorders>
            <w:noWrap w:val="0"/>
            <w:vAlign w:val="center"/>
          </w:tcPr>
          <w:p w14:paraId="04A84693">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color w:val="auto"/>
                <w:kern w:val="2"/>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ND</w:t>
            </w:r>
          </w:p>
        </w:tc>
        <w:tc>
          <w:tcPr>
            <w:tcW w:w="990" w:type="pct"/>
            <w:tcBorders>
              <w:tl2br w:val="nil"/>
              <w:tr2bl w:val="nil"/>
            </w:tcBorders>
            <w:noWrap w:val="0"/>
            <w:vAlign w:val="center"/>
          </w:tcPr>
          <w:p w14:paraId="2207861C">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color w:val="000000"/>
                <w:kern w:val="2"/>
                <w:sz w:val="21"/>
                <w:szCs w:val="21"/>
                <w:highlight w:val="none"/>
                <w:lang w:val="en-US" w:eastAsia="zh-CN"/>
              </w:rPr>
            </w:pPr>
            <w:r>
              <w:rPr>
                <w:rFonts w:hint="eastAsia" w:ascii="宋体" w:hAnsi="宋体" w:eastAsia="宋体" w:cs="宋体"/>
                <w:color w:val="000000"/>
                <w:sz w:val="21"/>
                <w:szCs w:val="21"/>
                <w:highlight w:val="none"/>
                <w:lang w:val="en-US" w:eastAsia="zh-CN"/>
              </w:rPr>
              <w:t>ND</w:t>
            </w:r>
          </w:p>
        </w:tc>
        <w:tc>
          <w:tcPr>
            <w:tcW w:w="812" w:type="pct"/>
            <w:tcBorders>
              <w:tl2br w:val="nil"/>
              <w:tr2bl w:val="nil"/>
            </w:tcBorders>
            <w:noWrap w:val="0"/>
            <w:vAlign w:val="center"/>
          </w:tcPr>
          <w:p w14:paraId="3D0545EF">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b w:val="0"/>
                <w:bCs/>
                <w:sz w:val="21"/>
                <w:szCs w:val="21"/>
                <w:highlight w:val="none"/>
              </w:rPr>
              <w:t>0.01</w:t>
            </w:r>
          </w:p>
        </w:tc>
      </w:tr>
      <w:tr w14:paraId="588CE29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434" w:type="pct"/>
            <w:vMerge w:val="continue"/>
            <w:tcBorders>
              <w:tl2br w:val="nil"/>
              <w:tr2bl w:val="nil"/>
            </w:tcBorders>
            <w:noWrap w:val="0"/>
            <w:vAlign w:val="center"/>
          </w:tcPr>
          <w:p w14:paraId="2645D488">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color w:val="auto"/>
                <w:sz w:val="21"/>
                <w:szCs w:val="21"/>
                <w:highlight w:val="none"/>
              </w:rPr>
            </w:pPr>
          </w:p>
        </w:tc>
        <w:tc>
          <w:tcPr>
            <w:tcW w:w="902" w:type="pct"/>
            <w:tcBorders>
              <w:tl2br w:val="nil"/>
              <w:tr2bl w:val="nil"/>
            </w:tcBorders>
            <w:noWrap w:val="0"/>
            <w:vAlign w:val="center"/>
          </w:tcPr>
          <w:p w14:paraId="706523C8">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sz w:val="21"/>
                <w:szCs w:val="21"/>
                <w:highlight w:val="none"/>
                <w:lang w:eastAsia="zh-CN"/>
              </w:rPr>
              <w:t>铁</w:t>
            </w:r>
            <w:r>
              <w:rPr>
                <w:rFonts w:hint="eastAsia" w:ascii="宋体" w:hAnsi="宋体" w:eastAsia="宋体" w:cs="宋体"/>
                <w:color w:val="auto"/>
                <w:sz w:val="21"/>
                <w:szCs w:val="21"/>
                <w:highlight w:val="none"/>
                <w:lang w:val="en-US" w:eastAsia="zh-CN"/>
              </w:rPr>
              <w:t>mg/L</w:t>
            </w:r>
          </w:p>
        </w:tc>
        <w:tc>
          <w:tcPr>
            <w:tcW w:w="821" w:type="pct"/>
            <w:tcBorders>
              <w:tl2br w:val="nil"/>
              <w:tr2bl w:val="nil"/>
            </w:tcBorders>
            <w:noWrap w:val="0"/>
            <w:vAlign w:val="center"/>
          </w:tcPr>
          <w:p w14:paraId="241C77D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kern w:val="2"/>
                <w:sz w:val="21"/>
                <w:szCs w:val="21"/>
                <w:highlight w:val="none"/>
                <w:lang w:val="en-US" w:eastAsia="zh-CN"/>
              </w:rPr>
            </w:pPr>
            <w:r>
              <w:rPr>
                <w:rFonts w:hint="eastAsia" w:ascii="宋体" w:hAnsi="宋体" w:eastAsia="宋体" w:cs="宋体"/>
                <w:kern w:val="2"/>
                <w:sz w:val="21"/>
                <w:szCs w:val="21"/>
                <w:highlight w:val="none"/>
                <w:lang w:val="en-US" w:eastAsia="zh-CN"/>
              </w:rPr>
              <w:t>ND</w:t>
            </w:r>
          </w:p>
        </w:tc>
        <w:tc>
          <w:tcPr>
            <w:tcW w:w="1039" w:type="pct"/>
            <w:tcBorders>
              <w:tl2br w:val="nil"/>
              <w:tr2bl w:val="nil"/>
            </w:tcBorders>
            <w:noWrap w:val="0"/>
            <w:vAlign w:val="center"/>
          </w:tcPr>
          <w:p w14:paraId="5D4BE838">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color w:val="auto"/>
                <w:kern w:val="2"/>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ND</w:t>
            </w:r>
          </w:p>
        </w:tc>
        <w:tc>
          <w:tcPr>
            <w:tcW w:w="990" w:type="pct"/>
            <w:tcBorders>
              <w:tl2br w:val="nil"/>
              <w:tr2bl w:val="nil"/>
            </w:tcBorders>
            <w:noWrap w:val="0"/>
            <w:vAlign w:val="center"/>
          </w:tcPr>
          <w:p w14:paraId="7355AC1C">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color w:val="000000"/>
                <w:kern w:val="2"/>
                <w:sz w:val="21"/>
                <w:szCs w:val="21"/>
                <w:highlight w:val="none"/>
                <w:lang w:val="en-US" w:eastAsia="zh-CN"/>
              </w:rPr>
            </w:pPr>
            <w:r>
              <w:rPr>
                <w:rFonts w:hint="eastAsia" w:ascii="宋体" w:hAnsi="宋体" w:eastAsia="宋体" w:cs="宋体"/>
                <w:color w:val="000000"/>
                <w:sz w:val="21"/>
                <w:szCs w:val="21"/>
                <w:highlight w:val="none"/>
                <w:lang w:val="en-US" w:eastAsia="zh-CN"/>
              </w:rPr>
              <w:t>0.05</w:t>
            </w:r>
          </w:p>
        </w:tc>
        <w:tc>
          <w:tcPr>
            <w:tcW w:w="812" w:type="pct"/>
            <w:tcBorders>
              <w:tl2br w:val="nil"/>
              <w:tr2bl w:val="nil"/>
            </w:tcBorders>
            <w:noWrap w:val="0"/>
            <w:vAlign w:val="center"/>
          </w:tcPr>
          <w:p w14:paraId="452F719B">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b w:val="0"/>
                <w:bCs/>
                <w:sz w:val="21"/>
                <w:szCs w:val="21"/>
                <w:highlight w:val="none"/>
              </w:rPr>
              <w:t>0.3</w:t>
            </w:r>
          </w:p>
        </w:tc>
      </w:tr>
      <w:tr w14:paraId="3B5ADE7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434" w:type="pct"/>
            <w:vMerge w:val="continue"/>
            <w:tcBorders>
              <w:tl2br w:val="nil"/>
              <w:tr2bl w:val="nil"/>
            </w:tcBorders>
            <w:noWrap w:val="0"/>
            <w:vAlign w:val="center"/>
          </w:tcPr>
          <w:p w14:paraId="31816905">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color w:val="auto"/>
                <w:sz w:val="21"/>
                <w:szCs w:val="21"/>
                <w:highlight w:val="none"/>
                <w:vertAlign w:val="baseline"/>
                <w:lang w:val="en-US" w:eastAsia="zh-CN"/>
              </w:rPr>
            </w:pPr>
          </w:p>
        </w:tc>
        <w:tc>
          <w:tcPr>
            <w:tcW w:w="902" w:type="pct"/>
            <w:tcBorders>
              <w:tl2br w:val="nil"/>
              <w:tr2bl w:val="nil"/>
            </w:tcBorders>
            <w:noWrap w:val="0"/>
            <w:vAlign w:val="center"/>
          </w:tcPr>
          <w:p w14:paraId="40F5026F">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sz w:val="21"/>
                <w:szCs w:val="21"/>
                <w:highlight w:val="none"/>
                <w:lang w:eastAsia="zh-CN"/>
              </w:rPr>
              <w:t>锰</w:t>
            </w:r>
            <w:r>
              <w:rPr>
                <w:rFonts w:hint="eastAsia" w:ascii="宋体" w:hAnsi="宋体" w:eastAsia="宋体" w:cs="宋体"/>
                <w:color w:val="auto"/>
                <w:sz w:val="21"/>
                <w:szCs w:val="21"/>
                <w:highlight w:val="none"/>
                <w:lang w:val="en-US" w:eastAsia="zh-CN"/>
              </w:rPr>
              <w:t>mg/L</w:t>
            </w:r>
          </w:p>
        </w:tc>
        <w:tc>
          <w:tcPr>
            <w:tcW w:w="821" w:type="pct"/>
            <w:tcBorders>
              <w:tl2br w:val="nil"/>
              <w:tr2bl w:val="nil"/>
            </w:tcBorders>
            <w:noWrap w:val="0"/>
            <w:vAlign w:val="center"/>
          </w:tcPr>
          <w:p w14:paraId="6C045BB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0.01</w:t>
            </w:r>
          </w:p>
        </w:tc>
        <w:tc>
          <w:tcPr>
            <w:tcW w:w="1039" w:type="pct"/>
            <w:tcBorders>
              <w:tl2br w:val="nil"/>
              <w:tr2bl w:val="nil"/>
            </w:tcBorders>
            <w:noWrap w:val="0"/>
            <w:vAlign w:val="center"/>
          </w:tcPr>
          <w:p w14:paraId="6EBB19C9">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0.01</w:t>
            </w:r>
          </w:p>
        </w:tc>
        <w:tc>
          <w:tcPr>
            <w:tcW w:w="990" w:type="pct"/>
            <w:tcBorders>
              <w:tl2br w:val="nil"/>
              <w:tr2bl w:val="nil"/>
            </w:tcBorders>
            <w:noWrap w:val="0"/>
            <w:vAlign w:val="center"/>
          </w:tcPr>
          <w:p w14:paraId="742B4057">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0.08</w:t>
            </w:r>
          </w:p>
        </w:tc>
        <w:tc>
          <w:tcPr>
            <w:tcW w:w="812" w:type="pct"/>
            <w:tcBorders>
              <w:tl2br w:val="nil"/>
              <w:tr2bl w:val="nil"/>
            </w:tcBorders>
            <w:noWrap w:val="0"/>
            <w:vAlign w:val="center"/>
          </w:tcPr>
          <w:p w14:paraId="487FBCD9">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val="0"/>
                <w:bCs/>
                <w:sz w:val="21"/>
                <w:szCs w:val="21"/>
                <w:highlight w:val="none"/>
                <w:lang w:val="en-US" w:eastAsia="zh-CN"/>
              </w:rPr>
              <w:t>0.1</w:t>
            </w:r>
          </w:p>
        </w:tc>
      </w:tr>
      <w:tr w14:paraId="7560153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434" w:type="pct"/>
            <w:vMerge w:val="continue"/>
            <w:tcBorders>
              <w:tl2br w:val="nil"/>
              <w:tr2bl w:val="nil"/>
            </w:tcBorders>
            <w:noWrap w:val="0"/>
            <w:vAlign w:val="center"/>
          </w:tcPr>
          <w:p w14:paraId="5E83E20D">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color w:val="auto"/>
                <w:sz w:val="21"/>
                <w:szCs w:val="21"/>
                <w:highlight w:val="none"/>
                <w:vertAlign w:val="baseline"/>
                <w:lang w:val="en-US" w:eastAsia="zh-CN"/>
              </w:rPr>
            </w:pPr>
          </w:p>
        </w:tc>
        <w:tc>
          <w:tcPr>
            <w:tcW w:w="902" w:type="pct"/>
            <w:tcBorders>
              <w:tl2br w:val="nil"/>
              <w:tr2bl w:val="nil"/>
            </w:tcBorders>
            <w:noWrap w:val="0"/>
            <w:vAlign w:val="center"/>
          </w:tcPr>
          <w:p w14:paraId="6427F86F">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sz w:val="21"/>
                <w:szCs w:val="21"/>
                <w:highlight w:val="none"/>
                <w:lang w:eastAsia="zh-CN"/>
              </w:rPr>
              <w:t>溶解性总固体</w:t>
            </w:r>
            <w:r>
              <w:rPr>
                <w:rFonts w:hint="eastAsia" w:ascii="宋体" w:hAnsi="宋体" w:eastAsia="宋体" w:cs="宋体"/>
                <w:color w:val="auto"/>
                <w:sz w:val="21"/>
                <w:szCs w:val="21"/>
                <w:highlight w:val="none"/>
                <w:lang w:val="en-US" w:eastAsia="zh-CN"/>
              </w:rPr>
              <w:t>mg/L</w:t>
            </w:r>
          </w:p>
        </w:tc>
        <w:tc>
          <w:tcPr>
            <w:tcW w:w="821" w:type="pct"/>
            <w:tcBorders>
              <w:tl2br w:val="nil"/>
              <w:tr2bl w:val="nil"/>
            </w:tcBorders>
            <w:noWrap w:val="0"/>
            <w:vAlign w:val="center"/>
          </w:tcPr>
          <w:p w14:paraId="505020A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780</w:t>
            </w:r>
          </w:p>
        </w:tc>
        <w:tc>
          <w:tcPr>
            <w:tcW w:w="1039" w:type="pct"/>
            <w:tcBorders>
              <w:tl2br w:val="nil"/>
              <w:tr2bl w:val="nil"/>
            </w:tcBorders>
            <w:noWrap w:val="0"/>
            <w:vAlign w:val="center"/>
          </w:tcPr>
          <w:p w14:paraId="4D8B0B4A">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color w:val="auto"/>
                <w:kern w:val="2"/>
                <w:sz w:val="21"/>
                <w:szCs w:val="21"/>
                <w:highlight w:val="none"/>
                <w:vertAlign w:val="baseline"/>
                <w:lang w:val="en-US" w:eastAsia="zh-CN"/>
              </w:rPr>
            </w:pPr>
            <w:r>
              <w:rPr>
                <w:rFonts w:hint="eastAsia" w:ascii="宋体" w:hAnsi="宋体" w:eastAsia="宋体" w:cs="宋体"/>
                <w:color w:val="auto"/>
                <w:kern w:val="2"/>
                <w:sz w:val="21"/>
                <w:szCs w:val="21"/>
                <w:highlight w:val="none"/>
                <w:vertAlign w:val="baseline"/>
                <w:lang w:val="en-US" w:eastAsia="zh-CN"/>
              </w:rPr>
              <w:t>435</w:t>
            </w:r>
          </w:p>
        </w:tc>
        <w:tc>
          <w:tcPr>
            <w:tcW w:w="990" w:type="pct"/>
            <w:tcBorders>
              <w:tl2br w:val="nil"/>
              <w:tr2bl w:val="nil"/>
            </w:tcBorders>
            <w:noWrap w:val="0"/>
            <w:vAlign w:val="center"/>
          </w:tcPr>
          <w:p w14:paraId="04CA2E93">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color w:val="auto"/>
                <w:kern w:val="2"/>
                <w:sz w:val="21"/>
                <w:szCs w:val="21"/>
                <w:highlight w:val="none"/>
                <w:vertAlign w:val="baseline"/>
                <w:lang w:val="en-US" w:eastAsia="zh-CN"/>
              </w:rPr>
            </w:pPr>
            <w:r>
              <w:rPr>
                <w:rFonts w:hint="eastAsia" w:ascii="宋体" w:hAnsi="宋体" w:eastAsia="宋体" w:cs="宋体"/>
                <w:color w:val="auto"/>
                <w:kern w:val="2"/>
                <w:sz w:val="21"/>
                <w:szCs w:val="21"/>
                <w:highlight w:val="none"/>
                <w:vertAlign w:val="baseline"/>
                <w:lang w:val="en-US" w:eastAsia="zh-CN"/>
              </w:rPr>
              <w:t>632</w:t>
            </w:r>
          </w:p>
        </w:tc>
        <w:tc>
          <w:tcPr>
            <w:tcW w:w="812" w:type="pct"/>
            <w:tcBorders>
              <w:tl2br w:val="nil"/>
              <w:tr2bl w:val="nil"/>
            </w:tcBorders>
            <w:noWrap w:val="0"/>
            <w:vAlign w:val="center"/>
          </w:tcPr>
          <w:p w14:paraId="70270811">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color w:val="auto"/>
                <w:kern w:val="2"/>
                <w:sz w:val="21"/>
                <w:szCs w:val="21"/>
                <w:highlight w:val="none"/>
                <w:vertAlign w:val="baseline"/>
                <w:lang w:val="en-US" w:eastAsia="zh-CN"/>
              </w:rPr>
            </w:pPr>
            <w:r>
              <w:rPr>
                <w:rFonts w:hint="eastAsia" w:ascii="宋体" w:hAnsi="宋体" w:eastAsia="宋体" w:cs="宋体"/>
                <w:b w:val="0"/>
                <w:bCs/>
                <w:sz w:val="21"/>
                <w:szCs w:val="21"/>
                <w:highlight w:val="none"/>
              </w:rPr>
              <w:t>1000</w:t>
            </w:r>
          </w:p>
        </w:tc>
      </w:tr>
      <w:tr w14:paraId="26A58F6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434" w:type="pct"/>
            <w:vMerge w:val="continue"/>
            <w:tcBorders>
              <w:tl2br w:val="nil"/>
              <w:tr2bl w:val="nil"/>
            </w:tcBorders>
            <w:noWrap w:val="0"/>
            <w:vAlign w:val="center"/>
          </w:tcPr>
          <w:p w14:paraId="000A1B71">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color w:val="auto"/>
                <w:sz w:val="21"/>
                <w:szCs w:val="21"/>
                <w:highlight w:val="none"/>
              </w:rPr>
            </w:pPr>
          </w:p>
        </w:tc>
        <w:tc>
          <w:tcPr>
            <w:tcW w:w="902" w:type="pct"/>
            <w:tcBorders>
              <w:tl2br w:val="nil"/>
              <w:tr2bl w:val="nil"/>
            </w:tcBorders>
            <w:noWrap w:val="0"/>
            <w:vAlign w:val="center"/>
          </w:tcPr>
          <w:p w14:paraId="2F521CF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sz w:val="21"/>
                <w:szCs w:val="21"/>
                <w:highlight w:val="none"/>
                <w:lang w:val="en-US" w:eastAsia="zh-CN"/>
              </w:rPr>
              <w:t>耗氧量mg/L</w:t>
            </w:r>
          </w:p>
        </w:tc>
        <w:tc>
          <w:tcPr>
            <w:tcW w:w="821" w:type="pct"/>
            <w:tcBorders>
              <w:tl2br w:val="nil"/>
              <w:tr2bl w:val="nil"/>
            </w:tcBorders>
            <w:noWrap w:val="0"/>
            <w:vAlign w:val="center"/>
          </w:tcPr>
          <w:p w14:paraId="29405F8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1.2</w:t>
            </w:r>
          </w:p>
        </w:tc>
        <w:tc>
          <w:tcPr>
            <w:tcW w:w="1039" w:type="pct"/>
            <w:tcBorders>
              <w:tl2br w:val="nil"/>
              <w:tr2bl w:val="nil"/>
            </w:tcBorders>
            <w:noWrap w:val="0"/>
            <w:vAlign w:val="center"/>
          </w:tcPr>
          <w:p w14:paraId="44401A98">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1.7</w:t>
            </w:r>
          </w:p>
        </w:tc>
        <w:tc>
          <w:tcPr>
            <w:tcW w:w="990" w:type="pct"/>
            <w:tcBorders>
              <w:tl2br w:val="nil"/>
              <w:tr2bl w:val="nil"/>
            </w:tcBorders>
            <w:noWrap w:val="0"/>
            <w:vAlign w:val="center"/>
          </w:tcPr>
          <w:p w14:paraId="0AF52ABE">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2.6</w:t>
            </w:r>
          </w:p>
        </w:tc>
        <w:tc>
          <w:tcPr>
            <w:tcW w:w="812" w:type="pct"/>
            <w:tcBorders>
              <w:tl2br w:val="nil"/>
              <w:tr2bl w:val="nil"/>
            </w:tcBorders>
            <w:noWrap w:val="0"/>
            <w:vAlign w:val="center"/>
          </w:tcPr>
          <w:p w14:paraId="5DEA54D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3.0</w:t>
            </w:r>
          </w:p>
        </w:tc>
      </w:tr>
      <w:tr w14:paraId="295ADED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434" w:type="pct"/>
            <w:vMerge w:val="continue"/>
            <w:tcBorders>
              <w:tl2br w:val="nil"/>
              <w:tr2bl w:val="nil"/>
            </w:tcBorders>
            <w:noWrap w:val="0"/>
            <w:vAlign w:val="center"/>
          </w:tcPr>
          <w:p w14:paraId="480BBCCE">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color w:val="auto"/>
                <w:sz w:val="21"/>
                <w:szCs w:val="21"/>
                <w:highlight w:val="none"/>
                <w:vertAlign w:val="baseline"/>
                <w:lang w:val="en-US" w:eastAsia="zh-CN"/>
              </w:rPr>
            </w:pPr>
          </w:p>
        </w:tc>
        <w:tc>
          <w:tcPr>
            <w:tcW w:w="902" w:type="pct"/>
            <w:tcBorders>
              <w:tl2br w:val="nil"/>
              <w:tr2bl w:val="nil"/>
            </w:tcBorders>
            <w:noWrap w:val="0"/>
            <w:vAlign w:val="center"/>
          </w:tcPr>
          <w:p w14:paraId="089566F7">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sz w:val="21"/>
                <w:szCs w:val="21"/>
                <w:highlight w:val="none"/>
                <w:lang w:eastAsia="zh-CN"/>
              </w:rPr>
              <w:t>总大肠菌群</w:t>
            </w:r>
            <w:r>
              <w:rPr>
                <w:rFonts w:hint="eastAsia" w:ascii="宋体" w:hAnsi="宋体" w:eastAsia="宋体" w:cs="宋体"/>
                <w:color w:val="auto"/>
                <w:sz w:val="21"/>
                <w:szCs w:val="21"/>
                <w:highlight w:val="none"/>
                <w:lang w:val="en-US" w:eastAsia="zh-CN"/>
              </w:rPr>
              <w:t>MPN/100mL</w:t>
            </w:r>
          </w:p>
        </w:tc>
        <w:tc>
          <w:tcPr>
            <w:tcW w:w="821" w:type="pct"/>
            <w:tcBorders>
              <w:tl2br w:val="nil"/>
              <w:tr2bl w:val="nil"/>
            </w:tcBorders>
            <w:noWrap w:val="0"/>
            <w:vAlign w:val="center"/>
          </w:tcPr>
          <w:p w14:paraId="49780128">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kern w:val="2"/>
                <w:sz w:val="21"/>
                <w:szCs w:val="21"/>
                <w:highlight w:val="none"/>
                <w:lang w:val="en-US" w:eastAsia="zh-CN"/>
              </w:rPr>
            </w:pPr>
            <w:r>
              <w:rPr>
                <w:rFonts w:hint="eastAsia" w:ascii="宋体" w:hAnsi="宋体" w:eastAsia="宋体" w:cs="宋体"/>
                <w:kern w:val="2"/>
                <w:sz w:val="21"/>
                <w:szCs w:val="21"/>
                <w:highlight w:val="none"/>
                <w:lang w:val="en-US" w:eastAsia="zh-CN"/>
              </w:rPr>
              <w:t>ND</w:t>
            </w:r>
          </w:p>
        </w:tc>
        <w:tc>
          <w:tcPr>
            <w:tcW w:w="1039" w:type="pct"/>
            <w:tcBorders>
              <w:tl2br w:val="nil"/>
              <w:tr2bl w:val="nil"/>
            </w:tcBorders>
            <w:noWrap w:val="0"/>
            <w:vAlign w:val="center"/>
          </w:tcPr>
          <w:p w14:paraId="363AAD16">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color w:val="auto"/>
                <w:kern w:val="2"/>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ND</w:t>
            </w:r>
          </w:p>
        </w:tc>
        <w:tc>
          <w:tcPr>
            <w:tcW w:w="990" w:type="pct"/>
            <w:tcBorders>
              <w:tl2br w:val="nil"/>
              <w:tr2bl w:val="nil"/>
            </w:tcBorders>
            <w:noWrap w:val="0"/>
            <w:vAlign w:val="center"/>
          </w:tcPr>
          <w:p w14:paraId="299EE5B2">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color w:val="000000"/>
                <w:kern w:val="2"/>
                <w:sz w:val="21"/>
                <w:szCs w:val="21"/>
                <w:highlight w:val="none"/>
                <w:lang w:val="en-US" w:eastAsia="zh-CN"/>
              </w:rPr>
            </w:pPr>
            <w:r>
              <w:rPr>
                <w:rFonts w:hint="eastAsia" w:ascii="宋体" w:hAnsi="宋体" w:eastAsia="宋体" w:cs="宋体"/>
                <w:color w:val="000000"/>
                <w:sz w:val="21"/>
                <w:szCs w:val="21"/>
                <w:highlight w:val="none"/>
                <w:lang w:val="en-US" w:eastAsia="zh-CN"/>
              </w:rPr>
              <w:t>ND</w:t>
            </w:r>
          </w:p>
        </w:tc>
        <w:tc>
          <w:tcPr>
            <w:tcW w:w="812" w:type="pct"/>
            <w:tcBorders>
              <w:tl2br w:val="nil"/>
              <w:tr2bl w:val="nil"/>
            </w:tcBorders>
            <w:noWrap w:val="0"/>
            <w:vAlign w:val="center"/>
          </w:tcPr>
          <w:p w14:paraId="32C7B3CB">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b w:val="0"/>
                <w:bCs/>
                <w:sz w:val="21"/>
                <w:szCs w:val="21"/>
                <w:highlight w:val="none"/>
              </w:rPr>
              <w:t>3.0</w:t>
            </w:r>
          </w:p>
        </w:tc>
      </w:tr>
      <w:tr w14:paraId="27FCA15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434" w:type="pct"/>
            <w:vMerge w:val="continue"/>
            <w:tcBorders>
              <w:tl2br w:val="nil"/>
              <w:tr2bl w:val="nil"/>
            </w:tcBorders>
            <w:noWrap w:val="0"/>
            <w:vAlign w:val="center"/>
          </w:tcPr>
          <w:p w14:paraId="0E3CAA2C">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color w:val="auto"/>
                <w:sz w:val="21"/>
                <w:szCs w:val="21"/>
                <w:highlight w:val="none"/>
                <w:vertAlign w:val="baseline"/>
                <w:lang w:val="en-US" w:eastAsia="zh-CN"/>
              </w:rPr>
            </w:pPr>
          </w:p>
        </w:tc>
        <w:tc>
          <w:tcPr>
            <w:tcW w:w="902" w:type="pct"/>
            <w:tcBorders>
              <w:tl2br w:val="nil"/>
              <w:tr2bl w:val="nil"/>
            </w:tcBorders>
            <w:noWrap w:val="0"/>
            <w:vAlign w:val="center"/>
          </w:tcPr>
          <w:p w14:paraId="1D8851C8">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sz w:val="21"/>
                <w:szCs w:val="21"/>
                <w:highlight w:val="none"/>
              </w:rPr>
              <w:t>细菌总数</w:t>
            </w:r>
            <w:r>
              <w:rPr>
                <w:rFonts w:hint="eastAsia" w:ascii="宋体" w:hAnsi="宋体" w:eastAsia="宋体" w:cs="宋体"/>
                <w:color w:val="auto"/>
                <w:sz w:val="21"/>
                <w:szCs w:val="21"/>
                <w:highlight w:val="none"/>
                <w:lang w:val="en-US" w:eastAsia="zh-CN"/>
              </w:rPr>
              <w:t>CFU/mL</w:t>
            </w:r>
          </w:p>
        </w:tc>
        <w:tc>
          <w:tcPr>
            <w:tcW w:w="821" w:type="pct"/>
            <w:tcBorders>
              <w:tl2br w:val="nil"/>
              <w:tr2bl w:val="nil"/>
            </w:tcBorders>
            <w:noWrap w:val="0"/>
            <w:vAlign w:val="center"/>
          </w:tcPr>
          <w:p w14:paraId="6A190099">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kern w:val="2"/>
                <w:sz w:val="21"/>
                <w:szCs w:val="21"/>
                <w:highlight w:val="none"/>
                <w:lang w:val="en-US" w:eastAsia="zh-CN"/>
              </w:rPr>
            </w:pPr>
            <w:r>
              <w:rPr>
                <w:rFonts w:hint="eastAsia" w:ascii="宋体" w:hAnsi="宋体" w:eastAsia="宋体" w:cs="宋体"/>
                <w:kern w:val="2"/>
                <w:sz w:val="21"/>
                <w:szCs w:val="21"/>
                <w:highlight w:val="none"/>
                <w:lang w:val="en-US" w:eastAsia="zh-CN"/>
              </w:rPr>
              <w:t>ND</w:t>
            </w:r>
          </w:p>
        </w:tc>
        <w:tc>
          <w:tcPr>
            <w:tcW w:w="1039" w:type="pct"/>
            <w:tcBorders>
              <w:tl2br w:val="nil"/>
              <w:tr2bl w:val="nil"/>
            </w:tcBorders>
            <w:noWrap w:val="0"/>
            <w:vAlign w:val="center"/>
          </w:tcPr>
          <w:p w14:paraId="74F58562">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color w:val="auto"/>
                <w:kern w:val="2"/>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16</w:t>
            </w:r>
          </w:p>
        </w:tc>
        <w:tc>
          <w:tcPr>
            <w:tcW w:w="990" w:type="pct"/>
            <w:tcBorders>
              <w:tl2br w:val="nil"/>
              <w:tr2bl w:val="nil"/>
            </w:tcBorders>
            <w:noWrap w:val="0"/>
            <w:vAlign w:val="center"/>
          </w:tcPr>
          <w:p w14:paraId="1C4C2F2B">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color w:val="000000"/>
                <w:kern w:val="2"/>
                <w:sz w:val="21"/>
                <w:szCs w:val="21"/>
                <w:highlight w:val="none"/>
                <w:lang w:val="en-US" w:eastAsia="zh-CN"/>
              </w:rPr>
            </w:pPr>
            <w:r>
              <w:rPr>
                <w:rFonts w:hint="eastAsia" w:ascii="宋体" w:hAnsi="宋体" w:eastAsia="宋体" w:cs="宋体"/>
                <w:color w:val="000000"/>
                <w:sz w:val="21"/>
                <w:szCs w:val="21"/>
                <w:highlight w:val="none"/>
                <w:lang w:val="en-US" w:eastAsia="zh-CN"/>
              </w:rPr>
              <w:t>16</w:t>
            </w:r>
          </w:p>
        </w:tc>
        <w:tc>
          <w:tcPr>
            <w:tcW w:w="812" w:type="pct"/>
            <w:tcBorders>
              <w:tl2br w:val="nil"/>
              <w:tr2bl w:val="nil"/>
            </w:tcBorders>
            <w:noWrap w:val="0"/>
            <w:vAlign w:val="center"/>
          </w:tcPr>
          <w:p w14:paraId="1B72F4F3">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b w:val="0"/>
                <w:bCs/>
                <w:sz w:val="21"/>
                <w:szCs w:val="21"/>
                <w:highlight w:val="none"/>
              </w:rPr>
              <w:t>100</w:t>
            </w:r>
          </w:p>
        </w:tc>
      </w:tr>
      <w:tr w14:paraId="623D669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434" w:type="pct"/>
            <w:vMerge w:val="continue"/>
            <w:tcBorders>
              <w:tl2br w:val="nil"/>
              <w:tr2bl w:val="nil"/>
            </w:tcBorders>
            <w:noWrap w:val="0"/>
            <w:vAlign w:val="center"/>
          </w:tcPr>
          <w:p w14:paraId="444531AF">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color w:val="auto"/>
                <w:sz w:val="21"/>
                <w:szCs w:val="21"/>
                <w:highlight w:val="none"/>
              </w:rPr>
            </w:pPr>
          </w:p>
        </w:tc>
        <w:tc>
          <w:tcPr>
            <w:tcW w:w="902" w:type="pct"/>
            <w:tcBorders>
              <w:tl2br w:val="nil"/>
              <w:tr2bl w:val="nil"/>
            </w:tcBorders>
            <w:noWrap w:val="0"/>
            <w:vAlign w:val="center"/>
          </w:tcPr>
          <w:p w14:paraId="7D54D89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kern w:val="2"/>
                <w:sz w:val="21"/>
                <w:szCs w:val="21"/>
                <w:highlight w:val="none"/>
                <w:lang w:val="en-US" w:eastAsia="zh-CN"/>
              </w:rPr>
            </w:pPr>
            <w:r>
              <w:rPr>
                <w:rFonts w:hint="eastAsia" w:ascii="宋体" w:hAnsi="宋体" w:eastAsia="宋体" w:cs="宋体"/>
                <w:sz w:val="21"/>
                <w:szCs w:val="21"/>
                <w:highlight w:val="none"/>
                <w:lang w:eastAsia="zh-CN"/>
              </w:rPr>
              <w:t>硫酸盐</w:t>
            </w:r>
            <w:r>
              <w:rPr>
                <w:rFonts w:hint="eastAsia" w:ascii="宋体" w:hAnsi="宋体" w:eastAsia="宋体" w:cs="宋体"/>
                <w:color w:val="auto"/>
                <w:sz w:val="21"/>
                <w:szCs w:val="21"/>
                <w:highlight w:val="none"/>
                <w:lang w:val="en-US" w:eastAsia="zh-CN"/>
              </w:rPr>
              <w:t>mg/L</w:t>
            </w:r>
          </w:p>
        </w:tc>
        <w:tc>
          <w:tcPr>
            <w:tcW w:w="821" w:type="pct"/>
            <w:tcBorders>
              <w:tl2br w:val="nil"/>
              <w:tr2bl w:val="nil"/>
            </w:tcBorders>
            <w:noWrap w:val="0"/>
            <w:vAlign w:val="center"/>
          </w:tcPr>
          <w:p w14:paraId="18CD838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kern w:val="2"/>
                <w:sz w:val="21"/>
                <w:szCs w:val="21"/>
                <w:highlight w:val="none"/>
                <w:lang w:val="en-US" w:eastAsia="zh-CN"/>
              </w:rPr>
            </w:pPr>
            <w:r>
              <w:rPr>
                <w:rFonts w:hint="eastAsia" w:ascii="宋体" w:hAnsi="宋体" w:eastAsia="宋体" w:cs="宋体"/>
                <w:kern w:val="2"/>
                <w:sz w:val="21"/>
                <w:szCs w:val="21"/>
                <w:highlight w:val="none"/>
                <w:lang w:val="en-US" w:eastAsia="zh-CN"/>
              </w:rPr>
              <w:t>199</w:t>
            </w:r>
          </w:p>
        </w:tc>
        <w:tc>
          <w:tcPr>
            <w:tcW w:w="1039" w:type="pct"/>
            <w:tcBorders>
              <w:tl2br w:val="nil"/>
              <w:tr2bl w:val="nil"/>
            </w:tcBorders>
            <w:noWrap w:val="0"/>
            <w:vAlign w:val="center"/>
          </w:tcPr>
          <w:p w14:paraId="43712494">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100</w:t>
            </w:r>
          </w:p>
        </w:tc>
        <w:tc>
          <w:tcPr>
            <w:tcW w:w="990" w:type="pct"/>
            <w:tcBorders>
              <w:tl2br w:val="nil"/>
              <w:tr2bl w:val="nil"/>
            </w:tcBorders>
            <w:noWrap w:val="0"/>
            <w:vAlign w:val="center"/>
          </w:tcPr>
          <w:p w14:paraId="74C5BEA6">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183</w:t>
            </w:r>
          </w:p>
        </w:tc>
        <w:tc>
          <w:tcPr>
            <w:tcW w:w="812" w:type="pct"/>
            <w:tcBorders>
              <w:tl2br w:val="nil"/>
              <w:tr2bl w:val="nil"/>
            </w:tcBorders>
            <w:noWrap w:val="0"/>
            <w:vAlign w:val="center"/>
          </w:tcPr>
          <w:p w14:paraId="62146556">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val="0"/>
                <w:bCs/>
                <w:sz w:val="21"/>
                <w:szCs w:val="21"/>
                <w:highlight w:val="none"/>
              </w:rPr>
              <w:t>250</w:t>
            </w:r>
          </w:p>
        </w:tc>
      </w:tr>
      <w:tr w14:paraId="74B9CAF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434" w:type="pct"/>
            <w:vMerge w:val="continue"/>
            <w:tcBorders>
              <w:tl2br w:val="nil"/>
              <w:tr2bl w:val="nil"/>
            </w:tcBorders>
            <w:noWrap w:val="0"/>
            <w:vAlign w:val="center"/>
          </w:tcPr>
          <w:p w14:paraId="6C92B0AC">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color w:val="auto"/>
                <w:sz w:val="21"/>
                <w:szCs w:val="21"/>
                <w:highlight w:val="none"/>
                <w:vertAlign w:val="baseline"/>
                <w:lang w:val="en-US" w:eastAsia="zh-CN"/>
              </w:rPr>
            </w:pPr>
          </w:p>
        </w:tc>
        <w:tc>
          <w:tcPr>
            <w:tcW w:w="902" w:type="pct"/>
            <w:tcBorders>
              <w:tl2br w:val="nil"/>
              <w:tr2bl w:val="nil"/>
            </w:tcBorders>
            <w:noWrap w:val="0"/>
            <w:vAlign w:val="center"/>
          </w:tcPr>
          <w:p w14:paraId="6B1863DB">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kern w:val="2"/>
                <w:sz w:val="21"/>
                <w:szCs w:val="21"/>
                <w:highlight w:val="none"/>
                <w:lang w:val="en-US" w:eastAsia="zh-CN"/>
              </w:rPr>
            </w:pPr>
            <w:r>
              <w:rPr>
                <w:rFonts w:hint="eastAsia" w:ascii="宋体" w:hAnsi="宋体" w:eastAsia="宋体" w:cs="宋体"/>
                <w:sz w:val="21"/>
                <w:szCs w:val="21"/>
                <w:highlight w:val="none"/>
                <w:lang w:eastAsia="zh-CN"/>
              </w:rPr>
              <w:t>硝酸盐</w:t>
            </w:r>
            <w:r>
              <w:rPr>
                <w:rFonts w:hint="eastAsia" w:ascii="宋体" w:hAnsi="宋体" w:eastAsia="宋体" w:cs="宋体"/>
                <w:color w:val="auto"/>
                <w:sz w:val="21"/>
                <w:szCs w:val="21"/>
                <w:highlight w:val="none"/>
                <w:lang w:val="en-US" w:eastAsia="zh-CN"/>
              </w:rPr>
              <w:t>mg/L</w:t>
            </w:r>
          </w:p>
        </w:tc>
        <w:tc>
          <w:tcPr>
            <w:tcW w:w="821" w:type="pct"/>
            <w:tcBorders>
              <w:tl2br w:val="nil"/>
              <w:tr2bl w:val="nil"/>
            </w:tcBorders>
            <w:noWrap w:val="0"/>
            <w:vAlign w:val="center"/>
          </w:tcPr>
          <w:p w14:paraId="6545EFCF">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kern w:val="2"/>
                <w:sz w:val="21"/>
                <w:szCs w:val="21"/>
                <w:highlight w:val="none"/>
                <w:lang w:val="en-US" w:eastAsia="zh-CN"/>
              </w:rPr>
            </w:pPr>
            <w:r>
              <w:rPr>
                <w:rFonts w:hint="eastAsia" w:ascii="宋体" w:hAnsi="宋体" w:eastAsia="宋体" w:cs="宋体"/>
                <w:kern w:val="2"/>
                <w:sz w:val="21"/>
                <w:szCs w:val="21"/>
                <w:highlight w:val="none"/>
                <w:lang w:val="en-US" w:eastAsia="zh-CN"/>
              </w:rPr>
              <w:t>19.5</w:t>
            </w:r>
          </w:p>
        </w:tc>
        <w:tc>
          <w:tcPr>
            <w:tcW w:w="1039" w:type="pct"/>
            <w:tcBorders>
              <w:tl2br w:val="nil"/>
              <w:tr2bl w:val="nil"/>
            </w:tcBorders>
            <w:noWrap w:val="0"/>
            <w:vAlign w:val="center"/>
          </w:tcPr>
          <w:p w14:paraId="6B8E192A">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12.5</w:t>
            </w:r>
          </w:p>
        </w:tc>
        <w:tc>
          <w:tcPr>
            <w:tcW w:w="990" w:type="pct"/>
            <w:tcBorders>
              <w:tl2br w:val="nil"/>
              <w:tr2bl w:val="nil"/>
            </w:tcBorders>
            <w:noWrap w:val="0"/>
            <w:vAlign w:val="center"/>
          </w:tcPr>
          <w:p w14:paraId="0525C7EC">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16.2</w:t>
            </w:r>
          </w:p>
        </w:tc>
        <w:tc>
          <w:tcPr>
            <w:tcW w:w="812" w:type="pct"/>
            <w:tcBorders>
              <w:tl2br w:val="nil"/>
              <w:tr2bl w:val="nil"/>
            </w:tcBorders>
            <w:noWrap w:val="0"/>
            <w:vAlign w:val="center"/>
          </w:tcPr>
          <w:p w14:paraId="11CB3D03">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val="0"/>
                <w:bCs/>
                <w:sz w:val="21"/>
                <w:szCs w:val="21"/>
                <w:highlight w:val="none"/>
              </w:rPr>
              <w:t>20</w:t>
            </w:r>
          </w:p>
        </w:tc>
      </w:tr>
      <w:tr w14:paraId="464D61C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434" w:type="pct"/>
            <w:vMerge w:val="continue"/>
            <w:tcBorders>
              <w:tl2br w:val="nil"/>
              <w:tr2bl w:val="nil"/>
            </w:tcBorders>
            <w:noWrap w:val="0"/>
            <w:vAlign w:val="center"/>
          </w:tcPr>
          <w:p w14:paraId="4DB63B94">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color w:val="auto"/>
                <w:sz w:val="21"/>
                <w:szCs w:val="21"/>
                <w:highlight w:val="none"/>
                <w:vertAlign w:val="baseline"/>
                <w:lang w:val="en-US" w:eastAsia="zh-CN"/>
              </w:rPr>
            </w:pPr>
          </w:p>
        </w:tc>
        <w:tc>
          <w:tcPr>
            <w:tcW w:w="902" w:type="pct"/>
            <w:tcBorders>
              <w:tl2br w:val="nil"/>
              <w:tr2bl w:val="nil"/>
            </w:tcBorders>
            <w:noWrap w:val="0"/>
            <w:vAlign w:val="center"/>
          </w:tcPr>
          <w:p w14:paraId="3A20BD4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kern w:val="2"/>
                <w:sz w:val="21"/>
                <w:szCs w:val="21"/>
                <w:highlight w:val="none"/>
                <w:lang w:val="en-US" w:eastAsia="zh-CN"/>
              </w:rPr>
            </w:pPr>
            <w:r>
              <w:rPr>
                <w:rFonts w:hint="eastAsia" w:ascii="宋体" w:hAnsi="宋体" w:eastAsia="宋体" w:cs="宋体"/>
                <w:sz w:val="21"/>
                <w:szCs w:val="21"/>
                <w:highlight w:val="none"/>
                <w:lang w:eastAsia="zh-CN"/>
              </w:rPr>
              <w:t>氯化物</w:t>
            </w:r>
            <w:r>
              <w:rPr>
                <w:rFonts w:hint="eastAsia" w:ascii="宋体" w:hAnsi="宋体" w:eastAsia="宋体" w:cs="宋体"/>
                <w:color w:val="auto"/>
                <w:sz w:val="21"/>
                <w:szCs w:val="21"/>
                <w:highlight w:val="none"/>
                <w:lang w:val="en-US" w:eastAsia="zh-CN"/>
              </w:rPr>
              <w:t>mg/L</w:t>
            </w:r>
          </w:p>
        </w:tc>
        <w:tc>
          <w:tcPr>
            <w:tcW w:w="821" w:type="pct"/>
            <w:tcBorders>
              <w:tl2br w:val="nil"/>
              <w:tr2bl w:val="nil"/>
            </w:tcBorders>
            <w:noWrap w:val="0"/>
            <w:vAlign w:val="center"/>
          </w:tcPr>
          <w:p w14:paraId="0A0CDDA8">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kern w:val="2"/>
                <w:sz w:val="21"/>
                <w:szCs w:val="21"/>
                <w:highlight w:val="none"/>
                <w:lang w:val="en-US" w:eastAsia="zh-CN"/>
              </w:rPr>
            </w:pPr>
            <w:r>
              <w:rPr>
                <w:rFonts w:hint="eastAsia" w:ascii="宋体" w:hAnsi="宋体" w:eastAsia="宋体" w:cs="宋体"/>
                <w:kern w:val="2"/>
                <w:sz w:val="21"/>
                <w:szCs w:val="21"/>
                <w:highlight w:val="none"/>
                <w:lang w:val="en-US" w:eastAsia="zh-CN"/>
              </w:rPr>
              <w:t>59.6</w:t>
            </w:r>
          </w:p>
        </w:tc>
        <w:tc>
          <w:tcPr>
            <w:tcW w:w="1039" w:type="pct"/>
            <w:tcBorders>
              <w:tl2br w:val="nil"/>
              <w:tr2bl w:val="nil"/>
            </w:tcBorders>
            <w:noWrap w:val="0"/>
            <w:vAlign w:val="center"/>
          </w:tcPr>
          <w:p w14:paraId="0DF06E8C">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27.7</w:t>
            </w:r>
          </w:p>
        </w:tc>
        <w:tc>
          <w:tcPr>
            <w:tcW w:w="990" w:type="pct"/>
            <w:tcBorders>
              <w:tl2br w:val="nil"/>
              <w:tr2bl w:val="nil"/>
            </w:tcBorders>
            <w:noWrap w:val="0"/>
            <w:vAlign w:val="center"/>
          </w:tcPr>
          <w:p w14:paraId="7F29C749">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162</w:t>
            </w:r>
          </w:p>
        </w:tc>
        <w:tc>
          <w:tcPr>
            <w:tcW w:w="812" w:type="pct"/>
            <w:tcBorders>
              <w:tl2br w:val="nil"/>
              <w:tr2bl w:val="nil"/>
            </w:tcBorders>
            <w:noWrap w:val="0"/>
            <w:vAlign w:val="center"/>
          </w:tcPr>
          <w:p w14:paraId="72E6C4B0">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val="0"/>
                <w:bCs/>
                <w:sz w:val="21"/>
                <w:szCs w:val="21"/>
                <w:highlight w:val="none"/>
              </w:rPr>
              <w:t>250</w:t>
            </w:r>
          </w:p>
        </w:tc>
      </w:tr>
      <w:tr w14:paraId="088BC84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434" w:type="pct"/>
            <w:vMerge w:val="continue"/>
            <w:tcBorders>
              <w:tl2br w:val="nil"/>
              <w:tr2bl w:val="nil"/>
            </w:tcBorders>
            <w:noWrap w:val="0"/>
            <w:vAlign w:val="center"/>
          </w:tcPr>
          <w:p w14:paraId="11AFA044">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color w:val="auto"/>
                <w:sz w:val="21"/>
                <w:szCs w:val="21"/>
                <w:highlight w:val="none"/>
              </w:rPr>
            </w:pPr>
          </w:p>
        </w:tc>
        <w:tc>
          <w:tcPr>
            <w:tcW w:w="902" w:type="pct"/>
            <w:tcBorders>
              <w:tl2br w:val="nil"/>
              <w:tr2bl w:val="nil"/>
            </w:tcBorders>
            <w:noWrap w:val="0"/>
            <w:vAlign w:val="center"/>
          </w:tcPr>
          <w:p w14:paraId="330F026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kern w:val="2"/>
                <w:sz w:val="21"/>
                <w:szCs w:val="21"/>
                <w:highlight w:val="none"/>
                <w:lang w:val="en-US" w:eastAsia="zh-CN"/>
              </w:rPr>
            </w:pPr>
            <w:r>
              <w:rPr>
                <w:rFonts w:hint="eastAsia" w:ascii="宋体" w:hAnsi="宋体" w:eastAsia="宋体" w:cs="宋体"/>
                <w:sz w:val="21"/>
                <w:szCs w:val="21"/>
                <w:highlight w:val="none"/>
                <w:lang w:eastAsia="zh-CN"/>
              </w:rPr>
              <w:t>氟</w:t>
            </w:r>
            <w:r>
              <w:rPr>
                <w:rFonts w:hint="eastAsia" w:ascii="宋体" w:hAnsi="宋体" w:eastAsia="宋体" w:cs="宋体"/>
                <w:color w:val="auto"/>
                <w:sz w:val="21"/>
                <w:szCs w:val="21"/>
                <w:highlight w:val="none"/>
                <w:lang w:val="en-US" w:eastAsia="zh-CN"/>
              </w:rPr>
              <w:t>mg/L</w:t>
            </w:r>
          </w:p>
        </w:tc>
        <w:tc>
          <w:tcPr>
            <w:tcW w:w="821" w:type="pct"/>
            <w:tcBorders>
              <w:tl2br w:val="nil"/>
              <w:tr2bl w:val="nil"/>
            </w:tcBorders>
            <w:noWrap w:val="0"/>
            <w:vAlign w:val="center"/>
          </w:tcPr>
          <w:p w14:paraId="1E84CDD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kern w:val="2"/>
                <w:sz w:val="21"/>
                <w:szCs w:val="21"/>
                <w:highlight w:val="none"/>
                <w:lang w:val="en-US" w:eastAsia="zh-CN"/>
              </w:rPr>
            </w:pPr>
            <w:r>
              <w:rPr>
                <w:rFonts w:hint="eastAsia" w:ascii="宋体" w:hAnsi="宋体" w:eastAsia="宋体" w:cs="宋体"/>
                <w:kern w:val="2"/>
                <w:sz w:val="21"/>
                <w:szCs w:val="21"/>
                <w:highlight w:val="none"/>
                <w:lang w:val="en-US" w:eastAsia="zh-CN"/>
              </w:rPr>
              <w:t>0.079</w:t>
            </w:r>
          </w:p>
        </w:tc>
        <w:tc>
          <w:tcPr>
            <w:tcW w:w="1039" w:type="pct"/>
            <w:tcBorders>
              <w:tl2br w:val="nil"/>
              <w:tr2bl w:val="nil"/>
            </w:tcBorders>
            <w:noWrap w:val="0"/>
            <w:vAlign w:val="center"/>
          </w:tcPr>
          <w:p w14:paraId="205D519A">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0.260</w:t>
            </w:r>
          </w:p>
        </w:tc>
        <w:tc>
          <w:tcPr>
            <w:tcW w:w="990" w:type="pct"/>
            <w:tcBorders>
              <w:tl2br w:val="nil"/>
              <w:tr2bl w:val="nil"/>
            </w:tcBorders>
            <w:noWrap w:val="0"/>
            <w:vAlign w:val="center"/>
          </w:tcPr>
          <w:p w14:paraId="70B91B76">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0.396</w:t>
            </w:r>
          </w:p>
        </w:tc>
        <w:tc>
          <w:tcPr>
            <w:tcW w:w="812" w:type="pct"/>
            <w:tcBorders>
              <w:tl2br w:val="nil"/>
              <w:tr2bl w:val="nil"/>
            </w:tcBorders>
            <w:noWrap w:val="0"/>
            <w:vAlign w:val="center"/>
          </w:tcPr>
          <w:p w14:paraId="22949468">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val="0"/>
                <w:bCs/>
                <w:color w:val="000000"/>
                <w:sz w:val="21"/>
                <w:szCs w:val="21"/>
                <w:highlight w:val="none"/>
              </w:rPr>
              <w:t>1</w:t>
            </w:r>
          </w:p>
        </w:tc>
      </w:tr>
      <w:tr w14:paraId="7B5D716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434" w:type="pct"/>
            <w:vMerge w:val="continue"/>
            <w:tcBorders>
              <w:tl2br w:val="nil"/>
              <w:tr2bl w:val="nil"/>
            </w:tcBorders>
            <w:noWrap w:val="0"/>
            <w:vAlign w:val="center"/>
          </w:tcPr>
          <w:p w14:paraId="65CACB1A">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color w:val="auto"/>
                <w:sz w:val="21"/>
                <w:szCs w:val="21"/>
                <w:highlight w:val="none"/>
                <w:vertAlign w:val="baseline"/>
                <w:lang w:val="en-US" w:eastAsia="zh-CN"/>
              </w:rPr>
            </w:pPr>
          </w:p>
        </w:tc>
        <w:tc>
          <w:tcPr>
            <w:tcW w:w="902" w:type="pct"/>
            <w:tcBorders>
              <w:tl2br w:val="nil"/>
              <w:tr2bl w:val="nil"/>
            </w:tcBorders>
            <w:noWrap w:val="0"/>
            <w:vAlign w:val="center"/>
          </w:tcPr>
          <w:p w14:paraId="773A8D57">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kern w:val="2"/>
                <w:sz w:val="21"/>
                <w:szCs w:val="21"/>
                <w:highlight w:val="none"/>
                <w:lang w:val="en-US" w:eastAsia="zh-CN"/>
              </w:rPr>
            </w:pPr>
            <w:r>
              <w:rPr>
                <w:rFonts w:hint="eastAsia" w:ascii="宋体" w:hAnsi="宋体" w:eastAsia="宋体" w:cs="宋体"/>
                <w:sz w:val="21"/>
                <w:szCs w:val="21"/>
                <w:highlight w:val="none"/>
                <w:lang w:eastAsia="zh-CN"/>
              </w:rPr>
              <w:t>亚硝酸盐</w:t>
            </w:r>
            <w:r>
              <w:rPr>
                <w:rFonts w:hint="eastAsia" w:ascii="宋体" w:hAnsi="宋体" w:eastAsia="宋体" w:cs="宋体"/>
                <w:color w:val="auto"/>
                <w:sz w:val="21"/>
                <w:szCs w:val="21"/>
                <w:highlight w:val="none"/>
                <w:lang w:val="en-US" w:eastAsia="zh-CN"/>
              </w:rPr>
              <w:t>mg/L</w:t>
            </w:r>
          </w:p>
        </w:tc>
        <w:tc>
          <w:tcPr>
            <w:tcW w:w="821" w:type="pct"/>
            <w:tcBorders>
              <w:tl2br w:val="nil"/>
              <w:tr2bl w:val="nil"/>
            </w:tcBorders>
            <w:noWrap w:val="0"/>
            <w:vAlign w:val="center"/>
          </w:tcPr>
          <w:p w14:paraId="172ADA3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kern w:val="2"/>
                <w:sz w:val="21"/>
                <w:szCs w:val="21"/>
                <w:highlight w:val="none"/>
                <w:lang w:val="en-US" w:eastAsia="zh-CN"/>
              </w:rPr>
            </w:pPr>
            <w:r>
              <w:rPr>
                <w:rFonts w:hint="eastAsia" w:ascii="宋体" w:hAnsi="宋体" w:eastAsia="宋体" w:cs="宋体"/>
                <w:kern w:val="2"/>
                <w:sz w:val="21"/>
                <w:szCs w:val="21"/>
                <w:highlight w:val="none"/>
                <w:lang w:val="en-US" w:eastAsia="zh-CN"/>
              </w:rPr>
              <w:t>ND</w:t>
            </w:r>
          </w:p>
        </w:tc>
        <w:tc>
          <w:tcPr>
            <w:tcW w:w="1039" w:type="pct"/>
            <w:tcBorders>
              <w:tl2br w:val="nil"/>
              <w:tr2bl w:val="nil"/>
            </w:tcBorders>
            <w:noWrap w:val="0"/>
            <w:vAlign w:val="center"/>
          </w:tcPr>
          <w:p w14:paraId="099513D9">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color w:val="auto"/>
                <w:kern w:val="2"/>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ND</w:t>
            </w:r>
          </w:p>
        </w:tc>
        <w:tc>
          <w:tcPr>
            <w:tcW w:w="990" w:type="pct"/>
            <w:tcBorders>
              <w:tl2br w:val="nil"/>
              <w:tr2bl w:val="nil"/>
            </w:tcBorders>
            <w:noWrap w:val="0"/>
            <w:vAlign w:val="center"/>
          </w:tcPr>
          <w:p w14:paraId="6C88AEE0">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color w:val="000000"/>
                <w:kern w:val="2"/>
                <w:sz w:val="21"/>
                <w:szCs w:val="21"/>
                <w:highlight w:val="none"/>
                <w:lang w:val="en-US" w:eastAsia="zh-CN"/>
              </w:rPr>
            </w:pPr>
            <w:r>
              <w:rPr>
                <w:rFonts w:hint="eastAsia" w:ascii="宋体" w:hAnsi="宋体" w:eastAsia="宋体" w:cs="宋体"/>
                <w:color w:val="000000"/>
                <w:sz w:val="21"/>
                <w:szCs w:val="21"/>
                <w:highlight w:val="none"/>
                <w:lang w:val="en-US" w:eastAsia="zh-CN"/>
              </w:rPr>
              <w:t>ND</w:t>
            </w:r>
          </w:p>
        </w:tc>
        <w:tc>
          <w:tcPr>
            <w:tcW w:w="812" w:type="pct"/>
            <w:tcBorders>
              <w:tl2br w:val="nil"/>
              <w:tr2bl w:val="nil"/>
            </w:tcBorders>
            <w:noWrap w:val="0"/>
            <w:vAlign w:val="center"/>
          </w:tcPr>
          <w:p w14:paraId="7CD76BA7">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b w:val="0"/>
                <w:bCs/>
                <w:sz w:val="21"/>
                <w:szCs w:val="21"/>
                <w:highlight w:val="none"/>
              </w:rPr>
              <w:t>0.02</w:t>
            </w:r>
          </w:p>
        </w:tc>
      </w:tr>
      <w:tr w14:paraId="4D2F5FC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434" w:type="pct"/>
            <w:vMerge w:val="restart"/>
            <w:tcBorders>
              <w:tl2br w:val="nil"/>
              <w:tr2bl w:val="nil"/>
            </w:tcBorders>
            <w:noWrap w:val="0"/>
            <w:vAlign w:val="center"/>
          </w:tcPr>
          <w:p w14:paraId="5C8EE178">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5.19</w:t>
            </w:r>
          </w:p>
        </w:tc>
        <w:tc>
          <w:tcPr>
            <w:tcW w:w="902" w:type="pct"/>
            <w:tcBorders>
              <w:tl2br w:val="nil"/>
              <w:tr2bl w:val="nil"/>
            </w:tcBorders>
            <w:noWrap w:val="0"/>
            <w:vAlign w:val="center"/>
          </w:tcPr>
          <w:p w14:paraId="611E3FA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sz w:val="21"/>
                <w:szCs w:val="21"/>
                <w:highlight w:val="none"/>
                <w:lang w:eastAsia="zh-CN"/>
              </w:rPr>
            </w:pPr>
            <w:r>
              <w:rPr>
                <w:rFonts w:hint="eastAsia" w:ascii="宋体" w:hAnsi="宋体" w:eastAsia="宋体" w:cs="宋体"/>
                <w:kern w:val="2"/>
                <w:sz w:val="21"/>
                <w:szCs w:val="21"/>
                <w:lang w:val="en-US" w:eastAsia="zh-CN"/>
              </w:rPr>
              <w:t>K</w:t>
            </w:r>
            <w:r>
              <w:rPr>
                <w:rFonts w:hint="eastAsia" w:ascii="宋体" w:hAnsi="宋体" w:eastAsia="宋体" w:cs="宋体"/>
                <w:kern w:val="2"/>
                <w:sz w:val="21"/>
                <w:szCs w:val="21"/>
                <w:vertAlign w:val="superscript"/>
                <w:lang w:val="en-US" w:eastAsia="zh-CN"/>
              </w:rPr>
              <w:t>+</w:t>
            </w:r>
          </w:p>
        </w:tc>
        <w:tc>
          <w:tcPr>
            <w:tcW w:w="821" w:type="pct"/>
            <w:tcBorders>
              <w:tl2br w:val="nil"/>
              <w:tr2bl w:val="nil"/>
            </w:tcBorders>
            <w:noWrap w:val="0"/>
            <w:vAlign w:val="center"/>
          </w:tcPr>
          <w:p w14:paraId="40C28F8F">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宋体" w:hAnsi="宋体" w:eastAsia="宋体" w:cs="宋体"/>
                <w:kern w:val="2"/>
                <w:sz w:val="21"/>
                <w:szCs w:val="21"/>
                <w:highlight w:val="none"/>
                <w:lang w:val="en-US" w:eastAsia="zh-CN"/>
              </w:rPr>
            </w:pPr>
            <w:r>
              <w:rPr>
                <w:rFonts w:hint="eastAsia" w:ascii="宋体" w:hAnsi="宋体" w:cs="宋体"/>
                <w:kern w:val="2"/>
                <w:sz w:val="21"/>
                <w:szCs w:val="21"/>
                <w:lang w:val="en-US" w:eastAsia="zh-CN"/>
              </w:rPr>
              <w:t>15.3</w:t>
            </w:r>
          </w:p>
        </w:tc>
        <w:tc>
          <w:tcPr>
            <w:tcW w:w="1039" w:type="pct"/>
            <w:tcBorders>
              <w:tl2br w:val="nil"/>
              <w:tr2bl w:val="nil"/>
            </w:tcBorders>
            <w:noWrap w:val="0"/>
            <w:vAlign w:val="center"/>
          </w:tcPr>
          <w:p w14:paraId="4B347832">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宋体" w:hAnsi="宋体" w:eastAsia="宋体" w:cs="宋体"/>
                <w:color w:val="auto"/>
                <w:sz w:val="21"/>
                <w:szCs w:val="21"/>
                <w:highlight w:val="none"/>
                <w:vertAlign w:val="baseline"/>
                <w:lang w:val="en-US" w:eastAsia="zh-CN"/>
              </w:rPr>
            </w:pPr>
            <w:r>
              <w:rPr>
                <w:rFonts w:hint="eastAsia" w:ascii="宋体" w:hAnsi="宋体" w:cs="宋体"/>
                <w:color w:val="auto"/>
                <w:sz w:val="21"/>
                <w:szCs w:val="21"/>
                <w:lang w:val="en-US" w:eastAsia="zh-CN"/>
              </w:rPr>
              <w:t>0.745</w:t>
            </w:r>
          </w:p>
        </w:tc>
        <w:tc>
          <w:tcPr>
            <w:tcW w:w="990" w:type="pct"/>
            <w:tcBorders>
              <w:tl2br w:val="nil"/>
              <w:tr2bl w:val="nil"/>
            </w:tcBorders>
            <w:noWrap w:val="0"/>
            <w:vAlign w:val="center"/>
          </w:tcPr>
          <w:p w14:paraId="6F737E5E">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宋体" w:hAnsi="宋体" w:eastAsia="宋体" w:cs="宋体"/>
                <w:color w:val="000000"/>
                <w:sz w:val="21"/>
                <w:szCs w:val="21"/>
                <w:highlight w:val="none"/>
                <w:lang w:val="en-US" w:eastAsia="zh-CN"/>
              </w:rPr>
            </w:pPr>
            <w:r>
              <w:rPr>
                <w:rFonts w:hint="eastAsia" w:ascii="宋体" w:hAnsi="宋体" w:cs="宋体"/>
                <w:color w:val="auto"/>
                <w:sz w:val="21"/>
                <w:szCs w:val="21"/>
                <w:lang w:val="en-US" w:eastAsia="zh-CN"/>
              </w:rPr>
              <w:t>10.2</w:t>
            </w:r>
          </w:p>
        </w:tc>
        <w:tc>
          <w:tcPr>
            <w:tcW w:w="812" w:type="pct"/>
            <w:tcBorders>
              <w:tl2br w:val="nil"/>
              <w:tr2bl w:val="nil"/>
            </w:tcBorders>
            <w:noWrap w:val="0"/>
            <w:vAlign w:val="center"/>
          </w:tcPr>
          <w:p w14:paraId="076054C8">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b w:val="0"/>
                <w:bCs/>
                <w:sz w:val="21"/>
                <w:szCs w:val="21"/>
                <w:highlight w:val="none"/>
              </w:rPr>
            </w:pPr>
            <w:r>
              <w:rPr>
                <w:rFonts w:hint="eastAsia" w:ascii="宋体" w:hAnsi="宋体" w:eastAsia="宋体" w:cs="宋体"/>
                <w:color w:val="000000"/>
                <w:kern w:val="0"/>
                <w:sz w:val="21"/>
                <w:szCs w:val="21"/>
                <w:highlight w:val="none"/>
                <w:lang w:val="en-US"/>
              </w:rPr>
              <w:t>/</w:t>
            </w:r>
          </w:p>
        </w:tc>
      </w:tr>
      <w:tr w14:paraId="7D78D3D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434" w:type="pct"/>
            <w:vMerge w:val="continue"/>
            <w:tcBorders>
              <w:tl2br w:val="nil"/>
              <w:tr2bl w:val="nil"/>
            </w:tcBorders>
            <w:noWrap w:val="0"/>
            <w:vAlign w:val="center"/>
          </w:tcPr>
          <w:p w14:paraId="210E21B9">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color w:val="auto"/>
                <w:sz w:val="21"/>
                <w:szCs w:val="21"/>
                <w:highlight w:val="none"/>
                <w:vertAlign w:val="baseline"/>
                <w:lang w:val="en-US" w:eastAsia="zh-CN"/>
              </w:rPr>
            </w:pPr>
          </w:p>
        </w:tc>
        <w:tc>
          <w:tcPr>
            <w:tcW w:w="902" w:type="pct"/>
            <w:tcBorders>
              <w:tl2br w:val="nil"/>
              <w:tr2bl w:val="nil"/>
            </w:tcBorders>
            <w:noWrap w:val="0"/>
            <w:vAlign w:val="center"/>
          </w:tcPr>
          <w:p w14:paraId="3AD8B800">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sz w:val="21"/>
                <w:szCs w:val="21"/>
                <w:highlight w:val="none"/>
                <w:lang w:eastAsia="zh-CN"/>
              </w:rPr>
            </w:pPr>
            <w:r>
              <w:rPr>
                <w:rFonts w:hint="eastAsia" w:ascii="宋体" w:hAnsi="宋体" w:eastAsia="宋体" w:cs="宋体"/>
                <w:kern w:val="2"/>
                <w:sz w:val="21"/>
                <w:szCs w:val="21"/>
                <w:lang w:val="en-US" w:eastAsia="zh-CN"/>
              </w:rPr>
              <w:t>Na</w:t>
            </w:r>
            <w:r>
              <w:rPr>
                <w:rFonts w:hint="eastAsia" w:ascii="宋体" w:hAnsi="宋体" w:eastAsia="宋体" w:cs="宋体"/>
                <w:kern w:val="2"/>
                <w:sz w:val="21"/>
                <w:szCs w:val="21"/>
                <w:vertAlign w:val="superscript"/>
                <w:lang w:val="en-US" w:eastAsia="zh-CN"/>
              </w:rPr>
              <w:t>+</w:t>
            </w:r>
          </w:p>
        </w:tc>
        <w:tc>
          <w:tcPr>
            <w:tcW w:w="821" w:type="pct"/>
            <w:tcBorders>
              <w:tl2br w:val="nil"/>
              <w:tr2bl w:val="nil"/>
            </w:tcBorders>
            <w:noWrap w:val="0"/>
            <w:vAlign w:val="center"/>
          </w:tcPr>
          <w:p w14:paraId="293B32FC">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宋体" w:hAnsi="宋体" w:eastAsia="宋体" w:cs="宋体"/>
                <w:kern w:val="2"/>
                <w:sz w:val="21"/>
                <w:szCs w:val="21"/>
                <w:highlight w:val="none"/>
                <w:lang w:val="en-US" w:eastAsia="zh-CN"/>
              </w:rPr>
            </w:pPr>
            <w:r>
              <w:rPr>
                <w:rFonts w:hint="eastAsia" w:ascii="宋体" w:hAnsi="宋体" w:cs="宋体"/>
                <w:kern w:val="2"/>
                <w:sz w:val="21"/>
                <w:szCs w:val="21"/>
                <w:lang w:val="en-US" w:eastAsia="zh-CN"/>
              </w:rPr>
              <w:t>36.2</w:t>
            </w:r>
          </w:p>
        </w:tc>
        <w:tc>
          <w:tcPr>
            <w:tcW w:w="1039" w:type="pct"/>
            <w:tcBorders>
              <w:tl2br w:val="nil"/>
              <w:tr2bl w:val="nil"/>
            </w:tcBorders>
            <w:noWrap w:val="0"/>
            <w:vAlign w:val="center"/>
          </w:tcPr>
          <w:p w14:paraId="503E2B11">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宋体" w:hAnsi="宋体" w:eastAsia="宋体" w:cs="宋体"/>
                <w:color w:val="auto"/>
                <w:sz w:val="21"/>
                <w:szCs w:val="21"/>
                <w:highlight w:val="none"/>
                <w:vertAlign w:val="baseline"/>
                <w:lang w:val="en-US" w:eastAsia="zh-CN"/>
              </w:rPr>
            </w:pPr>
            <w:r>
              <w:rPr>
                <w:rFonts w:hint="eastAsia" w:ascii="宋体" w:hAnsi="宋体" w:cs="宋体"/>
                <w:color w:val="auto"/>
                <w:sz w:val="21"/>
                <w:szCs w:val="21"/>
                <w:lang w:val="en-US" w:eastAsia="zh-CN"/>
              </w:rPr>
              <w:t>27.8</w:t>
            </w:r>
          </w:p>
        </w:tc>
        <w:tc>
          <w:tcPr>
            <w:tcW w:w="990" w:type="pct"/>
            <w:tcBorders>
              <w:tl2br w:val="nil"/>
              <w:tr2bl w:val="nil"/>
            </w:tcBorders>
            <w:noWrap w:val="0"/>
            <w:vAlign w:val="center"/>
          </w:tcPr>
          <w:p w14:paraId="2A768F0C">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宋体" w:hAnsi="宋体" w:eastAsia="宋体" w:cs="宋体"/>
                <w:color w:val="000000"/>
                <w:sz w:val="21"/>
                <w:szCs w:val="21"/>
                <w:highlight w:val="none"/>
                <w:lang w:val="en-US" w:eastAsia="zh-CN"/>
              </w:rPr>
            </w:pPr>
            <w:r>
              <w:rPr>
                <w:rFonts w:hint="eastAsia" w:ascii="宋体" w:hAnsi="宋体" w:cs="宋体"/>
                <w:color w:val="auto"/>
                <w:sz w:val="21"/>
                <w:szCs w:val="21"/>
                <w:lang w:val="en-US" w:eastAsia="zh-CN"/>
              </w:rPr>
              <w:t>30.3</w:t>
            </w:r>
          </w:p>
        </w:tc>
        <w:tc>
          <w:tcPr>
            <w:tcW w:w="812" w:type="pct"/>
            <w:tcBorders>
              <w:tl2br w:val="nil"/>
              <w:tr2bl w:val="nil"/>
            </w:tcBorders>
            <w:noWrap w:val="0"/>
            <w:vAlign w:val="center"/>
          </w:tcPr>
          <w:p w14:paraId="046FA34D">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b w:val="0"/>
                <w:bCs/>
                <w:sz w:val="21"/>
                <w:szCs w:val="21"/>
                <w:highlight w:val="none"/>
              </w:rPr>
            </w:pPr>
            <w:r>
              <w:rPr>
                <w:rFonts w:hint="eastAsia" w:ascii="宋体" w:hAnsi="宋体" w:eastAsia="宋体" w:cs="宋体"/>
                <w:color w:val="000000"/>
                <w:sz w:val="21"/>
                <w:szCs w:val="21"/>
                <w:highlight w:val="none"/>
                <w:lang w:val="en-US"/>
              </w:rPr>
              <w:t>200</w:t>
            </w:r>
          </w:p>
        </w:tc>
      </w:tr>
      <w:tr w14:paraId="0CA1966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434" w:type="pct"/>
            <w:vMerge w:val="continue"/>
            <w:tcBorders>
              <w:tl2br w:val="nil"/>
              <w:tr2bl w:val="nil"/>
            </w:tcBorders>
            <w:noWrap w:val="0"/>
            <w:vAlign w:val="center"/>
          </w:tcPr>
          <w:p w14:paraId="7C954781">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color w:val="auto"/>
                <w:sz w:val="21"/>
                <w:szCs w:val="21"/>
                <w:highlight w:val="none"/>
                <w:vertAlign w:val="baseline"/>
                <w:lang w:val="en-US" w:eastAsia="zh-CN"/>
              </w:rPr>
            </w:pPr>
          </w:p>
        </w:tc>
        <w:tc>
          <w:tcPr>
            <w:tcW w:w="902" w:type="pct"/>
            <w:tcBorders>
              <w:tl2br w:val="nil"/>
              <w:tr2bl w:val="nil"/>
            </w:tcBorders>
            <w:noWrap w:val="0"/>
            <w:vAlign w:val="center"/>
          </w:tcPr>
          <w:p w14:paraId="295718C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sz w:val="21"/>
                <w:szCs w:val="21"/>
                <w:highlight w:val="none"/>
                <w:lang w:eastAsia="zh-CN"/>
              </w:rPr>
            </w:pPr>
            <w:r>
              <w:rPr>
                <w:rFonts w:hint="eastAsia" w:ascii="宋体" w:hAnsi="宋体" w:eastAsia="宋体" w:cs="宋体"/>
                <w:kern w:val="2"/>
                <w:sz w:val="21"/>
                <w:szCs w:val="21"/>
                <w:lang w:val="en-US" w:eastAsia="zh-CN"/>
              </w:rPr>
              <w:t>Ca</w:t>
            </w:r>
            <w:r>
              <w:rPr>
                <w:rFonts w:hint="eastAsia" w:ascii="宋体" w:hAnsi="宋体" w:eastAsia="宋体" w:cs="宋体"/>
                <w:kern w:val="2"/>
                <w:sz w:val="21"/>
                <w:szCs w:val="21"/>
                <w:vertAlign w:val="superscript"/>
                <w:lang w:val="en-US" w:eastAsia="zh-CN"/>
              </w:rPr>
              <w:t>2+</w:t>
            </w:r>
          </w:p>
        </w:tc>
        <w:tc>
          <w:tcPr>
            <w:tcW w:w="821" w:type="pct"/>
            <w:tcBorders>
              <w:tl2br w:val="nil"/>
              <w:tr2bl w:val="nil"/>
            </w:tcBorders>
            <w:noWrap w:val="0"/>
            <w:vAlign w:val="center"/>
          </w:tcPr>
          <w:p w14:paraId="35D96F59">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宋体" w:hAnsi="宋体" w:eastAsia="宋体" w:cs="宋体"/>
                <w:kern w:val="2"/>
                <w:sz w:val="21"/>
                <w:szCs w:val="21"/>
                <w:highlight w:val="none"/>
                <w:lang w:val="en-US" w:eastAsia="zh-CN"/>
              </w:rPr>
            </w:pPr>
            <w:r>
              <w:rPr>
                <w:rFonts w:hint="eastAsia" w:ascii="宋体" w:hAnsi="宋体" w:cs="宋体"/>
                <w:kern w:val="2"/>
                <w:sz w:val="21"/>
                <w:szCs w:val="21"/>
                <w:lang w:val="en-US" w:eastAsia="zh-CN"/>
              </w:rPr>
              <w:t>111</w:t>
            </w:r>
          </w:p>
        </w:tc>
        <w:tc>
          <w:tcPr>
            <w:tcW w:w="1039" w:type="pct"/>
            <w:tcBorders>
              <w:tl2br w:val="nil"/>
              <w:tr2bl w:val="nil"/>
            </w:tcBorders>
            <w:noWrap w:val="0"/>
            <w:vAlign w:val="center"/>
          </w:tcPr>
          <w:p w14:paraId="6840ED98">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宋体" w:hAnsi="宋体" w:eastAsia="宋体" w:cs="宋体"/>
                <w:color w:val="auto"/>
                <w:sz w:val="21"/>
                <w:szCs w:val="21"/>
                <w:highlight w:val="none"/>
                <w:vertAlign w:val="baseline"/>
                <w:lang w:val="en-US" w:eastAsia="zh-CN"/>
              </w:rPr>
            </w:pPr>
            <w:r>
              <w:rPr>
                <w:rFonts w:hint="eastAsia" w:ascii="宋体" w:hAnsi="宋体" w:cs="宋体"/>
                <w:color w:val="auto"/>
                <w:sz w:val="21"/>
                <w:szCs w:val="21"/>
                <w:lang w:val="en-US" w:eastAsia="zh-CN"/>
              </w:rPr>
              <w:t>171</w:t>
            </w:r>
          </w:p>
        </w:tc>
        <w:tc>
          <w:tcPr>
            <w:tcW w:w="990" w:type="pct"/>
            <w:tcBorders>
              <w:tl2br w:val="nil"/>
              <w:tr2bl w:val="nil"/>
            </w:tcBorders>
            <w:noWrap w:val="0"/>
            <w:vAlign w:val="center"/>
          </w:tcPr>
          <w:p w14:paraId="40EBACB8">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宋体" w:hAnsi="宋体" w:eastAsia="宋体" w:cs="宋体"/>
                <w:color w:val="000000"/>
                <w:sz w:val="21"/>
                <w:szCs w:val="21"/>
                <w:highlight w:val="none"/>
                <w:lang w:val="en-US" w:eastAsia="zh-CN"/>
              </w:rPr>
            </w:pPr>
            <w:r>
              <w:rPr>
                <w:rFonts w:hint="eastAsia" w:ascii="宋体" w:hAnsi="宋体" w:cs="宋体"/>
                <w:color w:val="auto"/>
                <w:sz w:val="21"/>
                <w:szCs w:val="21"/>
                <w:lang w:val="en-US" w:eastAsia="zh-CN"/>
              </w:rPr>
              <w:t>55.8</w:t>
            </w:r>
          </w:p>
        </w:tc>
        <w:tc>
          <w:tcPr>
            <w:tcW w:w="812" w:type="pct"/>
            <w:tcBorders>
              <w:tl2br w:val="nil"/>
              <w:tr2bl w:val="nil"/>
            </w:tcBorders>
            <w:noWrap w:val="0"/>
            <w:vAlign w:val="center"/>
          </w:tcPr>
          <w:p w14:paraId="16ABF89E">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b w:val="0"/>
                <w:bCs/>
                <w:sz w:val="21"/>
                <w:szCs w:val="21"/>
                <w:highlight w:val="none"/>
              </w:rPr>
            </w:pPr>
            <w:r>
              <w:rPr>
                <w:rFonts w:hint="eastAsia" w:ascii="宋体" w:hAnsi="宋体" w:eastAsia="宋体" w:cs="宋体"/>
                <w:color w:val="000000"/>
                <w:kern w:val="0"/>
                <w:sz w:val="21"/>
                <w:szCs w:val="21"/>
                <w:highlight w:val="none"/>
                <w:lang w:val="en-US"/>
              </w:rPr>
              <w:t>/</w:t>
            </w:r>
          </w:p>
        </w:tc>
      </w:tr>
      <w:tr w14:paraId="349A357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434" w:type="pct"/>
            <w:vMerge w:val="continue"/>
            <w:tcBorders>
              <w:tl2br w:val="nil"/>
              <w:tr2bl w:val="nil"/>
            </w:tcBorders>
            <w:noWrap w:val="0"/>
            <w:vAlign w:val="center"/>
          </w:tcPr>
          <w:p w14:paraId="4225F287">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color w:val="auto"/>
                <w:sz w:val="21"/>
                <w:szCs w:val="21"/>
                <w:highlight w:val="none"/>
                <w:vertAlign w:val="baseline"/>
                <w:lang w:val="en-US" w:eastAsia="zh-CN"/>
              </w:rPr>
            </w:pPr>
          </w:p>
        </w:tc>
        <w:tc>
          <w:tcPr>
            <w:tcW w:w="902" w:type="pct"/>
            <w:tcBorders>
              <w:tl2br w:val="nil"/>
              <w:tr2bl w:val="nil"/>
            </w:tcBorders>
            <w:noWrap w:val="0"/>
            <w:vAlign w:val="center"/>
          </w:tcPr>
          <w:p w14:paraId="5E9D734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sz w:val="21"/>
                <w:szCs w:val="21"/>
                <w:highlight w:val="none"/>
                <w:lang w:eastAsia="zh-CN"/>
              </w:rPr>
            </w:pPr>
            <w:r>
              <w:rPr>
                <w:rFonts w:hint="eastAsia" w:ascii="宋体" w:hAnsi="宋体" w:eastAsia="宋体" w:cs="宋体"/>
                <w:kern w:val="2"/>
                <w:sz w:val="21"/>
                <w:szCs w:val="21"/>
                <w:lang w:val="en-US" w:eastAsia="zh-CN"/>
              </w:rPr>
              <w:t>Mg</w:t>
            </w:r>
            <w:r>
              <w:rPr>
                <w:rFonts w:hint="eastAsia" w:ascii="宋体" w:hAnsi="宋体" w:eastAsia="宋体" w:cs="宋体"/>
                <w:kern w:val="2"/>
                <w:sz w:val="21"/>
                <w:szCs w:val="21"/>
                <w:vertAlign w:val="superscript"/>
                <w:lang w:val="en-US" w:eastAsia="zh-CN"/>
              </w:rPr>
              <w:t>2+</w:t>
            </w:r>
          </w:p>
        </w:tc>
        <w:tc>
          <w:tcPr>
            <w:tcW w:w="821" w:type="pct"/>
            <w:tcBorders>
              <w:tl2br w:val="nil"/>
              <w:tr2bl w:val="nil"/>
            </w:tcBorders>
            <w:noWrap w:val="0"/>
            <w:vAlign w:val="center"/>
          </w:tcPr>
          <w:p w14:paraId="5800319A">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宋体" w:hAnsi="宋体" w:eastAsia="宋体" w:cs="宋体"/>
                <w:kern w:val="2"/>
                <w:sz w:val="21"/>
                <w:szCs w:val="21"/>
                <w:highlight w:val="none"/>
                <w:lang w:val="en-US" w:eastAsia="zh-CN"/>
              </w:rPr>
            </w:pPr>
            <w:r>
              <w:rPr>
                <w:rFonts w:hint="eastAsia" w:ascii="宋体" w:hAnsi="宋体" w:cs="宋体"/>
                <w:color w:val="auto"/>
                <w:kern w:val="2"/>
                <w:sz w:val="21"/>
                <w:szCs w:val="21"/>
                <w:lang w:val="en-US" w:eastAsia="zh-CN"/>
              </w:rPr>
              <w:t>25.0</w:t>
            </w:r>
          </w:p>
        </w:tc>
        <w:tc>
          <w:tcPr>
            <w:tcW w:w="1039" w:type="pct"/>
            <w:tcBorders>
              <w:tl2br w:val="nil"/>
              <w:tr2bl w:val="nil"/>
            </w:tcBorders>
            <w:noWrap w:val="0"/>
            <w:vAlign w:val="center"/>
          </w:tcPr>
          <w:p w14:paraId="24702DB3">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宋体" w:hAnsi="宋体" w:eastAsia="宋体" w:cs="宋体"/>
                <w:color w:val="auto"/>
                <w:sz w:val="21"/>
                <w:szCs w:val="21"/>
                <w:highlight w:val="none"/>
                <w:vertAlign w:val="baseline"/>
                <w:lang w:val="en-US" w:eastAsia="zh-CN"/>
              </w:rPr>
            </w:pPr>
            <w:r>
              <w:rPr>
                <w:rFonts w:hint="eastAsia" w:ascii="宋体" w:hAnsi="宋体" w:cs="宋体"/>
                <w:color w:val="auto"/>
                <w:sz w:val="21"/>
                <w:szCs w:val="21"/>
                <w:lang w:val="en-US" w:eastAsia="zh-CN"/>
              </w:rPr>
              <w:t>24.0</w:t>
            </w:r>
          </w:p>
        </w:tc>
        <w:tc>
          <w:tcPr>
            <w:tcW w:w="990" w:type="pct"/>
            <w:tcBorders>
              <w:tl2br w:val="nil"/>
              <w:tr2bl w:val="nil"/>
            </w:tcBorders>
            <w:noWrap w:val="0"/>
            <w:vAlign w:val="center"/>
          </w:tcPr>
          <w:p w14:paraId="4958A840">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宋体" w:hAnsi="宋体" w:eastAsia="宋体" w:cs="宋体"/>
                <w:color w:val="000000"/>
                <w:sz w:val="21"/>
                <w:szCs w:val="21"/>
                <w:highlight w:val="none"/>
                <w:lang w:val="en-US" w:eastAsia="zh-CN"/>
              </w:rPr>
            </w:pPr>
            <w:r>
              <w:rPr>
                <w:rFonts w:hint="eastAsia" w:ascii="宋体" w:hAnsi="宋体" w:cs="宋体"/>
                <w:color w:val="auto"/>
                <w:sz w:val="21"/>
                <w:szCs w:val="21"/>
                <w:lang w:val="en-US" w:eastAsia="zh-CN"/>
              </w:rPr>
              <w:t>11.0</w:t>
            </w:r>
          </w:p>
        </w:tc>
        <w:tc>
          <w:tcPr>
            <w:tcW w:w="812" w:type="pct"/>
            <w:tcBorders>
              <w:tl2br w:val="nil"/>
              <w:tr2bl w:val="nil"/>
            </w:tcBorders>
            <w:noWrap w:val="0"/>
            <w:vAlign w:val="center"/>
          </w:tcPr>
          <w:p w14:paraId="6CB12B0E">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b w:val="0"/>
                <w:bCs/>
                <w:sz w:val="21"/>
                <w:szCs w:val="21"/>
                <w:highlight w:val="none"/>
              </w:rPr>
            </w:pPr>
            <w:r>
              <w:rPr>
                <w:rFonts w:hint="eastAsia" w:ascii="宋体" w:hAnsi="宋体" w:eastAsia="宋体" w:cs="宋体"/>
                <w:color w:val="000000"/>
                <w:kern w:val="0"/>
                <w:sz w:val="21"/>
                <w:szCs w:val="21"/>
                <w:highlight w:val="none"/>
                <w:lang w:val="en-US"/>
              </w:rPr>
              <w:t>/</w:t>
            </w:r>
          </w:p>
        </w:tc>
      </w:tr>
      <w:tr w14:paraId="7733E45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434" w:type="pct"/>
            <w:vMerge w:val="continue"/>
            <w:tcBorders>
              <w:tl2br w:val="nil"/>
              <w:tr2bl w:val="nil"/>
            </w:tcBorders>
            <w:noWrap w:val="0"/>
            <w:vAlign w:val="center"/>
          </w:tcPr>
          <w:p w14:paraId="3721641A">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color w:val="auto"/>
                <w:sz w:val="21"/>
                <w:szCs w:val="21"/>
                <w:highlight w:val="none"/>
                <w:vertAlign w:val="baseline"/>
                <w:lang w:val="en-US" w:eastAsia="zh-CN"/>
              </w:rPr>
            </w:pPr>
          </w:p>
        </w:tc>
        <w:tc>
          <w:tcPr>
            <w:tcW w:w="902" w:type="pct"/>
            <w:tcBorders>
              <w:tl2br w:val="nil"/>
              <w:tr2bl w:val="nil"/>
            </w:tcBorders>
            <w:noWrap w:val="0"/>
            <w:vAlign w:val="center"/>
          </w:tcPr>
          <w:p w14:paraId="3CCDB0E3">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sz w:val="21"/>
                <w:szCs w:val="21"/>
                <w:highlight w:val="none"/>
                <w:lang w:eastAsia="zh-CN"/>
              </w:rPr>
            </w:pPr>
            <w:r>
              <w:rPr>
                <w:rFonts w:hint="eastAsia" w:ascii="宋体" w:hAnsi="宋体" w:eastAsia="宋体" w:cs="宋体"/>
                <w:kern w:val="2"/>
                <w:sz w:val="21"/>
                <w:szCs w:val="21"/>
                <w:lang w:val="en-US" w:eastAsia="zh-CN"/>
              </w:rPr>
              <w:t>碱度</w:t>
            </w:r>
            <w:r>
              <w:rPr>
                <w:rFonts w:hint="eastAsia" w:ascii="宋体" w:hAnsi="宋体" w:cs="宋体"/>
                <w:kern w:val="2"/>
                <w:sz w:val="21"/>
                <w:szCs w:val="21"/>
                <w:lang w:val="en-US" w:eastAsia="zh-CN"/>
              </w:rPr>
              <w:t>（CO3</w:t>
            </w:r>
            <w:r>
              <w:rPr>
                <w:rFonts w:hint="eastAsia" w:ascii="宋体" w:hAnsi="宋体" w:cs="宋体"/>
                <w:kern w:val="2"/>
                <w:sz w:val="21"/>
                <w:szCs w:val="21"/>
                <w:vertAlign w:val="superscript"/>
                <w:lang w:val="en-US" w:eastAsia="zh-CN"/>
              </w:rPr>
              <w:t>2-</w:t>
            </w:r>
            <w:r>
              <w:rPr>
                <w:rFonts w:hint="eastAsia" w:ascii="宋体" w:hAnsi="宋体" w:cs="宋体"/>
                <w:kern w:val="2"/>
                <w:sz w:val="21"/>
                <w:szCs w:val="21"/>
                <w:lang w:val="en-US" w:eastAsia="zh-CN"/>
              </w:rPr>
              <w:t>）</w:t>
            </w:r>
          </w:p>
        </w:tc>
        <w:tc>
          <w:tcPr>
            <w:tcW w:w="821" w:type="pct"/>
            <w:tcBorders>
              <w:tl2br w:val="nil"/>
              <w:tr2bl w:val="nil"/>
            </w:tcBorders>
            <w:noWrap w:val="0"/>
            <w:vAlign w:val="center"/>
          </w:tcPr>
          <w:p w14:paraId="6DFDBD83">
            <w:pPr>
              <w:keepNext w:val="0"/>
              <w:keepLines w:val="0"/>
              <w:pageBreakBefore w:val="0"/>
              <w:widowControl w:val="0"/>
              <w:tabs>
                <w:tab w:val="left" w:pos="9000"/>
              </w:tabs>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kern w:val="2"/>
                <w:sz w:val="21"/>
                <w:szCs w:val="21"/>
                <w:highlight w:val="none"/>
                <w:lang w:val="en-US" w:eastAsia="zh-CN"/>
              </w:rPr>
            </w:pPr>
            <w:r>
              <w:rPr>
                <w:rFonts w:hint="eastAsia" w:ascii="宋体" w:hAnsi="宋体" w:cs="宋体"/>
                <w:color w:val="auto"/>
                <w:kern w:val="2"/>
                <w:sz w:val="21"/>
                <w:szCs w:val="21"/>
                <w:lang w:val="en-US" w:eastAsia="zh-CN" w:bidi="ar-SA"/>
              </w:rPr>
              <w:t>0</w:t>
            </w:r>
          </w:p>
        </w:tc>
        <w:tc>
          <w:tcPr>
            <w:tcW w:w="1039" w:type="pct"/>
            <w:tcBorders>
              <w:tl2br w:val="nil"/>
              <w:tr2bl w:val="nil"/>
            </w:tcBorders>
            <w:noWrap w:val="0"/>
            <w:vAlign w:val="center"/>
          </w:tcPr>
          <w:p w14:paraId="5B319FD4">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cs="宋体"/>
                <w:color w:val="auto"/>
                <w:sz w:val="21"/>
                <w:szCs w:val="21"/>
                <w:lang w:val="en-US" w:eastAsia="zh-CN"/>
              </w:rPr>
              <w:t>0</w:t>
            </w:r>
          </w:p>
        </w:tc>
        <w:tc>
          <w:tcPr>
            <w:tcW w:w="990" w:type="pct"/>
            <w:tcBorders>
              <w:tl2br w:val="nil"/>
              <w:tr2bl w:val="nil"/>
            </w:tcBorders>
            <w:noWrap w:val="0"/>
            <w:vAlign w:val="center"/>
          </w:tcPr>
          <w:p w14:paraId="2E431F80">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color w:val="000000"/>
                <w:sz w:val="21"/>
                <w:szCs w:val="21"/>
                <w:highlight w:val="none"/>
                <w:lang w:val="en-US" w:eastAsia="zh-CN"/>
              </w:rPr>
            </w:pPr>
            <w:r>
              <w:rPr>
                <w:rFonts w:hint="eastAsia" w:ascii="宋体" w:hAnsi="宋体" w:cs="宋体"/>
                <w:color w:val="auto"/>
                <w:sz w:val="21"/>
                <w:szCs w:val="21"/>
                <w:lang w:val="en-US" w:eastAsia="zh-CN"/>
              </w:rPr>
              <w:t>0</w:t>
            </w:r>
          </w:p>
        </w:tc>
        <w:tc>
          <w:tcPr>
            <w:tcW w:w="812" w:type="pct"/>
            <w:tcBorders>
              <w:tl2br w:val="nil"/>
              <w:tr2bl w:val="nil"/>
            </w:tcBorders>
            <w:noWrap w:val="0"/>
            <w:vAlign w:val="center"/>
          </w:tcPr>
          <w:p w14:paraId="4908293A">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b w:val="0"/>
                <w:bCs/>
                <w:sz w:val="21"/>
                <w:szCs w:val="21"/>
                <w:highlight w:val="none"/>
              </w:rPr>
            </w:pPr>
            <w:r>
              <w:rPr>
                <w:rFonts w:hint="eastAsia" w:ascii="宋体" w:hAnsi="宋体" w:eastAsia="宋体" w:cs="宋体"/>
                <w:color w:val="000000"/>
                <w:kern w:val="0"/>
                <w:sz w:val="21"/>
                <w:szCs w:val="21"/>
                <w:highlight w:val="none"/>
                <w:lang w:val="en-US"/>
              </w:rPr>
              <w:t>/</w:t>
            </w:r>
          </w:p>
        </w:tc>
      </w:tr>
      <w:tr w14:paraId="65C23C3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434" w:type="pct"/>
            <w:vMerge w:val="continue"/>
            <w:tcBorders>
              <w:tl2br w:val="nil"/>
              <w:tr2bl w:val="nil"/>
            </w:tcBorders>
            <w:noWrap w:val="0"/>
            <w:vAlign w:val="center"/>
          </w:tcPr>
          <w:p w14:paraId="3C68B2FC">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color w:val="auto"/>
                <w:sz w:val="21"/>
                <w:szCs w:val="21"/>
                <w:highlight w:val="none"/>
                <w:vertAlign w:val="baseline"/>
                <w:lang w:val="en-US" w:eastAsia="zh-CN"/>
              </w:rPr>
            </w:pPr>
          </w:p>
        </w:tc>
        <w:tc>
          <w:tcPr>
            <w:tcW w:w="902" w:type="pct"/>
            <w:tcBorders>
              <w:tl2br w:val="nil"/>
              <w:tr2bl w:val="nil"/>
            </w:tcBorders>
            <w:noWrap w:val="0"/>
            <w:vAlign w:val="center"/>
          </w:tcPr>
          <w:p w14:paraId="22B4F1A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碱度</w:t>
            </w:r>
            <w:r>
              <w:rPr>
                <w:rFonts w:hint="eastAsia" w:ascii="宋体" w:hAnsi="宋体" w:cs="宋体"/>
                <w:kern w:val="2"/>
                <w:sz w:val="21"/>
                <w:szCs w:val="21"/>
                <w:lang w:val="en-US" w:eastAsia="zh-CN"/>
              </w:rPr>
              <w:t>（HCO3-）</w:t>
            </w:r>
          </w:p>
        </w:tc>
        <w:tc>
          <w:tcPr>
            <w:tcW w:w="821" w:type="pct"/>
            <w:tcBorders>
              <w:tl2br w:val="nil"/>
              <w:tr2bl w:val="nil"/>
            </w:tcBorders>
            <w:noWrap w:val="0"/>
            <w:vAlign w:val="center"/>
          </w:tcPr>
          <w:p w14:paraId="53FB0F78">
            <w:pPr>
              <w:keepNext w:val="0"/>
              <w:keepLines w:val="0"/>
              <w:pageBreakBefore w:val="0"/>
              <w:widowControl w:val="0"/>
              <w:tabs>
                <w:tab w:val="left" w:pos="9000"/>
              </w:tabs>
              <w:kinsoku/>
              <w:wordWrap/>
              <w:overflowPunct/>
              <w:topLinePunct w:val="0"/>
              <w:autoSpaceDE/>
              <w:autoSpaceDN/>
              <w:bidi w:val="0"/>
              <w:adjustRightInd/>
              <w:snapToGrid w:val="0"/>
              <w:spacing w:line="240" w:lineRule="auto"/>
              <w:ind w:firstLine="0" w:firstLineChars="0"/>
              <w:jc w:val="center"/>
              <w:textAlignment w:val="auto"/>
              <w:rPr>
                <w:rFonts w:hint="default" w:ascii="宋体" w:hAnsi="宋体" w:cs="宋体"/>
                <w:color w:val="auto"/>
                <w:kern w:val="2"/>
                <w:sz w:val="21"/>
                <w:szCs w:val="21"/>
                <w:lang w:val="en-US" w:eastAsia="zh-CN" w:bidi="ar-SA"/>
              </w:rPr>
            </w:pPr>
            <w:r>
              <w:rPr>
                <w:rFonts w:hint="eastAsia" w:ascii="宋体" w:hAnsi="宋体" w:cs="宋体"/>
                <w:color w:val="auto"/>
                <w:kern w:val="2"/>
                <w:sz w:val="21"/>
                <w:szCs w:val="21"/>
                <w:lang w:val="en-US" w:eastAsia="zh-CN" w:bidi="ar-SA"/>
              </w:rPr>
              <w:t>4.21</w:t>
            </w:r>
          </w:p>
        </w:tc>
        <w:tc>
          <w:tcPr>
            <w:tcW w:w="1039" w:type="pct"/>
            <w:tcBorders>
              <w:tl2br w:val="nil"/>
              <w:tr2bl w:val="nil"/>
            </w:tcBorders>
            <w:noWrap w:val="0"/>
            <w:vAlign w:val="center"/>
          </w:tcPr>
          <w:p w14:paraId="1FBC7C8F">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宋体" w:hAnsi="宋体" w:eastAsia="宋体" w:cs="宋体"/>
                <w:color w:val="auto"/>
                <w:sz w:val="21"/>
                <w:szCs w:val="21"/>
                <w:lang w:val="en-US" w:eastAsia="zh-CN"/>
              </w:rPr>
            </w:pPr>
            <w:r>
              <w:rPr>
                <w:rFonts w:hint="eastAsia" w:ascii="宋体" w:hAnsi="宋体" w:cs="宋体"/>
                <w:color w:val="auto"/>
                <w:sz w:val="21"/>
                <w:szCs w:val="21"/>
                <w:lang w:val="en-US" w:eastAsia="zh-CN"/>
              </w:rPr>
              <w:t>4.42</w:t>
            </w:r>
          </w:p>
        </w:tc>
        <w:tc>
          <w:tcPr>
            <w:tcW w:w="990" w:type="pct"/>
            <w:tcBorders>
              <w:tl2br w:val="nil"/>
              <w:tr2bl w:val="nil"/>
            </w:tcBorders>
            <w:noWrap w:val="0"/>
            <w:vAlign w:val="center"/>
          </w:tcPr>
          <w:p w14:paraId="78BEEF40">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宋体" w:hAnsi="宋体" w:eastAsia="宋体" w:cs="宋体"/>
                <w:color w:val="auto"/>
                <w:sz w:val="21"/>
                <w:szCs w:val="21"/>
                <w:lang w:val="en-US" w:eastAsia="zh-CN"/>
              </w:rPr>
            </w:pPr>
            <w:r>
              <w:rPr>
                <w:rFonts w:hint="eastAsia" w:ascii="宋体" w:hAnsi="宋体" w:cs="宋体"/>
                <w:color w:val="auto"/>
                <w:sz w:val="21"/>
                <w:szCs w:val="21"/>
                <w:lang w:val="en-US" w:eastAsia="zh-CN"/>
              </w:rPr>
              <w:t>4.41</w:t>
            </w:r>
          </w:p>
        </w:tc>
        <w:tc>
          <w:tcPr>
            <w:tcW w:w="812" w:type="pct"/>
            <w:tcBorders>
              <w:tl2br w:val="nil"/>
              <w:tr2bl w:val="nil"/>
            </w:tcBorders>
            <w:noWrap w:val="0"/>
            <w:vAlign w:val="center"/>
          </w:tcPr>
          <w:p w14:paraId="7BF73866">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color w:val="000000"/>
                <w:kern w:val="0"/>
                <w:sz w:val="21"/>
                <w:szCs w:val="21"/>
                <w:highlight w:val="none"/>
                <w:lang w:val="en-US"/>
              </w:rPr>
            </w:pPr>
            <w:r>
              <w:rPr>
                <w:rFonts w:hint="eastAsia" w:ascii="宋体" w:hAnsi="宋体" w:eastAsia="宋体" w:cs="宋体"/>
                <w:color w:val="000000"/>
                <w:kern w:val="0"/>
                <w:sz w:val="21"/>
                <w:szCs w:val="21"/>
                <w:highlight w:val="none"/>
                <w:lang w:val="en-US"/>
              </w:rPr>
              <w:t>/</w:t>
            </w:r>
          </w:p>
        </w:tc>
      </w:tr>
      <w:tr w14:paraId="42209D8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434" w:type="pct"/>
            <w:vMerge w:val="continue"/>
            <w:tcBorders>
              <w:tl2br w:val="nil"/>
              <w:tr2bl w:val="nil"/>
            </w:tcBorders>
            <w:noWrap w:val="0"/>
            <w:vAlign w:val="center"/>
          </w:tcPr>
          <w:p w14:paraId="1B6C861F">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color w:val="auto"/>
                <w:sz w:val="21"/>
                <w:szCs w:val="21"/>
                <w:highlight w:val="none"/>
                <w:vertAlign w:val="baseline"/>
                <w:lang w:val="en-US" w:eastAsia="zh-CN"/>
              </w:rPr>
            </w:pPr>
          </w:p>
        </w:tc>
        <w:tc>
          <w:tcPr>
            <w:tcW w:w="902" w:type="pct"/>
            <w:tcBorders>
              <w:tl2br w:val="nil"/>
              <w:tr2bl w:val="nil"/>
            </w:tcBorders>
            <w:noWrap w:val="0"/>
            <w:vAlign w:val="center"/>
          </w:tcPr>
          <w:p w14:paraId="5878ACD3">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sz w:val="21"/>
                <w:szCs w:val="21"/>
                <w:highlight w:val="none"/>
                <w:lang w:eastAsia="zh-CN"/>
              </w:rPr>
            </w:pPr>
            <w:r>
              <w:rPr>
                <w:rFonts w:hint="eastAsia" w:ascii="宋体" w:hAnsi="宋体" w:eastAsia="宋体" w:cs="宋体"/>
                <w:sz w:val="21"/>
                <w:szCs w:val="21"/>
                <w:lang w:val="en-US" w:eastAsia="zh-CN"/>
              </w:rPr>
              <w:t>SO</w:t>
            </w:r>
            <w:r>
              <w:rPr>
                <w:rFonts w:hint="eastAsia" w:ascii="宋体" w:hAnsi="宋体" w:eastAsia="宋体" w:cs="宋体"/>
                <w:sz w:val="21"/>
                <w:szCs w:val="21"/>
                <w:vertAlign w:val="subscript"/>
                <w:lang w:val="en-US" w:eastAsia="zh-CN"/>
              </w:rPr>
              <w:t>4</w:t>
            </w:r>
            <w:r>
              <w:rPr>
                <w:rFonts w:hint="eastAsia" w:ascii="宋体" w:hAnsi="宋体" w:eastAsia="宋体" w:cs="宋体"/>
                <w:sz w:val="21"/>
                <w:szCs w:val="21"/>
                <w:vertAlign w:val="superscript"/>
                <w:lang w:val="en-US" w:eastAsia="zh-CN"/>
              </w:rPr>
              <w:t>2-</w:t>
            </w:r>
          </w:p>
        </w:tc>
        <w:tc>
          <w:tcPr>
            <w:tcW w:w="821" w:type="pct"/>
            <w:tcBorders>
              <w:tl2br w:val="nil"/>
              <w:tr2bl w:val="nil"/>
            </w:tcBorders>
            <w:noWrap w:val="0"/>
            <w:vAlign w:val="center"/>
          </w:tcPr>
          <w:p w14:paraId="043824C1">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宋体" w:hAnsi="宋体" w:eastAsia="宋体" w:cs="宋体"/>
                <w:kern w:val="2"/>
                <w:sz w:val="21"/>
                <w:szCs w:val="21"/>
                <w:highlight w:val="none"/>
                <w:lang w:val="en-US" w:eastAsia="zh-CN"/>
              </w:rPr>
            </w:pPr>
            <w:r>
              <w:rPr>
                <w:rFonts w:hint="eastAsia" w:ascii="宋体" w:hAnsi="宋体" w:cs="宋体"/>
                <w:color w:val="auto"/>
                <w:kern w:val="2"/>
                <w:sz w:val="21"/>
                <w:szCs w:val="21"/>
                <w:lang w:val="en-US" w:eastAsia="zh-CN"/>
              </w:rPr>
              <w:t>133</w:t>
            </w:r>
          </w:p>
        </w:tc>
        <w:tc>
          <w:tcPr>
            <w:tcW w:w="1039" w:type="pct"/>
            <w:tcBorders>
              <w:tl2br w:val="nil"/>
              <w:tr2bl w:val="nil"/>
            </w:tcBorders>
            <w:noWrap w:val="0"/>
            <w:vAlign w:val="center"/>
          </w:tcPr>
          <w:p w14:paraId="3C0E1A82">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宋体" w:hAnsi="宋体" w:eastAsia="宋体" w:cs="宋体"/>
                <w:color w:val="auto"/>
                <w:sz w:val="21"/>
                <w:szCs w:val="21"/>
                <w:highlight w:val="none"/>
                <w:vertAlign w:val="baseline"/>
                <w:lang w:val="en-US" w:eastAsia="zh-CN"/>
              </w:rPr>
            </w:pPr>
            <w:r>
              <w:rPr>
                <w:rFonts w:hint="eastAsia" w:ascii="宋体" w:hAnsi="宋体" w:cs="宋体"/>
                <w:color w:val="auto"/>
                <w:kern w:val="2"/>
                <w:sz w:val="21"/>
                <w:szCs w:val="21"/>
                <w:lang w:val="en-US" w:eastAsia="zh-CN"/>
              </w:rPr>
              <w:t>177</w:t>
            </w:r>
          </w:p>
        </w:tc>
        <w:tc>
          <w:tcPr>
            <w:tcW w:w="990" w:type="pct"/>
            <w:tcBorders>
              <w:tl2br w:val="nil"/>
              <w:tr2bl w:val="nil"/>
            </w:tcBorders>
            <w:noWrap w:val="0"/>
            <w:vAlign w:val="center"/>
          </w:tcPr>
          <w:p w14:paraId="1B7A21CC">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宋体" w:hAnsi="宋体" w:eastAsia="宋体" w:cs="宋体"/>
                <w:color w:val="000000"/>
                <w:sz w:val="21"/>
                <w:szCs w:val="21"/>
                <w:highlight w:val="none"/>
                <w:lang w:val="en-US" w:eastAsia="zh-CN"/>
              </w:rPr>
            </w:pPr>
            <w:r>
              <w:rPr>
                <w:rFonts w:hint="eastAsia" w:ascii="宋体" w:hAnsi="宋体" w:cs="宋体"/>
                <w:color w:val="auto"/>
                <w:kern w:val="2"/>
                <w:sz w:val="21"/>
                <w:szCs w:val="21"/>
                <w:lang w:val="en-US" w:eastAsia="zh-CN"/>
              </w:rPr>
              <w:t>69.2</w:t>
            </w:r>
          </w:p>
        </w:tc>
        <w:tc>
          <w:tcPr>
            <w:tcW w:w="812" w:type="pct"/>
            <w:tcBorders>
              <w:tl2br w:val="nil"/>
              <w:tr2bl w:val="nil"/>
            </w:tcBorders>
            <w:noWrap w:val="0"/>
            <w:vAlign w:val="center"/>
          </w:tcPr>
          <w:p w14:paraId="0CE63286">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b w:val="0"/>
                <w:bCs/>
                <w:sz w:val="21"/>
                <w:szCs w:val="21"/>
                <w:highlight w:val="none"/>
              </w:rPr>
            </w:pPr>
            <w:r>
              <w:rPr>
                <w:rFonts w:hint="eastAsia" w:ascii="宋体" w:hAnsi="宋体" w:eastAsia="宋体" w:cs="宋体"/>
                <w:color w:val="000000"/>
                <w:sz w:val="21"/>
                <w:szCs w:val="21"/>
                <w:highlight w:val="none"/>
                <w:lang w:val="en-US"/>
              </w:rPr>
              <w:t>250</w:t>
            </w:r>
          </w:p>
        </w:tc>
      </w:tr>
      <w:tr w14:paraId="2B9644E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434" w:type="pct"/>
            <w:vMerge w:val="continue"/>
            <w:tcBorders>
              <w:tl2br w:val="nil"/>
              <w:tr2bl w:val="nil"/>
            </w:tcBorders>
            <w:noWrap w:val="0"/>
            <w:vAlign w:val="center"/>
          </w:tcPr>
          <w:p w14:paraId="1C997B29">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color w:val="auto"/>
                <w:sz w:val="21"/>
                <w:szCs w:val="21"/>
                <w:highlight w:val="none"/>
                <w:vertAlign w:val="baseline"/>
                <w:lang w:val="en-US" w:eastAsia="zh-CN"/>
              </w:rPr>
            </w:pPr>
          </w:p>
        </w:tc>
        <w:tc>
          <w:tcPr>
            <w:tcW w:w="902" w:type="pct"/>
            <w:tcBorders>
              <w:tl2br w:val="nil"/>
              <w:tr2bl w:val="nil"/>
            </w:tcBorders>
            <w:noWrap w:val="0"/>
            <w:vAlign w:val="center"/>
          </w:tcPr>
          <w:p w14:paraId="5A428F3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sz w:val="21"/>
                <w:szCs w:val="21"/>
                <w:highlight w:val="none"/>
                <w:lang w:eastAsia="zh-CN"/>
              </w:rPr>
            </w:pPr>
            <w:r>
              <w:rPr>
                <w:rFonts w:hint="eastAsia" w:ascii="宋体" w:hAnsi="宋体" w:eastAsia="宋体" w:cs="宋体"/>
                <w:sz w:val="21"/>
                <w:szCs w:val="21"/>
                <w:lang w:val="en-US" w:eastAsia="zh-CN"/>
              </w:rPr>
              <w:t>Cl-</w:t>
            </w:r>
          </w:p>
        </w:tc>
        <w:tc>
          <w:tcPr>
            <w:tcW w:w="821" w:type="pct"/>
            <w:tcBorders>
              <w:tl2br w:val="nil"/>
              <w:tr2bl w:val="nil"/>
            </w:tcBorders>
            <w:noWrap w:val="0"/>
            <w:vAlign w:val="center"/>
          </w:tcPr>
          <w:p w14:paraId="2C676D21">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宋体" w:hAnsi="宋体" w:eastAsia="宋体" w:cs="宋体"/>
                <w:kern w:val="2"/>
                <w:sz w:val="21"/>
                <w:szCs w:val="21"/>
                <w:highlight w:val="none"/>
                <w:lang w:val="en-US" w:eastAsia="zh-CN"/>
              </w:rPr>
            </w:pPr>
            <w:r>
              <w:rPr>
                <w:rFonts w:hint="eastAsia" w:ascii="宋体" w:hAnsi="宋体" w:cs="宋体"/>
                <w:color w:val="auto"/>
                <w:kern w:val="2"/>
                <w:sz w:val="21"/>
                <w:szCs w:val="21"/>
                <w:lang w:val="en-US" w:eastAsia="zh-CN"/>
              </w:rPr>
              <w:t>41.1</w:t>
            </w:r>
          </w:p>
        </w:tc>
        <w:tc>
          <w:tcPr>
            <w:tcW w:w="1039" w:type="pct"/>
            <w:tcBorders>
              <w:tl2br w:val="nil"/>
              <w:tr2bl w:val="nil"/>
            </w:tcBorders>
            <w:noWrap w:val="0"/>
            <w:vAlign w:val="center"/>
          </w:tcPr>
          <w:p w14:paraId="4CD7A312">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宋体" w:hAnsi="宋体" w:eastAsia="宋体" w:cs="宋体"/>
                <w:color w:val="auto"/>
                <w:sz w:val="21"/>
                <w:szCs w:val="21"/>
                <w:highlight w:val="none"/>
                <w:vertAlign w:val="baseline"/>
                <w:lang w:val="en-US" w:eastAsia="zh-CN"/>
              </w:rPr>
            </w:pPr>
            <w:r>
              <w:rPr>
                <w:rFonts w:hint="eastAsia" w:ascii="宋体" w:hAnsi="宋体" w:cs="宋体"/>
                <w:color w:val="auto"/>
                <w:sz w:val="21"/>
                <w:szCs w:val="21"/>
                <w:vertAlign w:val="baseline"/>
                <w:lang w:val="en-US" w:eastAsia="zh-CN"/>
              </w:rPr>
              <w:t>51.2</w:t>
            </w:r>
          </w:p>
        </w:tc>
        <w:tc>
          <w:tcPr>
            <w:tcW w:w="990" w:type="pct"/>
            <w:tcBorders>
              <w:tl2br w:val="nil"/>
              <w:tr2bl w:val="nil"/>
            </w:tcBorders>
            <w:noWrap w:val="0"/>
            <w:vAlign w:val="center"/>
          </w:tcPr>
          <w:p w14:paraId="3FD97F06">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宋体" w:hAnsi="宋体" w:eastAsia="宋体" w:cs="宋体"/>
                <w:color w:val="000000"/>
                <w:sz w:val="21"/>
                <w:szCs w:val="21"/>
                <w:highlight w:val="none"/>
                <w:lang w:val="en-US" w:eastAsia="zh-CN"/>
              </w:rPr>
            </w:pPr>
            <w:r>
              <w:rPr>
                <w:rFonts w:hint="eastAsia" w:ascii="宋体" w:hAnsi="宋体" w:cs="宋体"/>
                <w:color w:val="auto"/>
                <w:sz w:val="21"/>
                <w:szCs w:val="21"/>
                <w:vertAlign w:val="baseline"/>
                <w:lang w:val="en-US" w:eastAsia="zh-CN"/>
              </w:rPr>
              <w:t>30.2</w:t>
            </w:r>
          </w:p>
        </w:tc>
        <w:tc>
          <w:tcPr>
            <w:tcW w:w="812" w:type="pct"/>
            <w:tcBorders>
              <w:tl2br w:val="nil"/>
              <w:tr2bl w:val="nil"/>
            </w:tcBorders>
            <w:noWrap w:val="0"/>
            <w:vAlign w:val="center"/>
          </w:tcPr>
          <w:p w14:paraId="1BFA03C4">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b w:val="0"/>
                <w:bCs/>
                <w:sz w:val="21"/>
                <w:szCs w:val="21"/>
                <w:highlight w:val="none"/>
              </w:rPr>
            </w:pPr>
            <w:r>
              <w:rPr>
                <w:rFonts w:hint="eastAsia" w:ascii="宋体" w:hAnsi="宋体" w:eastAsia="宋体" w:cs="宋体"/>
                <w:color w:val="000000"/>
                <w:sz w:val="21"/>
                <w:szCs w:val="21"/>
                <w:highlight w:val="none"/>
                <w:lang w:val="en-US"/>
              </w:rPr>
              <w:t>250</w:t>
            </w:r>
          </w:p>
        </w:tc>
      </w:tr>
      <w:tr w14:paraId="119BB02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4187" w:type="pct"/>
            <w:gridSpan w:val="5"/>
            <w:tcBorders>
              <w:tl2br w:val="nil"/>
              <w:tr2bl w:val="nil"/>
            </w:tcBorders>
            <w:noWrap w:val="0"/>
            <w:vAlign w:val="center"/>
          </w:tcPr>
          <w:p w14:paraId="65B38254">
            <w:pPr>
              <w:keepNext w:val="0"/>
              <w:keepLines w:val="0"/>
              <w:pageBreakBefore w:val="0"/>
              <w:widowControl w:val="0"/>
              <w:kinsoku/>
              <w:wordWrap/>
              <w:overflowPunct/>
              <w:topLinePunct w:val="0"/>
              <w:autoSpaceDE/>
              <w:autoSpaceDN/>
              <w:bidi w:val="0"/>
              <w:adjustRightInd/>
              <w:spacing w:line="240" w:lineRule="auto"/>
              <w:ind w:firstLine="0" w:firstLineChars="0"/>
              <w:jc w:val="both"/>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lang w:eastAsia="zh-CN"/>
              </w:rPr>
              <w:t>备注：“</w:t>
            </w:r>
            <w:r>
              <w:rPr>
                <w:rFonts w:hint="eastAsia" w:ascii="宋体" w:hAnsi="宋体" w:eastAsia="宋体" w:cs="宋体"/>
                <w:color w:val="auto"/>
                <w:sz w:val="21"/>
                <w:szCs w:val="21"/>
                <w:highlight w:val="none"/>
                <w:lang w:val="en-US" w:eastAsia="zh-CN"/>
              </w:rPr>
              <w:t>ND</w:t>
            </w:r>
            <w:r>
              <w:rPr>
                <w:rFonts w:hint="eastAsia" w:ascii="宋体" w:hAnsi="宋体" w:eastAsia="宋体" w:cs="宋体"/>
                <w:color w:val="auto"/>
                <w:sz w:val="21"/>
                <w:szCs w:val="21"/>
                <w:highlight w:val="none"/>
                <w:lang w:eastAsia="zh-CN"/>
              </w:rPr>
              <w:t>”代表未检出。</w:t>
            </w:r>
          </w:p>
        </w:tc>
        <w:tc>
          <w:tcPr>
            <w:tcW w:w="812" w:type="pct"/>
            <w:tcBorders>
              <w:tl2br w:val="nil"/>
              <w:tr2bl w:val="nil"/>
            </w:tcBorders>
            <w:noWrap w:val="0"/>
            <w:vAlign w:val="center"/>
          </w:tcPr>
          <w:p w14:paraId="60C4D57C">
            <w:pPr>
              <w:keepNext w:val="0"/>
              <w:keepLines w:val="0"/>
              <w:pageBreakBefore w:val="0"/>
              <w:widowControl w:val="0"/>
              <w:kinsoku/>
              <w:wordWrap/>
              <w:overflowPunct/>
              <w:topLinePunct w:val="0"/>
              <w:autoSpaceDE/>
              <w:autoSpaceDN/>
              <w:bidi w:val="0"/>
              <w:adjustRightInd/>
              <w:spacing w:line="240" w:lineRule="auto"/>
              <w:ind w:firstLine="0" w:firstLineChars="0"/>
              <w:jc w:val="both"/>
              <w:textAlignment w:val="auto"/>
              <w:rPr>
                <w:rFonts w:hint="eastAsia" w:ascii="宋体" w:hAnsi="宋体" w:eastAsia="宋体" w:cs="宋体"/>
                <w:color w:val="auto"/>
                <w:sz w:val="21"/>
                <w:szCs w:val="21"/>
                <w:highlight w:val="none"/>
                <w:lang w:eastAsia="zh-CN"/>
              </w:rPr>
            </w:pPr>
          </w:p>
        </w:tc>
      </w:tr>
      <w:bookmarkEnd w:id="381"/>
      <w:bookmarkEnd w:id="382"/>
    </w:tbl>
    <w:p w14:paraId="71B5FC63">
      <w:pPr>
        <w:bidi w:val="0"/>
        <w:rPr>
          <w:rFonts w:hint="eastAsia"/>
          <w:lang w:val="en-US" w:eastAsia="zh-CN"/>
        </w:rPr>
      </w:pPr>
      <w:r>
        <w:rPr>
          <w:rFonts w:hint="eastAsia" w:ascii="宋体" w:hAnsi="宋体" w:eastAsia="宋体" w:cs="宋体"/>
          <w:color w:val="000000"/>
          <w:kern w:val="2"/>
          <w:sz w:val="21"/>
          <w:szCs w:val="22"/>
          <w:highlight w:val="none"/>
          <w:lang w:val="en-US" w:eastAsia="zh-CN" w:bidi="ar"/>
        </w:rPr>
        <w:t>注：钾、钙、镁、碱度不参与水质评价</w:t>
      </w:r>
    </w:p>
    <w:p w14:paraId="63E0DDF3">
      <w:pPr>
        <w:pageBreakBefore w:val="0"/>
        <w:kinsoku/>
        <w:wordWrap/>
        <w:overflowPunct/>
        <w:topLinePunct w:val="0"/>
        <w:autoSpaceDE/>
        <w:autoSpaceDN/>
        <w:bidi w:val="0"/>
        <w:adjustRightInd/>
        <w:snapToGrid/>
        <w:spacing w:line="360" w:lineRule="auto"/>
        <w:ind w:firstLine="0" w:firstLineChars="0"/>
        <w:textAlignment w:val="auto"/>
        <w:rPr>
          <w:rFonts w:hint="eastAsia"/>
          <w:lang w:val="en-US" w:eastAsia="zh-CN"/>
        </w:rPr>
      </w:pPr>
      <w:r>
        <w:rPr>
          <w:rFonts w:hint="eastAsia"/>
          <w:lang w:val="en-US" w:eastAsia="zh-CN"/>
        </w:rPr>
        <w:t>由上表可知，本项目地下水监测点位各因子均满足</w:t>
      </w:r>
      <w:r>
        <w:t>地下水质量标准执行《地下水质量标准》（GB/T 14848-2017）中</w:t>
      </w:r>
      <w:r>
        <w:fldChar w:fldCharType="begin"/>
      </w:r>
      <w:r>
        <w:instrText xml:space="preserve"> = 3 \* ROMAN \* MERGEFORMAT </w:instrText>
      </w:r>
      <w:r>
        <w:fldChar w:fldCharType="separate"/>
      </w:r>
      <w:r>
        <w:t>III</w:t>
      </w:r>
      <w:r>
        <w:fldChar w:fldCharType="end"/>
      </w:r>
      <w:r>
        <w:t>类标准</w:t>
      </w:r>
      <w:r>
        <w:rPr>
          <w:rFonts w:hint="eastAsia"/>
          <w:lang w:eastAsia="zh-CN"/>
        </w:rPr>
        <w:t>限值要求</w:t>
      </w:r>
      <w:r>
        <w:t>。</w:t>
      </w:r>
    </w:p>
    <w:p w14:paraId="7F639762">
      <w:pPr>
        <w:pStyle w:val="5"/>
        <w:bidi w:val="0"/>
        <w:spacing w:line="360" w:lineRule="auto"/>
      </w:pPr>
      <w:r>
        <w:rPr>
          <w:rFonts w:hint="eastAsia"/>
          <w:lang w:val="en-US" w:eastAsia="zh-CN"/>
        </w:rPr>
        <w:t>6</w:t>
      </w:r>
      <w:r>
        <w:t>.2.4声环境质量现状</w:t>
      </w:r>
    </w:p>
    <w:p w14:paraId="69AE182B">
      <w:pPr>
        <w:bidi w:val="0"/>
      </w:pPr>
      <w:r>
        <w:t>受建设单位委托，</w:t>
      </w:r>
      <w:r>
        <w:rPr>
          <w:rFonts w:hint="default"/>
          <w:lang w:val="en-US" w:eastAsia="zh-CN"/>
        </w:rPr>
        <w:t>辽宁嘉良检测技术工程有限公司</w:t>
      </w:r>
      <w:r>
        <w:t>对项目厂界声环境质量进行了现状监测，监测时间为20</w:t>
      </w:r>
      <w:r>
        <w:rPr>
          <w:rFonts w:hint="eastAsia"/>
          <w:lang w:val="en-US" w:eastAsia="zh-CN"/>
        </w:rPr>
        <w:t>20</w:t>
      </w:r>
      <w:r>
        <w:t>年</w:t>
      </w:r>
      <w:r>
        <w:rPr>
          <w:rFonts w:hint="eastAsia"/>
          <w:lang w:val="en-US" w:eastAsia="zh-CN"/>
        </w:rPr>
        <w:t>4</w:t>
      </w:r>
      <w:r>
        <w:t>月</w:t>
      </w:r>
      <w:r>
        <w:rPr>
          <w:rFonts w:hint="eastAsia"/>
          <w:lang w:val="en-US" w:eastAsia="zh-CN"/>
        </w:rPr>
        <w:t>3</w:t>
      </w:r>
      <w:r>
        <w:t>日至</w:t>
      </w:r>
      <w:r>
        <w:rPr>
          <w:rFonts w:hint="eastAsia"/>
          <w:lang w:val="en-US" w:eastAsia="zh-CN"/>
        </w:rPr>
        <w:t>4</w:t>
      </w:r>
      <w:r>
        <w:t>月</w:t>
      </w:r>
      <w:r>
        <w:rPr>
          <w:rFonts w:hint="eastAsia"/>
          <w:lang w:val="en-US" w:eastAsia="zh-CN"/>
        </w:rPr>
        <w:t>4</w:t>
      </w:r>
      <w:r>
        <w:t>日。</w:t>
      </w:r>
    </w:p>
    <w:p w14:paraId="14C2AD7C">
      <w:pPr>
        <w:spacing w:line="480" w:lineRule="exact"/>
        <w:ind w:firstLine="480" w:firstLineChars="200"/>
      </w:pPr>
      <w:r>
        <w:t>共设4个监测点位，分别为东、南、西、北厂界，监测频率为连续2天，昼夜各1次。监测结果如下表所示。</w:t>
      </w:r>
    </w:p>
    <w:p w14:paraId="7D5FC867">
      <w:pPr>
        <w:spacing w:line="240" w:lineRule="auto"/>
        <w:jc w:val="center"/>
        <w:rPr>
          <w:rFonts w:hint="eastAsia" w:ascii="黑体" w:hAnsi="黑体" w:eastAsia="黑体" w:cs="黑体"/>
          <w:b w:val="0"/>
          <w:bCs w:val="0"/>
          <w:sz w:val="21"/>
          <w:szCs w:val="21"/>
          <w:lang w:eastAsia="zh-CN"/>
        </w:rPr>
      </w:pPr>
      <w:r>
        <w:rPr>
          <w:rFonts w:hint="eastAsia" w:ascii="黑体" w:hAnsi="黑体" w:eastAsia="黑体" w:cs="黑体"/>
          <w:b w:val="0"/>
          <w:bCs w:val="0"/>
          <w:sz w:val="21"/>
          <w:szCs w:val="21"/>
          <w:lang w:eastAsia="zh-CN"/>
        </w:rPr>
        <w:t>表</w:t>
      </w:r>
      <w:r>
        <w:rPr>
          <w:rFonts w:hint="eastAsia" w:ascii="黑体" w:hAnsi="黑体" w:eastAsia="黑体" w:cs="黑体"/>
          <w:b w:val="0"/>
          <w:bCs w:val="0"/>
          <w:sz w:val="21"/>
          <w:szCs w:val="21"/>
          <w:lang w:val="en-US" w:eastAsia="zh-CN"/>
        </w:rPr>
        <w:t>6-5</w:t>
      </w:r>
      <w:r>
        <w:rPr>
          <w:rFonts w:hint="eastAsia" w:ascii="黑体" w:hAnsi="黑体" w:eastAsia="黑体" w:cs="黑体"/>
          <w:b w:val="0"/>
          <w:bCs w:val="0"/>
          <w:sz w:val="21"/>
          <w:szCs w:val="21"/>
          <w:lang w:eastAsia="zh-CN"/>
        </w:rPr>
        <w:t>声环境监测及评价结果  单位：dB(A)</w:t>
      </w:r>
    </w:p>
    <w:tbl>
      <w:tblPr>
        <w:tblStyle w:val="52"/>
        <w:tblW w:w="4801" w:type="pct"/>
        <w:jc w:val="center"/>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autofit"/>
        <w:tblCellMar>
          <w:top w:w="0" w:type="dxa"/>
          <w:left w:w="108" w:type="dxa"/>
          <w:bottom w:w="0" w:type="dxa"/>
          <w:right w:w="108" w:type="dxa"/>
        </w:tblCellMar>
      </w:tblPr>
      <w:tblGrid>
        <w:gridCol w:w="2010"/>
        <w:gridCol w:w="1541"/>
        <w:gridCol w:w="1544"/>
        <w:gridCol w:w="1541"/>
        <w:gridCol w:w="1553"/>
      </w:tblGrid>
      <w:tr w14:paraId="797F19C2">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278" w:hRule="atLeast"/>
          <w:jc w:val="center"/>
        </w:trPr>
        <w:tc>
          <w:tcPr>
            <w:tcW w:w="1227" w:type="pct"/>
            <w:vMerge w:val="restart"/>
            <w:tcBorders>
              <w:tl2br w:val="nil"/>
              <w:tr2bl w:val="nil"/>
            </w:tcBorders>
            <w:noWrap w:val="0"/>
            <w:vAlign w:val="center"/>
          </w:tcPr>
          <w:p w14:paraId="4DDAC044">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lang w:eastAsia="zh-CN"/>
              </w:rPr>
              <w:t>检测</w:t>
            </w:r>
            <w:r>
              <w:rPr>
                <w:rFonts w:hint="eastAsia" w:ascii="宋体" w:hAnsi="宋体" w:eastAsia="宋体" w:cs="宋体"/>
                <w:sz w:val="21"/>
                <w:szCs w:val="21"/>
              </w:rPr>
              <w:t>点位</w:t>
            </w:r>
          </w:p>
        </w:tc>
        <w:tc>
          <w:tcPr>
            <w:tcW w:w="3772" w:type="pct"/>
            <w:gridSpan w:val="4"/>
            <w:tcBorders>
              <w:tl2br w:val="nil"/>
              <w:tr2bl w:val="nil"/>
            </w:tcBorders>
            <w:noWrap w:val="0"/>
            <w:vAlign w:val="center"/>
          </w:tcPr>
          <w:p w14:paraId="32D43AA1">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检测日期</w:t>
            </w:r>
            <w:r>
              <w:rPr>
                <w:rFonts w:hint="eastAsia" w:ascii="宋体" w:hAnsi="宋体" w:eastAsia="宋体" w:cs="宋体"/>
                <w:sz w:val="21"/>
                <w:szCs w:val="21"/>
              </w:rPr>
              <w:t>及</w:t>
            </w:r>
            <w:r>
              <w:rPr>
                <w:rFonts w:hint="eastAsia" w:ascii="宋体" w:hAnsi="宋体" w:eastAsia="宋体" w:cs="宋体"/>
                <w:sz w:val="21"/>
                <w:szCs w:val="21"/>
                <w:lang w:eastAsia="zh-CN"/>
              </w:rPr>
              <w:t>检测</w:t>
            </w:r>
            <w:r>
              <w:rPr>
                <w:rFonts w:hint="eastAsia" w:ascii="宋体" w:hAnsi="宋体" w:eastAsia="宋体" w:cs="宋体"/>
                <w:sz w:val="21"/>
                <w:szCs w:val="21"/>
              </w:rPr>
              <w:t>结果（dB）</w:t>
            </w:r>
          </w:p>
        </w:tc>
      </w:tr>
      <w:tr w14:paraId="12D33FC2">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268" w:hRule="atLeast"/>
          <w:jc w:val="center"/>
        </w:trPr>
        <w:tc>
          <w:tcPr>
            <w:tcW w:w="1227" w:type="pct"/>
            <w:vMerge w:val="continue"/>
            <w:tcBorders>
              <w:tl2br w:val="nil"/>
              <w:tr2bl w:val="nil"/>
            </w:tcBorders>
            <w:noWrap w:val="0"/>
            <w:vAlign w:val="center"/>
          </w:tcPr>
          <w:p w14:paraId="7DE6A6A7">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rPr>
            </w:pPr>
          </w:p>
        </w:tc>
        <w:tc>
          <w:tcPr>
            <w:tcW w:w="1884" w:type="pct"/>
            <w:gridSpan w:val="2"/>
            <w:tcBorders>
              <w:tl2br w:val="nil"/>
              <w:tr2bl w:val="nil"/>
            </w:tcBorders>
            <w:noWrap w:val="0"/>
            <w:vAlign w:val="center"/>
          </w:tcPr>
          <w:p w14:paraId="4696B53B">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rPr>
            </w:pPr>
            <w:r>
              <w:rPr>
                <w:rFonts w:hint="eastAsia" w:ascii="宋体" w:hAnsi="宋体" w:eastAsia="宋体" w:cs="宋体"/>
                <w:sz w:val="21"/>
                <w:szCs w:val="21"/>
                <w:lang w:val="en-US" w:eastAsia="zh-CN"/>
              </w:rPr>
              <w:t>2020.04.03</w:t>
            </w:r>
          </w:p>
        </w:tc>
        <w:tc>
          <w:tcPr>
            <w:tcW w:w="1888" w:type="pct"/>
            <w:gridSpan w:val="2"/>
            <w:tcBorders>
              <w:tl2br w:val="nil"/>
              <w:tr2bl w:val="nil"/>
            </w:tcBorders>
            <w:noWrap w:val="0"/>
            <w:vAlign w:val="center"/>
          </w:tcPr>
          <w:p w14:paraId="7A06F618">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2020.04.04</w:t>
            </w:r>
          </w:p>
        </w:tc>
      </w:tr>
      <w:tr w14:paraId="59966234">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268" w:hRule="atLeast"/>
          <w:jc w:val="center"/>
        </w:trPr>
        <w:tc>
          <w:tcPr>
            <w:tcW w:w="1227" w:type="pct"/>
            <w:vMerge w:val="continue"/>
            <w:tcBorders>
              <w:tl2br w:val="nil"/>
              <w:tr2bl w:val="nil"/>
            </w:tcBorders>
            <w:noWrap w:val="0"/>
            <w:vAlign w:val="center"/>
          </w:tcPr>
          <w:p w14:paraId="433B17D2">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rPr>
            </w:pPr>
          </w:p>
        </w:tc>
        <w:tc>
          <w:tcPr>
            <w:tcW w:w="941" w:type="pct"/>
            <w:tcBorders>
              <w:tl2br w:val="nil"/>
              <w:tr2bl w:val="nil"/>
            </w:tcBorders>
            <w:noWrap w:val="0"/>
            <w:vAlign w:val="center"/>
          </w:tcPr>
          <w:p w14:paraId="319CB6B1">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lang w:eastAsia="zh-CN"/>
              </w:rPr>
              <w:t>昼间</w:t>
            </w:r>
            <w:r>
              <w:rPr>
                <w:rFonts w:hint="eastAsia" w:ascii="宋体" w:hAnsi="宋体" w:eastAsia="宋体" w:cs="宋体"/>
                <w:sz w:val="21"/>
                <w:szCs w:val="21"/>
              </w:rPr>
              <w:t>Leq</w:t>
            </w:r>
          </w:p>
        </w:tc>
        <w:tc>
          <w:tcPr>
            <w:tcW w:w="942" w:type="pct"/>
            <w:tcBorders>
              <w:tl2br w:val="nil"/>
              <w:tr2bl w:val="nil"/>
            </w:tcBorders>
            <w:noWrap w:val="0"/>
            <w:vAlign w:val="center"/>
          </w:tcPr>
          <w:p w14:paraId="17A8F77C">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夜间</w:t>
            </w:r>
            <w:r>
              <w:rPr>
                <w:rFonts w:hint="eastAsia" w:ascii="宋体" w:hAnsi="宋体" w:eastAsia="宋体" w:cs="宋体"/>
                <w:sz w:val="21"/>
                <w:szCs w:val="21"/>
              </w:rPr>
              <w:t>Leq</w:t>
            </w:r>
          </w:p>
        </w:tc>
        <w:tc>
          <w:tcPr>
            <w:tcW w:w="941" w:type="pct"/>
            <w:tcBorders>
              <w:tl2br w:val="nil"/>
              <w:tr2bl w:val="nil"/>
            </w:tcBorders>
            <w:noWrap w:val="0"/>
            <w:vAlign w:val="center"/>
          </w:tcPr>
          <w:p w14:paraId="629D4D6A">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eastAsia="zh-CN"/>
              </w:rPr>
              <w:t>昼间</w:t>
            </w:r>
            <w:r>
              <w:rPr>
                <w:rFonts w:hint="eastAsia" w:ascii="宋体" w:hAnsi="宋体" w:eastAsia="宋体" w:cs="宋体"/>
                <w:sz w:val="21"/>
                <w:szCs w:val="21"/>
              </w:rPr>
              <w:t>Leq</w:t>
            </w:r>
          </w:p>
        </w:tc>
        <w:tc>
          <w:tcPr>
            <w:tcW w:w="947" w:type="pct"/>
            <w:tcBorders>
              <w:tl2br w:val="nil"/>
              <w:tr2bl w:val="nil"/>
            </w:tcBorders>
            <w:noWrap w:val="0"/>
            <w:vAlign w:val="center"/>
          </w:tcPr>
          <w:p w14:paraId="7AD1237C">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eastAsia="zh-CN"/>
              </w:rPr>
              <w:t>夜间</w:t>
            </w:r>
            <w:r>
              <w:rPr>
                <w:rFonts w:hint="eastAsia" w:ascii="宋体" w:hAnsi="宋体" w:eastAsia="宋体" w:cs="宋体"/>
                <w:sz w:val="21"/>
                <w:szCs w:val="21"/>
              </w:rPr>
              <w:t>Leq</w:t>
            </w:r>
          </w:p>
        </w:tc>
      </w:tr>
      <w:tr w14:paraId="42BA8A16">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09" w:hRule="atLeast"/>
          <w:jc w:val="center"/>
        </w:trPr>
        <w:tc>
          <w:tcPr>
            <w:tcW w:w="1227" w:type="pct"/>
            <w:tcBorders>
              <w:tl2br w:val="nil"/>
              <w:tr2bl w:val="nil"/>
            </w:tcBorders>
            <w:noWrap w:val="0"/>
            <w:vAlign w:val="center"/>
          </w:tcPr>
          <w:p w14:paraId="1EB96A2C">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厂界东侧1m处▲1</w:t>
            </w:r>
          </w:p>
        </w:tc>
        <w:tc>
          <w:tcPr>
            <w:tcW w:w="941" w:type="pct"/>
            <w:tcBorders>
              <w:tl2br w:val="nil"/>
              <w:tr2bl w:val="nil"/>
            </w:tcBorders>
            <w:noWrap w:val="0"/>
            <w:vAlign w:val="center"/>
          </w:tcPr>
          <w:p w14:paraId="0AA94DC5">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51.0</w:t>
            </w:r>
          </w:p>
        </w:tc>
        <w:tc>
          <w:tcPr>
            <w:tcW w:w="942" w:type="pct"/>
            <w:tcBorders>
              <w:tl2br w:val="nil"/>
              <w:tr2bl w:val="nil"/>
            </w:tcBorders>
            <w:noWrap w:val="0"/>
            <w:vAlign w:val="center"/>
          </w:tcPr>
          <w:p w14:paraId="28C606D7">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41.9</w:t>
            </w:r>
          </w:p>
        </w:tc>
        <w:tc>
          <w:tcPr>
            <w:tcW w:w="941" w:type="pct"/>
            <w:tcBorders>
              <w:tl2br w:val="nil"/>
              <w:tr2bl w:val="nil"/>
            </w:tcBorders>
            <w:noWrap w:val="0"/>
            <w:vAlign w:val="center"/>
          </w:tcPr>
          <w:p w14:paraId="54855DBB">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51.8</w:t>
            </w:r>
          </w:p>
        </w:tc>
        <w:tc>
          <w:tcPr>
            <w:tcW w:w="947" w:type="pct"/>
            <w:tcBorders>
              <w:tl2br w:val="nil"/>
              <w:tr2bl w:val="nil"/>
            </w:tcBorders>
            <w:noWrap w:val="0"/>
            <w:vAlign w:val="center"/>
          </w:tcPr>
          <w:p w14:paraId="0DC7C659">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40.4</w:t>
            </w:r>
          </w:p>
        </w:tc>
      </w:tr>
      <w:tr w14:paraId="775038EB">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280" w:hRule="atLeast"/>
          <w:jc w:val="center"/>
        </w:trPr>
        <w:tc>
          <w:tcPr>
            <w:tcW w:w="1227" w:type="pct"/>
            <w:tcBorders>
              <w:tl2br w:val="nil"/>
              <w:tr2bl w:val="nil"/>
            </w:tcBorders>
            <w:noWrap w:val="0"/>
            <w:vAlign w:val="center"/>
          </w:tcPr>
          <w:p w14:paraId="74DD6813">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厂界南侧1m处▲2</w:t>
            </w:r>
          </w:p>
        </w:tc>
        <w:tc>
          <w:tcPr>
            <w:tcW w:w="941" w:type="pct"/>
            <w:tcBorders>
              <w:tl2br w:val="nil"/>
              <w:tr2bl w:val="nil"/>
            </w:tcBorders>
            <w:noWrap w:val="0"/>
            <w:vAlign w:val="center"/>
          </w:tcPr>
          <w:p w14:paraId="728625E1">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52.6</w:t>
            </w:r>
          </w:p>
        </w:tc>
        <w:tc>
          <w:tcPr>
            <w:tcW w:w="942" w:type="pct"/>
            <w:tcBorders>
              <w:tl2br w:val="nil"/>
              <w:tr2bl w:val="nil"/>
            </w:tcBorders>
            <w:noWrap w:val="0"/>
            <w:vAlign w:val="center"/>
          </w:tcPr>
          <w:p w14:paraId="559A8760">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42.3</w:t>
            </w:r>
          </w:p>
        </w:tc>
        <w:tc>
          <w:tcPr>
            <w:tcW w:w="941" w:type="pct"/>
            <w:tcBorders>
              <w:tl2br w:val="nil"/>
              <w:tr2bl w:val="nil"/>
            </w:tcBorders>
            <w:noWrap w:val="0"/>
            <w:vAlign w:val="center"/>
          </w:tcPr>
          <w:p w14:paraId="4335F1BF">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52.5</w:t>
            </w:r>
          </w:p>
        </w:tc>
        <w:tc>
          <w:tcPr>
            <w:tcW w:w="947" w:type="pct"/>
            <w:tcBorders>
              <w:tl2br w:val="nil"/>
              <w:tr2bl w:val="nil"/>
            </w:tcBorders>
            <w:noWrap w:val="0"/>
            <w:vAlign w:val="center"/>
          </w:tcPr>
          <w:p w14:paraId="547A3F6F">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43.7</w:t>
            </w:r>
          </w:p>
        </w:tc>
      </w:tr>
      <w:tr w14:paraId="7E7BF98E">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1227" w:type="pct"/>
            <w:tcBorders>
              <w:tl2br w:val="nil"/>
              <w:tr2bl w:val="nil"/>
            </w:tcBorders>
            <w:noWrap w:val="0"/>
            <w:vAlign w:val="center"/>
          </w:tcPr>
          <w:p w14:paraId="417EFCD7">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厂界西侧1m处</w:t>
            </w:r>
            <w:r>
              <w:rPr>
                <w:rFonts w:hint="eastAsia" w:ascii="宋体" w:hAnsi="宋体" w:eastAsia="宋体" w:cs="宋体"/>
                <w:sz w:val="21"/>
                <w:szCs w:val="21"/>
                <w:lang w:val="en-US" w:eastAsia="zh-CN"/>
              </w:rPr>
              <w:t>▲3</w:t>
            </w:r>
          </w:p>
        </w:tc>
        <w:tc>
          <w:tcPr>
            <w:tcW w:w="941" w:type="pct"/>
            <w:tcBorders>
              <w:tl2br w:val="nil"/>
              <w:tr2bl w:val="nil"/>
            </w:tcBorders>
            <w:noWrap w:val="0"/>
            <w:vAlign w:val="center"/>
          </w:tcPr>
          <w:p w14:paraId="38E44E80">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49.4</w:t>
            </w:r>
          </w:p>
        </w:tc>
        <w:tc>
          <w:tcPr>
            <w:tcW w:w="942" w:type="pct"/>
            <w:tcBorders>
              <w:tl2br w:val="nil"/>
              <w:tr2bl w:val="nil"/>
            </w:tcBorders>
            <w:noWrap w:val="0"/>
            <w:vAlign w:val="center"/>
          </w:tcPr>
          <w:p w14:paraId="1E682D91">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43.1</w:t>
            </w:r>
          </w:p>
        </w:tc>
        <w:tc>
          <w:tcPr>
            <w:tcW w:w="941" w:type="pct"/>
            <w:tcBorders>
              <w:tl2br w:val="nil"/>
              <w:tr2bl w:val="nil"/>
            </w:tcBorders>
            <w:noWrap w:val="0"/>
            <w:vAlign w:val="center"/>
          </w:tcPr>
          <w:p w14:paraId="1B7521DE">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51.8</w:t>
            </w:r>
          </w:p>
        </w:tc>
        <w:tc>
          <w:tcPr>
            <w:tcW w:w="947" w:type="pct"/>
            <w:tcBorders>
              <w:tl2br w:val="nil"/>
              <w:tr2bl w:val="nil"/>
            </w:tcBorders>
            <w:noWrap w:val="0"/>
            <w:vAlign w:val="center"/>
          </w:tcPr>
          <w:p w14:paraId="0A6F13E9">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43.3</w:t>
            </w:r>
          </w:p>
        </w:tc>
      </w:tr>
      <w:tr w14:paraId="0D64C24F">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15" w:hRule="atLeast"/>
          <w:jc w:val="center"/>
        </w:trPr>
        <w:tc>
          <w:tcPr>
            <w:tcW w:w="1227" w:type="pct"/>
            <w:tcBorders>
              <w:tl2br w:val="nil"/>
              <w:tr2bl w:val="nil"/>
            </w:tcBorders>
            <w:noWrap w:val="0"/>
            <w:vAlign w:val="center"/>
          </w:tcPr>
          <w:p w14:paraId="41724F2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厂界北侧1m处</w:t>
            </w:r>
            <w:r>
              <w:rPr>
                <w:rFonts w:hint="eastAsia" w:ascii="宋体" w:hAnsi="宋体" w:eastAsia="宋体" w:cs="宋体"/>
                <w:sz w:val="21"/>
                <w:szCs w:val="21"/>
                <w:lang w:val="en-US" w:eastAsia="zh-CN"/>
              </w:rPr>
              <w:t>▲4</w:t>
            </w:r>
          </w:p>
        </w:tc>
        <w:tc>
          <w:tcPr>
            <w:tcW w:w="941" w:type="pct"/>
            <w:tcBorders>
              <w:tl2br w:val="nil"/>
              <w:tr2bl w:val="nil"/>
            </w:tcBorders>
            <w:noWrap w:val="0"/>
            <w:vAlign w:val="center"/>
          </w:tcPr>
          <w:p w14:paraId="53C4E9B4">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51.3</w:t>
            </w:r>
          </w:p>
        </w:tc>
        <w:tc>
          <w:tcPr>
            <w:tcW w:w="942" w:type="pct"/>
            <w:tcBorders>
              <w:tl2br w:val="nil"/>
              <w:tr2bl w:val="nil"/>
            </w:tcBorders>
            <w:noWrap w:val="0"/>
            <w:vAlign w:val="center"/>
          </w:tcPr>
          <w:p w14:paraId="000726D3">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42.2</w:t>
            </w:r>
          </w:p>
        </w:tc>
        <w:tc>
          <w:tcPr>
            <w:tcW w:w="941" w:type="pct"/>
            <w:tcBorders>
              <w:tl2br w:val="nil"/>
              <w:tr2bl w:val="nil"/>
            </w:tcBorders>
            <w:noWrap w:val="0"/>
            <w:vAlign w:val="center"/>
          </w:tcPr>
          <w:p w14:paraId="7ECEC34B">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51.2</w:t>
            </w:r>
          </w:p>
        </w:tc>
        <w:tc>
          <w:tcPr>
            <w:tcW w:w="947" w:type="pct"/>
            <w:tcBorders>
              <w:tl2br w:val="nil"/>
              <w:tr2bl w:val="nil"/>
            </w:tcBorders>
            <w:noWrap w:val="0"/>
            <w:vAlign w:val="center"/>
          </w:tcPr>
          <w:p w14:paraId="35373855">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41.3</w:t>
            </w:r>
          </w:p>
        </w:tc>
      </w:tr>
      <w:tr w14:paraId="315ECE8D">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445" w:hRule="atLeast"/>
          <w:jc w:val="center"/>
        </w:trPr>
        <w:tc>
          <w:tcPr>
            <w:tcW w:w="5000" w:type="pct"/>
            <w:gridSpan w:val="5"/>
            <w:tcBorders>
              <w:tl2br w:val="nil"/>
              <w:tr2bl w:val="nil"/>
            </w:tcBorders>
            <w:noWrap w:val="0"/>
            <w:vAlign w:val="center"/>
          </w:tcPr>
          <w:p w14:paraId="016FC532">
            <w:pPr>
              <w:keepNext w:val="0"/>
              <w:keepLines w:val="0"/>
              <w:pageBreakBefore w:val="0"/>
              <w:widowControl w:val="0"/>
              <w:kinsoku/>
              <w:wordWrap/>
              <w:overflowPunct/>
              <w:topLinePunct w:val="0"/>
              <w:autoSpaceDE/>
              <w:autoSpaceDN/>
              <w:bidi w:val="0"/>
              <w:adjustRightInd/>
              <w:spacing w:line="240" w:lineRule="auto"/>
              <w:ind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eastAsia="zh-CN"/>
              </w:rPr>
              <w:t>备注：检测点位示意图</w:t>
            </w:r>
          </w:p>
        </w:tc>
      </w:tr>
    </w:tbl>
    <w:p w14:paraId="34607AB0">
      <w:pPr>
        <w:spacing w:line="480" w:lineRule="exact"/>
        <w:ind w:firstLine="480" w:firstLineChars="200"/>
      </w:pPr>
      <w:r>
        <w:t>由监测结果可知，项目厂界四周声环境质量满足《声环境质量标准》(GB3096-2008)中</w:t>
      </w:r>
      <w:r>
        <w:rPr>
          <w:rFonts w:hint="eastAsia"/>
          <w:lang w:val="en-US" w:eastAsia="zh-CN"/>
        </w:rPr>
        <w:t>2</w:t>
      </w:r>
      <w:r>
        <w:t>类标准要求。</w:t>
      </w:r>
    </w:p>
    <w:bookmarkEnd w:id="348"/>
    <w:p w14:paraId="61FFB1DC">
      <w:pPr>
        <w:pStyle w:val="5"/>
        <w:bidi w:val="0"/>
      </w:pPr>
      <w:r>
        <w:rPr>
          <w:rFonts w:hint="eastAsia"/>
          <w:lang w:val="en-US" w:eastAsia="zh-CN"/>
        </w:rPr>
        <w:t>6</w:t>
      </w:r>
      <w:r>
        <w:t>.2.5土壤环境质量现状监测与评估</w:t>
      </w:r>
    </w:p>
    <w:p w14:paraId="09BB4FDC">
      <w:pPr>
        <w:spacing w:line="480" w:lineRule="exact"/>
        <w:ind w:firstLine="480" w:firstLineChars="200"/>
      </w:pPr>
      <w:r>
        <w:rPr>
          <w:rFonts w:hint="eastAsia"/>
        </w:rPr>
        <w:t>受建设单位委托，</w:t>
      </w:r>
      <w:r>
        <w:rPr>
          <w:rFonts w:hint="default"/>
          <w:lang w:val="en-US" w:eastAsia="zh-CN"/>
        </w:rPr>
        <w:t>辽宁嘉良检测技术工程有限公司</w:t>
      </w:r>
      <w:r>
        <w:rPr>
          <w:rFonts w:hint="eastAsia"/>
        </w:rPr>
        <w:t>对项目场地的土壤环境质量进行了现状监测。</w:t>
      </w:r>
    </w:p>
    <w:p w14:paraId="44D4EF90">
      <w:pPr>
        <w:spacing w:line="480" w:lineRule="exact"/>
        <w:ind w:firstLine="480" w:firstLineChars="200"/>
        <w:rPr>
          <w:rFonts w:hint="eastAsia"/>
          <w:lang w:eastAsia="zh-CN"/>
        </w:rPr>
      </w:pPr>
      <w:r>
        <w:rPr>
          <w:rFonts w:hint="eastAsia"/>
          <w:lang w:eastAsia="zh-CN"/>
        </w:rPr>
        <w:t>监测点位因子及频次如下表所示。</w:t>
      </w:r>
    </w:p>
    <w:p w14:paraId="0B4B31E0">
      <w:pPr>
        <w:pStyle w:val="22"/>
        <w:spacing w:line="240" w:lineRule="auto"/>
        <w:ind w:left="0" w:leftChars="0" w:firstLine="0" w:firstLineChars="0"/>
        <w:jc w:val="center"/>
        <w:rPr>
          <w:rFonts w:hint="default"/>
          <w:lang w:val="en-US" w:eastAsia="zh-CN"/>
        </w:rPr>
      </w:pPr>
      <w:r>
        <w:rPr>
          <w:rFonts w:hint="eastAsia" w:ascii="黑体" w:hAnsi="黑体" w:eastAsia="黑体" w:cs="黑体"/>
          <w:sz w:val="21"/>
          <w:szCs w:val="21"/>
          <w:lang w:eastAsia="zh-CN"/>
        </w:rPr>
        <w:t>表</w:t>
      </w:r>
      <w:r>
        <w:rPr>
          <w:rFonts w:hint="eastAsia" w:ascii="黑体" w:hAnsi="黑体" w:eastAsia="黑体" w:cs="黑体"/>
          <w:sz w:val="21"/>
          <w:szCs w:val="21"/>
          <w:lang w:val="en-US" w:eastAsia="zh-CN"/>
        </w:rPr>
        <w:t>6-6土壤监测点位表</w:t>
      </w:r>
    </w:p>
    <w:tbl>
      <w:tblPr>
        <w:tblStyle w:val="52"/>
        <w:tblW w:w="8814" w:type="dxa"/>
        <w:jc w:val="center"/>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1192"/>
        <w:gridCol w:w="2438"/>
        <w:gridCol w:w="3764"/>
        <w:gridCol w:w="1420"/>
      </w:tblGrid>
      <w:tr w14:paraId="112CE80D">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477" w:hRule="atLeast"/>
          <w:jc w:val="center"/>
        </w:trPr>
        <w:tc>
          <w:tcPr>
            <w:tcW w:w="1192" w:type="dxa"/>
            <w:tcBorders>
              <w:tl2br w:val="nil"/>
              <w:tr2bl w:val="nil"/>
            </w:tcBorders>
            <w:noWrap w:val="0"/>
            <w:vAlign w:val="center"/>
          </w:tcPr>
          <w:p w14:paraId="78189C7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lang w:eastAsia="zh-CN"/>
              </w:rPr>
              <w:t>检测</w:t>
            </w:r>
            <w:r>
              <w:rPr>
                <w:rFonts w:hint="eastAsia" w:ascii="宋体" w:hAnsi="宋体" w:eastAsia="宋体" w:cs="宋体"/>
                <w:sz w:val="21"/>
                <w:szCs w:val="21"/>
              </w:rPr>
              <w:t>类别</w:t>
            </w:r>
          </w:p>
        </w:tc>
        <w:tc>
          <w:tcPr>
            <w:tcW w:w="2438" w:type="dxa"/>
            <w:tcBorders>
              <w:tl2br w:val="nil"/>
              <w:tr2bl w:val="nil"/>
            </w:tcBorders>
            <w:noWrap w:val="0"/>
            <w:vAlign w:val="center"/>
          </w:tcPr>
          <w:p w14:paraId="5812F409">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lang w:eastAsia="zh-CN"/>
              </w:rPr>
              <w:t>检测</w:t>
            </w:r>
            <w:r>
              <w:rPr>
                <w:rFonts w:hint="eastAsia" w:ascii="宋体" w:hAnsi="宋体" w:eastAsia="宋体" w:cs="宋体"/>
                <w:sz w:val="21"/>
                <w:szCs w:val="21"/>
              </w:rPr>
              <w:t>点位</w:t>
            </w:r>
          </w:p>
        </w:tc>
        <w:tc>
          <w:tcPr>
            <w:tcW w:w="3764" w:type="dxa"/>
            <w:tcBorders>
              <w:tl2br w:val="nil"/>
              <w:tr2bl w:val="nil"/>
            </w:tcBorders>
            <w:noWrap w:val="0"/>
            <w:vAlign w:val="center"/>
          </w:tcPr>
          <w:p w14:paraId="3A484FA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lang w:eastAsia="zh-CN"/>
              </w:rPr>
              <w:t>检测</w:t>
            </w:r>
            <w:r>
              <w:rPr>
                <w:rFonts w:hint="eastAsia" w:ascii="宋体" w:hAnsi="宋体" w:eastAsia="宋体" w:cs="宋体"/>
                <w:sz w:val="21"/>
                <w:szCs w:val="21"/>
              </w:rPr>
              <w:t>项目</w:t>
            </w:r>
          </w:p>
        </w:tc>
        <w:tc>
          <w:tcPr>
            <w:tcW w:w="1420" w:type="dxa"/>
            <w:tcBorders>
              <w:tl2br w:val="nil"/>
              <w:tr2bl w:val="nil"/>
            </w:tcBorders>
            <w:noWrap w:val="0"/>
            <w:vAlign w:val="center"/>
          </w:tcPr>
          <w:p w14:paraId="48A9F45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lang w:eastAsia="zh-CN"/>
              </w:rPr>
              <w:t>检测</w:t>
            </w:r>
            <w:r>
              <w:rPr>
                <w:rFonts w:hint="eastAsia" w:ascii="宋体" w:hAnsi="宋体" w:eastAsia="宋体" w:cs="宋体"/>
                <w:sz w:val="21"/>
                <w:szCs w:val="21"/>
              </w:rPr>
              <w:t>频次</w:t>
            </w:r>
          </w:p>
        </w:tc>
      </w:tr>
      <w:tr w14:paraId="3D37234A">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4020" w:hRule="atLeast"/>
          <w:jc w:val="center"/>
        </w:trPr>
        <w:tc>
          <w:tcPr>
            <w:tcW w:w="1192" w:type="dxa"/>
            <w:tcBorders>
              <w:tl2br w:val="nil"/>
              <w:tr2bl w:val="nil"/>
            </w:tcBorders>
            <w:noWrap w:val="0"/>
            <w:vAlign w:val="center"/>
          </w:tcPr>
          <w:p w14:paraId="72AAD1F9">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eastAsia="zh-CN"/>
              </w:rPr>
              <w:t>土壤</w:t>
            </w:r>
          </w:p>
        </w:tc>
        <w:tc>
          <w:tcPr>
            <w:tcW w:w="2438" w:type="dxa"/>
            <w:tcBorders>
              <w:tl2br w:val="nil"/>
              <w:tr2bl w:val="nil"/>
            </w:tcBorders>
            <w:noWrap w:val="0"/>
            <w:vAlign w:val="center"/>
          </w:tcPr>
          <w:p w14:paraId="342FB478">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厂区内1#点位（柱状样及表层样）、厂区内北2#点位（柱状样）、厂区内南3#点位（柱状样），新合村1#、2#点位（表层样）</w:t>
            </w:r>
          </w:p>
        </w:tc>
        <w:tc>
          <w:tcPr>
            <w:tcW w:w="3764" w:type="dxa"/>
            <w:tcBorders>
              <w:tl2br w:val="nil"/>
              <w:tr2bl w:val="nil"/>
            </w:tcBorders>
            <w:noWrap w:val="0"/>
            <w:vAlign w:val="center"/>
          </w:tcPr>
          <w:p w14:paraId="076B90B3">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砷、镉、铬（六价）、铜、铅、汞、镍、四氯化碳、氯仿、氯甲烷、1,1-二氯乙烷、1,2-二氯乙烷、1,1-二氯乙烯、顺-1,2-二氯乙烯、反-1,2-二氯乙烯、二氯甲烷、1,2-二氯丙烷、1,1,1,2-四氯乙烷、1,1,2,2-四氯乙烷、四氯乙烯、1,1,1-三氯乙烷、1,1,2-三氯乙烷、三氯乙烯、1,2,3-三氯丙烷、氯乙烯、苯、氯苯、1,2-二氯苯、1,4-二氯苯、乙苯、苯乙烯、甲苯、间二甲苯+对二甲苯、邻二甲苯、硝基苯、苯胺、2-氯酚、苯并[a]蒽、苯并[a]芘、苯并[b]荧蒽、苯并[k]荧蒽、䓛、二苯并[a、h]蒽、茚并[1,2,3-cd]芘、萘</w:t>
            </w:r>
          </w:p>
        </w:tc>
        <w:tc>
          <w:tcPr>
            <w:tcW w:w="1420" w:type="dxa"/>
            <w:tcBorders>
              <w:tl2br w:val="nil"/>
              <w:tr2bl w:val="nil"/>
            </w:tcBorders>
            <w:noWrap w:val="0"/>
            <w:vAlign w:val="center"/>
          </w:tcPr>
          <w:p w14:paraId="3A9B1190">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检测1次</w:t>
            </w:r>
          </w:p>
        </w:tc>
      </w:tr>
    </w:tbl>
    <w:p w14:paraId="4B55F2ED">
      <w:pPr>
        <w:spacing w:line="480" w:lineRule="exact"/>
        <w:ind w:firstLine="480" w:firstLineChars="200"/>
        <w:rPr>
          <w:rFonts w:hint="eastAsia" w:eastAsia="宋体"/>
          <w:lang w:eastAsia="zh-CN"/>
        </w:rPr>
      </w:pPr>
      <w:r>
        <w:rPr>
          <w:rFonts w:hint="eastAsia"/>
          <w:lang w:eastAsia="zh-CN"/>
        </w:rPr>
        <w:t>本项目主要土壤污染因子为甲基磺酸，对照《土壤环境质量 建设用地土壤污染风险管控标准（试行）(GB36600—2018)》，该特征因子不属于建设用地土壤污染风险筛选值和管制值中其他项目中所列污染物，因此，土壤环境质量现状监测基本项目。</w:t>
      </w:r>
    </w:p>
    <w:p w14:paraId="604ADDAE">
      <w:pPr>
        <w:spacing w:line="480" w:lineRule="exact"/>
        <w:ind w:firstLine="480" w:firstLineChars="200"/>
        <w:rPr>
          <w:rFonts w:hint="eastAsia"/>
          <w:lang w:eastAsia="zh-CN"/>
        </w:rPr>
      </w:pPr>
      <w:r>
        <w:t>监测及评价结果</w:t>
      </w:r>
      <w:r>
        <w:rPr>
          <w:rFonts w:hint="eastAsia"/>
          <w:lang w:eastAsia="zh-CN"/>
        </w:rPr>
        <w:t>如下表所示。</w:t>
      </w:r>
    </w:p>
    <w:p w14:paraId="00D0792E">
      <w:pPr>
        <w:pStyle w:val="22"/>
        <w:rPr>
          <w:rFonts w:hint="eastAsia"/>
          <w:lang w:eastAsia="zh-CN"/>
        </w:rPr>
        <w:sectPr>
          <w:pgSz w:w="11906" w:h="16838"/>
          <w:pgMar w:top="1440" w:right="1797" w:bottom="1440" w:left="1797" w:header="907" w:footer="907" w:gutter="0"/>
          <w:pgBorders>
            <w:top w:val="none" w:sz="0" w:space="0"/>
            <w:left w:val="none" w:sz="0" w:space="0"/>
            <w:bottom w:val="none" w:sz="0" w:space="0"/>
            <w:right w:val="none" w:sz="0" w:space="0"/>
          </w:pgBorders>
          <w:pgNumType w:fmt="decimal"/>
          <w:cols w:space="425" w:num="1"/>
          <w:docGrid w:linePitch="326" w:charSpace="0"/>
        </w:sectPr>
      </w:pPr>
    </w:p>
    <w:p w14:paraId="1E33C98E">
      <w:pPr>
        <w:pStyle w:val="22"/>
        <w:spacing w:line="240" w:lineRule="auto"/>
        <w:jc w:val="center"/>
        <w:rPr>
          <w:b/>
          <w:bCs/>
          <w:sz w:val="21"/>
          <w:szCs w:val="21"/>
        </w:rPr>
      </w:pPr>
      <w:r>
        <w:rPr>
          <w:rFonts w:hint="eastAsia" w:ascii="宋体" w:hAnsi="宋体" w:eastAsia="宋体" w:cs="宋体"/>
          <w:b/>
          <w:bCs/>
          <w:sz w:val="21"/>
          <w:szCs w:val="21"/>
        </w:rPr>
        <w:t>表</w:t>
      </w:r>
      <w:r>
        <w:rPr>
          <w:rFonts w:hint="eastAsia" w:ascii="宋体" w:hAnsi="宋体" w:eastAsia="宋体" w:cs="宋体"/>
          <w:b/>
          <w:bCs/>
          <w:sz w:val="21"/>
          <w:szCs w:val="21"/>
          <w:lang w:val="en-US" w:eastAsia="zh-CN"/>
        </w:rPr>
        <w:t>6-7</w:t>
      </w:r>
      <w:r>
        <w:rPr>
          <w:rFonts w:hint="eastAsia" w:ascii="宋体" w:hAnsi="宋体" w:eastAsia="宋体" w:cs="宋体"/>
          <w:b/>
          <w:bCs/>
          <w:sz w:val="21"/>
          <w:szCs w:val="21"/>
        </w:rPr>
        <w:t>厂区内土地监测及评价结果  单位：mg/kg</w:t>
      </w:r>
    </w:p>
    <w:tbl>
      <w:tblPr>
        <w:tblStyle w:val="52"/>
        <w:tblW w:w="0" w:type="auto"/>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2180"/>
        <w:gridCol w:w="903"/>
        <w:gridCol w:w="903"/>
        <w:gridCol w:w="903"/>
        <w:gridCol w:w="903"/>
        <w:gridCol w:w="903"/>
        <w:gridCol w:w="903"/>
        <w:gridCol w:w="903"/>
        <w:gridCol w:w="903"/>
        <w:gridCol w:w="903"/>
        <w:gridCol w:w="903"/>
        <w:gridCol w:w="903"/>
        <w:gridCol w:w="906"/>
        <w:gridCol w:w="906"/>
      </w:tblGrid>
      <w:tr w14:paraId="35C0D92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62" w:hRule="atLeast"/>
          <w:jc w:val="center"/>
        </w:trPr>
        <w:tc>
          <w:tcPr>
            <w:tcW w:w="2180" w:type="dxa"/>
            <w:vMerge w:val="restart"/>
            <w:tcBorders>
              <w:tl2br w:val="nil"/>
              <w:tr2bl w:val="nil"/>
            </w:tcBorders>
            <w:noWrap w:val="0"/>
            <w:vAlign w:val="center"/>
          </w:tcPr>
          <w:p w14:paraId="6D66548B">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检测</w:t>
            </w:r>
          </w:p>
          <w:p w14:paraId="1E523BC0">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项目</w:t>
            </w:r>
          </w:p>
        </w:tc>
        <w:tc>
          <w:tcPr>
            <w:tcW w:w="10839" w:type="dxa"/>
            <w:gridSpan w:val="12"/>
            <w:tcBorders>
              <w:tl2br w:val="nil"/>
              <w:tr2bl w:val="nil"/>
            </w:tcBorders>
            <w:noWrap w:val="0"/>
            <w:vAlign w:val="center"/>
          </w:tcPr>
          <w:p w14:paraId="6E6E0278">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采样时间、采样点位及检测</w:t>
            </w:r>
            <w:r>
              <w:rPr>
                <w:rFonts w:hint="eastAsia" w:ascii="宋体" w:hAnsi="宋体" w:eastAsia="宋体" w:cs="宋体"/>
                <w:sz w:val="21"/>
                <w:szCs w:val="21"/>
              </w:rPr>
              <w:t>结果</w:t>
            </w:r>
          </w:p>
        </w:tc>
        <w:tc>
          <w:tcPr>
            <w:tcW w:w="906" w:type="dxa"/>
            <w:vMerge w:val="restart"/>
            <w:tcBorders>
              <w:left w:val="single" w:color="auto" w:sz="4" w:space="0"/>
              <w:tl2br w:val="nil"/>
              <w:tr2bl w:val="nil"/>
            </w:tcBorders>
            <w:noWrap w:val="0"/>
            <w:vAlign w:val="center"/>
          </w:tcPr>
          <w:p w14:paraId="2E483F9A">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lang w:val="en-US" w:eastAsia="zh-CN"/>
              </w:rPr>
            </w:pPr>
            <w:r>
              <w:rPr>
                <w:rFonts w:hint="eastAsia" w:ascii="宋体" w:hAnsi="宋体" w:eastAsia="宋体" w:cs="宋体"/>
                <w:sz w:val="21"/>
                <w:szCs w:val="21"/>
                <w:lang w:val="en-US" w:eastAsia="zh-CN"/>
              </w:rPr>
              <w:t>标准限值mg/kg</w:t>
            </w:r>
          </w:p>
        </w:tc>
      </w:tr>
      <w:tr w14:paraId="40B661B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33" w:hRule="atLeast"/>
          <w:jc w:val="center"/>
        </w:trPr>
        <w:tc>
          <w:tcPr>
            <w:tcW w:w="2180" w:type="dxa"/>
            <w:vMerge w:val="continue"/>
            <w:tcBorders>
              <w:tl2br w:val="nil"/>
              <w:tr2bl w:val="nil"/>
            </w:tcBorders>
            <w:noWrap w:val="0"/>
            <w:vAlign w:val="center"/>
          </w:tcPr>
          <w:p w14:paraId="69176220">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eastAsia="zh-CN"/>
              </w:rPr>
            </w:pPr>
          </w:p>
        </w:tc>
        <w:tc>
          <w:tcPr>
            <w:tcW w:w="10839" w:type="dxa"/>
            <w:gridSpan w:val="12"/>
            <w:tcBorders>
              <w:tl2br w:val="nil"/>
              <w:tr2bl w:val="nil"/>
            </w:tcBorders>
            <w:noWrap w:val="0"/>
            <w:vAlign w:val="center"/>
          </w:tcPr>
          <w:p w14:paraId="5F1A3D06">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2020.04.03</w:t>
            </w:r>
          </w:p>
        </w:tc>
        <w:tc>
          <w:tcPr>
            <w:tcW w:w="906" w:type="dxa"/>
            <w:vMerge w:val="continue"/>
            <w:tcBorders>
              <w:left w:val="single" w:color="auto" w:sz="4" w:space="0"/>
              <w:tl2br w:val="nil"/>
              <w:tr2bl w:val="nil"/>
            </w:tcBorders>
            <w:noWrap w:val="0"/>
            <w:vAlign w:val="center"/>
          </w:tcPr>
          <w:p w14:paraId="4A7E25FF">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p>
        </w:tc>
      </w:tr>
      <w:tr w14:paraId="4529F71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605" w:hRule="atLeast"/>
          <w:jc w:val="center"/>
        </w:trPr>
        <w:tc>
          <w:tcPr>
            <w:tcW w:w="2180" w:type="dxa"/>
            <w:vMerge w:val="continue"/>
            <w:tcBorders>
              <w:tl2br w:val="nil"/>
              <w:tr2bl w:val="nil"/>
            </w:tcBorders>
            <w:noWrap w:val="0"/>
            <w:vAlign w:val="center"/>
          </w:tcPr>
          <w:p w14:paraId="47A780D8">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rPr>
            </w:pPr>
          </w:p>
        </w:tc>
        <w:tc>
          <w:tcPr>
            <w:tcW w:w="903" w:type="dxa"/>
            <w:tcBorders>
              <w:tl2br w:val="nil"/>
              <w:tr2bl w:val="nil"/>
            </w:tcBorders>
            <w:noWrap w:val="0"/>
            <w:vAlign w:val="center"/>
          </w:tcPr>
          <w:p w14:paraId="476E0EE7">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厂区内</w:t>
            </w:r>
          </w:p>
          <w:p w14:paraId="38B5D6F4">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1#点位</w:t>
            </w:r>
          </w:p>
          <w:p w14:paraId="5810C34E">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（0.5m）</w:t>
            </w:r>
          </w:p>
        </w:tc>
        <w:tc>
          <w:tcPr>
            <w:tcW w:w="903" w:type="dxa"/>
            <w:tcBorders>
              <w:tl2br w:val="nil"/>
              <w:tr2bl w:val="nil"/>
            </w:tcBorders>
            <w:noWrap w:val="0"/>
            <w:vAlign w:val="center"/>
          </w:tcPr>
          <w:p w14:paraId="2BAE8B44">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厂区内</w:t>
            </w:r>
          </w:p>
          <w:p w14:paraId="11BDAA80">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1#点位</w:t>
            </w:r>
          </w:p>
          <w:p w14:paraId="4A7FAB39">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（1.5m）</w:t>
            </w:r>
          </w:p>
        </w:tc>
        <w:tc>
          <w:tcPr>
            <w:tcW w:w="903" w:type="dxa"/>
            <w:tcBorders>
              <w:tl2br w:val="nil"/>
              <w:tr2bl w:val="nil"/>
            </w:tcBorders>
            <w:noWrap w:val="0"/>
            <w:vAlign w:val="center"/>
          </w:tcPr>
          <w:p w14:paraId="0657348E">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厂区内</w:t>
            </w:r>
          </w:p>
          <w:p w14:paraId="039CDBFB">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1#点位</w:t>
            </w:r>
          </w:p>
          <w:p w14:paraId="7FCC7856">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（3m）</w:t>
            </w:r>
          </w:p>
        </w:tc>
        <w:tc>
          <w:tcPr>
            <w:tcW w:w="903" w:type="dxa"/>
            <w:tcBorders>
              <w:tl2br w:val="nil"/>
              <w:tr2bl w:val="nil"/>
            </w:tcBorders>
            <w:noWrap w:val="0"/>
            <w:vAlign w:val="center"/>
          </w:tcPr>
          <w:p w14:paraId="6024B3C0">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厂区内</w:t>
            </w:r>
          </w:p>
          <w:p w14:paraId="00FFE2C5">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1#点位</w:t>
            </w:r>
          </w:p>
          <w:p w14:paraId="40776E62">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（表层样）</w:t>
            </w:r>
          </w:p>
        </w:tc>
        <w:tc>
          <w:tcPr>
            <w:tcW w:w="903" w:type="dxa"/>
            <w:tcBorders>
              <w:tl2br w:val="nil"/>
              <w:tr2bl w:val="nil"/>
            </w:tcBorders>
            <w:noWrap w:val="0"/>
            <w:vAlign w:val="center"/>
          </w:tcPr>
          <w:p w14:paraId="57C3230D">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厂区内北</w:t>
            </w:r>
          </w:p>
          <w:p w14:paraId="5949CC3F">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2#点位</w:t>
            </w:r>
          </w:p>
          <w:p w14:paraId="7ACFAC56">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（0.5m）</w:t>
            </w:r>
          </w:p>
        </w:tc>
        <w:tc>
          <w:tcPr>
            <w:tcW w:w="903" w:type="dxa"/>
            <w:tcBorders>
              <w:tl2br w:val="nil"/>
              <w:tr2bl w:val="nil"/>
            </w:tcBorders>
            <w:noWrap w:val="0"/>
            <w:vAlign w:val="center"/>
          </w:tcPr>
          <w:p w14:paraId="328E2F44">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厂区内北</w:t>
            </w:r>
          </w:p>
          <w:p w14:paraId="3AE147BE">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2#点位</w:t>
            </w:r>
          </w:p>
          <w:p w14:paraId="0AB70A27">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（1.5m）</w:t>
            </w:r>
          </w:p>
        </w:tc>
        <w:tc>
          <w:tcPr>
            <w:tcW w:w="903" w:type="dxa"/>
            <w:tcBorders>
              <w:tl2br w:val="nil"/>
              <w:tr2bl w:val="nil"/>
            </w:tcBorders>
            <w:noWrap w:val="0"/>
            <w:vAlign w:val="center"/>
          </w:tcPr>
          <w:p w14:paraId="79401FD4">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厂区内北</w:t>
            </w:r>
          </w:p>
          <w:p w14:paraId="545BD849">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2#点位</w:t>
            </w:r>
          </w:p>
          <w:p w14:paraId="7F153C82">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（3m）</w:t>
            </w:r>
          </w:p>
        </w:tc>
        <w:tc>
          <w:tcPr>
            <w:tcW w:w="903" w:type="dxa"/>
            <w:tcBorders>
              <w:tl2br w:val="nil"/>
              <w:tr2bl w:val="nil"/>
            </w:tcBorders>
            <w:noWrap w:val="0"/>
            <w:vAlign w:val="center"/>
          </w:tcPr>
          <w:p w14:paraId="53145630">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厂区内南</w:t>
            </w:r>
          </w:p>
          <w:p w14:paraId="4EBD45DB">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3#点位</w:t>
            </w:r>
          </w:p>
          <w:p w14:paraId="04204EA3">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（0.5m）</w:t>
            </w:r>
          </w:p>
        </w:tc>
        <w:tc>
          <w:tcPr>
            <w:tcW w:w="903" w:type="dxa"/>
            <w:tcBorders>
              <w:tl2br w:val="nil"/>
              <w:tr2bl w:val="nil"/>
            </w:tcBorders>
            <w:noWrap w:val="0"/>
            <w:vAlign w:val="center"/>
          </w:tcPr>
          <w:p w14:paraId="0D794893">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厂区内南</w:t>
            </w:r>
          </w:p>
          <w:p w14:paraId="729F0A50">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3#点位</w:t>
            </w:r>
          </w:p>
          <w:p w14:paraId="58600343">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（1.5m）</w:t>
            </w:r>
          </w:p>
        </w:tc>
        <w:tc>
          <w:tcPr>
            <w:tcW w:w="903" w:type="dxa"/>
            <w:tcBorders>
              <w:tl2br w:val="nil"/>
              <w:tr2bl w:val="nil"/>
            </w:tcBorders>
            <w:noWrap w:val="0"/>
            <w:vAlign w:val="center"/>
          </w:tcPr>
          <w:p w14:paraId="69130864">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厂区内南</w:t>
            </w:r>
          </w:p>
          <w:p w14:paraId="75C2922B">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3#点位</w:t>
            </w:r>
          </w:p>
          <w:p w14:paraId="0709A9C5">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（3m）</w:t>
            </w:r>
          </w:p>
        </w:tc>
        <w:tc>
          <w:tcPr>
            <w:tcW w:w="903" w:type="dxa"/>
            <w:tcBorders>
              <w:right w:val="single" w:color="auto" w:sz="4" w:space="0"/>
              <w:tl2br w:val="nil"/>
              <w:tr2bl w:val="nil"/>
            </w:tcBorders>
            <w:noWrap w:val="0"/>
            <w:vAlign w:val="center"/>
          </w:tcPr>
          <w:p w14:paraId="07989893">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新合村</w:t>
            </w:r>
          </w:p>
          <w:p w14:paraId="49BAE854">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1#点位</w:t>
            </w:r>
          </w:p>
          <w:p w14:paraId="1218A47D">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（表层样）</w:t>
            </w:r>
          </w:p>
        </w:tc>
        <w:tc>
          <w:tcPr>
            <w:tcW w:w="906" w:type="dxa"/>
            <w:tcBorders>
              <w:left w:val="single" w:color="auto" w:sz="4" w:space="0"/>
              <w:tl2br w:val="nil"/>
              <w:tr2bl w:val="nil"/>
            </w:tcBorders>
            <w:noWrap w:val="0"/>
            <w:vAlign w:val="center"/>
          </w:tcPr>
          <w:p w14:paraId="2FA73416">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新合村</w:t>
            </w:r>
          </w:p>
          <w:p w14:paraId="2EABA294">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2#点位</w:t>
            </w:r>
          </w:p>
          <w:p w14:paraId="29FD87C1">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（表层样）</w:t>
            </w:r>
          </w:p>
        </w:tc>
        <w:tc>
          <w:tcPr>
            <w:tcW w:w="906" w:type="dxa"/>
            <w:vMerge w:val="continue"/>
            <w:tcBorders>
              <w:left w:val="single" w:color="auto" w:sz="4" w:space="0"/>
              <w:tl2br w:val="nil"/>
              <w:tr2bl w:val="nil"/>
            </w:tcBorders>
            <w:noWrap w:val="0"/>
            <w:vAlign w:val="center"/>
          </w:tcPr>
          <w:p w14:paraId="24DE98F9">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p>
        </w:tc>
      </w:tr>
      <w:tr w14:paraId="14D65CE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2180" w:type="dxa"/>
            <w:tcBorders>
              <w:tl2br w:val="nil"/>
              <w:tr2bl w:val="nil"/>
            </w:tcBorders>
            <w:noWrap w:val="0"/>
            <w:vAlign w:val="center"/>
          </w:tcPr>
          <w:p w14:paraId="7785039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color w:val="000000"/>
                <w:kern w:val="2"/>
                <w:sz w:val="21"/>
                <w:szCs w:val="21"/>
                <w:lang w:val="en-US" w:eastAsia="zh-CN"/>
              </w:rPr>
            </w:pPr>
            <w:r>
              <w:rPr>
                <w:rFonts w:hint="eastAsia" w:ascii="宋体" w:hAnsi="宋体" w:eastAsia="宋体" w:cs="宋体"/>
                <w:color w:val="000000"/>
                <w:sz w:val="21"/>
                <w:szCs w:val="21"/>
                <w:lang w:eastAsia="zh-CN"/>
              </w:rPr>
              <w:t>汞</w:t>
            </w:r>
            <w:r>
              <w:rPr>
                <w:rFonts w:hint="eastAsia" w:ascii="宋体" w:hAnsi="宋体" w:eastAsia="宋体" w:cs="宋体"/>
                <w:sz w:val="21"/>
                <w:szCs w:val="21"/>
                <w:lang w:val="en-US" w:eastAsia="zh-CN"/>
              </w:rPr>
              <w:t>(</w:t>
            </w:r>
            <w:r>
              <w:rPr>
                <w:rFonts w:hint="eastAsia" w:ascii="宋体" w:hAnsi="宋体" w:eastAsia="宋体" w:cs="宋体"/>
                <w:color w:val="000000"/>
                <w:sz w:val="21"/>
                <w:szCs w:val="21"/>
                <w:lang w:val="en-US" w:eastAsia="zh-CN"/>
              </w:rPr>
              <w:t>mg/kg)</w:t>
            </w:r>
          </w:p>
        </w:tc>
        <w:tc>
          <w:tcPr>
            <w:tcW w:w="903" w:type="dxa"/>
            <w:tcBorders>
              <w:tl2br w:val="nil"/>
              <w:tr2bl w:val="nil"/>
            </w:tcBorders>
            <w:noWrap w:val="0"/>
            <w:vAlign w:val="center"/>
          </w:tcPr>
          <w:p w14:paraId="21FBEBB2">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0.210</w:t>
            </w:r>
          </w:p>
        </w:tc>
        <w:tc>
          <w:tcPr>
            <w:tcW w:w="903" w:type="dxa"/>
            <w:tcBorders>
              <w:tl2br w:val="nil"/>
              <w:tr2bl w:val="nil"/>
            </w:tcBorders>
            <w:noWrap w:val="0"/>
            <w:vAlign w:val="center"/>
          </w:tcPr>
          <w:p w14:paraId="26F2B48C">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0.191</w:t>
            </w:r>
          </w:p>
        </w:tc>
        <w:tc>
          <w:tcPr>
            <w:tcW w:w="903" w:type="dxa"/>
            <w:tcBorders>
              <w:tl2br w:val="nil"/>
              <w:tr2bl w:val="nil"/>
            </w:tcBorders>
            <w:noWrap w:val="0"/>
            <w:vAlign w:val="center"/>
          </w:tcPr>
          <w:p w14:paraId="1014CA0E">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0.186</w:t>
            </w:r>
          </w:p>
        </w:tc>
        <w:tc>
          <w:tcPr>
            <w:tcW w:w="903" w:type="dxa"/>
            <w:tcBorders>
              <w:tl2br w:val="nil"/>
              <w:tr2bl w:val="nil"/>
            </w:tcBorders>
            <w:noWrap w:val="0"/>
            <w:vAlign w:val="center"/>
          </w:tcPr>
          <w:p w14:paraId="63D35676">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0.213</w:t>
            </w:r>
          </w:p>
        </w:tc>
        <w:tc>
          <w:tcPr>
            <w:tcW w:w="903" w:type="dxa"/>
            <w:tcBorders>
              <w:tl2br w:val="nil"/>
              <w:tr2bl w:val="nil"/>
            </w:tcBorders>
            <w:noWrap w:val="0"/>
            <w:vAlign w:val="center"/>
          </w:tcPr>
          <w:p w14:paraId="3114616C">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0.206</w:t>
            </w:r>
          </w:p>
        </w:tc>
        <w:tc>
          <w:tcPr>
            <w:tcW w:w="903" w:type="dxa"/>
            <w:tcBorders>
              <w:tl2br w:val="nil"/>
              <w:tr2bl w:val="nil"/>
            </w:tcBorders>
            <w:noWrap w:val="0"/>
            <w:vAlign w:val="center"/>
          </w:tcPr>
          <w:p w14:paraId="156E9014">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0.187</w:t>
            </w:r>
          </w:p>
        </w:tc>
        <w:tc>
          <w:tcPr>
            <w:tcW w:w="903" w:type="dxa"/>
            <w:tcBorders>
              <w:tl2br w:val="nil"/>
              <w:tr2bl w:val="nil"/>
            </w:tcBorders>
            <w:noWrap w:val="0"/>
            <w:vAlign w:val="center"/>
          </w:tcPr>
          <w:p w14:paraId="2C10D67F">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0.190</w:t>
            </w:r>
          </w:p>
        </w:tc>
        <w:tc>
          <w:tcPr>
            <w:tcW w:w="903" w:type="dxa"/>
            <w:tcBorders>
              <w:tl2br w:val="nil"/>
              <w:tr2bl w:val="nil"/>
            </w:tcBorders>
            <w:noWrap w:val="0"/>
            <w:vAlign w:val="center"/>
          </w:tcPr>
          <w:p w14:paraId="327F5F3E">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0.203</w:t>
            </w:r>
          </w:p>
        </w:tc>
        <w:tc>
          <w:tcPr>
            <w:tcW w:w="903" w:type="dxa"/>
            <w:tcBorders>
              <w:tl2br w:val="nil"/>
              <w:tr2bl w:val="nil"/>
            </w:tcBorders>
            <w:noWrap w:val="0"/>
            <w:vAlign w:val="center"/>
          </w:tcPr>
          <w:p w14:paraId="71FDF42E">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0.198</w:t>
            </w:r>
          </w:p>
        </w:tc>
        <w:tc>
          <w:tcPr>
            <w:tcW w:w="903" w:type="dxa"/>
            <w:tcBorders>
              <w:tl2br w:val="nil"/>
              <w:tr2bl w:val="nil"/>
            </w:tcBorders>
            <w:noWrap w:val="0"/>
            <w:vAlign w:val="center"/>
          </w:tcPr>
          <w:p w14:paraId="7470121F">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0.127</w:t>
            </w:r>
          </w:p>
        </w:tc>
        <w:tc>
          <w:tcPr>
            <w:tcW w:w="903" w:type="dxa"/>
            <w:tcBorders>
              <w:tl2br w:val="nil"/>
              <w:tr2bl w:val="nil"/>
            </w:tcBorders>
            <w:noWrap w:val="0"/>
            <w:vAlign w:val="center"/>
          </w:tcPr>
          <w:p w14:paraId="093F80C9">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0.221</w:t>
            </w:r>
          </w:p>
        </w:tc>
        <w:tc>
          <w:tcPr>
            <w:tcW w:w="906" w:type="dxa"/>
            <w:tcBorders>
              <w:tl2br w:val="nil"/>
              <w:tr2bl w:val="nil"/>
            </w:tcBorders>
            <w:noWrap w:val="0"/>
            <w:vAlign w:val="center"/>
          </w:tcPr>
          <w:p w14:paraId="35463BCF">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0.209</w:t>
            </w:r>
          </w:p>
        </w:tc>
        <w:tc>
          <w:tcPr>
            <w:tcW w:w="906" w:type="dxa"/>
            <w:tcBorders>
              <w:tl2br w:val="nil"/>
              <w:tr2bl w:val="nil"/>
            </w:tcBorders>
            <w:noWrap w:val="0"/>
            <w:vAlign w:val="center"/>
          </w:tcPr>
          <w:p w14:paraId="5E47D14C">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38</w:t>
            </w:r>
          </w:p>
        </w:tc>
      </w:tr>
      <w:tr w14:paraId="2206CB0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2180" w:type="dxa"/>
            <w:tcBorders>
              <w:tl2br w:val="nil"/>
              <w:tr2bl w:val="nil"/>
            </w:tcBorders>
            <w:noWrap w:val="0"/>
            <w:vAlign w:val="center"/>
          </w:tcPr>
          <w:p w14:paraId="600E29E0">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color w:val="000000"/>
                <w:kern w:val="2"/>
                <w:sz w:val="21"/>
                <w:szCs w:val="21"/>
                <w:lang w:val="en-US" w:eastAsia="zh-CN"/>
              </w:rPr>
            </w:pPr>
            <w:r>
              <w:rPr>
                <w:rFonts w:hint="eastAsia" w:ascii="宋体" w:hAnsi="宋体" w:eastAsia="宋体" w:cs="宋体"/>
                <w:color w:val="000000"/>
                <w:sz w:val="21"/>
                <w:szCs w:val="21"/>
                <w:lang w:eastAsia="zh-CN"/>
              </w:rPr>
              <w:t>砷</w:t>
            </w:r>
            <w:r>
              <w:rPr>
                <w:rFonts w:hint="eastAsia" w:ascii="宋体" w:hAnsi="宋体" w:eastAsia="宋体" w:cs="宋体"/>
                <w:sz w:val="21"/>
                <w:szCs w:val="21"/>
                <w:lang w:val="en-US" w:eastAsia="zh-CN"/>
              </w:rPr>
              <w:t>(</w:t>
            </w:r>
            <w:r>
              <w:rPr>
                <w:rFonts w:hint="eastAsia" w:ascii="宋体" w:hAnsi="宋体" w:eastAsia="宋体" w:cs="宋体"/>
                <w:color w:val="000000"/>
                <w:sz w:val="21"/>
                <w:szCs w:val="21"/>
                <w:lang w:val="en-US" w:eastAsia="zh-CN"/>
              </w:rPr>
              <w:t>mg/kg)</w:t>
            </w:r>
          </w:p>
        </w:tc>
        <w:tc>
          <w:tcPr>
            <w:tcW w:w="903" w:type="dxa"/>
            <w:tcBorders>
              <w:tl2br w:val="nil"/>
              <w:tr2bl w:val="nil"/>
            </w:tcBorders>
            <w:noWrap w:val="0"/>
            <w:vAlign w:val="center"/>
          </w:tcPr>
          <w:p w14:paraId="2629F9B2">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5.68</w:t>
            </w:r>
          </w:p>
        </w:tc>
        <w:tc>
          <w:tcPr>
            <w:tcW w:w="903" w:type="dxa"/>
            <w:tcBorders>
              <w:tl2br w:val="nil"/>
              <w:tr2bl w:val="nil"/>
            </w:tcBorders>
            <w:noWrap w:val="0"/>
            <w:vAlign w:val="center"/>
          </w:tcPr>
          <w:p w14:paraId="22AD6EE3">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2.96</w:t>
            </w:r>
          </w:p>
        </w:tc>
        <w:tc>
          <w:tcPr>
            <w:tcW w:w="903" w:type="dxa"/>
            <w:tcBorders>
              <w:tl2br w:val="nil"/>
              <w:tr2bl w:val="nil"/>
            </w:tcBorders>
            <w:noWrap w:val="0"/>
            <w:vAlign w:val="center"/>
          </w:tcPr>
          <w:p w14:paraId="4BCAADAB">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3.00</w:t>
            </w:r>
          </w:p>
        </w:tc>
        <w:tc>
          <w:tcPr>
            <w:tcW w:w="903" w:type="dxa"/>
            <w:tcBorders>
              <w:tl2br w:val="nil"/>
              <w:tr2bl w:val="nil"/>
            </w:tcBorders>
            <w:noWrap w:val="0"/>
            <w:vAlign w:val="center"/>
          </w:tcPr>
          <w:p w14:paraId="04F3260A">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3.65</w:t>
            </w:r>
          </w:p>
        </w:tc>
        <w:tc>
          <w:tcPr>
            <w:tcW w:w="903" w:type="dxa"/>
            <w:tcBorders>
              <w:tl2br w:val="nil"/>
              <w:tr2bl w:val="nil"/>
            </w:tcBorders>
            <w:noWrap w:val="0"/>
            <w:vAlign w:val="center"/>
          </w:tcPr>
          <w:p w14:paraId="3B4660A2">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4.39</w:t>
            </w:r>
          </w:p>
        </w:tc>
        <w:tc>
          <w:tcPr>
            <w:tcW w:w="903" w:type="dxa"/>
            <w:tcBorders>
              <w:tl2br w:val="nil"/>
              <w:tr2bl w:val="nil"/>
            </w:tcBorders>
            <w:noWrap w:val="0"/>
            <w:vAlign w:val="center"/>
          </w:tcPr>
          <w:p w14:paraId="11355B0D">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3.08</w:t>
            </w:r>
          </w:p>
        </w:tc>
        <w:tc>
          <w:tcPr>
            <w:tcW w:w="903" w:type="dxa"/>
            <w:tcBorders>
              <w:tl2br w:val="nil"/>
              <w:tr2bl w:val="nil"/>
            </w:tcBorders>
            <w:noWrap w:val="0"/>
            <w:vAlign w:val="center"/>
          </w:tcPr>
          <w:p w14:paraId="43DD2D9F">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2.91</w:t>
            </w:r>
          </w:p>
        </w:tc>
        <w:tc>
          <w:tcPr>
            <w:tcW w:w="903" w:type="dxa"/>
            <w:tcBorders>
              <w:tl2br w:val="nil"/>
              <w:tr2bl w:val="nil"/>
            </w:tcBorders>
            <w:noWrap w:val="0"/>
            <w:vAlign w:val="center"/>
          </w:tcPr>
          <w:p w14:paraId="00745C71">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3.81</w:t>
            </w:r>
          </w:p>
        </w:tc>
        <w:tc>
          <w:tcPr>
            <w:tcW w:w="903" w:type="dxa"/>
            <w:tcBorders>
              <w:tl2br w:val="nil"/>
              <w:tr2bl w:val="nil"/>
            </w:tcBorders>
            <w:noWrap w:val="0"/>
            <w:vAlign w:val="center"/>
          </w:tcPr>
          <w:p w14:paraId="0506E703">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2.64</w:t>
            </w:r>
          </w:p>
        </w:tc>
        <w:tc>
          <w:tcPr>
            <w:tcW w:w="903" w:type="dxa"/>
            <w:tcBorders>
              <w:tl2br w:val="nil"/>
              <w:tr2bl w:val="nil"/>
            </w:tcBorders>
            <w:noWrap w:val="0"/>
            <w:vAlign w:val="center"/>
          </w:tcPr>
          <w:p w14:paraId="5B9D14D6">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2.88</w:t>
            </w:r>
          </w:p>
        </w:tc>
        <w:tc>
          <w:tcPr>
            <w:tcW w:w="903" w:type="dxa"/>
            <w:tcBorders>
              <w:tl2br w:val="nil"/>
              <w:tr2bl w:val="nil"/>
            </w:tcBorders>
            <w:noWrap w:val="0"/>
            <w:vAlign w:val="center"/>
          </w:tcPr>
          <w:p w14:paraId="0FC61DF7">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4.47</w:t>
            </w:r>
          </w:p>
        </w:tc>
        <w:tc>
          <w:tcPr>
            <w:tcW w:w="906" w:type="dxa"/>
            <w:tcBorders>
              <w:tl2br w:val="nil"/>
              <w:tr2bl w:val="nil"/>
            </w:tcBorders>
            <w:noWrap w:val="0"/>
            <w:vAlign w:val="center"/>
          </w:tcPr>
          <w:p w14:paraId="39BD1CF4">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2.74</w:t>
            </w:r>
          </w:p>
        </w:tc>
        <w:tc>
          <w:tcPr>
            <w:tcW w:w="906" w:type="dxa"/>
            <w:tcBorders>
              <w:tl2br w:val="nil"/>
              <w:tr2bl w:val="nil"/>
            </w:tcBorders>
            <w:noWrap w:val="0"/>
            <w:vAlign w:val="center"/>
          </w:tcPr>
          <w:p w14:paraId="66B03994">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60</w:t>
            </w:r>
          </w:p>
        </w:tc>
      </w:tr>
      <w:tr w14:paraId="3005157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2180" w:type="dxa"/>
            <w:tcBorders>
              <w:tl2br w:val="nil"/>
              <w:tr2bl w:val="nil"/>
            </w:tcBorders>
            <w:noWrap w:val="0"/>
            <w:vAlign w:val="center"/>
          </w:tcPr>
          <w:p w14:paraId="4C3AA58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color w:val="000000"/>
                <w:kern w:val="2"/>
                <w:sz w:val="21"/>
                <w:szCs w:val="21"/>
                <w:lang w:val="en-US" w:eastAsia="zh-CN"/>
              </w:rPr>
            </w:pPr>
            <w:r>
              <w:rPr>
                <w:rFonts w:hint="eastAsia" w:ascii="宋体" w:hAnsi="宋体" w:eastAsia="宋体" w:cs="宋体"/>
                <w:sz w:val="21"/>
                <w:szCs w:val="21"/>
                <w:lang w:val="en-US" w:eastAsia="zh-CN"/>
              </w:rPr>
              <w:t>铬（六价）(</w:t>
            </w:r>
            <w:r>
              <w:rPr>
                <w:rFonts w:hint="eastAsia" w:ascii="宋体" w:hAnsi="宋体" w:eastAsia="宋体" w:cs="宋体"/>
                <w:color w:val="000000"/>
                <w:sz w:val="21"/>
                <w:szCs w:val="21"/>
                <w:lang w:val="en-US" w:eastAsia="zh-CN"/>
              </w:rPr>
              <w:t>mg/kg)</w:t>
            </w:r>
          </w:p>
        </w:tc>
        <w:tc>
          <w:tcPr>
            <w:tcW w:w="903" w:type="dxa"/>
            <w:tcBorders>
              <w:tl2br w:val="nil"/>
              <w:tr2bl w:val="nil"/>
            </w:tcBorders>
            <w:noWrap w:val="0"/>
            <w:vAlign w:val="center"/>
          </w:tcPr>
          <w:p w14:paraId="253FC532">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ND</w:t>
            </w:r>
          </w:p>
        </w:tc>
        <w:tc>
          <w:tcPr>
            <w:tcW w:w="903" w:type="dxa"/>
            <w:tcBorders>
              <w:tl2br w:val="nil"/>
              <w:tr2bl w:val="nil"/>
            </w:tcBorders>
            <w:noWrap w:val="0"/>
            <w:vAlign w:val="center"/>
          </w:tcPr>
          <w:p w14:paraId="13517E63">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kern w:val="2"/>
                <w:sz w:val="21"/>
                <w:szCs w:val="21"/>
                <w:lang w:val="en-US" w:eastAsia="zh-CN"/>
              </w:rPr>
              <w:t>2</w:t>
            </w:r>
          </w:p>
        </w:tc>
        <w:tc>
          <w:tcPr>
            <w:tcW w:w="903" w:type="dxa"/>
            <w:tcBorders>
              <w:tl2br w:val="nil"/>
              <w:tr2bl w:val="nil"/>
            </w:tcBorders>
            <w:noWrap w:val="0"/>
            <w:vAlign w:val="center"/>
          </w:tcPr>
          <w:p w14:paraId="2B617E93">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kern w:val="2"/>
                <w:sz w:val="21"/>
                <w:szCs w:val="21"/>
                <w:lang w:val="en-US" w:eastAsia="zh-CN"/>
              </w:rPr>
              <w:t>2</w:t>
            </w:r>
          </w:p>
        </w:tc>
        <w:tc>
          <w:tcPr>
            <w:tcW w:w="903" w:type="dxa"/>
            <w:tcBorders>
              <w:tl2br w:val="nil"/>
              <w:tr2bl w:val="nil"/>
            </w:tcBorders>
            <w:noWrap w:val="0"/>
            <w:vAlign w:val="center"/>
          </w:tcPr>
          <w:p w14:paraId="119CFF0A">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ND</w:t>
            </w:r>
          </w:p>
        </w:tc>
        <w:tc>
          <w:tcPr>
            <w:tcW w:w="903" w:type="dxa"/>
            <w:tcBorders>
              <w:tl2br w:val="nil"/>
              <w:tr2bl w:val="nil"/>
            </w:tcBorders>
            <w:noWrap w:val="0"/>
            <w:vAlign w:val="center"/>
          </w:tcPr>
          <w:p w14:paraId="1F5CA5A2">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ND</w:t>
            </w:r>
          </w:p>
        </w:tc>
        <w:tc>
          <w:tcPr>
            <w:tcW w:w="903" w:type="dxa"/>
            <w:tcBorders>
              <w:tl2br w:val="nil"/>
              <w:tr2bl w:val="nil"/>
            </w:tcBorders>
            <w:noWrap w:val="0"/>
            <w:vAlign w:val="center"/>
          </w:tcPr>
          <w:p w14:paraId="3022F9C7">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kern w:val="2"/>
                <w:sz w:val="21"/>
                <w:szCs w:val="21"/>
                <w:lang w:val="en-US" w:eastAsia="zh-CN"/>
              </w:rPr>
              <w:t>ND</w:t>
            </w:r>
          </w:p>
        </w:tc>
        <w:tc>
          <w:tcPr>
            <w:tcW w:w="903" w:type="dxa"/>
            <w:tcBorders>
              <w:tl2br w:val="nil"/>
              <w:tr2bl w:val="nil"/>
            </w:tcBorders>
            <w:noWrap w:val="0"/>
            <w:vAlign w:val="center"/>
          </w:tcPr>
          <w:p w14:paraId="13E73B04">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2</w:t>
            </w:r>
          </w:p>
        </w:tc>
        <w:tc>
          <w:tcPr>
            <w:tcW w:w="903" w:type="dxa"/>
            <w:tcBorders>
              <w:tl2br w:val="nil"/>
              <w:tr2bl w:val="nil"/>
            </w:tcBorders>
            <w:noWrap w:val="0"/>
            <w:vAlign w:val="center"/>
          </w:tcPr>
          <w:p w14:paraId="1167362F">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ND</w:t>
            </w:r>
          </w:p>
        </w:tc>
        <w:tc>
          <w:tcPr>
            <w:tcW w:w="903" w:type="dxa"/>
            <w:tcBorders>
              <w:tl2br w:val="nil"/>
              <w:tr2bl w:val="nil"/>
            </w:tcBorders>
            <w:noWrap w:val="0"/>
            <w:vAlign w:val="center"/>
          </w:tcPr>
          <w:p w14:paraId="00A503DF">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ND</w:t>
            </w:r>
          </w:p>
        </w:tc>
        <w:tc>
          <w:tcPr>
            <w:tcW w:w="903" w:type="dxa"/>
            <w:tcBorders>
              <w:tl2br w:val="nil"/>
              <w:tr2bl w:val="nil"/>
            </w:tcBorders>
            <w:noWrap w:val="0"/>
            <w:vAlign w:val="center"/>
          </w:tcPr>
          <w:p w14:paraId="00467FD1">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ND</w:t>
            </w:r>
          </w:p>
        </w:tc>
        <w:tc>
          <w:tcPr>
            <w:tcW w:w="903" w:type="dxa"/>
            <w:tcBorders>
              <w:tl2br w:val="nil"/>
              <w:tr2bl w:val="nil"/>
            </w:tcBorders>
            <w:noWrap w:val="0"/>
            <w:vAlign w:val="center"/>
          </w:tcPr>
          <w:p w14:paraId="62BCA8EC">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ND</w:t>
            </w:r>
          </w:p>
        </w:tc>
        <w:tc>
          <w:tcPr>
            <w:tcW w:w="906" w:type="dxa"/>
            <w:tcBorders>
              <w:tl2br w:val="nil"/>
              <w:tr2bl w:val="nil"/>
            </w:tcBorders>
            <w:noWrap w:val="0"/>
            <w:vAlign w:val="center"/>
          </w:tcPr>
          <w:p w14:paraId="427E65A4">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ND</w:t>
            </w:r>
          </w:p>
        </w:tc>
        <w:tc>
          <w:tcPr>
            <w:tcW w:w="906" w:type="dxa"/>
            <w:tcBorders>
              <w:tl2br w:val="nil"/>
              <w:tr2bl w:val="nil"/>
            </w:tcBorders>
            <w:noWrap w:val="0"/>
            <w:vAlign w:val="center"/>
          </w:tcPr>
          <w:p w14:paraId="49AC871A">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5.7</w:t>
            </w:r>
          </w:p>
        </w:tc>
      </w:tr>
      <w:tr w14:paraId="48F6073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2180" w:type="dxa"/>
            <w:tcBorders>
              <w:tl2br w:val="nil"/>
              <w:tr2bl w:val="nil"/>
            </w:tcBorders>
            <w:noWrap w:val="0"/>
            <w:vAlign w:val="center"/>
          </w:tcPr>
          <w:p w14:paraId="7082A62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镉(</w:t>
            </w:r>
            <w:r>
              <w:rPr>
                <w:rFonts w:hint="eastAsia" w:ascii="宋体" w:hAnsi="宋体" w:eastAsia="宋体" w:cs="宋体"/>
                <w:color w:val="000000"/>
                <w:sz w:val="21"/>
                <w:szCs w:val="21"/>
                <w:lang w:val="en-US" w:eastAsia="zh-CN"/>
              </w:rPr>
              <w:t>mg/kg)</w:t>
            </w:r>
          </w:p>
        </w:tc>
        <w:tc>
          <w:tcPr>
            <w:tcW w:w="903" w:type="dxa"/>
            <w:tcBorders>
              <w:tl2br w:val="nil"/>
              <w:tr2bl w:val="nil"/>
            </w:tcBorders>
            <w:noWrap w:val="0"/>
            <w:vAlign w:val="center"/>
          </w:tcPr>
          <w:p w14:paraId="12C59AE1">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3.79</w:t>
            </w:r>
          </w:p>
        </w:tc>
        <w:tc>
          <w:tcPr>
            <w:tcW w:w="903" w:type="dxa"/>
            <w:tcBorders>
              <w:tl2br w:val="nil"/>
              <w:tr2bl w:val="nil"/>
            </w:tcBorders>
            <w:noWrap w:val="0"/>
            <w:vAlign w:val="center"/>
          </w:tcPr>
          <w:p w14:paraId="42769F99">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6.06</w:t>
            </w:r>
          </w:p>
        </w:tc>
        <w:tc>
          <w:tcPr>
            <w:tcW w:w="903" w:type="dxa"/>
            <w:tcBorders>
              <w:tl2br w:val="nil"/>
              <w:tr2bl w:val="nil"/>
            </w:tcBorders>
            <w:noWrap w:val="0"/>
            <w:vAlign w:val="center"/>
          </w:tcPr>
          <w:p w14:paraId="72E0EA81">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4.07</w:t>
            </w:r>
          </w:p>
        </w:tc>
        <w:tc>
          <w:tcPr>
            <w:tcW w:w="903" w:type="dxa"/>
            <w:tcBorders>
              <w:tl2br w:val="nil"/>
              <w:tr2bl w:val="nil"/>
            </w:tcBorders>
            <w:noWrap w:val="0"/>
            <w:vAlign w:val="center"/>
          </w:tcPr>
          <w:p w14:paraId="70F90223">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6.30</w:t>
            </w:r>
          </w:p>
        </w:tc>
        <w:tc>
          <w:tcPr>
            <w:tcW w:w="903" w:type="dxa"/>
            <w:tcBorders>
              <w:tl2br w:val="nil"/>
              <w:tr2bl w:val="nil"/>
            </w:tcBorders>
            <w:noWrap w:val="0"/>
            <w:vAlign w:val="center"/>
          </w:tcPr>
          <w:p w14:paraId="58A2A259">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4.22</w:t>
            </w:r>
          </w:p>
        </w:tc>
        <w:tc>
          <w:tcPr>
            <w:tcW w:w="903" w:type="dxa"/>
            <w:tcBorders>
              <w:tl2br w:val="nil"/>
              <w:tr2bl w:val="nil"/>
            </w:tcBorders>
            <w:noWrap w:val="0"/>
            <w:vAlign w:val="center"/>
          </w:tcPr>
          <w:p w14:paraId="7E891175">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5.83</w:t>
            </w:r>
          </w:p>
        </w:tc>
        <w:tc>
          <w:tcPr>
            <w:tcW w:w="903" w:type="dxa"/>
            <w:tcBorders>
              <w:tl2br w:val="nil"/>
              <w:tr2bl w:val="nil"/>
            </w:tcBorders>
            <w:noWrap w:val="0"/>
            <w:vAlign w:val="center"/>
          </w:tcPr>
          <w:p w14:paraId="7E3659A9">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6.05</w:t>
            </w:r>
          </w:p>
        </w:tc>
        <w:tc>
          <w:tcPr>
            <w:tcW w:w="903" w:type="dxa"/>
            <w:tcBorders>
              <w:tl2br w:val="nil"/>
              <w:tr2bl w:val="nil"/>
            </w:tcBorders>
            <w:noWrap w:val="0"/>
            <w:vAlign w:val="center"/>
          </w:tcPr>
          <w:p w14:paraId="66A0FB04">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6.06</w:t>
            </w:r>
          </w:p>
        </w:tc>
        <w:tc>
          <w:tcPr>
            <w:tcW w:w="903" w:type="dxa"/>
            <w:tcBorders>
              <w:tl2br w:val="nil"/>
              <w:tr2bl w:val="nil"/>
            </w:tcBorders>
            <w:noWrap w:val="0"/>
            <w:vAlign w:val="center"/>
          </w:tcPr>
          <w:p w14:paraId="52686B0F">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4.07</w:t>
            </w:r>
          </w:p>
        </w:tc>
        <w:tc>
          <w:tcPr>
            <w:tcW w:w="903" w:type="dxa"/>
            <w:tcBorders>
              <w:tl2br w:val="nil"/>
              <w:tr2bl w:val="nil"/>
            </w:tcBorders>
            <w:noWrap w:val="0"/>
            <w:vAlign w:val="center"/>
          </w:tcPr>
          <w:p w14:paraId="6318D37A">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6.53</w:t>
            </w:r>
          </w:p>
        </w:tc>
        <w:tc>
          <w:tcPr>
            <w:tcW w:w="903" w:type="dxa"/>
            <w:tcBorders>
              <w:tl2br w:val="nil"/>
              <w:tr2bl w:val="nil"/>
            </w:tcBorders>
            <w:noWrap w:val="0"/>
            <w:vAlign w:val="center"/>
          </w:tcPr>
          <w:p w14:paraId="1FE5D079">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4.07</w:t>
            </w:r>
          </w:p>
        </w:tc>
        <w:tc>
          <w:tcPr>
            <w:tcW w:w="906" w:type="dxa"/>
            <w:tcBorders>
              <w:tl2br w:val="nil"/>
              <w:tr2bl w:val="nil"/>
            </w:tcBorders>
            <w:noWrap w:val="0"/>
            <w:vAlign w:val="center"/>
          </w:tcPr>
          <w:p w14:paraId="274B5864">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6.53</w:t>
            </w:r>
          </w:p>
        </w:tc>
        <w:tc>
          <w:tcPr>
            <w:tcW w:w="906" w:type="dxa"/>
            <w:tcBorders>
              <w:tl2br w:val="nil"/>
              <w:tr2bl w:val="nil"/>
            </w:tcBorders>
            <w:noWrap w:val="0"/>
            <w:vAlign w:val="center"/>
          </w:tcPr>
          <w:p w14:paraId="3F0C164D">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65</w:t>
            </w:r>
          </w:p>
        </w:tc>
      </w:tr>
      <w:tr w14:paraId="297BF2C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2180" w:type="dxa"/>
            <w:tcBorders>
              <w:tl2br w:val="nil"/>
              <w:tr2bl w:val="nil"/>
            </w:tcBorders>
            <w:noWrap w:val="0"/>
            <w:vAlign w:val="center"/>
          </w:tcPr>
          <w:p w14:paraId="424FBF1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铜(</w:t>
            </w:r>
            <w:r>
              <w:rPr>
                <w:rFonts w:hint="eastAsia" w:ascii="宋体" w:hAnsi="宋体" w:eastAsia="宋体" w:cs="宋体"/>
                <w:color w:val="000000"/>
                <w:sz w:val="21"/>
                <w:szCs w:val="21"/>
                <w:lang w:val="en-US" w:eastAsia="zh-CN"/>
              </w:rPr>
              <w:t>mg/kg)</w:t>
            </w:r>
          </w:p>
        </w:tc>
        <w:tc>
          <w:tcPr>
            <w:tcW w:w="903" w:type="dxa"/>
            <w:tcBorders>
              <w:tl2br w:val="nil"/>
              <w:tr2bl w:val="nil"/>
            </w:tcBorders>
            <w:noWrap w:val="0"/>
            <w:vAlign w:val="center"/>
          </w:tcPr>
          <w:p w14:paraId="6A534860">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72</w:t>
            </w:r>
          </w:p>
        </w:tc>
        <w:tc>
          <w:tcPr>
            <w:tcW w:w="903" w:type="dxa"/>
            <w:tcBorders>
              <w:tl2br w:val="nil"/>
              <w:tr2bl w:val="nil"/>
            </w:tcBorders>
            <w:noWrap w:val="0"/>
            <w:vAlign w:val="center"/>
          </w:tcPr>
          <w:p w14:paraId="047B8EFD">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71</w:t>
            </w:r>
          </w:p>
        </w:tc>
        <w:tc>
          <w:tcPr>
            <w:tcW w:w="903" w:type="dxa"/>
            <w:tcBorders>
              <w:tl2br w:val="nil"/>
              <w:tr2bl w:val="nil"/>
            </w:tcBorders>
            <w:noWrap w:val="0"/>
            <w:vAlign w:val="center"/>
          </w:tcPr>
          <w:p w14:paraId="238D0712">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70</w:t>
            </w:r>
          </w:p>
        </w:tc>
        <w:tc>
          <w:tcPr>
            <w:tcW w:w="903" w:type="dxa"/>
            <w:tcBorders>
              <w:tl2br w:val="nil"/>
              <w:tr2bl w:val="nil"/>
            </w:tcBorders>
            <w:noWrap w:val="0"/>
            <w:vAlign w:val="center"/>
          </w:tcPr>
          <w:p w14:paraId="4F9A6588">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76</w:t>
            </w:r>
          </w:p>
        </w:tc>
        <w:tc>
          <w:tcPr>
            <w:tcW w:w="903" w:type="dxa"/>
            <w:tcBorders>
              <w:tl2br w:val="nil"/>
              <w:tr2bl w:val="nil"/>
            </w:tcBorders>
            <w:noWrap w:val="0"/>
            <w:vAlign w:val="center"/>
          </w:tcPr>
          <w:p w14:paraId="70E8BD60">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41</w:t>
            </w:r>
          </w:p>
        </w:tc>
        <w:tc>
          <w:tcPr>
            <w:tcW w:w="903" w:type="dxa"/>
            <w:tcBorders>
              <w:tl2br w:val="nil"/>
              <w:tr2bl w:val="nil"/>
            </w:tcBorders>
            <w:noWrap w:val="0"/>
            <w:vAlign w:val="center"/>
          </w:tcPr>
          <w:p w14:paraId="78C6CCDD">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71</w:t>
            </w:r>
          </w:p>
        </w:tc>
        <w:tc>
          <w:tcPr>
            <w:tcW w:w="903" w:type="dxa"/>
            <w:tcBorders>
              <w:tl2br w:val="nil"/>
              <w:tr2bl w:val="nil"/>
            </w:tcBorders>
            <w:noWrap w:val="0"/>
            <w:vAlign w:val="center"/>
          </w:tcPr>
          <w:p w14:paraId="5F68F86E">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71</w:t>
            </w:r>
          </w:p>
        </w:tc>
        <w:tc>
          <w:tcPr>
            <w:tcW w:w="903" w:type="dxa"/>
            <w:tcBorders>
              <w:tl2br w:val="nil"/>
              <w:tr2bl w:val="nil"/>
            </w:tcBorders>
            <w:noWrap w:val="0"/>
            <w:vAlign w:val="center"/>
          </w:tcPr>
          <w:p w14:paraId="329D8735">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34</w:t>
            </w:r>
          </w:p>
        </w:tc>
        <w:tc>
          <w:tcPr>
            <w:tcW w:w="903" w:type="dxa"/>
            <w:tcBorders>
              <w:tl2br w:val="nil"/>
              <w:tr2bl w:val="nil"/>
            </w:tcBorders>
            <w:noWrap w:val="0"/>
            <w:vAlign w:val="center"/>
          </w:tcPr>
          <w:p w14:paraId="1D971A16">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69</w:t>
            </w:r>
          </w:p>
        </w:tc>
        <w:tc>
          <w:tcPr>
            <w:tcW w:w="903" w:type="dxa"/>
            <w:tcBorders>
              <w:tl2br w:val="nil"/>
              <w:tr2bl w:val="nil"/>
            </w:tcBorders>
            <w:noWrap w:val="0"/>
            <w:vAlign w:val="center"/>
          </w:tcPr>
          <w:p w14:paraId="2AA077C3">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70</w:t>
            </w:r>
          </w:p>
        </w:tc>
        <w:tc>
          <w:tcPr>
            <w:tcW w:w="903" w:type="dxa"/>
            <w:tcBorders>
              <w:tl2br w:val="nil"/>
              <w:tr2bl w:val="nil"/>
            </w:tcBorders>
            <w:noWrap w:val="0"/>
            <w:vAlign w:val="center"/>
          </w:tcPr>
          <w:p w14:paraId="7D1D9D4F">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63</w:t>
            </w:r>
          </w:p>
        </w:tc>
        <w:tc>
          <w:tcPr>
            <w:tcW w:w="906" w:type="dxa"/>
            <w:tcBorders>
              <w:tl2br w:val="nil"/>
              <w:tr2bl w:val="nil"/>
            </w:tcBorders>
            <w:noWrap w:val="0"/>
            <w:vAlign w:val="center"/>
          </w:tcPr>
          <w:p w14:paraId="116E8EA9">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102</w:t>
            </w:r>
          </w:p>
        </w:tc>
        <w:tc>
          <w:tcPr>
            <w:tcW w:w="906" w:type="dxa"/>
            <w:tcBorders>
              <w:tl2br w:val="nil"/>
              <w:tr2bl w:val="nil"/>
            </w:tcBorders>
            <w:noWrap w:val="0"/>
            <w:vAlign w:val="center"/>
          </w:tcPr>
          <w:p w14:paraId="67D86A7C">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18000</w:t>
            </w:r>
          </w:p>
        </w:tc>
      </w:tr>
      <w:tr w14:paraId="028E087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2180" w:type="dxa"/>
            <w:tcBorders>
              <w:tl2br w:val="nil"/>
              <w:tr2bl w:val="nil"/>
            </w:tcBorders>
            <w:noWrap w:val="0"/>
            <w:vAlign w:val="center"/>
          </w:tcPr>
          <w:p w14:paraId="34619C5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铅(</w:t>
            </w:r>
            <w:r>
              <w:rPr>
                <w:rFonts w:hint="eastAsia" w:ascii="宋体" w:hAnsi="宋体" w:eastAsia="宋体" w:cs="宋体"/>
                <w:color w:val="000000"/>
                <w:sz w:val="21"/>
                <w:szCs w:val="21"/>
                <w:lang w:val="en-US" w:eastAsia="zh-CN"/>
              </w:rPr>
              <w:t>mg/kg)</w:t>
            </w:r>
          </w:p>
        </w:tc>
        <w:tc>
          <w:tcPr>
            <w:tcW w:w="903" w:type="dxa"/>
            <w:tcBorders>
              <w:tl2br w:val="nil"/>
              <w:tr2bl w:val="nil"/>
            </w:tcBorders>
            <w:noWrap w:val="0"/>
            <w:vAlign w:val="center"/>
          </w:tcPr>
          <w:p w14:paraId="1423D8F9">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50</w:t>
            </w:r>
          </w:p>
        </w:tc>
        <w:tc>
          <w:tcPr>
            <w:tcW w:w="903" w:type="dxa"/>
            <w:tcBorders>
              <w:tl2br w:val="nil"/>
              <w:tr2bl w:val="nil"/>
            </w:tcBorders>
            <w:noWrap w:val="0"/>
            <w:vAlign w:val="center"/>
          </w:tcPr>
          <w:p w14:paraId="084CF0A2">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73</w:t>
            </w:r>
          </w:p>
        </w:tc>
        <w:tc>
          <w:tcPr>
            <w:tcW w:w="903" w:type="dxa"/>
            <w:tcBorders>
              <w:tl2br w:val="nil"/>
              <w:tr2bl w:val="nil"/>
            </w:tcBorders>
            <w:noWrap w:val="0"/>
            <w:vAlign w:val="center"/>
          </w:tcPr>
          <w:p w14:paraId="12701C79">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71</w:t>
            </w:r>
          </w:p>
        </w:tc>
        <w:tc>
          <w:tcPr>
            <w:tcW w:w="903" w:type="dxa"/>
            <w:tcBorders>
              <w:tl2br w:val="nil"/>
              <w:tr2bl w:val="nil"/>
            </w:tcBorders>
            <w:noWrap w:val="0"/>
            <w:vAlign w:val="center"/>
          </w:tcPr>
          <w:p w14:paraId="284FE8C3">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50</w:t>
            </w:r>
          </w:p>
        </w:tc>
        <w:tc>
          <w:tcPr>
            <w:tcW w:w="903" w:type="dxa"/>
            <w:tcBorders>
              <w:tl2br w:val="nil"/>
              <w:tr2bl w:val="nil"/>
            </w:tcBorders>
            <w:noWrap w:val="0"/>
            <w:vAlign w:val="center"/>
          </w:tcPr>
          <w:p w14:paraId="00AB3484">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34</w:t>
            </w:r>
          </w:p>
        </w:tc>
        <w:tc>
          <w:tcPr>
            <w:tcW w:w="903" w:type="dxa"/>
            <w:tcBorders>
              <w:tl2br w:val="nil"/>
              <w:tr2bl w:val="nil"/>
            </w:tcBorders>
            <w:noWrap w:val="0"/>
            <w:vAlign w:val="center"/>
          </w:tcPr>
          <w:p w14:paraId="5F53B064">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69</w:t>
            </w:r>
          </w:p>
        </w:tc>
        <w:tc>
          <w:tcPr>
            <w:tcW w:w="903" w:type="dxa"/>
            <w:tcBorders>
              <w:tl2br w:val="nil"/>
              <w:tr2bl w:val="nil"/>
            </w:tcBorders>
            <w:noWrap w:val="0"/>
            <w:vAlign w:val="center"/>
          </w:tcPr>
          <w:p w14:paraId="3219C270">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70</w:t>
            </w:r>
          </w:p>
        </w:tc>
        <w:tc>
          <w:tcPr>
            <w:tcW w:w="903" w:type="dxa"/>
            <w:tcBorders>
              <w:tl2br w:val="nil"/>
              <w:tr2bl w:val="nil"/>
            </w:tcBorders>
            <w:noWrap w:val="0"/>
            <w:vAlign w:val="center"/>
          </w:tcPr>
          <w:p w14:paraId="63652E85">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31</w:t>
            </w:r>
          </w:p>
        </w:tc>
        <w:tc>
          <w:tcPr>
            <w:tcW w:w="903" w:type="dxa"/>
            <w:tcBorders>
              <w:tl2br w:val="nil"/>
              <w:tr2bl w:val="nil"/>
            </w:tcBorders>
            <w:noWrap w:val="0"/>
            <w:vAlign w:val="center"/>
          </w:tcPr>
          <w:p w14:paraId="2FF4A320">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76</w:t>
            </w:r>
          </w:p>
        </w:tc>
        <w:tc>
          <w:tcPr>
            <w:tcW w:w="903" w:type="dxa"/>
            <w:tcBorders>
              <w:tl2br w:val="nil"/>
              <w:tr2bl w:val="nil"/>
            </w:tcBorders>
            <w:noWrap w:val="0"/>
            <w:vAlign w:val="center"/>
          </w:tcPr>
          <w:p w14:paraId="2179D5E0">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77</w:t>
            </w:r>
          </w:p>
        </w:tc>
        <w:tc>
          <w:tcPr>
            <w:tcW w:w="903" w:type="dxa"/>
            <w:tcBorders>
              <w:tl2br w:val="nil"/>
              <w:tr2bl w:val="nil"/>
            </w:tcBorders>
            <w:noWrap w:val="0"/>
            <w:vAlign w:val="center"/>
          </w:tcPr>
          <w:p w14:paraId="20C49788">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67</w:t>
            </w:r>
          </w:p>
        </w:tc>
        <w:tc>
          <w:tcPr>
            <w:tcW w:w="906" w:type="dxa"/>
            <w:tcBorders>
              <w:tl2br w:val="nil"/>
              <w:tr2bl w:val="nil"/>
            </w:tcBorders>
            <w:noWrap w:val="0"/>
            <w:vAlign w:val="center"/>
          </w:tcPr>
          <w:p w14:paraId="6CAF5A6B">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74</w:t>
            </w:r>
          </w:p>
        </w:tc>
        <w:tc>
          <w:tcPr>
            <w:tcW w:w="906" w:type="dxa"/>
            <w:tcBorders>
              <w:tl2br w:val="nil"/>
              <w:tr2bl w:val="nil"/>
            </w:tcBorders>
            <w:noWrap w:val="0"/>
            <w:vAlign w:val="center"/>
          </w:tcPr>
          <w:p w14:paraId="247DE9FB">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800</w:t>
            </w:r>
          </w:p>
        </w:tc>
      </w:tr>
      <w:tr w14:paraId="7AF437A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2180" w:type="dxa"/>
            <w:tcBorders>
              <w:tl2br w:val="nil"/>
              <w:tr2bl w:val="nil"/>
            </w:tcBorders>
            <w:noWrap w:val="0"/>
            <w:vAlign w:val="center"/>
          </w:tcPr>
          <w:p w14:paraId="5940377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镍(</w:t>
            </w:r>
            <w:r>
              <w:rPr>
                <w:rFonts w:hint="eastAsia" w:ascii="宋体" w:hAnsi="宋体" w:eastAsia="宋体" w:cs="宋体"/>
                <w:color w:val="000000"/>
                <w:sz w:val="21"/>
                <w:szCs w:val="21"/>
                <w:lang w:val="en-US" w:eastAsia="zh-CN"/>
              </w:rPr>
              <w:t>mg/kg)</w:t>
            </w:r>
          </w:p>
        </w:tc>
        <w:tc>
          <w:tcPr>
            <w:tcW w:w="903" w:type="dxa"/>
            <w:tcBorders>
              <w:tl2br w:val="nil"/>
              <w:tr2bl w:val="nil"/>
            </w:tcBorders>
            <w:noWrap w:val="0"/>
            <w:vAlign w:val="center"/>
          </w:tcPr>
          <w:p w14:paraId="1482C7A9">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35</w:t>
            </w:r>
          </w:p>
        </w:tc>
        <w:tc>
          <w:tcPr>
            <w:tcW w:w="903" w:type="dxa"/>
            <w:tcBorders>
              <w:tl2br w:val="nil"/>
              <w:tr2bl w:val="nil"/>
            </w:tcBorders>
            <w:noWrap w:val="0"/>
            <w:vAlign w:val="center"/>
          </w:tcPr>
          <w:p w14:paraId="63300C06">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10</w:t>
            </w:r>
          </w:p>
        </w:tc>
        <w:tc>
          <w:tcPr>
            <w:tcW w:w="903" w:type="dxa"/>
            <w:tcBorders>
              <w:tl2br w:val="nil"/>
              <w:tr2bl w:val="nil"/>
            </w:tcBorders>
            <w:noWrap w:val="0"/>
            <w:vAlign w:val="center"/>
          </w:tcPr>
          <w:p w14:paraId="131A195A">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10</w:t>
            </w:r>
          </w:p>
        </w:tc>
        <w:tc>
          <w:tcPr>
            <w:tcW w:w="903" w:type="dxa"/>
            <w:tcBorders>
              <w:tl2br w:val="nil"/>
              <w:tr2bl w:val="nil"/>
            </w:tcBorders>
            <w:noWrap w:val="0"/>
            <w:vAlign w:val="center"/>
          </w:tcPr>
          <w:p w14:paraId="05636F0F">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33</w:t>
            </w:r>
          </w:p>
        </w:tc>
        <w:tc>
          <w:tcPr>
            <w:tcW w:w="903" w:type="dxa"/>
            <w:tcBorders>
              <w:tl2br w:val="nil"/>
              <w:tr2bl w:val="nil"/>
            </w:tcBorders>
            <w:noWrap w:val="0"/>
            <w:vAlign w:val="center"/>
          </w:tcPr>
          <w:p w14:paraId="3A3E9309">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30</w:t>
            </w:r>
          </w:p>
        </w:tc>
        <w:tc>
          <w:tcPr>
            <w:tcW w:w="903" w:type="dxa"/>
            <w:tcBorders>
              <w:tl2br w:val="nil"/>
              <w:tr2bl w:val="nil"/>
            </w:tcBorders>
            <w:noWrap w:val="0"/>
            <w:vAlign w:val="center"/>
          </w:tcPr>
          <w:p w14:paraId="01695411">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10</w:t>
            </w:r>
          </w:p>
        </w:tc>
        <w:tc>
          <w:tcPr>
            <w:tcW w:w="903" w:type="dxa"/>
            <w:tcBorders>
              <w:tl2br w:val="nil"/>
              <w:tr2bl w:val="nil"/>
            </w:tcBorders>
            <w:noWrap w:val="0"/>
            <w:vAlign w:val="center"/>
          </w:tcPr>
          <w:p w14:paraId="42C2D9A5">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12</w:t>
            </w:r>
          </w:p>
        </w:tc>
        <w:tc>
          <w:tcPr>
            <w:tcW w:w="903" w:type="dxa"/>
            <w:tcBorders>
              <w:tl2br w:val="nil"/>
              <w:tr2bl w:val="nil"/>
            </w:tcBorders>
            <w:noWrap w:val="0"/>
            <w:vAlign w:val="center"/>
          </w:tcPr>
          <w:p w14:paraId="3EF76562">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26</w:t>
            </w:r>
          </w:p>
        </w:tc>
        <w:tc>
          <w:tcPr>
            <w:tcW w:w="903" w:type="dxa"/>
            <w:tcBorders>
              <w:tl2br w:val="nil"/>
              <w:tr2bl w:val="nil"/>
            </w:tcBorders>
            <w:noWrap w:val="0"/>
            <w:vAlign w:val="center"/>
          </w:tcPr>
          <w:p w14:paraId="015FC6B5">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11</w:t>
            </w:r>
          </w:p>
        </w:tc>
        <w:tc>
          <w:tcPr>
            <w:tcW w:w="903" w:type="dxa"/>
            <w:tcBorders>
              <w:tl2br w:val="nil"/>
              <w:tr2bl w:val="nil"/>
            </w:tcBorders>
            <w:noWrap w:val="0"/>
            <w:vAlign w:val="center"/>
          </w:tcPr>
          <w:p w14:paraId="46C2DFD0">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11</w:t>
            </w:r>
          </w:p>
        </w:tc>
        <w:tc>
          <w:tcPr>
            <w:tcW w:w="903" w:type="dxa"/>
            <w:tcBorders>
              <w:tl2br w:val="nil"/>
              <w:tr2bl w:val="nil"/>
            </w:tcBorders>
            <w:noWrap w:val="0"/>
            <w:vAlign w:val="center"/>
          </w:tcPr>
          <w:p w14:paraId="12452167">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33</w:t>
            </w:r>
          </w:p>
        </w:tc>
        <w:tc>
          <w:tcPr>
            <w:tcW w:w="906" w:type="dxa"/>
            <w:tcBorders>
              <w:tl2br w:val="nil"/>
              <w:tr2bl w:val="nil"/>
            </w:tcBorders>
            <w:noWrap w:val="0"/>
            <w:vAlign w:val="center"/>
          </w:tcPr>
          <w:p w14:paraId="4DA3C5FA">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33</w:t>
            </w:r>
          </w:p>
        </w:tc>
        <w:tc>
          <w:tcPr>
            <w:tcW w:w="906" w:type="dxa"/>
            <w:tcBorders>
              <w:tl2br w:val="nil"/>
              <w:tr2bl w:val="nil"/>
            </w:tcBorders>
            <w:noWrap w:val="0"/>
            <w:vAlign w:val="center"/>
          </w:tcPr>
          <w:p w14:paraId="184A2497">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900</w:t>
            </w:r>
          </w:p>
        </w:tc>
      </w:tr>
      <w:tr w14:paraId="20CEFAB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2180" w:type="dxa"/>
            <w:tcBorders>
              <w:tl2br w:val="nil"/>
              <w:tr2bl w:val="nil"/>
            </w:tcBorders>
            <w:noWrap w:val="0"/>
            <w:vAlign w:val="center"/>
          </w:tcPr>
          <w:p w14:paraId="26DDDC9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萘(</w:t>
            </w:r>
            <w:r>
              <w:rPr>
                <w:rFonts w:hint="eastAsia" w:ascii="宋体" w:hAnsi="宋体" w:eastAsia="宋体" w:cs="宋体"/>
                <w:color w:val="000000"/>
                <w:sz w:val="21"/>
                <w:szCs w:val="21"/>
                <w:lang w:val="en-US" w:eastAsia="zh-CN"/>
              </w:rPr>
              <w:t>mg/kg)</w:t>
            </w:r>
          </w:p>
        </w:tc>
        <w:tc>
          <w:tcPr>
            <w:tcW w:w="903" w:type="dxa"/>
            <w:tcBorders>
              <w:tl2br w:val="nil"/>
              <w:tr2bl w:val="nil"/>
            </w:tcBorders>
            <w:noWrap w:val="0"/>
            <w:vAlign w:val="center"/>
          </w:tcPr>
          <w:p w14:paraId="5702CFDF">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kern w:val="2"/>
                <w:sz w:val="21"/>
                <w:szCs w:val="21"/>
                <w:lang w:val="en-US" w:eastAsia="zh-CN"/>
              </w:rPr>
              <w:t>ND</w:t>
            </w:r>
          </w:p>
        </w:tc>
        <w:tc>
          <w:tcPr>
            <w:tcW w:w="903" w:type="dxa"/>
            <w:tcBorders>
              <w:tl2br w:val="nil"/>
              <w:tr2bl w:val="nil"/>
            </w:tcBorders>
            <w:noWrap w:val="0"/>
            <w:vAlign w:val="center"/>
          </w:tcPr>
          <w:p w14:paraId="58F02835">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kern w:val="2"/>
                <w:sz w:val="21"/>
                <w:szCs w:val="21"/>
                <w:lang w:val="en-US" w:eastAsia="zh-CN"/>
              </w:rPr>
              <w:t>ND</w:t>
            </w:r>
          </w:p>
        </w:tc>
        <w:tc>
          <w:tcPr>
            <w:tcW w:w="903" w:type="dxa"/>
            <w:tcBorders>
              <w:tl2br w:val="nil"/>
              <w:tr2bl w:val="nil"/>
            </w:tcBorders>
            <w:noWrap w:val="0"/>
            <w:vAlign w:val="center"/>
          </w:tcPr>
          <w:p w14:paraId="637CEA87">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kern w:val="2"/>
                <w:sz w:val="21"/>
                <w:szCs w:val="21"/>
                <w:lang w:val="en-US" w:eastAsia="zh-CN"/>
              </w:rPr>
              <w:t>ND</w:t>
            </w:r>
          </w:p>
        </w:tc>
        <w:tc>
          <w:tcPr>
            <w:tcW w:w="903" w:type="dxa"/>
            <w:tcBorders>
              <w:tl2br w:val="nil"/>
              <w:tr2bl w:val="nil"/>
            </w:tcBorders>
            <w:noWrap w:val="0"/>
            <w:vAlign w:val="center"/>
          </w:tcPr>
          <w:p w14:paraId="28C86722">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ND</w:t>
            </w:r>
          </w:p>
        </w:tc>
        <w:tc>
          <w:tcPr>
            <w:tcW w:w="903" w:type="dxa"/>
            <w:tcBorders>
              <w:tl2br w:val="nil"/>
              <w:tr2bl w:val="nil"/>
            </w:tcBorders>
            <w:noWrap w:val="0"/>
            <w:vAlign w:val="center"/>
          </w:tcPr>
          <w:p w14:paraId="26A728A8">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ND</w:t>
            </w:r>
          </w:p>
        </w:tc>
        <w:tc>
          <w:tcPr>
            <w:tcW w:w="903" w:type="dxa"/>
            <w:tcBorders>
              <w:tl2br w:val="nil"/>
              <w:tr2bl w:val="nil"/>
            </w:tcBorders>
            <w:noWrap w:val="0"/>
            <w:vAlign w:val="center"/>
          </w:tcPr>
          <w:p w14:paraId="08FB2DDB">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0F0E58D7">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05ABA931">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ND</w:t>
            </w:r>
          </w:p>
        </w:tc>
        <w:tc>
          <w:tcPr>
            <w:tcW w:w="903" w:type="dxa"/>
            <w:tcBorders>
              <w:tl2br w:val="nil"/>
              <w:tr2bl w:val="nil"/>
            </w:tcBorders>
            <w:noWrap w:val="0"/>
            <w:vAlign w:val="center"/>
          </w:tcPr>
          <w:p w14:paraId="0BD3E3DB">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4073DCE9">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74435BC9">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ND</w:t>
            </w:r>
          </w:p>
        </w:tc>
        <w:tc>
          <w:tcPr>
            <w:tcW w:w="906" w:type="dxa"/>
            <w:tcBorders>
              <w:tl2br w:val="nil"/>
              <w:tr2bl w:val="nil"/>
            </w:tcBorders>
            <w:noWrap w:val="0"/>
            <w:vAlign w:val="center"/>
          </w:tcPr>
          <w:p w14:paraId="507D71B2">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ND</w:t>
            </w:r>
          </w:p>
        </w:tc>
        <w:tc>
          <w:tcPr>
            <w:tcW w:w="906" w:type="dxa"/>
            <w:tcBorders>
              <w:tl2br w:val="nil"/>
              <w:tr2bl w:val="nil"/>
            </w:tcBorders>
            <w:noWrap w:val="0"/>
            <w:vAlign w:val="center"/>
          </w:tcPr>
          <w:p w14:paraId="08508B8F">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70</w:t>
            </w:r>
          </w:p>
        </w:tc>
      </w:tr>
      <w:tr w14:paraId="6AF02E3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2180" w:type="dxa"/>
            <w:tcBorders>
              <w:tl2br w:val="nil"/>
              <w:tr2bl w:val="nil"/>
            </w:tcBorders>
            <w:noWrap w:val="0"/>
            <w:vAlign w:val="center"/>
          </w:tcPr>
          <w:p w14:paraId="5AE66A4F">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苯并[a]蒽(</w:t>
            </w:r>
            <w:r>
              <w:rPr>
                <w:rFonts w:hint="eastAsia" w:ascii="宋体" w:hAnsi="宋体" w:eastAsia="宋体" w:cs="宋体"/>
                <w:color w:val="000000"/>
                <w:sz w:val="21"/>
                <w:szCs w:val="21"/>
                <w:lang w:val="en-US" w:eastAsia="zh-CN"/>
              </w:rPr>
              <w:t>mg/kg)</w:t>
            </w:r>
          </w:p>
        </w:tc>
        <w:tc>
          <w:tcPr>
            <w:tcW w:w="903" w:type="dxa"/>
            <w:tcBorders>
              <w:tl2br w:val="nil"/>
              <w:tr2bl w:val="nil"/>
            </w:tcBorders>
            <w:noWrap w:val="0"/>
            <w:vAlign w:val="center"/>
          </w:tcPr>
          <w:p w14:paraId="74619EFF">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kern w:val="2"/>
                <w:sz w:val="21"/>
                <w:szCs w:val="21"/>
                <w:lang w:val="en-US" w:eastAsia="zh-CN"/>
              </w:rPr>
              <w:t>ND</w:t>
            </w:r>
          </w:p>
        </w:tc>
        <w:tc>
          <w:tcPr>
            <w:tcW w:w="903" w:type="dxa"/>
            <w:tcBorders>
              <w:tl2br w:val="nil"/>
              <w:tr2bl w:val="nil"/>
            </w:tcBorders>
            <w:noWrap w:val="0"/>
            <w:vAlign w:val="center"/>
          </w:tcPr>
          <w:p w14:paraId="18F58A92">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kern w:val="2"/>
                <w:sz w:val="21"/>
                <w:szCs w:val="21"/>
                <w:lang w:val="en-US" w:eastAsia="zh-CN"/>
              </w:rPr>
              <w:t>ND</w:t>
            </w:r>
          </w:p>
        </w:tc>
        <w:tc>
          <w:tcPr>
            <w:tcW w:w="903" w:type="dxa"/>
            <w:tcBorders>
              <w:tl2br w:val="nil"/>
              <w:tr2bl w:val="nil"/>
            </w:tcBorders>
            <w:noWrap w:val="0"/>
            <w:vAlign w:val="center"/>
          </w:tcPr>
          <w:p w14:paraId="2A440BCE">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kern w:val="2"/>
                <w:sz w:val="21"/>
                <w:szCs w:val="21"/>
                <w:lang w:val="en-US" w:eastAsia="zh-CN"/>
              </w:rPr>
              <w:t>ND</w:t>
            </w:r>
          </w:p>
        </w:tc>
        <w:tc>
          <w:tcPr>
            <w:tcW w:w="903" w:type="dxa"/>
            <w:tcBorders>
              <w:tl2br w:val="nil"/>
              <w:tr2bl w:val="nil"/>
            </w:tcBorders>
            <w:noWrap w:val="0"/>
            <w:vAlign w:val="center"/>
          </w:tcPr>
          <w:p w14:paraId="1A129DC3">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ND</w:t>
            </w:r>
          </w:p>
        </w:tc>
        <w:tc>
          <w:tcPr>
            <w:tcW w:w="903" w:type="dxa"/>
            <w:tcBorders>
              <w:tl2br w:val="nil"/>
              <w:tr2bl w:val="nil"/>
            </w:tcBorders>
            <w:noWrap w:val="0"/>
            <w:vAlign w:val="center"/>
          </w:tcPr>
          <w:p w14:paraId="4F3AEEC5">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ND</w:t>
            </w:r>
          </w:p>
        </w:tc>
        <w:tc>
          <w:tcPr>
            <w:tcW w:w="903" w:type="dxa"/>
            <w:tcBorders>
              <w:tl2br w:val="nil"/>
              <w:tr2bl w:val="nil"/>
            </w:tcBorders>
            <w:noWrap w:val="0"/>
            <w:vAlign w:val="center"/>
          </w:tcPr>
          <w:p w14:paraId="7697C060">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19BC10A3">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5F10186B">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ND</w:t>
            </w:r>
          </w:p>
        </w:tc>
        <w:tc>
          <w:tcPr>
            <w:tcW w:w="903" w:type="dxa"/>
            <w:tcBorders>
              <w:tl2br w:val="nil"/>
              <w:tr2bl w:val="nil"/>
            </w:tcBorders>
            <w:noWrap w:val="0"/>
            <w:vAlign w:val="center"/>
          </w:tcPr>
          <w:p w14:paraId="1F87A34D">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19FE7BF5">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150DA1A9">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ND</w:t>
            </w:r>
          </w:p>
        </w:tc>
        <w:tc>
          <w:tcPr>
            <w:tcW w:w="906" w:type="dxa"/>
            <w:tcBorders>
              <w:tl2br w:val="nil"/>
              <w:tr2bl w:val="nil"/>
            </w:tcBorders>
            <w:noWrap w:val="0"/>
            <w:vAlign w:val="center"/>
          </w:tcPr>
          <w:p w14:paraId="04BD6EEC">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ND</w:t>
            </w:r>
          </w:p>
        </w:tc>
        <w:tc>
          <w:tcPr>
            <w:tcW w:w="906" w:type="dxa"/>
            <w:tcBorders>
              <w:tl2br w:val="nil"/>
              <w:tr2bl w:val="nil"/>
            </w:tcBorders>
            <w:noWrap w:val="0"/>
            <w:vAlign w:val="center"/>
          </w:tcPr>
          <w:p w14:paraId="10F5D499">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1.5</w:t>
            </w:r>
          </w:p>
        </w:tc>
      </w:tr>
      <w:tr w14:paraId="63CBEE0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2180" w:type="dxa"/>
            <w:tcBorders>
              <w:tl2br w:val="nil"/>
              <w:tr2bl w:val="nil"/>
            </w:tcBorders>
            <w:noWrap w:val="0"/>
            <w:vAlign w:val="center"/>
          </w:tcPr>
          <w:p w14:paraId="1B2B4BB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䓛(</w:t>
            </w:r>
            <w:r>
              <w:rPr>
                <w:rFonts w:hint="eastAsia" w:ascii="宋体" w:hAnsi="宋体" w:eastAsia="宋体" w:cs="宋体"/>
                <w:color w:val="000000"/>
                <w:sz w:val="21"/>
                <w:szCs w:val="21"/>
                <w:lang w:val="en-US" w:eastAsia="zh-CN"/>
              </w:rPr>
              <w:t>mg/kg)</w:t>
            </w:r>
          </w:p>
        </w:tc>
        <w:tc>
          <w:tcPr>
            <w:tcW w:w="903" w:type="dxa"/>
            <w:tcBorders>
              <w:tl2br w:val="nil"/>
              <w:tr2bl w:val="nil"/>
            </w:tcBorders>
            <w:noWrap w:val="0"/>
            <w:vAlign w:val="center"/>
          </w:tcPr>
          <w:p w14:paraId="5564D248">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kern w:val="2"/>
                <w:sz w:val="21"/>
                <w:szCs w:val="21"/>
                <w:lang w:val="en-US" w:eastAsia="zh-CN"/>
              </w:rPr>
              <w:t>ND</w:t>
            </w:r>
          </w:p>
        </w:tc>
        <w:tc>
          <w:tcPr>
            <w:tcW w:w="903" w:type="dxa"/>
            <w:tcBorders>
              <w:tl2br w:val="nil"/>
              <w:tr2bl w:val="nil"/>
            </w:tcBorders>
            <w:noWrap w:val="0"/>
            <w:vAlign w:val="center"/>
          </w:tcPr>
          <w:p w14:paraId="310667F4">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kern w:val="2"/>
                <w:sz w:val="21"/>
                <w:szCs w:val="21"/>
                <w:lang w:val="en-US" w:eastAsia="zh-CN"/>
              </w:rPr>
              <w:t>ND</w:t>
            </w:r>
          </w:p>
        </w:tc>
        <w:tc>
          <w:tcPr>
            <w:tcW w:w="903" w:type="dxa"/>
            <w:tcBorders>
              <w:tl2br w:val="nil"/>
              <w:tr2bl w:val="nil"/>
            </w:tcBorders>
            <w:noWrap w:val="0"/>
            <w:vAlign w:val="center"/>
          </w:tcPr>
          <w:p w14:paraId="2DF0183E">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kern w:val="2"/>
                <w:sz w:val="21"/>
                <w:szCs w:val="21"/>
                <w:lang w:val="en-US" w:eastAsia="zh-CN"/>
              </w:rPr>
              <w:t>ND</w:t>
            </w:r>
          </w:p>
        </w:tc>
        <w:tc>
          <w:tcPr>
            <w:tcW w:w="903" w:type="dxa"/>
            <w:tcBorders>
              <w:tl2br w:val="nil"/>
              <w:tr2bl w:val="nil"/>
            </w:tcBorders>
            <w:noWrap w:val="0"/>
            <w:vAlign w:val="center"/>
          </w:tcPr>
          <w:p w14:paraId="0B8C0F22">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ND</w:t>
            </w:r>
          </w:p>
        </w:tc>
        <w:tc>
          <w:tcPr>
            <w:tcW w:w="903" w:type="dxa"/>
            <w:tcBorders>
              <w:tl2br w:val="nil"/>
              <w:tr2bl w:val="nil"/>
            </w:tcBorders>
            <w:noWrap w:val="0"/>
            <w:vAlign w:val="center"/>
          </w:tcPr>
          <w:p w14:paraId="4689BBC5">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ND</w:t>
            </w:r>
          </w:p>
        </w:tc>
        <w:tc>
          <w:tcPr>
            <w:tcW w:w="903" w:type="dxa"/>
            <w:tcBorders>
              <w:tl2br w:val="nil"/>
              <w:tr2bl w:val="nil"/>
            </w:tcBorders>
            <w:noWrap w:val="0"/>
            <w:vAlign w:val="center"/>
          </w:tcPr>
          <w:p w14:paraId="26FA2070">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074F5418">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171ECA23">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ND</w:t>
            </w:r>
          </w:p>
        </w:tc>
        <w:tc>
          <w:tcPr>
            <w:tcW w:w="903" w:type="dxa"/>
            <w:tcBorders>
              <w:tl2br w:val="nil"/>
              <w:tr2bl w:val="nil"/>
            </w:tcBorders>
            <w:noWrap w:val="0"/>
            <w:vAlign w:val="center"/>
          </w:tcPr>
          <w:p w14:paraId="236A0084">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05E41D0B">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4F49D39A">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ND</w:t>
            </w:r>
          </w:p>
        </w:tc>
        <w:tc>
          <w:tcPr>
            <w:tcW w:w="906" w:type="dxa"/>
            <w:tcBorders>
              <w:tl2br w:val="nil"/>
              <w:tr2bl w:val="nil"/>
            </w:tcBorders>
            <w:noWrap w:val="0"/>
            <w:vAlign w:val="center"/>
          </w:tcPr>
          <w:p w14:paraId="03959EE9">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ND</w:t>
            </w:r>
          </w:p>
        </w:tc>
        <w:tc>
          <w:tcPr>
            <w:tcW w:w="906" w:type="dxa"/>
            <w:tcBorders>
              <w:tl2br w:val="nil"/>
              <w:tr2bl w:val="nil"/>
            </w:tcBorders>
            <w:noWrap w:val="0"/>
            <w:vAlign w:val="center"/>
          </w:tcPr>
          <w:p w14:paraId="46A82848">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1293</w:t>
            </w:r>
          </w:p>
        </w:tc>
      </w:tr>
      <w:tr w14:paraId="70C9F44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2180" w:type="dxa"/>
            <w:tcBorders>
              <w:tl2br w:val="nil"/>
              <w:tr2bl w:val="nil"/>
            </w:tcBorders>
            <w:noWrap w:val="0"/>
            <w:vAlign w:val="center"/>
          </w:tcPr>
          <w:p w14:paraId="35AF31E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苯并[b]荧蒽(</w:t>
            </w:r>
            <w:r>
              <w:rPr>
                <w:rFonts w:hint="eastAsia" w:ascii="宋体" w:hAnsi="宋体" w:eastAsia="宋体" w:cs="宋体"/>
                <w:color w:val="000000"/>
                <w:sz w:val="21"/>
                <w:szCs w:val="21"/>
                <w:lang w:val="en-US" w:eastAsia="zh-CN"/>
              </w:rPr>
              <w:t>mg/kg)</w:t>
            </w:r>
          </w:p>
        </w:tc>
        <w:tc>
          <w:tcPr>
            <w:tcW w:w="903" w:type="dxa"/>
            <w:tcBorders>
              <w:tl2br w:val="nil"/>
              <w:tr2bl w:val="nil"/>
            </w:tcBorders>
            <w:noWrap w:val="0"/>
            <w:vAlign w:val="center"/>
          </w:tcPr>
          <w:p w14:paraId="232DA56D">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kern w:val="2"/>
                <w:sz w:val="21"/>
                <w:szCs w:val="21"/>
                <w:lang w:val="en-US" w:eastAsia="zh-CN"/>
              </w:rPr>
              <w:t>ND</w:t>
            </w:r>
          </w:p>
        </w:tc>
        <w:tc>
          <w:tcPr>
            <w:tcW w:w="903" w:type="dxa"/>
            <w:tcBorders>
              <w:tl2br w:val="nil"/>
              <w:tr2bl w:val="nil"/>
            </w:tcBorders>
            <w:noWrap w:val="0"/>
            <w:vAlign w:val="center"/>
          </w:tcPr>
          <w:p w14:paraId="709B0275">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kern w:val="2"/>
                <w:sz w:val="21"/>
                <w:szCs w:val="21"/>
                <w:lang w:val="en-US" w:eastAsia="zh-CN"/>
              </w:rPr>
              <w:t>ND</w:t>
            </w:r>
          </w:p>
        </w:tc>
        <w:tc>
          <w:tcPr>
            <w:tcW w:w="903" w:type="dxa"/>
            <w:tcBorders>
              <w:tl2br w:val="nil"/>
              <w:tr2bl w:val="nil"/>
            </w:tcBorders>
            <w:noWrap w:val="0"/>
            <w:vAlign w:val="center"/>
          </w:tcPr>
          <w:p w14:paraId="7DD43C3C">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kern w:val="2"/>
                <w:sz w:val="21"/>
                <w:szCs w:val="21"/>
                <w:lang w:val="en-US" w:eastAsia="zh-CN"/>
              </w:rPr>
              <w:t>ND</w:t>
            </w:r>
          </w:p>
        </w:tc>
        <w:tc>
          <w:tcPr>
            <w:tcW w:w="903" w:type="dxa"/>
            <w:tcBorders>
              <w:tl2br w:val="nil"/>
              <w:tr2bl w:val="nil"/>
            </w:tcBorders>
            <w:noWrap w:val="0"/>
            <w:vAlign w:val="center"/>
          </w:tcPr>
          <w:p w14:paraId="3E1BCCB6">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ND</w:t>
            </w:r>
          </w:p>
        </w:tc>
        <w:tc>
          <w:tcPr>
            <w:tcW w:w="903" w:type="dxa"/>
            <w:tcBorders>
              <w:tl2br w:val="nil"/>
              <w:tr2bl w:val="nil"/>
            </w:tcBorders>
            <w:noWrap w:val="0"/>
            <w:vAlign w:val="center"/>
          </w:tcPr>
          <w:p w14:paraId="33685494">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ND</w:t>
            </w:r>
          </w:p>
        </w:tc>
        <w:tc>
          <w:tcPr>
            <w:tcW w:w="903" w:type="dxa"/>
            <w:tcBorders>
              <w:tl2br w:val="nil"/>
              <w:tr2bl w:val="nil"/>
            </w:tcBorders>
            <w:noWrap w:val="0"/>
            <w:vAlign w:val="center"/>
          </w:tcPr>
          <w:p w14:paraId="6E9A7B53">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3C4B0261">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6B260CC1">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ND</w:t>
            </w:r>
          </w:p>
        </w:tc>
        <w:tc>
          <w:tcPr>
            <w:tcW w:w="903" w:type="dxa"/>
            <w:tcBorders>
              <w:tl2br w:val="nil"/>
              <w:tr2bl w:val="nil"/>
            </w:tcBorders>
            <w:noWrap w:val="0"/>
            <w:vAlign w:val="center"/>
          </w:tcPr>
          <w:p w14:paraId="6D7CB366">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4D03A4A0">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5777AC17">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ND</w:t>
            </w:r>
          </w:p>
        </w:tc>
        <w:tc>
          <w:tcPr>
            <w:tcW w:w="906" w:type="dxa"/>
            <w:tcBorders>
              <w:tl2br w:val="nil"/>
              <w:tr2bl w:val="nil"/>
            </w:tcBorders>
            <w:noWrap w:val="0"/>
            <w:vAlign w:val="center"/>
          </w:tcPr>
          <w:p w14:paraId="3CA6B510">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ND</w:t>
            </w:r>
          </w:p>
        </w:tc>
        <w:tc>
          <w:tcPr>
            <w:tcW w:w="906" w:type="dxa"/>
            <w:tcBorders>
              <w:tl2br w:val="nil"/>
              <w:tr2bl w:val="nil"/>
            </w:tcBorders>
            <w:noWrap w:val="0"/>
            <w:vAlign w:val="top"/>
          </w:tcPr>
          <w:p w14:paraId="4BE7B50E">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15</w:t>
            </w:r>
          </w:p>
        </w:tc>
      </w:tr>
      <w:tr w14:paraId="732E803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2180" w:type="dxa"/>
            <w:tcBorders>
              <w:tl2br w:val="nil"/>
              <w:tr2bl w:val="nil"/>
            </w:tcBorders>
            <w:noWrap w:val="0"/>
            <w:vAlign w:val="center"/>
          </w:tcPr>
          <w:p w14:paraId="76911AB0">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苯并[k]荧蒽(</w:t>
            </w:r>
            <w:r>
              <w:rPr>
                <w:rFonts w:hint="eastAsia" w:ascii="宋体" w:hAnsi="宋体" w:eastAsia="宋体" w:cs="宋体"/>
                <w:color w:val="000000"/>
                <w:sz w:val="21"/>
                <w:szCs w:val="21"/>
                <w:lang w:val="en-US" w:eastAsia="zh-CN"/>
              </w:rPr>
              <w:t>mg/kg)</w:t>
            </w:r>
          </w:p>
        </w:tc>
        <w:tc>
          <w:tcPr>
            <w:tcW w:w="903" w:type="dxa"/>
            <w:tcBorders>
              <w:tl2br w:val="nil"/>
              <w:tr2bl w:val="nil"/>
            </w:tcBorders>
            <w:noWrap w:val="0"/>
            <w:vAlign w:val="center"/>
          </w:tcPr>
          <w:p w14:paraId="1D2F645B">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kern w:val="2"/>
                <w:sz w:val="21"/>
                <w:szCs w:val="21"/>
                <w:lang w:val="en-US" w:eastAsia="zh-CN"/>
              </w:rPr>
              <w:t>ND</w:t>
            </w:r>
          </w:p>
        </w:tc>
        <w:tc>
          <w:tcPr>
            <w:tcW w:w="903" w:type="dxa"/>
            <w:tcBorders>
              <w:tl2br w:val="nil"/>
              <w:tr2bl w:val="nil"/>
            </w:tcBorders>
            <w:noWrap w:val="0"/>
            <w:vAlign w:val="center"/>
          </w:tcPr>
          <w:p w14:paraId="02A1D172">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kern w:val="2"/>
                <w:sz w:val="21"/>
                <w:szCs w:val="21"/>
                <w:lang w:val="en-US" w:eastAsia="zh-CN"/>
              </w:rPr>
              <w:t>ND</w:t>
            </w:r>
          </w:p>
        </w:tc>
        <w:tc>
          <w:tcPr>
            <w:tcW w:w="903" w:type="dxa"/>
            <w:tcBorders>
              <w:tl2br w:val="nil"/>
              <w:tr2bl w:val="nil"/>
            </w:tcBorders>
            <w:noWrap w:val="0"/>
            <w:vAlign w:val="center"/>
          </w:tcPr>
          <w:p w14:paraId="69AF007B">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kern w:val="2"/>
                <w:sz w:val="21"/>
                <w:szCs w:val="21"/>
                <w:lang w:val="en-US" w:eastAsia="zh-CN"/>
              </w:rPr>
              <w:t>ND</w:t>
            </w:r>
          </w:p>
        </w:tc>
        <w:tc>
          <w:tcPr>
            <w:tcW w:w="903" w:type="dxa"/>
            <w:tcBorders>
              <w:tl2br w:val="nil"/>
              <w:tr2bl w:val="nil"/>
            </w:tcBorders>
            <w:noWrap w:val="0"/>
            <w:vAlign w:val="center"/>
          </w:tcPr>
          <w:p w14:paraId="7D48B5BF">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ND</w:t>
            </w:r>
          </w:p>
        </w:tc>
        <w:tc>
          <w:tcPr>
            <w:tcW w:w="903" w:type="dxa"/>
            <w:tcBorders>
              <w:tl2br w:val="nil"/>
              <w:tr2bl w:val="nil"/>
            </w:tcBorders>
            <w:noWrap w:val="0"/>
            <w:vAlign w:val="center"/>
          </w:tcPr>
          <w:p w14:paraId="7548DB8A">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ND</w:t>
            </w:r>
          </w:p>
        </w:tc>
        <w:tc>
          <w:tcPr>
            <w:tcW w:w="903" w:type="dxa"/>
            <w:tcBorders>
              <w:tl2br w:val="nil"/>
              <w:tr2bl w:val="nil"/>
            </w:tcBorders>
            <w:noWrap w:val="0"/>
            <w:vAlign w:val="center"/>
          </w:tcPr>
          <w:p w14:paraId="2F4BA556">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5B98D124">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1F206068">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ND</w:t>
            </w:r>
          </w:p>
        </w:tc>
        <w:tc>
          <w:tcPr>
            <w:tcW w:w="903" w:type="dxa"/>
            <w:tcBorders>
              <w:tl2br w:val="nil"/>
              <w:tr2bl w:val="nil"/>
            </w:tcBorders>
            <w:noWrap w:val="0"/>
            <w:vAlign w:val="center"/>
          </w:tcPr>
          <w:p w14:paraId="6CDB1B39">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5363D263">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4D64FC9D">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ND</w:t>
            </w:r>
          </w:p>
        </w:tc>
        <w:tc>
          <w:tcPr>
            <w:tcW w:w="906" w:type="dxa"/>
            <w:tcBorders>
              <w:tl2br w:val="nil"/>
              <w:tr2bl w:val="nil"/>
            </w:tcBorders>
            <w:noWrap w:val="0"/>
            <w:vAlign w:val="center"/>
          </w:tcPr>
          <w:p w14:paraId="290E96EB">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ND</w:t>
            </w:r>
          </w:p>
        </w:tc>
        <w:tc>
          <w:tcPr>
            <w:tcW w:w="906" w:type="dxa"/>
            <w:tcBorders>
              <w:tl2br w:val="nil"/>
              <w:tr2bl w:val="nil"/>
            </w:tcBorders>
            <w:noWrap w:val="0"/>
            <w:vAlign w:val="top"/>
          </w:tcPr>
          <w:p w14:paraId="07BC8D79">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151</w:t>
            </w:r>
          </w:p>
        </w:tc>
      </w:tr>
      <w:tr w14:paraId="6ED38A2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2180" w:type="dxa"/>
            <w:tcBorders>
              <w:tl2br w:val="nil"/>
              <w:tr2bl w:val="nil"/>
            </w:tcBorders>
            <w:noWrap w:val="0"/>
            <w:vAlign w:val="center"/>
          </w:tcPr>
          <w:p w14:paraId="6355CA0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苯并[a]芘(</w:t>
            </w:r>
            <w:r>
              <w:rPr>
                <w:rFonts w:hint="eastAsia" w:ascii="宋体" w:hAnsi="宋体" w:eastAsia="宋体" w:cs="宋体"/>
                <w:color w:val="000000"/>
                <w:sz w:val="21"/>
                <w:szCs w:val="21"/>
                <w:lang w:val="en-US" w:eastAsia="zh-CN"/>
              </w:rPr>
              <w:t>mg/kg)</w:t>
            </w:r>
          </w:p>
        </w:tc>
        <w:tc>
          <w:tcPr>
            <w:tcW w:w="903" w:type="dxa"/>
            <w:tcBorders>
              <w:tl2br w:val="nil"/>
              <w:tr2bl w:val="nil"/>
            </w:tcBorders>
            <w:noWrap w:val="0"/>
            <w:vAlign w:val="center"/>
          </w:tcPr>
          <w:p w14:paraId="5ED2C7C1">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kern w:val="2"/>
                <w:sz w:val="21"/>
                <w:szCs w:val="21"/>
                <w:lang w:val="en-US" w:eastAsia="zh-CN"/>
              </w:rPr>
              <w:t>ND</w:t>
            </w:r>
          </w:p>
        </w:tc>
        <w:tc>
          <w:tcPr>
            <w:tcW w:w="903" w:type="dxa"/>
            <w:tcBorders>
              <w:tl2br w:val="nil"/>
              <w:tr2bl w:val="nil"/>
            </w:tcBorders>
            <w:noWrap w:val="0"/>
            <w:vAlign w:val="center"/>
          </w:tcPr>
          <w:p w14:paraId="210BC62E">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kern w:val="2"/>
                <w:sz w:val="21"/>
                <w:szCs w:val="21"/>
                <w:lang w:val="en-US" w:eastAsia="zh-CN"/>
              </w:rPr>
              <w:t>ND</w:t>
            </w:r>
          </w:p>
        </w:tc>
        <w:tc>
          <w:tcPr>
            <w:tcW w:w="903" w:type="dxa"/>
            <w:tcBorders>
              <w:tl2br w:val="nil"/>
              <w:tr2bl w:val="nil"/>
            </w:tcBorders>
            <w:noWrap w:val="0"/>
            <w:vAlign w:val="center"/>
          </w:tcPr>
          <w:p w14:paraId="720B81D8">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kern w:val="2"/>
                <w:sz w:val="21"/>
                <w:szCs w:val="21"/>
                <w:lang w:val="en-US" w:eastAsia="zh-CN"/>
              </w:rPr>
              <w:t>ND</w:t>
            </w:r>
          </w:p>
        </w:tc>
        <w:tc>
          <w:tcPr>
            <w:tcW w:w="903" w:type="dxa"/>
            <w:tcBorders>
              <w:tl2br w:val="nil"/>
              <w:tr2bl w:val="nil"/>
            </w:tcBorders>
            <w:noWrap w:val="0"/>
            <w:vAlign w:val="center"/>
          </w:tcPr>
          <w:p w14:paraId="5145E8D8">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ND</w:t>
            </w:r>
          </w:p>
        </w:tc>
        <w:tc>
          <w:tcPr>
            <w:tcW w:w="903" w:type="dxa"/>
            <w:tcBorders>
              <w:tl2br w:val="nil"/>
              <w:tr2bl w:val="nil"/>
            </w:tcBorders>
            <w:noWrap w:val="0"/>
            <w:vAlign w:val="center"/>
          </w:tcPr>
          <w:p w14:paraId="77D0B594">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ND</w:t>
            </w:r>
          </w:p>
        </w:tc>
        <w:tc>
          <w:tcPr>
            <w:tcW w:w="903" w:type="dxa"/>
            <w:tcBorders>
              <w:tl2br w:val="nil"/>
              <w:tr2bl w:val="nil"/>
            </w:tcBorders>
            <w:noWrap w:val="0"/>
            <w:vAlign w:val="center"/>
          </w:tcPr>
          <w:p w14:paraId="492D06B7">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39B67819">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1390A87C">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ND</w:t>
            </w:r>
          </w:p>
        </w:tc>
        <w:tc>
          <w:tcPr>
            <w:tcW w:w="903" w:type="dxa"/>
            <w:tcBorders>
              <w:tl2br w:val="nil"/>
              <w:tr2bl w:val="nil"/>
            </w:tcBorders>
            <w:noWrap w:val="0"/>
            <w:vAlign w:val="center"/>
          </w:tcPr>
          <w:p w14:paraId="10B00369">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62E68B72">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496D917B">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ND</w:t>
            </w:r>
          </w:p>
        </w:tc>
        <w:tc>
          <w:tcPr>
            <w:tcW w:w="906" w:type="dxa"/>
            <w:tcBorders>
              <w:tl2br w:val="nil"/>
              <w:tr2bl w:val="nil"/>
            </w:tcBorders>
            <w:noWrap w:val="0"/>
            <w:vAlign w:val="center"/>
          </w:tcPr>
          <w:p w14:paraId="0FBC9981">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ND</w:t>
            </w:r>
          </w:p>
        </w:tc>
        <w:tc>
          <w:tcPr>
            <w:tcW w:w="906" w:type="dxa"/>
            <w:tcBorders>
              <w:tl2br w:val="nil"/>
              <w:tr2bl w:val="nil"/>
            </w:tcBorders>
            <w:noWrap w:val="0"/>
            <w:vAlign w:val="center"/>
          </w:tcPr>
          <w:p w14:paraId="1B38ED76">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1.5</w:t>
            </w:r>
          </w:p>
        </w:tc>
      </w:tr>
      <w:tr w14:paraId="1B7CF41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13" w:hRule="atLeast"/>
          <w:jc w:val="center"/>
        </w:trPr>
        <w:tc>
          <w:tcPr>
            <w:tcW w:w="2180" w:type="dxa"/>
            <w:tcBorders>
              <w:tl2br w:val="nil"/>
              <w:tr2bl w:val="nil"/>
            </w:tcBorders>
            <w:noWrap w:val="0"/>
            <w:vAlign w:val="center"/>
          </w:tcPr>
          <w:p w14:paraId="7EDD1AD3">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茚并[1,2,3-cd]芘(</w:t>
            </w:r>
            <w:r>
              <w:rPr>
                <w:rFonts w:hint="eastAsia" w:ascii="宋体" w:hAnsi="宋体" w:eastAsia="宋体" w:cs="宋体"/>
                <w:color w:val="000000"/>
                <w:sz w:val="21"/>
                <w:szCs w:val="21"/>
                <w:lang w:val="en-US" w:eastAsia="zh-CN"/>
              </w:rPr>
              <w:t>mg/kg)</w:t>
            </w:r>
          </w:p>
        </w:tc>
        <w:tc>
          <w:tcPr>
            <w:tcW w:w="903" w:type="dxa"/>
            <w:tcBorders>
              <w:tl2br w:val="nil"/>
              <w:tr2bl w:val="nil"/>
            </w:tcBorders>
            <w:noWrap w:val="0"/>
            <w:vAlign w:val="center"/>
          </w:tcPr>
          <w:p w14:paraId="73AC542D">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kern w:val="2"/>
                <w:sz w:val="21"/>
                <w:szCs w:val="21"/>
                <w:lang w:val="en-US" w:eastAsia="zh-CN"/>
              </w:rPr>
              <w:t>ND</w:t>
            </w:r>
          </w:p>
        </w:tc>
        <w:tc>
          <w:tcPr>
            <w:tcW w:w="903" w:type="dxa"/>
            <w:tcBorders>
              <w:tl2br w:val="nil"/>
              <w:tr2bl w:val="nil"/>
            </w:tcBorders>
            <w:noWrap w:val="0"/>
            <w:vAlign w:val="center"/>
          </w:tcPr>
          <w:p w14:paraId="78264D1C">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kern w:val="2"/>
                <w:sz w:val="21"/>
                <w:szCs w:val="21"/>
                <w:lang w:val="en-US" w:eastAsia="zh-CN"/>
              </w:rPr>
              <w:t>ND</w:t>
            </w:r>
          </w:p>
        </w:tc>
        <w:tc>
          <w:tcPr>
            <w:tcW w:w="903" w:type="dxa"/>
            <w:tcBorders>
              <w:tl2br w:val="nil"/>
              <w:tr2bl w:val="nil"/>
            </w:tcBorders>
            <w:noWrap w:val="0"/>
            <w:vAlign w:val="center"/>
          </w:tcPr>
          <w:p w14:paraId="25F933FD">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kern w:val="2"/>
                <w:sz w:val="21"/>
                <w:szCs w:val="21"/>
                <w:lang w:val="en-US" w:eastAsia="zh-CN"/>
              </w:rPr>
              <w:t>ND</w:t>
            </w:r>
          </w:p>
        </w:tc>
        <w:tc>
          <w:tcPr>
            <w:tcW w:w="903" w:type="dxa"/>
            <w:tcBorders>
              <w:tl2br w:val="nil"/>
              <w:tr2bl w:val="nil"/>
            </w:tcBorders>
            <w:noWrap w:val="0"/>
            <w:vAlign w:val="center"/>
          </w:tcPr>
          <w:p w14:paraId="635B1ABA">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ND</w:t>
            </w:r>
          </w:p>
        </w:tc>
        <w:tc>
          <w:tcPr>
            <w:tcW w:w="903" w:type="dxa"/>
            <w:tcBorders>
              <w:tl2br w:val="nil"/>
              <w:tr2bl w:val="nil"/>
            </w:tcBorders>
            <w:noWrap w:val="0"/>
            <w:vAlign w:val="center"/>
          </w:tcPr>
          <w:p w14:paraId="7EE71507">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ND</w:t>
            </w:r>
          </w:p>
        </w:tc>
        <w:tc>
          <w:tcPr>
            <w:tcW w:w="903" w:type="dxa"/>
            <w:tcBorders>
              <w:tl2br w:val="nil"/>
              <w:tr2bl w:val="nil"/>
            </w:tcBorders>
            <w:noWrap w:val="0"/>
            <w:vAlign w:val="center"/>
          </w:tcPr>
          <w:p w14:paraId="11BB187F">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38368C77">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3BCA33D3">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ND</w:t>
            </w:r>
          </w:p>
        </w:tc>
        <w:tc>
          <w:tcPr>
            <w:tcW w:w="903" w:type="dxa"/>
            <w:tcBorders>
              <w:tl2br w:val="nil"/>
              <w:tr2bl w:val="nil"/>
            </w:tcBorders>
            <w:noWrap w:val="0"/>
            <w:vAlign w:val="center"/>
          </w:tcPr>
          <w:p w14:paraId="235F4C71">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40B55705">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489ED300">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ND</w:t>
            </w:r>
          </w:p>
        </w:tc>
        <w:tc>
          <w:tcPr>
            <w:tcW w:w="906" w:type="dxa"/>
            <w:tcBorders>
              <w:tl2br w:val="nil"/>
              <w:tr2bl w:val="nil"/>
            </w:tcBorders>
            <w:noWrap w:val="0"/>
            <w:vAlign w:val="center"/>
          </w:tcPr>
          <w:p w14:paraId="2A7D299B">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ND</w:t>
            </w:r>
          </w:p>
        </w:tc>
        <w:tc>
          <w:tcPr>
            <w:tcW w:w="906" w:type="dxa"/>
            <w:tcBorders>
              <w:tl2br w:val="nil"/>
              <w:tr2bl w:val="nil"/>
            </w:tcBorders>
            <w:noWrap w:val="0"/>
            <w:vAlign w:val="center"/>
          </w:tcPr>
          <w:p w14:paraId="1E58FA94">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15</w:t>
            </w:r>
          </w:p>
        </w:tc>
      </w:tr>
      <w:tr w14:paraId="781D10D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2180" w:type="dxa"/>
            <w:tcBorders>
              <w:tl2br w:val="nil"/>
              <w:tr2bl w:val="nil"/>
            </w:tcBorders>
            <w:noWrap w:val="0"/>
            <w:vAlign w:val="center"/>
          </w:tcPr>
          <w:p w14:paraId="32E15359">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二苯并[a、h]蒽(</w:t>
            </w:r>
            <w:r>
              <w:rPr>
                <w:rFonts w:hint="eastAsia" w:ascii="宋体" w:hAnsi="宋体" w:eastAsia="宋体" w:cs="宋体"/>
                <w:color w:val="000000"/>
                <w:sz w:val="21"/>
                <w:szCs w:val="21"/>
                <w:lang w:val="en-US" w:eastAsia="zh-CN"/>
              </w:rPr>
              <w:t>mg/kg)</w:t>
            </w:r>
          </w:p>
        </w:tc>
        <w:tc>
          <w:tcPr>
            <w:tcW w:w="903" w:type="dxa"/>
            <w:tcBorders>
              <w:tl2br w:val="nil"/>
              <w:tr2bl w:val="nil"/>
            </w:tcBorders>
            <w:noWrap w:val="0"/>
            <w:vAlign w:val="center"/>
          </w:tcPr>
          <w:p w14:paraId="7BB2826A">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kern w:val="2"/>
                <w:sz w:val="21"/>
                <w:szCs w:val="21"/>
                <w:lang w:val="en-US" w:eastAsia="zh-CN"/>
              </w:rPr>
              <w:t>ND</w:t>
            </w:r>
          </w:p>
        </w:tc>
        <w:tc>
          <w:tcPr>
            <w:tcW w:w="903" w:type="dxa"/>
            <w:tcBorders>
              <w:tl2br w:val="nil"/>
              <w:tr2bl w:val="nil"/>
            </w:tcBorders>
            <w:noWrap w:val="0"/>
            <w:vAlign w:val="center"/>
          </w:tcPr>
          <w:p w14:paraId="0AD63A3D">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kern w:val="2"/>
                <w:sz w:val="21"/>
                <w:szCs w:val="21"/>
                <w:lang w:val="en-US" w:eastAsia="zh-CN"/>
              </w:rPr>
              <w:t>ND</w:t>
            </w:r>
          </w:p>
        </w:tc>
        <w:tc>
          <w:tcPr>
            <w:tcW w:w="903" w:type="dxa"/>
            <w:tcBorders>
              <w:tl2br w:val="nil"/>
              <w:tr2bl w:val="nil"/>
            </w:tcBorders>
            <w:noWrap w:val="0"/>
            <w:vAlign w:val="center"/>
          </w:tcPr>
          <w:p w14:paraId="6E263FBC">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kern w:val="2"/>
                <w:sz w:val="21"/>
                <w:szCs w:val="21"/>
                <w:lang w:val="en-US" w:eastAsia="zh-CN"/>
              </w:rPr>
              <w:t>ND</w:t>
            </w:r>
          </w:p>
        </w:tc>
        <w:tc>
          <w:tcPr>
            <w:tcW w:w="903" w:type="dxa"/>
            <w:tcBorders>
              <w:tl2br w:val="nil"/>
              <w:tr2bl w:val="nil"/>
            </w:tcBorders>
            <w:noWrap w:val="0"/>
            <w:vAlign w:val="center"/>
          </w:tcPr>
          <w:p w14:paraId="3DB9E61D">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ND</w:t>
            </w:r>
          </w:p>
        </w:tc>
        <w:tc>
          <w:tcPr>
            <w:tcW w:w="903" w:type="dxa"/>
            <w:tcBorders>
              <w:tl2br w:val="nil"/>
              <w:tr2bl w:val="nil"/>
            </w:tcBorders>
            <w:noWrap w:val="0"/>
            <w:vAlign w:val="center"/>
          </w:tcPr>
          <w:p w14:paraId="012CFAC1">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ND</w:t>
            </w:r>
          </w:p>
        </w:tc>
        <w:tc>
          <w:tcPr>
            <w:tcW w:w="903" w:type="dxa"/>
            <w:tcBorders>
              <w:tl2br w:val="nil"/>
              <w:tr2bl w:val="nil"/>
            </w:tcBorders>
            <w:noWrap w:val="0"/>
            <w:vAlign w:val="center"/>
          </w:tcPr>
          <w:p w14:paraId="27598B12">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62EEF798">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079ABB7C">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ND</w:t>
            </w:r>
          </w:p>
        </w:tc>
        <w:tc>
          <w:tcPr>
            <w:tcW w:w="903" w:type="dxa"/>
            <w:tcBorders>
              <w:tl2br w:val="nil"/>
              <w:tr2bl w:val="nil"/>
            </w:tcBorders>
            <w:noWrap w:val="0"/>
            <w:vAlign w:val="center"/>
          </w:tcPr>
          <w:p w14:paraId="152CFE49">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399F1006">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359891FA">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ND</w:t>
            </w:r>
          </w:p>
        </w:tc>
        <w:tc>
          <w:tcPr>
            <w:tcW w:w="906" w:type="dxa"/>
            <w:tcBorders>
              <w:tl2br w:val="nil"/>
              <w:tr2bl w:val="nil"/>
            </w:tcBorders>
            <w:noWrap w:val="0"/>
            <w:vAlign w:val="center"/>
          </w:tcPr>
          <w:p w14:paraId="1188DCD8">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ND</w:t>
            </w:r>
          </w:p>
        </w:tc>
        <w:tc>
          <w:tcPr>
            <w:tcW w:w="906" w:type="dxa"/>
            <w:tcBorders>
              <w:tl2br w:val="nil"/>
              <w:tr2bl w:val="nil"/>
            </w:tcBorders>
            <w:noWrap w:val="0"/>
            <w:vAlign w:val="center"/>
          </w:tcPr>
          <w:p w14:paraId="05F1E1FA">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1.5</w:t>
            </w:r>
          </w:p>
        </w:tc>
      </w:tr>
      <w:tr w14:paraId="2B8F41D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512" w:hRule="atLeast"/>
          <w:jc w:val="center"/>
        </w:trPr>
        <w:tc>
          <w:tcPr>
            <w:tcW w:w="2180" w:type="dxa"/>
            <w:tcBorders>
              <w:tl2br w:val="nil"/>
              <w:tr2bl w:val="nil"/>
            </w:tcBorders>
            <w:noWrap w:val="0"/>
            <w:vAlign w:val="center"/>
          </w:tcPr>
          <w:p w14:paraId="0213101B">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苯胺(</w:t>
            </w:r>
            <w:r>
              <w:rPr>
                <w:rFonts w:hint="eastAsia" w:ascii="宋体" w:hAnsi="宋体" w:eastAsia="宋体" w:cs="宋体"/>
                <w:color w:val="000000"/>
                <w:sz w:val="21"/>
                <w:szCs w:val="21"/>
                <w:lang w:val="en-US" w:eastAsia="zh-CN"/>
              </w:rPr>
              <w:t>mg/kg)</w:t>
            </w:r>
          </w:p>
        </w:tc>
        <w:tc>
          <w:tcPr>
            <w:tcW w:w="903" w:type="dxa"/>
            <w:tcBorders>
              <w:tl2br w:val="nil"/>
              <w:tr2bl w:val="nil"/>
            </w:tcBorders>
            <w:noWrap w:val="0"/>
            <w:vAlign w:val="center"/>
          </w:tcPr>
          <w:p w14:paraId="16A0E89D">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kern w:val="2"/>
                <w:sz w:val="21"/>
                <w:szCs w:val="21"/>
                <w:lang w:val="en-US" w:eastAsia="zh-CN"/>
              </w:rPr>
              <w:t>ND</w:t>
            </w:r>
          </w:p>
        </w:tc>
        <w:tc>
          <w:tcPr>
            <w:tcW w:w="903" w:type="dxa"/>
            <w:tcBorders>
              <w:tl2br w:val="nil"/>
              <w:tr2bl w:val="nil"/>
            </w:tcBorders>
            <w:noWrap w:val="0"/>
            <w:vAlign w:val="center"/>
          </w:tcPr>
          <w:p w14:paraId="2734057B">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kern w:val="2"/>
                <w:sz w:val="21"/>
                <w:szCs w:val="21"/>
                <w:lang w:val="en-US" w:eastAsia="zh-CN"/>
              </w:rPr>
              <w:t>ND</w:t>
            </w:r>
          </w:p>
        </w:tc>
        <w:tc>
          <w:tcPr>
            <w:tcW w:w="903" w:type="dxa"/>
            <w:tcBorders>
              <w:tl2br w:val="nil"/>
              <w:tr2bl w:val="nil"/>
            </w:tcBorders>
            <w:noWrap w:val="0"/>
            <w:vAlign w:val="center"/>
          </w:tcPr>
          <w:p w14:paraId="1FF8B3BB">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kern w:val="2"/>
                <w:sz w:val="21"/>
                <w:szCs w:val="21"/>
                <w:lang w:val="en-US" w:eastAsia="zh-CN"/>
              </w:rPr>
              <w:t>ND</w:t>
            </w:r>
          </w:p>
        </w:tc>
        <w:tc>
          <w:tcPr>
            <w:tcW w:w="903" w:type="dxa"/>
            <w:tcBorders>
              <w:tl2br w:val="nil"/>
              <w:tr2bl w:val="nil"/>
            </w:tcBorders>
            <w:noWrap w:val="0"/>
            <w:vAlign w:val="center"/>
          </w:tcPr>
          <w:p w14:paraId="64CF9AD0">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ND</w:t>
            </w:r>
          </w:p>
        </w:tc>
        <w:tc>
          <w:tcPr>
            <w:tcW w:w="903" w:type="dxa"/>
            <w:tcBorders>
              <w:tl2br w:val="nil"/>
              <w:tr2bl w:val="nil"/>
            </w:tcBorders>
            <w:noWrap w:val="0"/>
            <w:vAlign w:val="center"/>
          </w:tcPr>
          <w:p w14:paraId="45667E75">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ND</w:t>
            </w:r>
          </w:p>
        </w:tc>
        <w:tc>
          <w:tcPr>
            <w:tcW w:w="903" w:type="dxa"/>
            <w:tcBorders>
              <w:tl2br w:val="nil"/>
              <w:tr2bl w:val="nil"/>
            </w:tcBorders>
            <w:noWrap w:val="0"/>
            <w:vAlign w:val="center"/>
          </w:tcPr>
          <w:p w14:paraId="15F5D277">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31824695">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50BD2993">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ND</w:t>
            </w:r>
          </w:p>
        </w:tc>
        <w:tc>
          <w:tcPr>
            <w:tcW w:w="903" w:type="dxa"/>
            <w:tcBorders>
              <w:tl2br w:val="nil"/>
              <w:tr2bl w:val="nil"/>
            </w:tcBorders>
            <w:noWrap w:val="0"/>
            <w:vAlign w:val="center"/>
          </w:tcPr>
          <w:p w14:paraId="69569A30">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28C3719D">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31E30501">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ND</w:t>
            </w:r>
          </w:p>
        </w:tc>
        <w:tc>
          <w:tcPr>
            <w:tcW w:w="906" w:type="dxa"/>
            <w:tcBorders>
              <w:tl2br w:val="nil"/>
              <w:tr2bl w:val="nil"/>
            </w:tcBorders>
            <w:noWrap w:val="0"/>
            <w:vAlign w:val="center"/>
          </w:tcPr>
          <w:p w14:paraId="4CD97CFC">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ND</w:t>
            </w:r>
          </w:p>
        </w:tc>
        <w:tc>
          <w:tcPr>
            <w:tcW w:w="906" w:type="dxa"/>
            <w:tcBorders>
              <w:tl2br w:val="nil"/>
              <w:tr2bl w:val="nil"/>
            </w:tcBorders>
            <w:noWrap w:val="0"/>
            <w:vAlign w:val="center"/>
          </w:tcPr>
          <w:p w14:paraId="103001B4">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260</w:t>
            </w:r>
          </w:p>
        </w:tc>
      </w:tr>
      <w:tr w14:paraId="49D227F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592" w:hRule="atLeast"/>
          <w:jc w:val="center"/>
        </w:trPr>
        <w:tc>
          <w:tcPr>
            <w:tcW w:w="2180" w:type="dxa"/>
            <w:tcBorders>
              <w:tl2br w:val="nil"/>
              <w:tr2bl w:val="nil"/>
            </w:tcBorders>
            <w:noWrap w:val="0"/>
            <w:vAlign w:val="center"/>
          </w:tcPr>
          <w:p w14:paraId="2A9F14A9">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硝基苯(</w:t>
            </w:r>
            <w:r>
              <w:rPr>
                <w:rFonts w:hint="eastAsia" w:ascii="宋体" w:hAnsi="宋体" w:eastAsia="宋体" w:cs="宋体"/>
                <w:color w:val="000000"/>
                <w:sz w:val="21"/>
                <w:szCs w:val="21"/>
                <w:lang w:val="en-US" w:eastAsia="zh-CN"/>
              </w:rPr>
              <w:t>mg/kg)</w:t>
            </w:r>
          </w:p>
        </w:tc>
        <w:tc>
          <w:tcPr>
            <w:tcW w:w="903" w:type="dxa"/>
            <w:tcBorders>
              <w:tl2br w:val="nil"/>
              <w:tr2bl w:val="nil"/>
            </w:tcBorders>
            <w:noWrap w:val="0"/>
            <w:vAlign w:val="center"/>
          </w:tcPr>
          <w:p w14:paraId="174EA381">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kern w:val="2"/>
                <w:sz w:val="21"/>
                <w:szCs w:val="21"/>
                <w:lang w:val="en-US" w:eastAsia="zh-CN"/>
              </w:rPr>
              <w:t>ND</w:t>
            </w:r>
          </w:p>
        </w:tc>
        <w:tc>
          <w:tcPr>
            <w:tcW w:w="903" w:type="dxa"/>
            <w:tcBorders>
              <w:tl2br w:val="nil"/>
              <w:tr2bl w:val="nil"/>
            </w:tcBorders>
            <w:noWrap w:val="0"/>
            <w:vAlign w:val="center"/>
          </w:tcPr>
          <w:p w14:paraId="46B5CC29">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kern w:val="2"/>
                <w:sz w:val="21"/>
                <w:szCs w:val="21"/>
                <w:lang w:val="en-US" w:eastAsia="zh-CN"/>
              </w:rPr>
              <w:t>ND</w:t>
            </w:r>
          </w:p>
        </w:tc>
        <w:tc>
          <w:tcPr>
            <w:tcW w:w="903" w:type="dxa"/>
            <w:tcBorders>
              <w:tl2br w:val="nil"/>
              <w:tr2bl w:val="nil"/>
            </w:tcBorders>
            <w:noWrap w:val="0"/>
            <w:vAlign w:val="center"/>
          </w:tcPr>
          <w:p w14:paraId="0D044257">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kern w:val="2"/>
                <w:sz w:val="21"/>
                <w:szCs w:val="21"/>
                <w:lang w:val="en-US" w:eastAsia="zh-CN"/>
              </w:rPr>
              <w:t>ND</w:t>
            </w:r>
          </w:p>
        </w:tc>
        <w:tc>
          <w:tcPr>
            <w:tcW w:w="903" w:type="dxa"/>
            <w:tcBorders>
              <w:tl2br w:val="nil"/>
              <w:tr2bl w:val="nil"/>
            </w:tcBorders>
            <w:noWrap w:val="0"/>
            <w:vAlign w:val="center"/>
          </w:tcPr>
          <w:p w14:paraId="00893973">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ND</w:t>
            </w:r>
          </w:p>
        </w:tc>
        <w:tc>
          <w:tcPr>
            <w:tcW w:w="903" w:type="dxa"/>
            <w:tcBorders>
              <w:tl2br w:val="nil"/>
              <w:tr2bl w:val="nil"/>
            </w:tcBorders>
            <w:noWrap w:val="0"/>
            <w:vAlign w:val="center"/>
          </w:tcPr>
          <w:p w14:paraId="3E11956C">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ND</w:t>
            </w:r>
          </w:p>
        </w:tc>
        <w:tc>
          <w:tcPr>
            <w:tcW w:w="903" w:type="dxa"/>
            <w:tcBorders>
              <w:tl2br w:val="nil"/>
              <w:tr2bl w:val="nil"/>
            </w:tcBorders>
            <w:noWrap w:val="0"/>
            <w:vAlign w:val="center"/>
          </w:tcPr>
          <w:p w14:paraId="0899B1A9">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28662391">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1D6BAEFD">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ND</w:t>
            </w:r>
          </w:p>
        </w:tc>
        <w:tc>
          <w:tcPr>
            <w:tcW w:w="903" w:type="dxa"/>
            <w:tcBorders>
              <w:tl2br w:val="nil"/>
              <w:tr2bl w:val="nil"/>
            </w:tcBorders>
            <w:noWrap w:val="0"/>
            <w:vAlign w:val="center"/>
          </w:tcPr>
          <w:p w14:paraId="3BCA3142">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68848427">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77A50150">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ND</w:t>
            </w:r>
          </w:p>
        </w:tc>
        <w:tc>
          <w:tcPr>
            <w:tcW w:w="906" w:type="dxa"/>
            <w:tcBorders>
              <w:tl2br w:val="nil"/>
              <w:tr2bl w:val="nil"/>
            </w:tcBorders>
            <w:noWrap w:val="0"/>
            <w:vAlign w:val="center"/>
          </w:tcPr>
          <w:p w14:paraId="64619975">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ND</w:t>
            </w:r>
          </w:p>
        </w:tc>
        <w:tc>
          <w:tcPr>
            <w:tcW w:w="906" w:type="dxa"/>
            <w:tcBorders>
              <w:tl2br w:val="nil"/>
              <w:tr2bl w:val="nil"/>
            </w:tcBorders>
            <w:noWrap w:val="0"/>
            <w:vAlign w:val="center"/>
          </w:tcPr>
          <w:p w14:paraId="77241D02">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76</w:t>
            </w:r>
          </w:p>
        </w:tc>
      </w:tr>
      <w:tr w14:paraId="6F92D64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592" w:hRule="atLeast"/>
          <w:jc w:val="center"/>
        </w:trPr>
        <w:tc>
          <w:tcPr>
            <w:tcW w:w="2180" w:type="dxa"/>
            <w:tcBorders>
              <w:tl2br w:val="nil"/>
              <w:tr2bl w:val="nil"/>
            </w:tcBorders>
            <w:noWrap w:val="0"/>
            <w:vAlign w:val="center"/>
          </w:tcPr>
          <w:p w14:paraId="73A0404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2-氯酚(</w:t>
            </w:r>
            <w:r>
              <w:rPr>
                <w:rFonts w:hint="eastAsia" w:ascii="宋体" w:hAnsi="宋体" w:eastAsia="宋体" w:cs="宋体"/>
                <w:color w:val="000000"/>
                <w:sz w:val="21"/>
                <w:szCs w:val="21"/>
                <w:lang w:val="en-US" w:eastAsia="zh-CN"/>
              </w:rPr>
              <w:t>mg/kg)</w:t>
            </w:r>
          </w:p>
        </w:tc>
        <w:tc>
          <w:tcPr>
            <w:tcW w:w="903" w:type="dxa"/>
            <w:tcBorders>
              <w:tl2br w:val="nil"/>
              <w:tr2bl w:val="nil"/>
            </w:tcBorders>
            <w:noWrap w:val="0"/>
            <w:vAlign w:val="center"/>
          </w:tcPr>
          <w:p w14:paraId="48F9A8E6">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kern w:val="2"/>
                <w:sz w:val="21"/>
                <w:szCs w:val="21"/>
                <w:lang w:val="en-US" w:eastAsia="zh-CN"/>
              </w:rPr>
              <w:t>ND</w:t>
            </w:r>
          </w:p>
        </w:tc>
        <w:tc>
          <w:tcPr>
            <w:tcW w:w="903" w:type="dxa"/>
            <w:tcBorders>
              <w:tl2br w:val="nil"/>
              <w:tr2bl w:val="nil"/>
            </w:tcBorders>
            <w:noWrap w:val="0"/>
            <w:vAlign w:val="center"/>
          </w:tcPr>
          <w:p w14:paraId="0EC10587">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kern w:val="2"/>
                <w:sz w:val="21"/>
                <w:szCs w:val="21"/>
                <w:lang w:val="en-US" w:eastAsia="zh-CN"/>
              </w:rPr>
              <w:t>ND</w:t>
            </w:r>
          </w:p>
        </w:tc>
        <w:tc>
          <w:tcPr>
            <w:tcW w:w="903" w:type="dxa"/>
            <w:tcBorders>
              <w:tl2br w:val="nil"/>
              <w:tr2bl w:val="nil"/>
            </w:tcBorders>
            <w:noWrap w:val="0"/>
            <w:vAlign w:val="center"/>
          </w:tcPr>
          <w:p w14:paraId="24843DB0">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kern w:val="2"/>
                <w:sz w:val="21"/>
                <w:szCs w:val="21"/>
                <w:lang w:val="en-US" w:eastAsia="zh-CN"/>
              </w:rPr>
              <w:t>ND</w:t>
            </w:r>
          </w:p>
        </w:tc>
        <w:tc>
          <w:tcPr>
            <w:tcW w:w="903" w:type="dxa"/>
            <w:tcBorders>
              <w:tl2br w:val="nil"/>
              <w:tr2bl w:val="nil"/>
            </w:tcBorders>
            <w:noWrap w:val="0"/>
            <w:vAlign w:val="center"/>
          </w:tcPr>
          <w:p w14:paraId="066CC89A">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ND</w:t>
            </w:r>
          </w:p>
        </w:tc>
        <w:tc>
          <w:tcPr>
            <w:tcW w:w="903" w:type="dxa"/>
            <w:tcBorders>
              <w:tl2br w:val="nil"/>
              <w:tr2bl w:val="nil"/>
            </w:tcBorders>
            <w:noWrap w:val="0"/>
            <w:vAlign w:val="center"/>
          </w:tcPr>
          <w:p w14:paraId="57AC332D">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ND</w:t>
            </w:r>
          </w:p>
        </w:tc>
        <w:tc>
          <w:tcPr>
            <w:tcW w:w="903" w:type="dxa"/>
            <w:tcBorders>
              <w:tl2br w:val="nil"/>
              <w:tr2bl w:val="nil"/>
            </w:tcBorders>
            <w:noWrap w:val="0"/>
            <w:vAlign w:val="center"/>
          </w:tcPr>
          <w:p w14:paraId="5BF4CDB6">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02ACE746">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261ABE93">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ND</w:t>
            </w:r>
          </w:p>
        </w:tc>
        <w:tc>
          <w:tcPr>
            <w:tcW w:w="903" w:type="dxa"/>
            <w:tcBorders>
              <w:tl2br w:val="nil"/>
              <w:tr2bl w:val="nil"/>
            </w:tcBorders>
            <w:noWrap w:val="0"/>
            <w:vAlign w:val="center"/>
          </w:tcPr>
          <w:p w14:paraId="15EA8FA5">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18B0A2DD">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08C06FCA">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ND</w:t>
            </w:r>
          </w:p>
        </w:tc>
        <w:tc>
          <w:tcPr>
            <w:tcW w:w="906" w:type="dxa"/>
            <w:tcBorders>
              <w:tl2br w:val="nil"/>
              <w:tr2bl w:val="nil"/>
            </w:tcBorders>
            <w:noWrap w:val="0"/>
            <w:vAlign w:val="center"/>
          </w:tcPr>
          <w:p w14:paraId="7F9F91E4">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ND</w:t>
            </w:r>
          </w:p>
        </w:tc>
        <w:tc>
          <w:tcPr>
            <w:tcW w:w="906" w:type="dxa"/>
            <w:tcBorders>
              <w:tl2br w:val="nil"/>
              <w:tr2bl w:val="nil"/>
            </w:tcBorders>
            <w:noWrap w:val="0"/>
            <w:vAlign w:val="center"/>
          </w:tcPr>
          <w:p w14:paraId="592D3D2B">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2256</w:t>
            </w:r>
          </w:p>
        </w:tc>
      </w:tr>
      <w:tr w14:paraId="59440B6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592" w:hRule="atLeast"/>
          <w:jc w:val="center"/>
        </w:trPr>
        <w:tc>
          <w:tcPr>
            <w:tcW w:w="2180" w:type="dxa"/>
            <w:tcBorders>
              <w:tl2br w:val="nil"/>
              <w:tr2bl w:val="nil"/>
            </w:tcBorders>
            <w:noWrap w:val="0"/>
            <w:vAlign w:val="center"/>
          </w:tcPr>
          <w:p w14:paraId="34750AA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四氯化碳(</w:t>
            </w:r>
            <w:r>
              <w:rPr>
                <w:rFonts w:hint="eastAsia" w:ascii="宋体" w:hAnsi="宋体" w:eastAsia="宋体" w:cs="宋体"/>
                <w:color w:val="000000"/>
                <w:sz w:val="21"/>
                <w:szCs w:val="21"/>
                <w:lang w:val="en-US" w:eastAsia="zh-CN"/>
              </w:rPr>
              <w:t>mg</w:t>
            </w:r>
            <w:r>
              <w:rPr>
                <w:rFonts w:hint="eastAsia" w:ascii="宋体" w:hAnsi="宋体" w:eastAsia="宋体" w:cs="宋体"/>
                <w:sz w:val="21"/>
                <w:szCs w:val="21"/>
                <w:lang w:val="en-US" w:eastAsia="zh-CN"/>
              </w:rPr>
              <w:t>/kg)</w:t>
            </w:r>
          </w:p>
        </w:tc>
        <w:tc>
          <w:tcPr>
            <w:tcW w:w="903" w:type="dxa"/>
            <w:tcBorders>
              <w:tl2br w:val="nil"/>
              <w:tr2bl w:val="nil"/>
            </w:tcBorders>
            <w:noWrap w:val="0"/>
            <w:vAlign w:val="center"/>
          </w:tcPr>
          <w:p w14:paraId="04095738">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3BE4216E">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ND</w:t>
            </w:r>
          </w:p>
        </w:tc>
        <w:tc>
          <w:tcPr>
            <w:tcW w:w="903" w:type="dxa"/>
            <w:tcBorders>
              <w:tl2br w:val="nil"/>
              <w:tr2bl w:val="nil"/>
            </w:tcBorders>
            <w:noWrap w:val="0"/>
            <w:vAlign w:val="center"/>
          </w:tcPr>
          <w:p w14:paraId="408C26D5">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ND</w:t>
            </w:r>
          </w:p>
        </w:tc>
        <w:tc>
          <w:tcPr>
            <w:tcW w:w="903" w:type="dxa"/>
            <w:tcBorders>
              <w:tl2br w:val="nil"/>
              <w:tr2bl w:val="nil"/>
            </w:tcBorders>
            <w:noWrap w:val="0"/>
            <w:vAlign w:val="center"/>
          </w:tcPr>
          <w:p w14:paraId="54893820">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0988E826">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252A16EC">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0D70BBD5">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7BFCF828">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69ECD9FE">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3016AE16">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0D9198CA">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宋体" w:hAnsi="宋体" w:eastAsia="宋体" w:cs="宋体"/>
                <w:kern w:val="2"/>
                <w:sz w:val="21"/>
                <w:szCs w:val="21"/>
                <w:lang w:val="en-US" w:eastAsia="zh-CN"/>
              </w:rPr>
            </w:pPr>
            <w:r>
              <w:rPr>
                <w:rFonts w:hint="eastAsia" w:ascii="宋体" w:hAnsi="宋体" w:eastAsia="宋体" w:cs="宋体"/>
                <w:sz w:val="21"/>
                <w:szCs w:val="21"/>
                <w:lang w:val="en-US" w:eastAsia="zh-CN"/>
              </w:rPr>
              <w:t>0.0025</w:t>
            </w:r>
          </w:p>
        </w:tc>
        <w:tc>
          <w:tcPr>
            <w:tcW w:w="906" w:type="dxa"/>
            <w:tcBorders>
              <w:tl2br w:val="nil"/>
              <w:tr2bl w:val="nil"/>
            </w:tcBorders>
            <w:noWrap w:val="0"/>
            <w:vAlign w:val="center"/>
          </w:tcPr>
          <w:p w14:paraId="0DB4ED6D">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宋体" w:hAnsi="宋体" w:eastAsia="宋体" w:cs="宋体"/>
                <w:kern w:val="2"/>
                <w:sz w:val="21"/>
                <w:szCs w:val="21"/>
                <w:lang w:val="en-US" w:eastAsia="zh-CN"/>
              </w:rPr>
            </w:pPr>
            <w:r>
              <w:rPr>
                <w:rFonts w:hint="eastAsia" w:ascii="宋体" w:hAnsi="宋体" w:eastAsia="宋体" w:cs="宋体"/>
                <w:sz w:val="21"/>
                <w:szCs w:val="21"/>
                <w:lang w:val="en-US" w:eastAsia="zh-CN"/>
              </w:rPr>
              <w:t>0.0017</w:t>
            </w:r>
          </w:p>
        </w:tc>
        <w:tc>
          <w:tcPr>
            <w:tcW w:w="906" w:type="dxa"/>
            <w:tcBorders>
              <w:tl2br w:val="nil"/>
              <w:tr2bl w:val="nil"/>
            </w:tcBorders>
            <w:noWrap w:val="0"/>
            <w:vAlign w:val="center"/>
          </w:tcPr>
          <w:p w14:paraId="029C5FAF">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2.8</w:t>
            </w:r>
          </w:p>
        </w:tc>
      </w:tr>
      <w:tr w14:paraId="25069BC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512" w:hRule="atLeast"/>
          <w:jc w:val="center"/>
        </w:trPr>
        <w:tc>
          <w:tcPr>
            <w:tcW w:w="2180" w:type="dxa"/>
            <w:tcBorders>
              <w:tl2br w:val="nil"/>
              <w:tr2bl w:val="nil"/>
            </w:tcBorders>
            <w:noWrap w:val="0"/>
            <w:vAlign w:val="center"/>
          </w:tcPr>
          <w:p w14:paraId="715C750A">
            <w:pPr>
              <w:keepNext w:val="0"/>
              <w:keepLines w:val="0"/>
              <w:pageBreakBefore w:val="0"/>
              <w:widowControl w:val="0"/>
              <w:tabs>
                <w:tab w:val="left" w:pos="9540"/>
              </w:tabs>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color w:val="000000"/>
                <w:kern w:val="2"/>
                <w:sz w:val="21"/>
                <w:szCs w:val="21"/>
                <w:highlight w:val="none"/>
                <w:lang w:val="en-US" w:eastAsia="zh-CN"/>
              </w:rPr>
            </w:pPr>
            <w:r>
              <w:rPr>
                <w:rFonts w:hint="eastAsia" w:ascii="宋体" w:hAnsi="宋体" w:eastAsia="宋体" w:cs="宋体"/>
                <w:sz w:val="21"/>
                <w:szCs w:val="21"/>
                <w:highlight w:val="none"/>
                <w:lang w:val="en-US" w:eastAsia="zh-CN"/>
              </w:rPr>
              <w:t>氯仿(</w:t>
            </w:r>
            <w:r>
              <w:rPr>
                <w:rFonts w:hint="eastAsia" w:ascii="宋体" w:hAnsi="宋体" w:eastAsia="宋体" w:cs="宋体"/>
                <w:color w:val="000000"/>
                <w:sz w:val="21"/>
                <w:szCs w:val="21"/>
                <w:highlight w:val="none"/>
                <w:lang w:val="en-US" w:eastAsia="zh-CN"/>
              </w:rPr>
              <w:t>mg</w:t>
            </w:r>
            <w:r>
              <w:rPr>
                <w:rFonts w:hint="eastAsia" w:ascii="宋体" w:hAnsi="宋体" w:eastAsia="宋体" w:cs="宋体"/>
                <w:sz w:val="21"/>
                <w:szCs w:val="21"/>
                <w:highlight w:val="none"/>
                <w:lang w:val="en-US" w:eastAsia="zh-CN"/>
              </w:rPr>
              <w:t>/kg)</w:t>
            </w:r>
          </w:p>
        </w:tc>
        <w:tc>
          <w:tcPr>
            <w:tcW w:w="903" w:type="dxa"/>
            <w:tcBorders>
              <w:tl2br w:val="nil"/>
              <w:tr2bl w:val="nil"/>
            </w:tcBorders>
            <w:noWrap w:val="0"/>
            <w:vAlign w:val="center"/>
          </w:tcPr>
          <w:p w14:paraId="27EF0A27">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highlight w:val="none"/>
                <w:lang w:val="en-US" w:eastAsia="zh-CN"/>
              </w:rPr>
            </w:pPr>
            <w:r>
              <w:rPr>
                <w:rFonts w:hint="eastAsia" w:ascii="宋体" w:hAnsi="宋体" w:eastAsia="宋体" w:cs="宋体"/>
                <w:sz w:val="21"/>
                <w:szCs w:val="21"/>
                <w:highlight w:val="none"/>
                <w:lang w:val="en-US" w:eastAsia="zh-CN"/>
              </w:rPr>
              <w:t>ND</w:t>
            </w:r>
          </w:p>
        </w:tc>
        <w:tc>
          <w:tcPr>
            <w:tcW w:w="903" w:type="dxa"/>
            <w:tcBorders>
              <w:tl2br w:val="nil"/>
              <w:tr2bl w:val="nil"/>
            </w:tcBorders>
            <w:noWrap w:val="0"/>
            <w:vAlign w:val="center"/>
          </w:tcPr>
          <w:p w14:paraId="783AF293">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highlight w:val="none"/>
                <w:lang w:val="en-US" w:eastAsia="zh-CN"/>
              </w:rPr>
            </w:pPr>
            <w:r>
              <w:rPr>
                <w:rFonts w:hint="eastAsia" w:ascii="宋体" w:hAnsi="宋体" w:eastAsia="宋体" w:cs="宋体"/>
                <w:kern w:val="2"/>
                <w:sz w:val="21"/>
                <w:szCs w:val="21"/>
                <w:highlight w:val="none"/>
                <w:lang w:val="en-US" w:eastAsia="zh-CN"/>
              </w:rPr>
              <w:t>ND</w:t>
            </w:r>
          </w:p>
        </w:tc>
        <w:tc>
          <w:tcPr>
            <w:tcW w:w="903" w:type="dxa"/>
            <w:tcBorders>
              <w:tl2br w:val="nil"/>
              <w:tr2bl w:val="nil"/>
            </w:tcBorders>
            <w:noWrap w:val="0"/>
            <w:vAlign w:val="center"/>
          </w:tcPr>
          <w:p w14:paraId="560BA75B">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highlight w:val="none"/>
                <w:lang w:val="en-US" w:eastAsia="zh-CN"/>
              </w:rPr>
            </w:pPr>
            <w:r>
              <w:rPr>
                <w:rFonts w:hint="eastAsia" w:ascii="宋体" w:hAnsi="宋体" w:eastAsia="宋体" w:cs="宋体"/>
                <w:kern w:val="2"/>
                <w:sz w:val="21"/>
                <w:szCs w:val="21"/>
                <w:highlight w:val="none"/>
                <w:lang w:val="en-US" w:eastAsia="zh-CN"/>
              </w:rPr>
              <w:t>ND</w:t>
            </w:r>
          </w:p>
        </w:tc>
        <w:tc>
          <w:tcPr>
            <w:tcW w:w="903" w:type="dxa"/>
            <w:tcBorders>
              <w:tl2br w:val="nil"/>
              <w:tr2bl w:val="nil"/>
            </w:tcBorders>
            <w:noWrap w:val="0"/>
            <w:vAlign w:val="center"/>
          </w:tcPr>
          <w:p w14:paraId="6058B2AB">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highlight w:val="none"/>
                <w:lang w:val="en-US" w:eastAsia="zh-CN"/>
              </w:rPr>
            </w:pPr>
            <w:r>
              <w:rPr>
                <w:rFonts w:hint="eastAsia" w:ascii="宋体" w:hAnsi="宋体" w:eastAsia="宋体" w:cs="宋体"/>
                <w:sz w:val="21"/>
                <w:szCs w:val="21"/>
                <w:highlight w:val="none"/>
                <w:lang w:val="en-US" w:eastAsia="zh-CN"/>
              </w:rPr>
              <w:t>ND</w:t>
            </w:r>
          </w:p>
        </w:tc>
        <w:tc>
          <w:tcPr>
            <w:tcW w:w="903" w:type="dxa"/>
            <w:tcBorders>
              <w:tl2br w:val="nil"/>
              <w:tr2bl w:val="nil"/>
            </w:tcBorders>
            <w:noWrap w:val="0"/>
            <w:vAlign w:val="center"/>
          </w:tcPr>
          <w:p w14:paraId="77EC67C0">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highlight w:val="none"/>
                <w:lang w:val="en-US" w:eastAsia="zh-CN"/>
              </w:rPr>
            </w:pPr>
            <w:r>
              <w:rPr>
                <w:rFonts w:hint="eastAsia" w:ascii="宋体" w:hAnsi="宋体" w:eastAsia="宋体" w:cs="宋体"/>
                <w:sz w:val="21"/>
                <w:szCs w:val="21"/>
                <w:highlight w:val="none"/>
                <w:lang w:val="en-US" w:eastAsia="zh-CN"/>
              </w:rPr>
              <w:t>ND</w:t>
            </w:r>
          </w:p>
        </w:tc>
        <w:tc>
          <w:tcPr>
            <w:tcW w:w="903" w:type="dxa"/>
            <w:tcBorders>
              <w:tl2br w:val="nil"/>
              <w:tr2bl w:val="nil"/>
            </w:tcBorders>
            <w:noWrap w:val="0"/>
            <w:vAlign w:val="center"/>
          </w:tcPr>
          <w:p w14:paraId="50905CC8">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ND</w:t>
            </w:r>
          </w:p>
        </w:tc>
        <w:tc>
          <w:tcPr>
            <w:tcW w:w="903" w:type="dxa"/>
            <w:tcBorders>
              <w:tl2br w:val="nil"/>
              <w:tr2bl w:val="nil"/>
            </w:tcBorders>
            <w:noWrap w:val="0"/>
            <w:vAlign w:val="center"/>
          </w:tcPr>
          <w:p w14:paraId="080B74B0">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highlight w:val="none"/>
                <w:lang w:val="en-US" w:eastAsia="zh-CN"/>
              </w:rPr>
            </w:pPr>
            <w:r>
              <w:rPr>
                <w:rFonts w:hint="eastAsia" w:ascii="宋体" w:hAnsi="宋体" w:eastAsia="宋体" w:cs="宋体"/>
                <w:sz w:val="21"/>
                <w:szCs w:val="21"/>
                <w:highlight w:val="none"/>
                <w:lang w:val="en-US" w:eastAsia="zh-CN"/>
              </w:rPr>
              <w:t>ND</w:t>
            </w:r>
          </w:p>
        </w:tc>
        <w:tc>
          <w:tcPr>
            <w:tcW w:w="903" w:type="dxa"/>
            <w:tcBorders>
              <w:tl2br w:val="nil"/>
              <w:tr2bl w:val="nil"/>
            </w:tcBorders>
            <w:noWrap w:val="0"/>
            <w:vAlign w:val="center"/>
          </w:tcPr>
          <w:p w14:paraId="02988B4D">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highlight w:val="none"/>
                <w:lang w:val="en-US" w:eastAsia="zh-CN"/>
              </w:rPr>
            </w:pPr>
            <w:r>
              <w:rPr>
                <w:rFonts w:hint="eastAsia" w:ascii="宋体" w:hAnsi="宋体" w:eastAsia="宋体" w:cs="宋体"/>
                <w:sz w:val="21"/>
                <w:szCs w:val="21"/>
                <w:highlight w:val="none"/>
                <w:lang w:val="en-US" w:eastAsia="zh-CN"/>
              </w:rPr>
              <w:t>ND</w:t>
            </w:r>
          </w:p>
        </w:tc>
        <w:tc>
          <w:tcPr>
            <w:tcW w:w="903" w:type="dxa"/>
            <w:tcBorders>
              <w:tl2br w:val="nil"/>
              <w:tr2bl w:val="nil"/>
            </w:tcBorders>
            <w:noWrap w:val="0"/>
            <w:vAlign w:val="center"/>
          </w:tcPr>
          <w:p w14:paraId="4F0CAB7E">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highlight w:val="none"/>
                <w:lang w:val="en-US" w:eastAsia="zh-CN"/>
              </w:rPr>
            </w:pPr>
            <w:r>
              <w:rPr>
                <w:rFonts w:hint="eastAsia" w:ascii="宋体" w:hAnsi="宋体" w:eastAsia="宋体" w:cs="宋体"/>
                <w:sz w:val="21"/>
                <w:szCs w:val="21"/>
                <w:highlight w:val="none"/>
                <w:lang w:val="en-US" w:eastAsia="zh-CN"/>
              </w:rPr>
              <w:t>ND</w:t>
            </w:r>
          </w:p>
        </w:tc>
        <w:tc>
          <w:tcPr>
            <w:tcW w:w="903" w:type="dxa"/>
            <w:tcBorders>
              <w:tl2br w:val="nil"/>
              <w:tr2bl w:val="nil"/>
            </w:tcBorders>
            <w:noWrap w:val="0"/>
            <w:vAlign w:val="center"/>
          </w:tcPr>
          <w:p w14:paraId="5BECB0B4">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ND</w:t>
            </w:r>
          </w:p>
        </w:tc>
        <w:tc>
          <w:tcPr>
            <w:tcW w:w="903" w:type="dxa"/>
            <w:tcBorders>
              <w:tl2br w:val="nil"/>
              <w:tr2bl w:val="nil"/>
            </w:tcBorders>
            <w:noWrap w:val="0"/>
            <w:vAlign w:val="center"/>
          </w:tcPr>
          <w:p w14:paraId="288425AF">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宋体" w:hAnsi="宋体" w:eastAsia="宋体" w:cs="宋体"/>
                <w:kern w:val="2"/>
                <w:sz w:val="21"/>
                <w:szCs w:val="21"/>
                <w:highlight w:val="none"/>
                <w:lang w:val="en-US" w:eastAsia="zh-CN"/>
              </w:rPr>
            </w:pPr>
            <w:r>
              <w:rPr>
                <w:rFonts w:hint="eastAsia" w:ascii="宋体" w:hAnsi="宋体" w:eastAsia="宋体" w:cs="宋体"/>
                <w:sz w:val="21"/>
                <w:szCs w:val="21"/>
                <w:highlight w:val="none"/>
                <w:lang w:val="en-US" w:eastAsia="zh-CN"/>
              </w:rPr>
              <w:t>0.0011</w:t>
            </w:r>
          </w:p>
        </w:tc>
        <w:tc>
          <w:tcPr>
            <w:tcW w:w="906" w:type="dxa"/>
            <w:tcBorders>
              <w:tl2br w:val="nil"/>
              <w:tr2bl w:val="nil"/>
            </w:tcBorders>
            <w:noWrap w:val="0"/>
            <w:vAlign w:val="center"/>
          </w:tcPr>
          <w:p w14:paraId="31245D72">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highlight w:val="none"/>
                <w:lang w:val="en-US" w:eastAsia="zh-CN"/>
              </w:rPr>
            </w:pPr>
            <w:r>
              <w:rPr>
                <w:rFonts w:hint="eastAsia" w:ascii="宋体" w:hAnsi="宋体" w:eastAsia="宋体" w:cs="宋体"/>
                <w:sz w:val="21"/>
                <w:szCs w:val="21"/>
                <w:highlight w:val="none"/>
                <w:lang w:val="en-US" w:eastAsia="zh-CN"/>
              </w:rPr>
              <w:t>ND</w:t>
            </w:r>
          </w:p>
        </w:tc>
        <w:tc>
          <w:tcPr>
            <w:tcW w:w="906" w:type="dxa"/>
            <w:tcBorders>
              <w:tl2br w:val="nil"/>
              <w:tr2bl w:val="nil"/>
            </w:tcBorders>
            <w:noWrap w:val="0"/>
            <w:vAlign w:val="center"/>
          </w:tcPr>
          <w:p w14:paraId="1E637E45">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0.9</w:t>
            </w:r>
          </w:p>
        </w:tc>
      </w:tr>
      <w:tr w14:paraId="70BF1C5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592" w:hRule="atLeast"/>
          <w:jc w:val="center"/>
        </w:trPr>
        <w:tc>
          <w:tcPr>
            <w:tcW w:w="2180" w:type="dxa"/>
            <w:tcBorders>
              <w:tl2br w:val="nil"/>
              <w:tr2bl w:val="nil"/>
            </w:tcBorders>
            <w:noWrap w:val="0"/>
            <w:vAlign w:val="center"/>
          </w:tcPr>
          <w:p w14:paraId="2607222D">
            <w:pPr>
              <w:keepNext w:val="0"/>
              <w:keepLines w:val="0"/>
              <w:pageBreakBefore w:val="0"/>
              <w:widowControl w:val="0"/>
              <w:tabs>
                <w:tab w:val="left" w:pos="9540"/>
              </w:tabs>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color w:val="000000"/>
                <w:kern w:val="2"/>
                <w:sz w:val="21"/>
                <w:szCs w:val="21"/>
                <w:lang w:val="en-US" w:eastAsia="zh-CN"/>
              </w:rPr>
            </w:pPr>
            <w:r>
              <w:rPr>
                <w:rFonts w:hint="eastAsia" w:ascii="宋体" w:hAnsi="宋体" w:eastAsia="宋体" w:cs="宋体"/>
                <w:sz w:val="21"/>
                <w:szCs w:val="21"/>
                <w:lang w:val="en-US" w:eastAsia="zh-CN"/>
              </w:rPr>
              <w:t>氯甲烷(</w:t>
            </w:r>
            <w:r>
              <w:rPr>
                <w:rFonts w:hint="eastAsia" w:ascii="宋体" w:hAnsi="宋体" w:eastAsia="宋体" w:cs="宋体"/>
                <w:color w:val="000000"/>
                <w:sz w:val="21"/>
                <w:szCs w:val="21"/>
                <w:highlight w:val="none"/>
                <w:lang w:val="en-US" w:eastAsia="zh-CN"/>
              </w:rPr>
              <w:t>mg</w:t>
            </w:r>
            <w:r>
              <w:rPr>
                <w:rFonts w:hint="eastAsia" w:ascii="宋体" w:hAnsi="宋体" w:eastAsia="宋体" w:cs="宋体"/>
                <w:sz w:val="21"/>
                <w:szCs w:val="21"/>
                <w:lang w:val="en-US" w:eastAsia="zh-CN"/>
              </w:rPr>
              <w:t>/kg)</w:t>
            </w:r>
          </w:p>
        </w:tc>
        <w:tc>
          <w:tcPr>
            <w:tcW w:w="903" w:type="dxa"/>
            <w:tcBorders>
              <w:tl2br w:val="nil"/>
              <w:tr2bl w:val="nil"/>
            </w:tcBorders>
            <w:noWrap w:val="0"/>
            <w:vAlign w:val="center"/>
          </w:tcPr>
          <w:p w14:paraId="1619D992">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0.0056</w:t>
            </w:r>
          </w:p>
        </w:tc>
        <w:tc>
          <w:tcPr>
            <w:tcW w:w="903" w:type="dxa"/>
            <w:tcBorders>
              <w:tl2br w:val="nil"/>
              <w:tr2bl w:val="nil"/>
            </w:tcBorders>
            <w:noWrap w:val="0"/>
            <w:vAlign w:val="center"/>
          </w:tcPr>
          <w:p w14:paraId="0E3F0D72">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ND</w:t>
            </w:r>
          </w:p>
        </w:tc>
        <w:tc>
          <w:tcPr>
            <w:tcW w:w="903" w:type="dxa"/>
            <w:tcBorders>
              <w:tl2br w:val="nil"/>
              <w:tr2bl w:val="nil"/>
            </w:tcBorders>
            <w:noWrap w:val="0"/>
            <w:vAlign w:val="center"/>
          </w:tcPr>
          <w:p w14:paraId="710AFB66">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ND</w:t>
            </w:r>
          </w:p>
        </w:tc>
        <w:tc>
          <w:tcPr>
            <w:tcW w:w="903" w:type="dxa"/>
            <w:tcBorders>
              <w:tl2br w:val="nil"/>
              <w:tr2bl w:val="nil"/>
            </w:tcBorders>
            <w:noWrap w:val="0"/>
            <w:vAlign w:val="center"/>
          </w:tcPr>
          <w:p w14:paraId="7E100517">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宋体" w:hAnsi="宋体" w:eastAsia="宋体" w:cs="宋体"/>
                <w:kern w:val="2"/>
                <w:sz w:val="21"/>
                <w:szCs w:val="21"/>
                <w:lang w:val="en-US" w:eastAsia="zh-CN"/>
              </w:rPr>
            </w:pPr>
            <w:r>
              <w:rPr>
                <w:rFonts w:hint="eastAsia" w:ascii="宋体" w:hAnsi="宋体" w:eastAsia="宋体" w:cs="宋体"/>
                <w:sz w:val="21"/>
                <w:szCs w:val="21"/>
                <w:lang w:val="en-US" w:eastAsia="zh-CN"/>
              </w:rPr>
              <w:t>0.0047</w:t>
            </w:r>
          </w:p>
        </w:tc>
        <w:tc>
          <w:tcPr>
            <w:tcW w:w="903" w:type="dxa"/>
            <w:tcBorders>
              <w:tl2br w:val="nil"/>
              <w:tr2bl w:val="nil"/>
            </w:tcBorders>
            <w:noWrap w:val="0"/>
            <w:vAlign w:val="center"/>
          </w:tcPr>
          <w:p w14:paraId="28E159C1">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宋体" w:hAnsi="宋体" w:eastAsia="宋体" w:cs="宋体"/>
                <w:kern w:val="2"/>
                <w:sz w:val="21"/>
                <w:szCs w:val="21"/>
                <w:lang w:val="en-US" w:eastAsia="zh-CN"/>
              </w:rPr>
            </w:pPr>
            <w:r>
              <w:rPr>
                <w:rFonts w:hint="eastAsia" w:ascii="宋体" w:hAnsi="宋体" w:eastAsia="宋体" w:cs="宋体"/>
                <w:sz w:val="21"/>
                <w:szCs w:val="21"/>
                <w:lang w:val="en-US" w:eastAsia="zh-CN"/>
              </w:rPr>
              <w:t>0.0035</w:t>
            </w:r>
          </w:p>
        </w:tc>
        <w:tc>
          <w:tcPr>
            <w:tcW w:w="903" w:type="dxa"/>
            <w:tcBorders>
              <w:tl2br w:val="nil"/>
              <w:tr2bl w:val="nil"/>
            </w:tcBorders>
            <w:noWrap w:val="0"/>
            <w:vAlign w:val="center"/>
          </w:tcPr>
          <w:p w14:paraId="089A2494">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3F0F27B7">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6CC73AF5">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宋体" w:hAnsi="宋体" w:eastAsia="宋体" w:cs="宋体"/>
                <w:kern w:val="2"/>
                <w:sz w:val="21"/>
                <w:szCs w:val="21"/>
                <w:lang w:val="en-US" w:eastAsia="zh-CN"/>
              </w:rPr>
            </w:pPr>
            <w:r>
              <w:rPr>
                <w:rFonts w:hint="eastAsia" w:ascii="宋体" w:hAnsi="宋体" w:eastAsia="宋体" w:cs="宋体"/>
                <w:sz w:val="21"/>
                <w:szCs w:val="21"/>
                <w:lang w:val="en-US" w:eastAsia="zh-CN"/>
              </w:rPr>
              <w:t>0.0024</w:t>
            </w:r>
          </w:p>
        </w:tc>
        <w:tc>
          <w:tcPr>
            <w:tcW w:w="903" w:type="dxa"/>
            <w:tcBorders>
              <w:tl2br w:val="nil"/>
              <w:tr2bl w:val="nil"/>
            </w:tcBorders>
            <w:noWrap w:val="0"/>
            <w:vAlign w:val="center"/>
          </w:tcPr>
          <w:p w14:paraId="5BE0F2DC">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46254EE4">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39126D85">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宋体" w:hAnsi="宋体" w:eastAsia="宋体" w:cs="宋体"/>
                <w:kern w:val="2"/>
                <w:sz w:val="21"/>
                <w:szCs w:val="21"/>
                <w:lang w:val="en-US" w:eastAsia="zh-CN"/>
              </w:rPr>
            </w:pPr>
            <w:r>
              <w:rPr>
                <w:rFonts w:hint="eastAsia" w:ascii="宋体" w:hAnsi="宋体" w:eastAsia="宋体" w:cs="宋体"/>
                <w:sz w:val="21"/>
                <w:szCs w:val="21"/>
                <w:lang w:val="en-US" w:eastAsia="zh-CN"/>
              </w:rPr>
              <w:t>0.004</w:t>
            </w:r>
          </w:p>
        </w:tc>
        <w:tc>
          <w:tcPr>
            <w:tcW w:w="906" w:type="dxa"/>
            <w:tcBorders>
              <w:tl2br w:val="nil"/>
              <w:tr2bl w:val="nil"/>
            </w:tcBorders>
            <w:noWrap w:val="0"/>
            <w:vAlign w:val="center"/>
          </w:tcPr>
          <w:p w14:paraId="6E729325">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宋体" w:hAnsi="宋体" w:eastAsia="宋体" w:cs="宋体"/>
                <w:kern w:val="2"/>
                <w:sz w:val="21"/>
                <w:szCs w:val="21"/>
                <w:lang w:val="en-US" w:eastAsia="zh-CN"/>
              </w:rPr>
            </w:pPr>
            <w:r>
              <w:rPr>
                <w:rFonts w:hint="eastAsia" w:ascii="宋体" w:hAnsi="宋体" w:eastAsia="宋体" w:cs="宋体"/>
                <w:sz w:val="21"/>
                <w:szCs w:val="21"/>
                <w:lang w:val="en-US" w:eastAsia="zh-CN"/>
              </w:rPr>
              <w:t>0.0015</w:t>
            </w:r>
          </w:p>
        </w:tc>
        <w:tc>
          <w:tcPr>
            <w:tcW w:w="906" w:type="dxa"/>
            <w:tcBorders>
              <w:tl2br w:val="nil"/>
              <w:tr2bl w:val="nil"/>
            </w:tcBorders>
            <w:noWrap w:val="0"/>
            <w:vAlign w:val="center"/>
          </w:tcPr>
          <w:p w14:paraId="2F2773EE">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37</w:t>
            </w:r>
          </w:p>
        </w:tc>
      </w:tr>
      <w:tr w14:paraId="71CEBB5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598" w:hRule="atLeast"/>
          <w:jc w:val="center"/>
        </w:trPr>
        <w:tc>
          <w:tcPr>
            <w:tcW w:w="2180" w:type="dxa"/>
            <w:tcBorders>
              <w:tl2br w:val="nil"/>
              <w:tr2bl w:val="nil"/>
            </w:tcBorders>
            <w:noWrap w:val="0"/>
            <w:vAlign w:val="center"/>
          </w:tcPr>
          <w:p w14:paraId="289C559A">
            <w:pPr>
              <w:keepNext w:val="0"/>
              <w:keepLines w:val="0"/>
              <w:pageBreakBefore w:val="0"/>
              <w:widowControl w:val="0"/>
              <w:tabs>
                <w:tab w:val="left" w:pos="9540"/>
              </w:tabs>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color w:val="000000"/>
                <w:kern w:val="2"/>
                <w:sz w:val="21"/>
                <w:szCs w:val="21"/>
                <w:lang w:val="en-US" w:eastAsia="zh-CN"/>
              </w:rPr>
            </w:pPr>
            <w:r>
              <w:rPr>
                <w:rFonts w:hint="eastAsia" w:ascii="宋体" w:hAnsi="宋体" w:eastAsia="宋体" w:cs="宋体"/>
                <w:sz w:val="21"/>
                <w:szCs w:val="21"/>
                <w:lang w:val="en-US" w:eastAsia="zh-CN"/>
              </w:rPr>
              <w:t>1,1-二氯乙烷(</w:t>
            </w:r>
            <w:r>
              <w:rPr>
                <w:rFonts w:hint="eastAsia" w:ascii="宋体" w:hAnsi="宋体" w:eastAsia="宋体" w:cs="宋体"/>
                <w:sz w:val="21"/>
                <w:szCs w:val="21"/>
              </w:rPr>
              <w:t>μ</w:t>
            </w:r>
            <w:r>
              <w:rPr>
                <w:rFonts w:hint="eastAsia" w:ascii="宋体" w:hAnsi="宋体" w:eastAsia="宋体" w:cs="宋体"/>
                <w:sz w:val="21"/>
                <w:szCs w:val="21"/>
                <w:lang w:val="en-US" w:eastAsia="zh-CN"/>
              </w:rPr>
              <w:t>g/kg)</w:t>
            </w:r>
          </w:p>
        </w:tc>
        <w:tc>
          <w:tcPr>
            <w:tcW w:w="903" w:type="dxa"/>
            <w:tcBorders>
              <w:tl2br w:val="nil"/>
              <w:tr2bl w:val="nil"/>
            </w:tcBorders>
            <w:noWrap w:val="0"/>
            <w:vAlign w:val="center"/>
          </w:tcPr>
          <w:p w14:paraId="75CC063B">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0AB7191F">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ND</w:t>
            </w:r>
          </w:p>
        </w:tc>
        <w:tc>
          <w:tcPr>
            <w:tcW w:w="903" w:type="dxa"/>
            <w:tcBorders>
              <w:tl2br w:val="nil"/>
              <w:tr2bl w:val="nil"/>
            </w:tcBorders>
            <w:noWrap w:val="0"/>
            <w:vAlign w:val="center"/>
          </w:tcPr>
          <w:p w14:paraId="27689DD0">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ND</w:t>
            </w:r>
          </w:p>
        </w:tc>
        <w:tc>
          <w:tcPr>
            <w:tcW w:w="903" w:type="dxa"/>
            <w:tcBorders>
              <w:tl2br w:val="nil"/>
              <w:tr2bl w:val="nil"/>
            </w:tcBorders>
            <w:noWrap w:val="0"/>
            <w:vAlign w:val="center"/>
          </w:tcPr>
          <w:p w14:paraId="6914CDA3">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24DFEE5F">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2D81E5E5">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0AFEE174">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78253626">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4EC39947">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5082AE15">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0A1063E9">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6" w:type="dxa"/>
            <w:tcBorders>
              <w:tl2br w:val="nil"/>
              <w:tr2bl w:val="nil"/>
            </w:tcBorders>
            <w:noWrap w:val="0"/>
            <w:vAlign w:val="center"/>
          </w:tcPr>
          <w:p w14:paraId="58EFAE13">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6" w:type="dxa"/>
            <w:tcBorders>
              <w:tl2br w:val="nil"/>
              <w:tr2bl w:val="nil"/>
            </w:tcBorders>
            <w:noWrap w:val="0"/>
            <w:vAlign w:val="center"/>
          </w:tcPr>
          <w:p w14:paraId="5A8B2764">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9</w:t>
            </w:r>
          </w:p>
        </w:tc>
      </w:tr>
      <w:tr w14:paraId="7188186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598" w:hRule="atLeast"/>
          <w:jc w:val="center"/>
        </w:trPr>
        <w:tc>
          <w:tcPr>
            <w:tcW w:w="2180" w:type="dxa"/>
            <w:tcBorders>
              <w:tl2br w:val="nil"/>
              <w:tr2bl w:val="nil"/>
            </w:tcBorders>
            <w:noWrap w:val="0"/>
            <w:vAlign w:val="center"/>
          </w:tcPr>
          <w:p w14:paraId="2ED5B47C">
            <w:pPr>
              <w:keepNext w:val="0"/>
              <w:keepLines w:val="0"/>
              <w:pageBreakBefore w:val="0"/>
              <w:widowControl w:val="0"/>
              <w:tabs>
                <w:tab w:val="left" w:pos="9540"/>
              </w:tabs>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color w:val="000000"/>
                <w:kern w:val="2"/>
                <w:sz w:val="21"/>
                <w:szCs w:val="21"/>
                <w:lang w:val="en-US" w:eastAsia="zh-CN"/>
              </w:rPr>
            </w:pPr>
            <w:r>
              <w:rPr>
                <w:rFonts w:hint="eastAsia" w:ascii="宋体" w:hAnsi="宋体" w:eastAsia="宋体" w:cs="宋体"/>
                <w:sz w:val="21"/>
                <w:szCs w:val="21"/>
                <w:lang w:val="en-US" w:eastAsia="zh-CN"/>
              </w:rPr>
              <w:t>1,2-二氯乙烷(</w:t>
            </w:r>
            <w:r>
              <w:rPr>
                <w:rFonts w:hint="eastAsia" w:ascii="宋体" w:hAnsi="宋体" w:eastAsia="宋体" w:cs="宋体"/>
                <w:sz w:val="21"/>
                <w:szCs w:val="21"/>
              </w:rPr>
              <w:t>μ</w:t>
            </w:r>
            <w:r>
              <w:rPr>
                <w:rFonts w:hint="eastAsia" w:ascii="宋体" w:hAnsi="宋体" w:eastAsia="宋体" w:cs="宋体"/>
                <w:sz w:val="21"/>
                <w:szCs w:val="21"/>
                <w:lang w:val="en-US" w:eastAsia="zh-CN"/>
              </w:rPr>
              <w:t>g/kg)</w:t>
            </w:r>
          </w:p>
        </w:tc>
        <w:tc>
          <w:tcPr>
            <w:tcW w:w="903" w:type="dxa"/>
            <w:tcBorders>
              <w:tl2br w:val="nil"/>
              <w:tr2bl w:val="nil"/>
            </w:tcBorders>
            <w:noWrap w:val="0"/>
            <w:vAlign w:val="center"/>
          </w:tcPr>
          <w:p w14:paraId="7B8F7C01">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4F2A51F9">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ND</w:t>
            </w:r>
          </w:p>
        </w:tc>
        <w:tc>
          <w:tcPr>
            <w:tcW w:w="903" w:type="dxa"/>
            <w:tcBorders>
              <w:tl2br w:val="nil"/>
              <w:tr2bl w:val="nil"/>
            </w:tcBorders>
            <w:noWrap w:val="0"/>
            <w:vAlign w:val="center"/>
          </w:tcPr>
          <w:p w14:paraId="6BF8C843">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ND</w:t>
            </w:r>
          </w:p>
        </w:tc>
        <w:tc>
          <w:tcPr>
            <w:tcW w:w="903" w:type="dxa"/>
            <w:tcBorders>
              <w:tl2br w:val="nil"/>
              <w:tr2bl w:val="nil"/>
            </w:tcBorders>
            <w:noWrap w:val="0"/>
            <w:vAlign w:val="center"/>
          </w:tcPr>
          <w:p w14:paraId="12825608">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13374470">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42909AE2">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68EC5657">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614C3FCC">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0847A383">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51D14AD8">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3E534E8B">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1.3</w:t>
            </w:r>
          </w:p>
        </w:tc>
        <w:tc>
          <w:tcPr>
            <w:tcW w:w="906" w:type="dxa"/>
            <w:tcBorders>
              <w:tl2br w:val="nil"/>
              <w:tr2bl w:val="nil"/>
            </w:tcBorders>
            <w:noWrap w:val="0"/>
            <w:vAlign w:val="center"/>
          </w:tcPr>
          <w:p w14:paraId="57B255D9">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1.8</w:t>
            </w:r>
          </w:p>
        </w:tc>
        <w:tc>
          <w:tcPr>
            <w:tcW w:w="906" w:type="dxa"/>
            <w:tcBorders>
              <w:tl2br w:val="nil"/>
              <w:tr2bl w:val="nil"/>
            </w:tcBorders>
            <w:noWrap w:val="0"/>
            <w:vAlign w:val="center"/>
          </w:tcPr>
          <w:p w14:paraId="7DEA6B7F">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w:t>
            </w:r>
          </w:p>
        </w:tc>
      </w:tr>
      <w:tr w14:paraId="164D8D7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622" w:hRule="atLeast"/>
          <w:jc w:val="center"/>
        </w:trPr>
        <w:tc>
          <w:tcPr>
            <w:tcW w:w="2180" w:type="dxa"/>
            <w:tcBorders>
              <w:tl2br w:val="nil"/>
              <w:tr2bl w:val="nil"/>
            </w:tcBorders>
            <w:noWrap w:val="0"/>
            <w:vAlign w:val="center"/>
          </w:tcPr>
          <w:p w14:paraId="5F2B4C2D">
            <w:pPr>
              <w:keepNext w:val="0"/>
              <w:keepLines w:val="0"/>
              <w:pageBreakBefore w:val="0"/>
              <w:widowControl w:val="0"/>
              <w:tabs>
                <w:tab w:val="left" w:pos="9540"/>
              </w:tabs>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color w:val="000000"/>
                <w:kern w:val="2"/>
                <w:sz w:val="21"/>
                <w:szCs w:val="21"/>
                <w:lang w:val="en-US" w:eastAsia="zh-CN"/>
              </w:rPr>
            </w:pPr>
            <w:r>
              <w:rPr>
                <w:rFonts w:hint="eastAsia" w:ascii="宋体" w:hAnsi="宋体" w:eastAsia="宋体" w:cs="宋体"/>
                <w:sz w:val="21"/>
                <w:szCs w:val="21"/>
                <w:lang w:val="en-US" w:eastAsia="zh-CN"/>
              </w:rPr>
              <w:t>1,1-二氯乙烯(</w:t>
            </w:r>
            <w:r>
              <w:rPr>
                <w:rFonts w:hint="eastAsia" w:ascii="宋体" w:hAnsi="宋体" w:eastAsia="宋体" w:cs="宋体"/>
                <w:sz w:val="21"/>
                <w:szCs w:val="21"/>
              </w:rPr>
              <w:t>μ</w:t>
            </w:r>
            <w:r>
              <w:rPr>
                <w:rFonts w:hint="eastAsia" w:ascii="宋体" w:hAnsi="宋体" w:eastAsia="宋体" w:cs="宋体"/>
                <w:sz w:val="21"/>
                <w:szCs w:val="21"/>
                <w:lang w:val="en-US" w:eastAsia="zh-CN"/>
              </w:rPr>
              <w:t>g/kg)</w:t>
            </w:r>
          </w:p>
        </w:tc>
        <w:tc>
          <w:tcPr>
            <w:tcW w:w="903" w:type="dxa"/>
            <w:tcBorders>
              <w:tl2br w:val="nil"/>
              <w:tr2bl w:val="nil"/>
            </w:tcBorders>
            <w:noWrap w:val="0"/>
            <w:vAlign w:val="center"/>
          </w:tcPr>
          <w:p w14:paraId="6AFAE9A6">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3C95C896">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ND</w:t>
            </w:r>
          </w:p>
        </w:tc>
        <w:tc>
          <w:tcPr>
            <w:tcW w:w="903" w:type="dxa"/>
            <w:tcBorders>
              <w:tl2br w:val="nil"/>
              <w:tr2bl w:val="nil"/>
            </w:tcBorders>
            <w:noWrap w:val="0"/>
            <w:vAlign w:val="center"/>
          </w:tcPr>
          <w:p w14:paraId="1B9A5604">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ND</w:t>
            </w:r>
          </w:p>
        </w:tc>
        <w:tc>
          <w:tcPr>
            <w:tcW w:w="903" w:type="dxa"/>
            <w:tcBorders>
              <w:tl2br w:val="nil"/>
              <w:tr2bl w:val="nil"/>
            </w:tcBorders>
            <w:noWrap w:val="0"/>
            <w:vAlign w:val="center"/>
          </w:tcPr>
          <w:p w14:paraId="6A3A2D6B">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7E65B46C">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0BC2FB62">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7265AA78">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497A63A3">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6165F8D0">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7BD73F1C">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1AF08954">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6" w:type="dxa"/>
            <w:tcBorders>
              <w:tl2br w:val="nil"/>
              <w:tr2bl w:val="nil"/>
            </w:tcBorders>
            <w:noWrap w:val="0"/>
            <w:vAlign w:val="center"/>
          </w:tcPr>
          <w:p w14:paraId="6FB232C5">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6" w:type="dxa"/>
            <w:tcBorders>
              <w:tl2br w:val="nil"/>
              <w:tr2bl w:val="nil"/>
            </w:tcBorders>
            <w:noWrap w:val="0"/>
            <w:vAlign w:val="center"/>
          </w:tcPr>
          <w:p w14:paraId="15E7274F">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66</w:t>
            </w:r>
          </w:p>
        </w:tc>
      </w:tr>
      <w:tr w14:paraId="0A4A6C1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626" w:hRule="atLeast"/>
          <w:jc w:val="center"/>
        </w:trPr>
        <w:tc>
          <w:tcPr>
            <w:tcW w:w="2180" w:type="dxa"/>
            <w:tcBorders>
              <w:tl2br w:val="nil"/>
              <w:tr2bl w:val="nil"/>
            </w:tcBorders>
            <w:noWrap w:val="0"/>
            <w:vAlign w:val="center"/>
          </w:tcPr>
          <w:p w14:paraId="44DF9F16">
            <w:pPr>
              <w:keepNext w:val="0"/>
              <w:keepLines w:val="0"/>
              <w:pageBreakBefore w:val="0"/>
              <w:widowControl w:val="0"/>
              <w:tabs>
                <w:tab w:val="left" w:pos="9540"/>
              </w:tabs>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color w:val="000000"/>
                <w:kern w:val="2"/>
                <w:sz w:val="21"/>
                <w:szCs w:val="21"/>
                <w:lang w:val="en-US" w:eastAsia="zh-CN"/>
              </w:rPr>
            </w:pPr>
            <w:r>
              <w:rPr>
                <w:rFonts w:hint="eastAsia" w:ascii="宋体" w:hAnsi="宋体" w:eastAsia="宋体" w:cs="宋体"/>
                <w:sz w:val="21"/>
                <w:szCs w:val="21"/>
                <w:lang w:val="en-US" w:eastAsia="zh-CN"/>
              </w:rPr>
              <w:t>顺-1,2-二氯乙烯(</w:t>
            </w:r>
            <w:r>
              <w:rPr>
                <w:rFonts w:hint="eastAsia" w:ascii="宋体" w:hAnsi="宋体" w:eastAsia="宋体" w:cs="宋体"/>
                <w:sz w:val="21"/>
                <w:szCs w:val="21"/>
              </w:rPr>
              <w:t>μ</w:t>
            </w:r>
            <w:r>
              <w:rPr>
                <w:rFonts w:hint="eastAsia" w:ascii="宋体" w:hAnsi="宋体" w:eastAsia="宋体" w:cs="宋体"/>
                <w:sz w:val="21"/>
                <w:szCs w:val="21"/>
                <w:lang w:val="en-US" w:eastAsia="zh-CN"/>
              </w:rPr>
              <w:t>g/kg)</w:t>
            </w:r>
          </w:p>
        </w:tc>
        <w:tc>
          <w:tcPr>
            <w:tcW w:w="903" w:type="dxa"/>
            <w:tcBorders>
              <w:tl2br w:val="nil"/>
              <w:tr2bl w:val="nil"/>
            </w:tcBorders>
            <w:noWrap w:val="0"/>
            <w:vAlign w:val="center"/>
          </w:tcPr>
          <w:p w14:paraId="3C6736E1">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7322153C">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ND</w:t>
            </w:r>
          </w:p>
        </w:tc>
        <w:tc>
          <w:tcPr>
            <w:tcW w:w="903" w:type="dxa"/>
            <w:tcBorders>
              <w:tl2br w:val="nil"/>
              <w:tr2bl w:val="nil"/>
            </w:tcBorders>
            <w:noWrap w:val="0"/>
            <w:vAlign w:val="center"/>
          </w:tcPr>
          <w:p w14:paraId="16A09A06">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ND</w:t>
            </w:r>
          </w:p>
        </w:tc>
        <w:tc>
          <w:tcPr>
            <w:tcW w:w="903" w:type="dxa"/>
            <w:tcBorders>
              <w:tl2br w:val="nil"/>
              <w:tr2bl w:val="nil"/>
            </w:tcBorders>
            <w:noWrap w:val="0"/>
            <w:vAlign w:val="center"/>
          </w:tcPr>
          <w:p w14:paraId="041C5993">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741937C4">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667B6545">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273DE4E0">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1E114101">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37F42ACF">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0CAE0F31">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54756308">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6" w:type="dxa"/>
            <w:tcBorders>
              <w:tl2br w:val="nil"/>
              <w:tr2bl w:val="nil"/>
            </w:tcBorders>
            <w:noWrap w:val="0"/>
            <w:vAlign w:val="center"/>
          </w:tcPr>
          <w:p w14:paraId="24E4997B">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6" w:type="dxa"/>
            <w:tcBorders>
              <w:tl2br w:val="nil"/>
              <w:tr2bl w:val="nil"/>
            </w:tcBorders>
            <w:noWrap w:val="0"/>
            <w:vAlign w:val="center"/>
          </w:tcPr>
          <w:p w14:paraId="41E4C30D">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596</w:t>
            </w:r>
          </w:p>
        </w:tc>
      </w:tr>
      <w:tr w14:paraId="4D4A455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626" w:hRule="atLeast"/>
          <w:jc w:val="center"/>
        </w:trPr>
        <w:tc>
          <w:tcPr>
            <w:tcW w:w="2180" w:type="dxa"/>
            <w:tcBorders>
              <w:tl2br w:val="nil"/>
              <w:tr2bl w:val="nil"/>
            </w:tcBorders>
            <w:noWrap w:val="0"/>
            <w:vAlign w:val="center"/>
          </w:tcPr>
          <w:p w14:paraId="1C919A24">
            <w:pPr>
              <w:keepNext w:val="0"/>
              <w:keepLines w:val="0"/>
              <w:pageBreakBefore w:val="0"/>
              <w:widowControl w:val="0"/>
              <w:tabs>
                <w:tab w:val="left" w:pos="9540"/>
              </w:tabs>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color w:val="000000"/>
                <w:kern w:val="2"/>
                <w:sz w:val="21"/>
                <w:szCs w:val="21"/>
                <w:lang w:val="en-US" w:eastAsia="zh-CN"/>
              </w:rPr>
            </w:pPr>
            <w:r>
              <w:rPr>
                <w:rFonts w:hint="eastAsia" w:ascii="宋体" w:hAnsi="宋体" w:eastAsia="宋体" w:cs="宋体"/>
                <w:sz w:val="21"/>
                <w:szCs w:val="21"/>
                <w:lang w:val="en-US" w:eastAsia="zh-CN"/>
              </w:rPr>
              <w:t>反-1,2-二氯乙烯(</w:t>
            </w:r>
            <w:r>
              <w:rPr>
                <w:rFonts w:hint="eastAsia" w:ascii="宋体" w:hAnsi="宋体" w:eastAsia="宋体" w:cs="宋体"/>
                <w:sz w:val="21"/>
                <w:szCs w:val="21"/>
              </w:rPr>
              <w:t>μ</w:t>
            </w:r>
            <w:r>
              <w:rPr>
                <w:rFonts w:hint="eastAsia" w:ascii="宋体" w:hAnsi="宋体" w:eastAsia="宋体" w:cs="宋体"/>
                <w:sz w:val="21"/>
                <w:szCs w:val="21"/>
                <w:lang w:val="en-US" w:eastAsia="zh-CN"/>
              </w:rPr>
              <w:t>g/kg)</w:t>
            </w:r>
          </w:p>
        </w:tc>
        <w:tc>
          <w:tcPr>
            <w:tcW w:w="903" w:type="dxa"/>
            <w:tcBorders>
              <w:tl2br w:val="nil"/>
              <w:tr2bl w:val="nil"/>
            </w:tcBorders>
            <w:noWrap w:val="0"/>
            <w:vAlign w:val="center"/>
          </w:tcPr>
          <w:p w14:paraId="5E633684">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0DDC184E">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ND</w:t>
            </w:r>
          </w:p>
        </w:tc>
        <w:tc>
          <w:tcPr>
            <w:tcW w:w="903" w:type="dxa"/>
            <w:tcBorders>
              <w:tl2br w:val="nil"/>
              <w:tr2bl w:val="nil"/>
            </w:tcBorders>
            <w:noWrap w:val="0"/>
            <w:vAlign w:val="center"/>
          </w:tcPr>
          <w:p w14:paraId="373F1B8F">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ND</w:t>
            </w:r>
          </w:p>
        </w:tc>
        <w:tc>
          <w:tcPr>
            <w:tcW w:w="903" w:type="dxa"/>
            <w:tcBorders>
              <w:tl2br w:val="nil"/>
              <w:tr2bl w:val="nil"/>
            </w:tcBorders>
            <w:noWrap w:val="0"/>
            <w:vAlign w:val="center"/>
          </w:tcPr>
          <w:p w14:paraId="60439FF2">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05A50B11">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5C99D658">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14DF3FAA">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5002F9D0">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222FBEF4">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13FC60C1">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6CDBA6AB">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6" w:type="dxa"/>
            <w:tcBorders>
              <w:tl2br w:val="nil"/>
              <w:tr2bl w:val="nil"/>
            </w:tcBorders>
            <w:noWrap w:val="0"/>
            <w:vAlign w:val="center"/>
          </w:tcPr>
          <w:p w14:paraId="22FFC797">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6" w:type="dxa"/>
            <w:tcBorders>
              <w:tl2br w:val="nil"/>
              <w:tr2bl w:val="nil"/>
            </w:tcBorders>
            <w:noWrap w:val="0"/>
            <w:vAlign w:val="center"/>
          </w:tcPr>
          <w:p w14:paraId="4FBFD497">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54</w:t>
            </w:r>
          </w:p>
        </w:tc>
      </w:tr>
      <w:tr w14:paraId="0883E25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592" w:hRule="atLeast"/>
          <w:jc w:val="center"/>
        </w:trPr>
        <w:tc>
          <w:tcPr>
            <w:tcW w:w="2180" w:type="dxa"/>
            <w:tcBorders>
              <w:tl2br w:val="nil"/>
              <w:tr2bl w:val="nil"/>
            </w:tcBorders>
            <w:noWrap w:val="0"/>
            <w:vAlign w:val="center"/>
          </w:tcPr>
          <w:p w14:paraId="0F63E2A2">
            <w:pPr>
              <w:keepNext w:val="0"/>
              <w:keepLines w:val="0"/>
              <w:pageBreakBefore w:val="0"/>
              <w:widowControl w:val="0"/>
              <w:tabs>
                <w:tab w:val="left" w:pos="9540"/>
              </w:tabs>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color w:val="000000"/>
                <w:kern w:val="2"/>
                <w:sz w:val="21"/>
                <w:szCs w:val="21"/>
                <w:lang w:val="en-US" w:eastAsia="zh-CN"/>
              </w:rPr>
            </w:pPr>
            <w:r>
              <w:rPr>
                <w:rFonts w:hint="eastAsia" w:ascii="宋体" w:hAnsi="宋体" w:eastAsia="宋体" w:cs="宋体"/>
                <w:sz w:val="21"/>
                <w:szCs w:val="21"/>
                <w:lang w:val="en-US" w:eastAsia="zh-CN"/>
              </w:rPr>
              <w:t>二氯甲烷(</w:t>
            </w:r>
            <w:r>
              <w:rPr>
                <w:rFonts w:hint="eastAsia" w:ascii="宋体" w:hAnsi="宋体" w:eastAsia="宋体" w:cs="宋体"/>
                <w:sz w:val="21"/>
                <w:szCs w:val="21"/>
              </w:rPr>
              <w:t>μ</w:t>
            </w:r>
            <w:r>
              <w:rPr>
                <w:rFonts w:hint="eastAsia" w:ascii="宋体" w:hAnsi="宋体" w:eastAsia="宋体" w:cs="宋体"/>
                <w:sz w:val="21"/>
                <w:szCs w:val="21"/>
                <w:lang w:val="en-US" w:eastAsia="zh-CN"/>
              </w:rPr>
              <w:t>g/kg)</w:t>
            </w:r>
          </w:p>
        </w:tc>
        <w:tc>
          <w:tcPr>
            <w:tcW w:w="903" w:type="dxa"/>
            <w:tcBorders>
              <w:tl2br w:val="nil"/>
              <w:tr2bl w:val="nil"/>
            </w:tcBorders>
            <w:noWrap w:val="0"/>
            <w:vAlign w:val="center"/>
          </w:tcPr>
          <w:p w14:paraId="486937D9">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37FCEC0F">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ND</w:t>
            </w:r>
          </w:p>
        </w:tc>
        <w:tc>
          <w:tcPr>
            <w:tcW w:w="903" w:type="dxa"/>
            <w:tcBorders>
              <w:tl2br w:val="nil"/>
              <w:tr2bl w:val="nil"/>
            </w:tcBorders>
            <w:noWrap w:val="0"/>
            <w:vAlign w:val="center"/>
          </w:tcPr>
          <w:p w14:paraId="02319BB1">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ND</w:t>
            </w:r>
          </w:p>
        </w:tc>
        <w:tc>
          <w:tcPr>
            <w:tcW w:w="903" w:type="dxa"/>
            <w:tcBorders>
              <w:tl2br w:val="nil"/>
              <w:tr2bl w:val="nil"/>
            </w:tcBorders>
            <w:noWrap w:val="0"/>
            <w:vAlign w:val="center"/>
          </w:tcPr>
          <w:p w14:paraId="0E90C2E3">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1F58D303">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1401568C">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41D7524E">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79787650">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3EBF4D49">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4849E420">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5D88D0A5">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6" w:type="dxa"/>
            <w:tcBorders>
              <w:tl2br w:val="nil"/>
              <w:tr2bl w:val="nil"/>
            </w:tcBorders>
            <w:noWrap w:val="0"/>
            <w:vAlign w:val="center"/>
          </w:tcPr>
          <w:p w14:paraId="535618B1">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6" w:type="dxa"/>
            <w:tcBorders>
              <w:tl2br w:val="nil"/>
              <w:tr2bl w:val="nil"/>
            </w:tcBorders>
            <w:noWrap w:val="0"/>
            <w:vAlign w:val="center"/>
          </w:tcPr>
          <w:p w14:paraId="4224CCC4">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616</w:t>
            </w:r>
          </w:p>
        </w:tc>
      </w:tr>
      <w:tr w14:paraId="34D46E8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598" w:hRule="atLeast"/>
          <w:jc w:val="center"/>
        </w:trPr>
        <w:tc>
          <w:tcPr>
            <w:tcW w:w="2180" w:type="dxa"/>
            <w:tcBorders>
              <w:tl2br w:val="nil"/>
              <w:tr2bl w:val="nil"/>
            </w:tcBorders>
            <w:noWrap w:val="0"/>
            <w:vAlign w:val="center"/>
          </w:tcPr>
          <w:p w14:paraId="10635CDC">
            <w:pPr>
              <w:keepNext w:val="0"/>
              <w:keepLines w:val="0"/>
              <w:pageBreakBefore w:val="0"/>
              <w:widowControl w:val="0"/>
              <w:tabs>
                <w:tab w:val="left" w:pos="9540"/>
              </w:tabs>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color w:val="000000"/>
                <w:kern w:val="2"/>
                <w:sz w:val="21"/>
                <w:szCs w:val="21"/>
                <w:lang w:val="en-US" w:eastAsia="zh-CN"/>
              </w:rPr>
            </w:pPr>
            <w:r>
              <w:rPr>
                <w:rFonts w:hint="eastAsia" w:ascii="宋体" w:hAnsi="宋体" w:eastAsia="宋体" w:cs="宋体"/>
                <w:sz w:val="21"/>
                <w:szCs w:val="21"/>
                <w:lang w:val="en-US" w:eastAsia="zh-CN"/>
              </w:rPr>
              <w:t>1,2-二氯丙烷(</w:t>
            </w:r>
            <w:r>
              <w:rPr>
                <w:rFonts w:hint="eastAsia" w:ascii="宋体" w:hAnsi="宋体" w:eastAsia="宋体" w:cs="宋体"/>
                <w:sz w:val="21"/>
                <w:szCs w:val="21"/>
              </w:rPr>
              <w:t>μ</w:t>
            </w:r>
            <w:r>
              <w:rPr>
                <w:rFonts w:hint="eastAsia" w:ascii="宋体" w:hAnsi="宋体" w:eastAsia="宋体" w:cs="宋体"/>
                <w:sz w:val="21"/>
                <w:szCs w:val="21"/>
                <w:lang w:val="en-US" w:eastAsia="zh-CN"/>
              </w:rPr>
              <w:t>g/kg)</w:t>
            </w:r>
          </w:p>
        </w:tc>
        <w:tc>
          <w:tcPr>
            <w:tcW w:w="903" w:type="dxa"/>
            <w:tcBorders>
              <w:tl2br w:val="nil"/>
              <w:tr2bl w:val="nil"/>
            </w:tcBorders>
            <w:noWrap w:val="0"/>
            <w:vAlign w:val="center"/>
          </w:tcPr>
          <w:p w14:paraId="10496243">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13306C6D">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ND</w:t>
            </w:r>
          </w:p>
        </w:tc>
        <w:tc>
          <w:tcPr>
            <w:tcW w:w="903" w:type="dxa"/>
            <w:tcBorders>
              <w:tl2br w:val="nil"/>
              <w:tr2bl w:val="nil"/>
            </w:tcBorders>
            <w:noWrap w:val="0"/>
            <w:vAlign w:val="center"/>
          </w:tcPr>
          <w:p w14:paraId="3082F38D">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ND</w:t>
            </w:r>
          </w:p>
        </w:tc>
        <w:tc>
          <w:tcPr>
            <w:tcW w:w="903" w:type="dxa"/>
            <w:tcBorders>
              <w:tl2br w:val="nil"/>
              <w:tr2bl w:val="nil"/>
            </w:tcBorders>
            <w:noWrap w:val="0"/>
            <w:vAlign w:val="center"/>
          </w:tcPr>
          <w:p w14:paraId="65FF687A">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0452F3B3">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583C7D03">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18DA4A8C">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501173DD">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30D2FD11">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38645F5B">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52F4B89A">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1.2</w:t>
            </w:r>
          </w:p>
        </w:tc>
        <w:tc>
          <w:tcPr>
            <w:tcW w:w="906" w:type="dxa"/>
            <w:tcBorders>
              <w:tl2br w:val="nil"/>
              <w:tr2bl w:val="nil"/>
            </w:tcBorders>
            <w:noWrap w:val="0"/>
            <w:vAlign w:val="center"/>
          </w:tcPr>
          <w:p w14:paraId="2E155572">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6" w:type="dxa"/>
            <w:tcBorders>
              <w:tl2br w:val="nil"/>
              <w:tr2bl w:val="nil"/>
            </w:tcBorders>
            <w:noWrap w:val="0"/>
            <w:vAlign w:val="center"/>
          </w:tcPr>
          <w:p w14:paraId="35F9E455">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w:t>
            </w:r>
          </w:p>
        </w:tc>
      </w:tr>
      <w:tr w14:paraId="21CEF53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626" w:hRule="atLeast"/>
          <w:jc w:val="center"/>
        </w:trPr>
        <w:tc>
          <w:tcPr>
            <w:tcW w:w="2180" w:type="dxa"/>
            <w:tcBorders>
              <w:tl2br w:val="nil"/>
              <w:tr2bl w:val="nil"/>
            </w:tcBorders>
            <w:noWrap w:val="0"/>
            <w:vAlign w:val="center"/>
          </w:tcPr>
          <w:p w14:paraId="3A722553">
            <w:pPr>
              <w:keepNext w:val="0"/>
              <w:keepLines w:val="0"/>
              <w:pageBreakBefore w:val="0"/>
              <w:widowControl w:val="0"/>
              <w:tabs>
                <w:tab w:val="left" w:pos="9540"/>
              </w:tabs>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color w:val="000000"/>
                <w:kern w:val="2"/>
                <w:sz w:val="21"/>
                <w:szCs w:val="21"/>
                <w:lang w:val="en-US" w:eastAsia="zh-CN"/>
              </w:rPr>
            </w:pPr>
            <w:r>
              <w:rPr>
                <w:rFonts w:hint="eastAsia" w:ascii="宋体" w:hAnsi="宋体" w:eastAsia="宋体" w:cs="宋体"/>
                <w:sz w:val="21"/>
                <w:szCs w:val="21"/>
                <w:lang w:val="en-US" w:eastAsia="zh-CN"/>
              </w:rPr>
              <w:t>1,1,1,2-四氯乙烷(</w:t>
            </w:r>
            <w:r>
              <w:rPr>
                <w:rFonts w:hint="eastAsia" w:ascii="宋体" w:hAnsi="宋体" w:eastAsia="宋体" w:cs="宋体"/>
                <w:sz w:val="21"/>
                <w:szCs w:val="21"/>
              </w:rPr>
              <w:t>μ</w:t>
            </w:r>
            <w:r>
              <w:rPr>
                <w:rFonts w:hint="eastAsia" w:ascii="宋体" w:hAnsi="宋体" w:eastAsia="宋体" w:cs="宋体"/>
                <w:sz w:val="21"/>
                <w:szCs w:val="21"/>
                <w:lang w:val="en-US" w:eastAsia="zh-CN"/>
              </w:rPr>
              <w:t>g/kg)</w:t>
            </w:r>
          </w:p>
        </w:tc>
        <w:tc>
          <w:tcPr>
            <w:tcW w:w="903" w:type="dxa"/>
            <w:tcBorders>
              <w:tl2br w:val="nil"/>
              <w:tr2bl w:val="nil"/>
            </w:tcBorders>
            <w:noWrap w:val="0"/>
            <w:vAlign w:val="center"/>
          </w:tcPr>
          <w:p w14:paraId="5A8943F1">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51DC97DE">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ND</w:t>
            </w:r>
          </w:p>
        </w:tc>
        <w:tc>
          <w:tcPr>
            <w:tcW w:w="903" w:type="dxa"/>
            <w:tcBorders>
              <w:tl2br w:val="nil"/>
              <w:tr2bl w:val="nil"/>
            </w:tcBorders>
            <w:noWrap w:val="0"/>
            <w:vAlign w:val="center"/>
          </w:tcPr>
          <w:p w14:paraId="614F07D1">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ND</w:t>
            </w:r>
          </w:p>
        </w:tc>
        <w:tc>
          <w:tcPr>
            <w:tcW w:w="903" w:type="dxa"/>
            <w:tcBorders>
              <w:tl2br w:val="nil"/>
              <w:tr2bl w:val="nil"/>
            </w:tcBorders>
            <w:noWrap w:val="0"/>
            <w:vAlign w:val="center"/>
          </w:tcPr>
          <w:p w14:paraId="37505EC0">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2996F299">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6BABCDFC">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4CFA987B">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19963CD6">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130B5D09">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7C858E94">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79BC40EC">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6" w:type="dxa"/>
            <w:tcBorders>
              <w:tl2br w:val="nil"/>
              <w:tr2bl w:val="nil"/>
            </w:tcBorders>
            <w:noWrap w:val="0"/>
            <w:vAlign w:val="center"/>
          </w:tcPr>
          <w:p w14:paraId="5A37662F">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6" w:type="dxa"/>
            <w:tcBorders>
              <w:tl2br w:val="nil"/>
              <w:tr2bl w:val="nil"/>
            </w:tcBorders>
            <w:noWrap w:val="0"/>
            <w:vAlign w:val="center"/>
          </w:tcPr>
          <w:p w14:paraId="052BE5AB">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10</w:t>
            </w:r>
          </w:p>
        </w:tc>
      </w:tr>
      <w:tr w14:paraId="586EEC9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626" w:hRule="atLeast"/>
          <w:jc w:val="center"/>
        </w:trPr>
        <w:tc>
          <w:tcPr>
            <w:tcW w:w="2180" w:type="dxa"/>
            <w:tcBorders>
              <w:tl2br w:val="nil"/>
              <w:tr2bl w:val="nil"/>
            </w:tcBorders>
            <w:noWrap w:val="0"/>
            <w:vAlign w:val="center"/>
          </w:tcPr>
          <w:p w14:paraId="7966ECF5">
            <w:pPr>
              <w:keepNext w:val="0"/>
              <w:keepLines w:val="0"/>
              <w:pageBreakBefore w:val="0"/>
              <w:widowControl w:val="0"/>
              <w:tabs>
                <w:tab w:val="left" w:pos="9540"/>
              </w:tabs>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color w:val="000000"/>
                <w:kern w:val="2"/>
                <w:sz w:val="21"/>
                <w:szCs w:val="21"/>
                <w:lang w:val="en-US" w:eastAsia="zh-CN"/>
              </w:rPr>
            </w:pPr>
            <w:r>
              <w:rPr>
                <w:rFonts w:hint="eastAsia" w:ascii="宋体" w:hAnsi="宋体" w:eastAsia="宋体" w:cs="宋体"/>
                <w:sz w:val="21"/>
                <w:szCs w:val="21"/>
                <w:lang w:val="en-US" w:eastAsia="zh-CN"/>
              </w:rPr>
              <w:t>1,1,2,2-四氯乙烷(</w:t>
            </w:r>
            <w:r>
              <w:rPr>
                <w:rFonts w:hint="eastAsia" w:ascii="宋体" w:hAnsi="宋体" w:eastAsia="宋体" w:cs="宋体"/>
                <w:sz w:val="21"/>
                <w:szCs w:val="21"/>
              </w:rPr>
              <w:t>μ</w:t>
            </w:r>
            <w:r>
              <w:rPr>
                <w:rFonts w:hint="eastAsia" w:ascii="宋体" w:hAnsi="宋体" w:eastAsia="宋体" w:cs="宋体"/>
                <w:sz w:val="21"/>
                <w:szCs w:val="21"/>
                <w:lang w:val="en-US" w:eastAsia="zh-CN"/>
              </w:rPr>
              <w:t>g/kg)</w:t>
            </w:r>
          </w:p>
        </w:tc>
        <w:tc>
          <w:tcPr>
            <w:tcW w:w="903" w:type="dxa"/>
            <w:tcBorders>
              <w:tl2br w:val="nil"/>
              <w:tr2bl w:val="nil"/>
            </w:tcBorders>
            <w:noWrap w:val="0"/>
            <w:vAlign w:val="center"/>
          </w:tcPr>
          <w:p w14:paraId="652B7420">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27DC2043">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ND</w:t>
            </w:r>
          </w:p>
        </w:tc>
        <w:tc>
          <w:tcPr>
            <w:tcW w:w="903" w:type="dxa"/>
            <w:tcBorders>
              <w:tl2br w:val="nil"/>
              <w:tr2bl w:val="nil"/>
            </w:tcBorders>
            <w:noWrap w:val="0"/>
            <w:vAlign w:val="center"/>
          </w:tcPr>
          <w:p w14:paraId="1147C951">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ND</w:t>
            </w:r>
          </w:p>
        </w:tc>
        <w:tc>
          <w:tcPr>
            <w:tcW w:w="903" w:type="dxa"/>
            <w:tcBorders>
              <w:tl2br w:val="nil"/>
              <w:tr2bl w:val="nil"/>
            </w:tcBorders>
            <w:noWrap w:val="0"/>
            <w:vAlign w:val="center"/>
          </w:tcPr>
          <w:p w14:paraId="7830CB20">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63EFF280">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1EA1344B">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73DD5B88">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0C49F749">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0C62AB94">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0D3D7AD3">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3A60AACC">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1.7</w:t>
            </w:r>
          </w:p>
        </w:tc>
        <w:tc>
          <w:tcPr>
            <w:tcW w:w="906" w:type="dxa"/>
            <w:tcBorders>
              <w:tl2br w:val="nil"/>
              <w:tr2bl w:val="nil"/>
            </w:tcBorders>
            <w:noWrap w:val="0"/>
            <w:vAlign w:val="center"/>
          </w:tcPr>
          <w:p w14:paraId="3D3666FA">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6" w:type="dxa"/>
            <w:tcBorders>
              <w:tl2br w:val="nil"/>
              <w:tr2bl w:val="nil"/>
            </w:tcBorders>
            <w:noWrap w:val="0"/>
            <w:vAlign w:val="center"/>
          </w:tcPr>
          <w:p w14:paraId="11D8F8DE">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color w:val="000000"/>
                <w:sz w:val="21"/>
                <w:szCs w:val="21"/>
              </w:rPr>
              <w:t>6.8</w:t>
            </w:r>
          </w:p>
        </w:tc>
      </w:tr>
      <w:tr w14:paraId="7D677FB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592" w:hRule="atLeast"/>
          <w:jc w:val="center"/>
        </w:trPr>
        <w:tc>
          <w:tcPr>
            <w:tcW w:w="2180" w:type="dxa"/>
            <w:tcBorders>
              <w:tl2br w:val="nil"/>
              <w:tr2bl w:val="nil"/>
            </w:tcBorders>
            <w:noWrap w:val="0"/>
            <w:vAlign w:val="center"/>
          </w:tcPr>
          <w:p w14:paraId="32D98550">
            <w:pPr>
              <w:keepNext w:val="0"/>
              <w:keepLines w:val="0"/>
              <w:pageBreakBefore w:val="0"/>
              <w:widowControl w:val="0"/>
              <w:tabs>
                <w:tab w:val="left" w:pos="9540"/>
              </w:tabs>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color w:val="000000"/>
                <w:kern w:val="2"/>
                <w:sz w:val="21"/>
                <w:szCs w:val="21"/>
                <w:lang w:val="en-US" w:eastAsia="zh-CN"/>
              </w:rPr>
            </w:pPr>
            <w:r>
              <w:rPr>
                <w:rFonts w:hint="eastAsia" w:ascii="宋体" w:hAnsi="宋体" w:eastAsia="宋体" w:cs="宋体"/>
                <w:sz w:val="21"/>
                <w:szCs w:val="21"/>
                <w:lang w:val="en-US" w:eastAsia="zh-CN"/>
              </w:rPr>
              <w:t>四氯乙烯(</w:t>
            </w:r>
            <w:r>
              <w:rPr>
                <w:rFonts w:hint="eastAsia" w:ascii="宋体" w:hAnsi="宋体" w:eastAsia="宋体" w:cs="宋体"/>
                <w:sz w:val="21"/>
                <w:szCs w:val="21"/>
              </w:rPr>
              <w:t>μ</w:t>
            </w:r>
            <w:r>
              <w:rPr>
                <w:rFonts w:hint="eastAsia" w:ascii="宋体" w:hAnsi="宋体" w:eastAsia="宋体" w:cs="宋体"/>
                <w:sz w:val="21"/>
                <w:szCs w:val="21"/>
                <w:lang w:val="en-US" w:eastAsia="zh-CN"/>
              </w:rPr>
              <w:t>g/kg)</w:t>
            </w:r>
          </w:p>
        </w:tc>
        <w:tc>
          <w:tcPr>
            <w:tcW w:w="903" w:type="dxa"/>
            <w:tcBorders>
              <w:tl2br w:val="nil"/>
              <w:tr2bl w:val="nil"/>
            </w:tcBorders>
            <w:noWrap w:val="0"/>
            <w:vAlign w:val="center"/>
          </w:tcPr>
          <w:p w14:paraId="6BBF6EE0">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2CD7136B">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ND</w:t>
            </w:r>
          </w:p>
        </w:tc>
        <w:tc>
          <w:tcPr>
            <w:tcW w:w="903" w:type="dxa"/>
            <w:tcBorders>
              <w:tl2br w:val="nil"/>
              <w:tr2bl w:val="nil"/>
            </w:tcBorders>
            <w:noWrap w:val="0"/>
            <w:vAlign w:val="center"/>
          </w:tcPr>
          <w:p w14:paraId="34239ADB">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ND</w:t>
            </w:r>
          </w:p>
        </w:tc>
        <w:tc>
          <w:tcPr>
            <w:tcW w:w="903" w:type="dxa"/>
            <w:tcBorders>
              <w:tl2br w:val="nil"/>
              <w:tr2bl w:val="nil"/>
            </w:tcBorders>
            <w:noWrap w:val="0"/>
            <w:vAlign w:val="center"/>
          </w:tcPr>
          <w:p w14:paraId="2B2A326C">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7010389F">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375BD0AE">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014EDD23">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3C49D873">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54529F32">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0DD83CEE">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33EB0153">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5.7</w:t>
            </w:r>
          </w:p>
        </w:tc>
        <w:tc>
          <w:tcPr>
            <w:tcW w:w="906" w:type="dxa"/>
            <w:tcBorders>
              <w:tl2br w:val="nil"/>
              <w:tr2bl w:val="nil"/>
            </w:tcBorders>
            <w:noWrap w:val="0"/>
            <w:vAlign w:val="center"/>
          </w:tcPr>
          <w:p w14:paraId="03D55184">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2.6</w:t>
            </w:r>
          </w:p>
        </w:tc>
        <w:tc>
          <w:tcPr>
            <w:tcW w:w="906" w:type="dxa"/>
            <w:tcBorders>
              <w:tl2br w:val="nil"/>
              <w:tr2bl w:val="nil"/>
            </w:tcBorders>
            <w:noWrap w:val="0"/>
            <w:vAlign w:val="center"/>
          </w:tcPr>
          <w:p w14:paraId="256DB938">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color w:val="000000"/>
                <w:sz w:val="21"/>
                <w:szCs w:val="21"/>
              </w:rPr>
              <w:t>53</w:t>
            </w:r>
          </w:p>
        </w:tc>
      </w:tr>
      <w:tr w14:paraId="53CD9E9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626" w:hRule="atLeast"/>
          <w:jc w:val="center"/>
        </w:trPr>
        <w:tc>
          <w:tcPr>
            <w:tcW w:w="2180" w:type="dxa"/>
            <w:tcBorders>
              <w:tl2br w:val="nil"/>
              <w:tr2bl w:val="nil"/>
            </w:tcBorders>
            <w:noWrap w:val="0"/>
            <w:vAlign w:val="center"/>
          </w:tcPr>
          <w:p w14:paraId="4DD0E23C">
            <w:pPr>
              <w:keepNext w:val="0"/>
              <w:keepLines w:val="0"/>
              <w:pageBreakBefore w:val="0"/>
              <w:widowControl w:val="0"/>
              <w:tabs>
                <w:tab w:val="left" w:pos="9540"/>
              </w:tabs>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1,1,1-三氯乙烷(</w:t>
            </w:r>
            <w:r>
              <w:rPr>
                <w:rFonts w:hint="eastAsia" w:ascii="宋体" w:hAnsi="宋体" w:eastAsia="宋体" w:cs="宋体"/>
                <w:sz w:val="21"/>
                <w:szCs w:val="21"/>
              </w:rPr>
              <w:t>μ</w:t>
            </w:r>
            <w:r>
              <w:rPr>
                <w:rFonts w:hint="eastAsia" w:ascii="宋体" w:hAnsi="宋体" w:eastAsia="宋体" w:cs="宋体"/>
                <w:sz w:val="21"/>
                <w:szCs w:val="21"/>
                <w:lang w:val="en-US" w:eastAsia="zh-CN"/>
              </w:rPr>
              <w:t>g/kg)</w:t>
            </w:r>
          </w:p>
        </w:tc>
        <w:tc>
          <w:tcPr>
            <w:tcW w:w="903" w:type="dxa"/>
            <w:tcBorders>
              <w:tl2br w:val="nil"/>
              <w:tr2bl w:val="nil"/>
            </w:tcBorders>
            <w:noWrap w:val="0"/>
            <w:vAlign w:val="center"/>
          </w:tcPr>
          <w:p w14:paraId="316C95D8">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1C9054DC">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ND</w:t>
            </w:r>
          </w:p>
        </w:tc>
        <w:tc>
          <w:tcPr>
            <w:tcW w:w="903" w:type="dxa"/>
            <w:tcBorders>
              <w:tl2br w:val="nil"/>
              <w:tr2bl w:val="nil"/>
            </w:tcBorders>
            <w:noWrap w:val="0"/>
            <w:vAlign w:val="center"/>
          </w:tcPr>
          <w:p w14:paraId="37F69BAA">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ND</w:t>
            </w:r>
          </w:p>
        </w:tc>
        <w:tc>
          <w:tcPr>
            <w:tcW w:w="903" w:type="dxa"/>
            <w:tcBorders>
              <w:tl2br w:val="nil"/>
              <w:tr2bl w:val="nil"/>
            </w:tcBorders>
            <w:noWrap w:val="0"/>
            <w:vAlign w:val="center"/>
          </w:tcPr>
          <w:p w14:paraId="38D60EA9">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6BE865EC">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773ACF56">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2B4D3B67">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6A67EC13">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05DB1455">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53F738CB">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17BBDDBA">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6" w:type="dxa"/>
            <w:tcBorders>
              <w:tl2br w:val="nil"/>
              <w:tr2bl w:val="nil"/>
            </w:tcBorders>
            <w:noWrap w:val="0"/>
            <w:vAlign w:val="center"/>
          </w:tcPr>
          <w:p w14:paraId="2303176F">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6" w:type="dxa"/>
            <w:tcBorders>
              <w:tl2br w:val="nil"/>
              <w:tr2bl w:val="nil"/>
            </w:tcBorders>
            <w:noWrap w:val="0"/>
            <w:vAlign w:val="center"/>
          </w:tcPr>
          <w:p w14:paraId="01BE5721">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color w:val="000000"/>
                <w:sz w:val="21"/>
                <w:szCs w:val="21"/>
              </w:rPr>
              <w:t>840</w:t>
            </w:r>
          </w:p>
        </w:tc>
      </w:tr>
      <w:tr w14:paraId="4E4F78D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29" w:hRule="atLeast"/>
          <w:jc w:val="center"/>
        </w:trPr>
        <w:tc>
          <w:tcPr>
            <w:tcW w:w="2180" w:type="dxa"/>
            <w:tcBorders>
              <w:tl2br w:val="nil"/>
              <w:tr2bl w:val="nil"/>
            </w:tcBorders>
            <w:noWrap w:val="0"/>
            <w:vAlign w:val="center"/>
          </w:tcPr>
          <w:p w14:paraId="36BC8D8C">
            <w:pPr>
              <w:keepNext w:val="0"/>
              <w:keepLines w:val="0"/>
              <w:pageBreakBefore w:val="0"/>
              <w:widowControl w:val="0"/>
              <w:tabs>
                <w:tab w:val="left" w:pos="9540"/>
              </w:tabs>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kern w:val="2"/>
                <w:sz w:val="21"/>
                <w:szCs w:val="21"/>
                <w:highlight w:val="none"/>
                <w:lang w:val="en-US" w:eastAsia="zh-CN"/>
              </w:rPr>
            </w:pPr>
            <w:r>
              <w:rPr>
                <w:rFonts w:hint="eastAsia" w:ascii="宋体" w:hAnsi="宋体" w:eastAsia="宋体" w:cs="宋体"/>
                <w:sz w:val="21"/>
                <w:szCs w:val="21"/>
                <w:highlight w:val="none"/>
                <w:lang w:val="en-US" w:eastAsia="zh-CN"/>
              </w:rPr>
              <w:t>1,1,2-三氯乙烷(mg/kg)</w:t>
            </w:r>
          </w:p>
        </w:tc>
        <w:tc>
          <w:tcPr>
            <w:tcW w:w="903" w:type="dxa"/>
            <w:tcBorders>
              <w:tl2br w:val="nil"/>
              <w:tr2bl w:val="nil"/>
            </w:tcBorders>
            <w:noWrap w:val="0"/>
            <w:vAlign w:val="center"/>
          </w:tcPr>
          <w:p w14:paraId="3E3147E5">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highlight w:val="none"/>
                <w:lang w:val="en-US" w:eastAsia="zh-CN"/>
              </w:rPr>
            </w:pPr>
            <w:r>
              <w:rPr>
                <w:rFonts w:hint="eastAsia" w:ascii="宋体" w:hAnsi="宋体" w:eastAsia="宋体" w:cs="宋体"/>
                <w:sz w:val="21"/>
                <w:szCs w:val="21"/>
                <w:highlight w:val="none"/>
                <w:lang w:val="en-US" w:eastAsia="zh-CN"/>
              </w:rPr>
              <w:t>ND</w:t>
            </w:r>
          </w:p>
        </w:tc>
        <w:tc>
          <w:tcPr>
            <w:tcW w:w="903" w:type="dxa"/>
            <w:tcBorders>
              <w:tl2br w:val="nil"/>
              <w:tr2bl w:val="nil"/>
            </w:tcBorders>
            <w:noWrap w:val="0"/>
            <w:vAlign w:val="center"/>
          </w:tcPr>
          <w:p w14:paraId="03F7D2D4">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highlight w:val="none"/>
                <w:lang w:val="en-US" w:eastAsia="zh-CN"/>
              </w:rPr>
            </w:pPr>
            <w:r>
              <w:rPr>
                <w:rFonts w:hint="eastAsia" w:ascii="宋体" w:hAnsi="宋体" w:eastAsia="宋体" w:cs="宋体"/>
                <w:kern w:val="2"/>
                <w:sz w:val="21"/>
                <w:szCs w:val="21"/>
                <w:highlight w:val="none"/>
                <w:lang w:val="en-US" w:eastAsia="zh-CN"/>
              </w:rPr>
              <w:t>ND</w:t>
            </w:r>
          </w:p>
        </w:tc>
        <w:tc>
          <w:tcPr>
            <w:tcW w:w="903" w:type="dxa"/>
            <w:tcBorders>
              <w:tl2br w:val="nil"/>
              <w:tr2bl w:val="nil"/>
            </w:tcBorders>
            <w:noWrap w:val="0"/>
            <w:vAlign w:val="center"/>
          </w:tcPr>
          <w:p w14:paraId="5FC0BDC4">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highlight w:val="none"/>
                <w:lang w:val="en-US" w:eastAsia="zh-CN"/>
              </w:rPr>
            </w:pPr>
            <w:r>
              <w:rPr>
                <w:rFonts w:hint="eastAsia" w:ascii="宋体" w:hAnsi="宋体" w:eastAsia="宋体" w:cs="宋体"/>
                <w:kern w:val="2"/>
                <w:sz w:val="21"/>
                <w:szCs w:val="21"/>
                <w:highlight w:val="none"/>
                <w:lang w:val="en-US" w:eastAsia="zh-CN"/>
              </w:rPr>
              <w:t>ND</w:t>
            </w:r>
          </w:p>
        </w:tc>
        <w:tc>
          <w:tcPr>
            <w:tcW w:w="903" w:type="dxa"/>
            <w:tcBorders>
              <w:tl2br w:val="nil"/>
              <w:tr2bl w:val="nil"/>
            </w:tcBorders>
            <w:noWrap w:val="0"/>
            <w:vAlign w:val="center"/>
          </w:tcPr>
          <w:p w14:paraId="2DCCA634">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highlight w:val="none"/>
                <w:lang w:val="en-US" w:eastAsia="zh-CN"/>
              </w:rPr>
            </w:pPr>
            <w:r>
              <w:rPr>
                <w:rFonts w:hint="eastAsia" w:ascii="宋体" w:hAnsi="宋体" w:eastAsia="宋体" w:cs="宋体"/>
                <w:sz w:val="21"/>
                <w:szCs w:val="21"/>
                <w:highlight w:val="none"/>
                <w:lang w:val="en-US" w:eastAsia="zh-CN"/>
              </w:rPr>
              <w:t>ND</w:t>
            </w:r>
          </w:p>
        </w:tc>
        <w:tc>
          <w:tcPr>
            <w:tcW w:w="903" w:type="dxa"/>
            <w:tcBorders>
              <w:tl2br w:val="nil"/>
              <w:tr2bl w:val="nil"/>
            </w:tcBorders>
            <w:noWrap w:val="0"/>
            <w:vAlign w:val="center"/>
          </w:tcPr>
          <w:p w14:paraId="63B58D54">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highlight w:val="none"/>
                <w:lang w:val="en-US" w:eastAsia="zh-CN"/>
              </w:rPr>
            </w:pPr>
            <w:r>
              <w:rPr>
                <w:rFonts w:hint="eastAsia" w:ascii="宋体" w:hAnsi="宋体" w:eastAsia="宋体" w:cs="宋体"/>
                <w:sz w:val="21"/>
                <w:szCs w:val="21"/>
                <w:highlight w:val="none"/>
                <w:lang w:val="en-US" w:eastAsia="zh-CN"/>
              </w:rPr>
              <w:t>ND</w:t>
            </w:r>
          </w:p>
        </w:tc>
        <w:tc>
          <w:tcPr>
            <w:tcW w:w="903" w:type="dxa"/>
            <w:tcBorders>
              <w:tl2br w:val="nil"/>
              <w:tr2bl w:val="nil"/>
            </w:tcBorders>
            <w:noWrap w:val="0"/>
            <w:vAlign w:val="center"/>
          </w:tcPr>
          <w:p w14:paraId="5B933D0C">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highlight w:val="none"/>
                <w:lang w:val="en-US" w:eastAsia="zh-CN"/>
              </w:rPr>
            </w:pPr>
            <w:r>
              <w:rPr>
                <w:rFonts w:hint="eastAsia" w:ascii="宋体" w:hAnsi="宋体" w:eastAsia="宋体" w:cs="宋体"/>
                <w:sz w:val="21"/>
                <w:szCs w:val="21"/>
                <w:highlight w:val="none"/>
                <w:lang w:val="en-US" w:eastAsia="zh-CN"/>
              </w:rPr>
              <w:t>ND</w:t>
            </w:r>
          </w:p>
        </w:tc>
        <w:tc>
          <w:tcPr>
            <w:tcW w:w="903" w:type="dxa"/>
            <w:tcBorders>
              <w:tl2br w:val="nil"/>
              <w:tr2bl w:val="nil"/>
            </w:tcBorders>
            <w:noWrap w:val="0"/>
            <w:vAlign w:val="center"/>
          </w:tcPr>
          <w:p w14:paraId="6D2B621A">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highlight w:val="none"/>
                <w:lang w:val="en-US" w:eastAsia="zh-CN"/>
              </w:rPr>
            </w:pPr>
            <w:r>
              <w:rPr>
                <w:rFonts w:hint="eastAsia" w:ascii="宋体" w:hAnsi="宋体" w:eastAsia="宋体" w:cs="宋体"/>
                <w:sz w:val="21"/>
                <w:szCs w:val="21"/>
                <w:highlight w:val="none"/>
                <w:lang w:val="en-US" w:eastAsia="zh-CN"/>
              </w:rPr>
              <w:t>ND</w:t>
            </w:r>
          </w:p>
        </w:tc>
        <w:tc>
          <w:tcPr>
            <w:tcW w:w="903" w:type="dxa"/>
            <w:tcBorders>
              <w:tl2br w:val="nil"/>
              <w:tr2bl w:val="nil"/>
            </w:tcBorders>
            <w:noWrap w:val="0"/>
            <w:vAlign w:val="center"/>
          </w:tcPr>
          <w:p w14:paraId="7BAF5F7F">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highlight w:val="none"/>
                <w:lang w:val="en-US" w:eastAsia="zh-CN"/>
              </w:rPr>
            </w:pPr>
            <w:r>
              <w:rPr>
                <w:rFonts w:hint="eastAsia" w:ascii="宋体" w:hAnsi="宋体" w:eastAsia="宋体" w:cs="宋体"/>
                <w:sz w:val="21"/>
                <w:szCs w:val="21"/>
                <w:highlight w:val="none"/>
                <w:lang w:val="en-US" w:eastAsia="zh-CN"/>
              </w:rPr>
              <w:t>ND</w:t>
            </w:r>
          </w:p>
        </w:tc>
        <w:tc>
          <w:tcPr>
            <w:tcW w:w="903" w:type="dxa"/>
            <w:tcBorders>
              <w:tl2br w:val="nil"/>
              <w:tr2bl w:val="nil"/>
            </w:tcBorders>
            <w:noWrap w:val="0"/>
            <w:vAlign w:val="center"/>
          </w:tcPr>
          <w:p w14:paraId="51405D75">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highlight w:val="none"/>
                <w:lang w:val="en-US" w:eastAsia="zh-CN"/>
              </w:rPr>
            </w:pPr>
            <w:r>
              <w:rPr>
                <w:rFonts w:hint="eastAsia" w:ascii="宋体" w:hAnsi="宋体" w:eastAsia="宋体" w:cs="宋体"/>
                <w:sz w:val="21"/>
                <w:szCs w:val="21"/>
                <w:highlight w:val="none"/>
                <w:lang w:val="en-US" w:eastAsia="zh-CN"/>
              </w:rPr>
              <w:t>ND</w:t>
            </w:r>
          </w:p>
        </w:tc>
        <w:tc>
          <w:tcPr>
            <w:tcW w:w="903" w:type="dxa"/>
            <w:tcBorders>
              <w:tl2br w:val="nil"/>
              <w:tr2bl w:val="nil"/>
            </w:tcBorders>
            <w:noWrap w:val="0"/>
            <w:vAlign w:val="center"/>
          </w:tcPr>
          <w:p w14:paraId="222E2BF0">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ND</w:t>
            </w:r>
          </w:p>
        </w:tc>
        <w:tc>
          <w:tcPr>
            <w:tcW w:w="903" w:type="dxa"/>
            <w:tcBorders>
              <w:tl2br w:val="nil"/>
              <w:tr2bl w:val="nil"/>
            </w:tcBorders>
            <w:noWrap w:val="0"/>
            <w:vAlign w:val="center"/>
          </w:tcPr>
          <w:p w14:paraId="66CDA43D">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宋体" w:hAnsi="宋体" w:eastAsia="宋体" w:cs="宋体"/>
                <w:kern w:val="2"/>
                <w:sz w:val="21"/>
                <w:szCs w:val="21"/>
                <w:highlight w:val="none"/>
                <w:lang w:val="en-US" w:eastAsia="zh-CN"/>
              </w:rPr>
            </w:pPr>
            <w:r>
              <w:rPr>
                <w:rFonts w:hint="eastAsia" w:ascii="宋体" w:hAnsi="宋体" w:eastAsia="宋体" w:cs="宋体"/>
                <w:sz w:val="21"/>
                <w:szCs w:val="21"/>
                <w:highlight w:val="none"/>
                <w:lang w:val="en-US" w:eastAsia="zh-CN"/>
              </w:rPr>
              <w:t>0.003</w:t>
            </w:r>
          </w:p>
        </w:tc>
        <w:tc>
          <w:tcPr>
            <w:tcW w:w="906" w:type="dxa"/>
            <w:tcBorders>
              <w:tl2br w:val="nil"/>
              <w:tr2bl w:val="nil"/>
            </w:tcBorders>
            <w:noWrap w:val="0"/>
            <w:vAlign w:val="center"/>
          </w:tcPr>
          <w:p w14:paraId="2336C0C1">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宋体" w:hAnsi="宋体" w:eastAsia="宋体" w:cs="宋体"/>
                <w:kern w:val="2"/>
                <w:sz w:val="21"/>
                <w:szCs w:val="21"/>
                <w:highlight w:val="none"/>
                <w:lang w:val="en-US" w:eastAsia="zh-CN"/>
              </w:rPr>
            </w:pPr>
            <w:r>
              <w:rPr>
                <w:rFonts w:hint="eastAsia" w:ascii="宋体" w:hAnsi="宋体" w:eastAsia="宋体" w:cs="宋体"/>
                <w:sz w:val="21"/>
                <w:szCs w:val="21"/>
                <w:highlight w:val="none"/>
                <w:lang w:val="en-US" w:eastAsia="zh-CN"/>
              </w:rPr>
              <w:t>0.0019</w:t>
            </w:r>
          </w:p>
        </w:tc>
        <w:tc>
          <w:tcPr>
            <w:tcW w:w="906" w:type="dxa"/>
            <w:tcBorders>
              <w:tl2br w:val="nil"/>
              <w:tr2bl w:val="nil"/>
            </w:tcBorders>
            <w:noWrap w:val="0"/>
            <w:vAlign w:val="center"/>
          </w:tcPr>
          <w:p w14:paraId="3724DAFC">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color w:val="000000"/>
                <w:sz w:val="21"/>
                <w:szCs w:val="21"/>
              </w:rPr>
              <w:t>2.8</w:t>
            </w:r>
          </w:p>
        </w:tc>
      </w:tr>
      <w:tr w14:paraId="3A10531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2180" w:type="dxa"/>
            <w:tcBorders>
              <w:tl2br w:val="nil"/>
              <w:tr2bl w:val="nil"/>
            </w:tcBorders>
            <w:noWrap w:val="0"/>
            <w:vAlign w:val="center"/>
          </w:tcPr>
          <w:p w14:paraId="2C30842D">
            <w:pPr>
              <w:keepNext w:val="0"/>
              <w:keepLines w:val="0"/>
              <w:pageBreakBefore w:val="0"/>
              <w:widowControl w:val="0"/>
              <w:tabs>
                <w:tab w:val="left" w:pos="9540"/>
              </w:tabs>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三氯乙烯(</w:t>
            </w:r>
            <w:r>
              <w:rPr>
                <w:rFonts w:hint="eastAsia" w:ascii="宋体" w:hAnsi="宋体" w:eastAsia="宋体" w:cs="宋体"/>
                <w:sz w:val="21"/>
                <w:szCs w:val="21"/>
              </w:rPr>
              <w:t>μ</w:t>
            </w:r>
            <w:r>
              <w:rPr>
                <w:rFonts w:hint="eastAsia" w:ascii="宋体" w:hAnsi="宋体" w:eastAsia="宋体" w:cs="宋体"/>
                <w:sz w:val="21"/>
                <w:szCs w:val="21"/>
                <w:lang w:val="en-US" w:eastAsia="zh-CN"/>
              </w:rPr>
              <w:t>g/kg)</w:t>
            </w:r>
          </w:p>
        </w:tc>
        <w:tc>
          <w:tcPr>
            <w:tcW w:w="903" w:type="dxa"/>
            <w:tcBorders>
              <w:tl2br w:val="nil"/>
              <w:tr2bl w:val="nil"/>
            </w:tcBorders>
            <w:noWrap w:val="0"/>
            <w:vAlign w:val="center"/>
          </w:tcPr>
          <w:p w14:paraId="50463060">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02169DDE">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ND</w:t>
            </w:r>
          </w:p>
        </w:tc>
        <w:tc>
          <w:tcPr>
            <w:tcW w:w="903" w:type="dxa"/>
            <w:tcBorders>
              <w:tl2br w:val="nil"/>
              <w:tr2bl w:val="nil"/>
            </w:tcBorders>
            <w:noWrap w:val="0"/>
            <w:vAlign w:val="center"/>
          </w:tcPr>
          <w:p w14:paraId="0375B855">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ND</w:t>
            </w:r>
          </w:p>
        </w:tc>
        <w:tc>
          <w:tcPr>
            <w:tcW w:w="903" w:type="dxa"/>
            <w:tcBorders>
              <w:tl2br w:val="nil"/>
              <w:tr2bl w:val="nil"/>
            </w:tcBorders>
            <w:noWrap w:val="0"/>
            <w:vAlign w:val="center"/>
          </w:tcPr>
          <w:p w14:paraId="34A734BE">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7C4E5210">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5E9AEDD2">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62BFFBBB">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47CEF9FD">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1C6657BE">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5302495A">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1AEBE73D">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6" w:type="dxa"/>
            <w:tcBorders>
              <w:tl2br w:val="nil"/>
              <w:tr2bl w:val="nil"/>
            </w:tcBorders>
            <w:noWrap w:val="0"/>
            <w:vAlign w:val="center"/>
          </w:tcPr>
          <w:p w14:paraId="115AEBDC">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6" w:type="dxa"/>
            <w:tcBorders>
              <w:tl2br w:val="nil"/>
              <w:tr2bl w:val="nil"/>
            </w:tcBorders>
            <w:noWrap w:val="0"/>
            <w:vAlign w:val="center"/>
          </w:tcPr>
          <w:p w14:paraId="31740DAE">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color w:val="000000"/>
                <w:sz w:val="21"/>
                <w:szCs w:val="21"/>
              </w:rPr>
              <w:t>2.8</w:t>
            </w:r>
          </w:p>
        </w:tc>
      </w:tr>
      <w:tr w14:paraId="5CE82BB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24" w:hRule="atLeast"/>
          <w:jc w:val="center"/>
        </w:trPr>
        <w:tc>
          <w:tcPr>
            <w:tcW w:w="2180" w:type="dxa"/>
            <w:tcBorders>
              <w:tl2br w:val="nil"/>
              <w:tr2bl w:val="nil"/>
            </w:tcBorders>
            <w:noWrap w:val="0"/>
            <w:vAlign w:val="center"/>
          </w:tcPr>
          <w:p w14:paraId="2B20AE1B">
            <w:pPr>
              <w:keepNext w:val="0"/>
              <w:keepLines w:val="0"/>
              <w:pageBreakBefore w:val="0"/>
              <w:widowControl w:val="0"/>
              <w:tabs>
                <w:tab w:val="left" w:pos="9540"/>
              </w:tabs>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kern w:val="2"/>
                <w:sz w:val="21"/>
                <w:szCs w:val="21"/>
                <w:highlight w:val="none"/>
                <w:lang w:val="en-US" w:eastAsia="zh-CN"/>
              </w:rPr>
            </w:pPr>
            <w:r>
              <w:rPr>
                <w:rFonts w:hint="eastAsia" w:ascii="宋体" w:hAnsi="宋体" w:eastAsia="宋体" w:cs="宋体"/>
                <w:sz w:val="21"/>
                <w:szCs w:val="21"/>
                <w:highlight w:val="none"/>
                <w:lang w:val="en-US" w:eastAsia="zh-CN"/>
              </w:rPr>
              <w:t>1,2,3-三氯丙烷(</w:t>
            </w:r>
            <w:r>
              <w:rPr>
                <w:rFonts w:hint="eastAsia" w:ascii="宋体" w:hAnsi="宋体" w:eastAsia="宋体" w:cs="宋体"/>
                <w:sz w:val="21"/>
                <w:szCs w:val="21"/>
                <w:highlight w:val="none"/>
              </w:rPr>
              <w:t>μ</w:t>
            </w:r>
            <w:r>
              <w:rPr>
                <w:rFonts w:hint="eastAsia" w:ascii="宋体" w:hAnsi="宋体" w:eastAsia="宋体" w:cs="宋体"/>
                <w:sz w:val="21"/>
                <w:szCs w:val="21"/>
                <w:highlight w:val="none"/>
                <w:lang w:val="en-US" w:eastAsia="zh-CN"/>
              </w:rPr>
              <w:t>g/kg)</w:t>
            </w:r>
          </w:p>
        </w:tc>
        <w:tc>
          <w:tcPr>
            <w:tcW w:w="903" w:type="dxa"/>
            <w:tcBorders>
              <w:tl2br w:val="nil"/>
              <w:tr2bl w:val="nil"/>
            </w:tcBorders>
            <w:noWrap w:val="0"/>
            <w:vAlign w:val="center"/>
          </w:tcPr>
          <w:p w14:paraId="272497C5">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0.0078</w:t>
            </w:r>
          </w:p>
        </w:tc>
        <w:tc>
          <w:tcPr>
            <w:tcW w:w="903" w:type="dxa"/>
            <w:tcBorders>
              <w:tl2br w:val="nil"/>
              <w:tr2bl w:val="nil"/>
            </w:tcBorders>
            <w:noWrap w:val="0"/>
            <w:vAlign w:val="center"/>
          </w:tcPr>
          <w:p w14:paraId="477C12C0">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kern w:val="2"/>
                <w:sz w:val="21"/>
                <w:szCs w:val="21"/>
                <w:highlight w:val="none"/>
                <w:lang w:val="en-US" w:eastAsia="zh-CN"/>
              </w:rPr>
              <w:t>ND</w:t>
            </w:r>
          </w:p>
        </w:tc>
        <w:tc>
          <w:tcPr>
            <w:tcW w:w="903" w:type="dxa"/>
            <w:tcBorders>
              <w:tl2br w:val="nil"/>
              <w:tr2bl w:val="nil"/>
            </w:tcBorders>
            <w:noWrap w:val="0"/>
            <w:vAlign w:val="center"/>
          </w:tcPr>
          <w:p w14:paraId="3CC5E4C1">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highlight w:val="none"/>
                <w:lang w:val="en-US" w:eastAsia="zh-CN"/>
              </w:rPr>
            </w:pPr>
            <w:r>
              <w:rPr>
                <w:rFonts w:hint="eastAsia" w:ascii="宋体" w:hAnsi="宋体" w:eastAsia="宋体" w:cs="宋体"/>
                <w:kern w:val="2"/>
                <w:sz w:val="21"/>
                <w:szCs w:val="21"/>
                <w:highlight w:val="none"/>
                <w:lang w:val="en-US" w:eastAsia="zh-CN"/>
              </w:rPr>
              <w:t>ND</w:t>
            </w:r>
          </w:p>
        </w:tc>
        <w:tc>
          <w:tcPr>
            <w:tcW w:w="903" w:type="dxa"/>
            <w:tcBorders>
              <w:tl2br w:val="nil"/>
              <w:tr2bl w:val="nil"/>
            </w:tcBorders>
            <w:noWrap w:val="0"/>
            <w:vAlign w:val="center"/>
          </w:tcPr>
          <w:p w14:paraId="5830B2D1">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宋体" w:hAnsi="宋体" w:eastAsia="宋体" w:cs="宋体"/>
                <w:kern w:val="2"/>
                <w:sz w:val="21"/>
                <w:szCs w:val="21"/>
                <w:highlight w:val="none"/>
                <w:lang w:val="en-US" w:eastAsia="zh-CN"/>
              </w:rPr>
            </w:pPr>
            <w:r>
              <w:rPr>
                <w:rFonts w:hint="eastAsia" w:ascii="宋体" w:hAnsi="宋体" w:eastAsia="宋体" w:cs="宋体"/>
                <w:sz w:val="21"/>
                <w:szCs w:val="21"/>
                <w:highlight w:val="none"/>
                <w:lang w:val="en-US" w:eastAsia="zh-CN"/>
              </w:rPr>
              <w:t>0.0072</w:t>
            </w:r>
          </w:p>
        </w:tc>
        <w:tc>
          <w:tcPr>
            <w:tcW w:w="903" w:type="dxa"/>
            <w:tcBorders>
              <w:tl2br w:val="nil"/>
              <w:tr2bl w:val="nil"/>
            </w:tcBorders>
            <w:noWrap w:val="0"/>
            <w:vAlign w:val="center"/>
          </w:tcPr>
          <w:p w14:paraId="19D3852C">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宋体" w:hAnsi="宋体" w:eastAsia="宋体" w:cs="宋体"/>
                <w:kern w:val="2"/>
                <w:sz w:val="21"/>
                <w:szCs w:val="21"/>
                <w:highlight w:val="none"/>
                <w:lang w:val="en-US" w:eastAsia="zh-CN"/>
              </w:rPr>
            </w:pPr>
            <w:r>
              <w:rPr>
                <w:rFonts w:hint="eastAsia" w:ascii="宋体" w:hAnsi="宋体" w:eastAsia="宋体" w:cs="宋体"/>
                <w:sz w:val="21"/>
                <w:szCs w:val="21"/>
                <w:highlight w:val="none"/>
                <w:lang w:val="en-US" w:eastAsia="zh-CN"/>
              </w:rPr>
              <w:t>0.0064</w:t>
            </w:r>
          </w:p>
        </w:tc>
        <w:tc>
          <w:tcPr>
            <w:tcW w:w="903" w:type="dxa"/>
            <w:tcBorders>
              <w:tl2br w:val="nil"/>
              <w:tr2bl w:val="nil"/>
            </w:tcBorders>
            <w:noWrap w:val="0"/>
            <w:vAlign w:val="center"/>
          </w:tcPr>
          <w:p w14:paraId="6A146996">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highlight w:val="none"/>
                <w:lang w:val="en-US" w:eastAsia="zh-CN"/>
              </w:rPr>
            </w:pPr>
            <w:r>
              <w:rPr>
                <w:rFonts w:hint="eastAsia" w:ascii="宋体" w:hAnsi="宋体" w:eastAsia="宋体" w:cs="宋体"/>
                <w:sz w:val="21"/>
                <w:szCs w:val="21"/>
                <w:highlight w:val="none"/>
                <w:lang w:val="en-US" w:eastAsia="zh-CN"/>
              </w:rPr>
              <w:t>ND</w:t>
            </w:r>
          </w:p>
        </w:tc>
        <w:tc>
          <w:tcPr>
            <w:tcW w:w="903" w:type="dxa"/>
            <w:tcBorders>
              <w:tl2br w:val="nil"/>
              <w:tr2bl w:val="nil"/>
            </w:tcBorders>
            <w:noWrap w:val="0"/>
            <w:vAlign w:val="center"/>
          </w:tcPr>
          <w:p w14:paraId="44F9F020">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highlight w:val="none"/>
                <w:lang w:val="en-US" w:eastAsia="zh-CN"/>
              </w:rPr>
            </w:pPr>
            <w:r>
              <w:rPr>
                <w:rFonts w:hint="eastAsia" w:ascii="宋体" w:hAnsi="宋体" w:eastAsia="宋体" w:cs="宋体"/>
                <w:sz w:val="21"/>
                <w:szCs w:val="21"/>
                <w:highlight w:val="none"/>
                <w:lang w:val="en-US" w:eastAsia="zh-CN"/>
              </w:rPr>
              <w:t>ND</w:t>
            </w:r>
          </w:p>
        </w:tc>
        <w:tc>
          <w:tcPr>
            <w:tcW w:w="903" w:type="dxa"/>
            <w:tcBorders>
              <w:tl2br w:val="nil"/>
              <w:tr2bl w:val="nil"/>
            </w:tcBorders>
            <w:noWrap w:val="0"/>
            <w:vAlign w:val="center"/>
          </w:tcPr>
          <w:p w14:paraId="49718BE9">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宋体" w:hAnsi="宋体" w:eastAsia="宋体" w:cs="宋体"/>
                <w:kern w:val="2"/>
                <w:sz w:val="21"/>
                <w:szCs w:val="21"/>
                <w:highlight w:val="none"/>
                <w:lang w:val="en-US" w:eastAsia="zh-CN"/>
              </w:rPr>
            </w:pPr>
            <w:r>
              <w:rPr>
                <w:rFonts w:hint="eastAsia" w:ascii="宋体" w:hAnsi="宋体" w:eastAsia="宋体" w:cs="宋体"/>
                <w:sz w:val="21"/>
                <w:szCs w:val="21"/>
                <w:highlight w:val="none"/>
                <w:lang w:val="en-US" w:eastAsia="zh-CN"/>
              </w:rPr>
              <w:t>0.0053</w:t>
            </w:r>
          </w:p>
        </w:tc>
        <w:tc>
          <w:tcPr>
            <w:tcW w:w="903" w:type="dxa"/>
            <w:tcBorders>
              <w:tl2br w:val="nil"/>
              <w:tr2bl w:val="nil"/>
            </w:tcBorders>
            <w:noWrap w:val="0"/>
            <w:vAlign w:val="center"/>
          </w:tcPr>
          <w:p w14:paraId="3B336838">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highlight w:val="none"/>
                <w:lang w:val="en-US" w:eastAsia="zh-CN"/>
              </w:rPr>
            </w:pPr>
            <w:r>
              <w:rPr>
                <w:rFonts w:hint="eastAsia" w:ascii="宋体" w:hAnsi="宋体" w:eastAsia="宋体" w:cs="宋体"/>
                <w:sz w:val="21"/>
                <w:szCs w:val="21"/>
                <w:highlight w:val="none"/>
                <w:lang w:val="en-US" w:eastAsia="zh-CN"/>
              </w:rPr>
              <w:t>ND</w:t>
            </w:r>
          </w:p>
        </w:tc>
        <w:tc>
          <w:tcPr>
            <w:tcW w:w="903" w:type="dxa"/>
            <w:tcBorders>
              <w:tl2br w:val="nil"/>
              <w:tr2bl w:val="nil"/>
            </w:tcBorders>
            <w:noWrap w:val="0"/>
            <w:vAlign w:val="center"/>
          </w:tcPr>
          <w:p w14:paraId="7F942CD9">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ND</w:t>
            </w:r>
          </w:p>
        </w:tc>
        <w:tc>
          <w:tcPr>
            <w:tcW w:w="903" w:type="dxa"/>
            <w:tcBorders>
              <w:tl2br w:val="nil"/>
              <w:tr2bl w:val="nil"/>
            </w:tcBorders>
            <w:noWrap w:val="0"/>
            <w:vAlign w:val="center"/>
          </w:tcPr>
          <w:p w14:paraId="23086611">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宋体" w:hAnsi="宋体" w:eastAsia="宋体" w:cs="宋体"/>
                <w:kern w:val="2"/>
                <w:sz w:val="21"/>
                <w:szCs w:val="21"/>
                <w:highlight w:val="none"/>
                <w:lang w:val="en-US" w:eastAsia="zh-CN"/>
              </w:rPr>
            </w:pPr>
            <w:r>
              <w:rPr>
                <w:rFonts w:hint="eastAsia" w:ascii="宋体" w:hAnsi="宋体" w:eastAsia="宋体" w:cs="宋体"/>
                <w:sz w:val="21"/>
                <w:szCs w:val="21"/>
                <w:highlight w:val="none"/>
                <w:lang w:val="en-US" w:eastAsia="zh-CN"/>
              </w:rPr>
              <w:t>0.00247</w:t>
            </w:r>
          </w:p>
        </w:tc>
        <w:tc>
          <w:tcPr>
            <w:tcW w:w="906" w:type="dxa"/>
            <w:tcBorders>
              <w:tl2br w:val="nil"/>
              <w:tr2bl w:val="nil"/>
            </w:tcBorders>
            <w:noWrap w:val="0"/>
            <w:vAlign w:val="center"/>
          </w:tcPr>
          <w:p w14:paraId="3C00984D">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宋体" w:hAnsi="宋体" w:eastAsia="宋体" w:cs="宋体"/>
                <w:kern w:val="2"/>
                <w:sz w:val="21"/>
                <w:szCs w:val="21"/>
                <w:highlight w:val="none"/>
                <w:lang w:val="en-US" w:eastAsia="zh-CN"/>
              </w:rPr>
            </w:pPr>
            <w:r>
              <w:rPr>
                <w:rFonts w:hint="eastAsia" w:ascii="宋体" w:hAnsi="宋体" w:eastAsia="宋体" w:cs="宋体"/>
                <w:sz w:val="21"/>
                <w:szCs w:val="21"/>
                <w:highlight w:val="none"/>
                <w:lang w:val="en-US" w:eastAsia="zh-CN"/>
              </w:rPr>
              <w:t>0.00158</w:t>
            </w:r>
          </w:p>
        </w:tc>
        <w:tc>
          <w:tcPr>
            <w:tcW w:w="906" w:type="dxa"/>
            <w:tcBorders>
              <w:tl2br w:val="nil"/>
              <w:tr2bl w:val="nil"/>
            </w:tcBorders>
            <w:noWrap w:val="0"/>
            <w:vAlign w:val="center"/>
          </w:tcPr>
          <w:p w14:paraId="4F5BDDD1">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color w:val="000000"/>
                <w:sz w:val="21"/>
                <w:szCs w:val="21"/>
              </w:rPr>
              <w:t>0.5</w:t>
            </w:r>
          </w:p>
        </w:tc>
      </w:tr>
      <w:tr w14:paraId="12C5E2E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2180" w:type="dxa"/>
            <w:tcBorders>
              <w:tl2br w:val="nil"/>
              <w:tr2bl w:val="nil"/>
            </w:tcBorders>
            <w:noWrap w:val="0"/>
            <w:vAlign w:val="center"/>
          </w:tcPr>
          <w:p w14:paraId="59D13CC0">
            <w:pPr>
              <w:keepNext w:val="0"/>
              <w:keepLines w:val="0"/>
              <w:pageBreakBefore w:val="0"/>
              <w:widowControl w:val="0"/>
              <w:tabs>
                <w:tab w:val="left" w:pos="9540"/>
              </w:tabs>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kern w:val="2"/>
                <w:sz w:val="21"/>
                <w:szCs w:val="21"/>
                <w:highlight w:val="none"/>
                <w:lang w:val="en-US" w:eastAsia="zh-CN"/>
              </w:rPr>
            </w:pPr>
            <w:r>
              <w:rPr>
                <w:rFonts w:hint="eastAsia" w:ascii="宋体" w:hAnsi="宋体" w:eastAsia="宋体" w:cs="宋体"/>
                <w:sz w:val="21"/>
                <w:szCs w:val="21"/>
                <w:highlight w:val="none"/>
                <w:lang w:val="en-US" w:eastAsia="zh-CN"/>
              </w:rPr>
              <w:t>氯乙烯(mg/kg)</w:t>
            </w:r>
          </w:p>
        </w:tc>
        <w:tc>
          <w:tcPr>
            <w:tcW w:w="903" w:type="dxa"/>
            <w:tcBorders>
              <w:tl2br w:val="nil"/>
              <w:tr2bl w:val="nil"/>
            </w:tcBorders>
            <w:noWrap w:val="0"/>
            <w:vAlign w:val="center"/>
          </w:tcPr>
          <w:p w14:paraId="3191A3AD">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宋体" w:hAnsi="宋体" w:eastAsia="宋体" w:cs="宋体"/>
                <w:kern w:val="2"/>
                <w:sz w:val="21"/>
                <w:szCs w:val="21"/>
                <w:highlight w:val="none"/>
                <w:lang w:val="en-US" w:eastAsia="zh-CN"/>
              </w:rPr>
            </w:pPr>
            <w:r>
              <w:rPr>
                <w:rFonts w:hint="eastAsia" w:ascii="宋体" w:hAnsi="宋体" w:eastAsia="宋体" w:cs="宋体"/>
                <w:sz w:val="21"/>
                <w:szCs w:val="21"/>
                <w:highlight w:val="none"/>
                <w:lang w:val="en-US" w:eastAsia="zh-CN"/>
              </w:rPr>
              <w:t>0.0015</w:t>
            </w:r>
          </w:p>
        </w:tc>
        <w:tc>
          <w:tcPr>
            <w:tcW w:w="903" w:type="dxa"/>
            <w:tcBorders>
              <w:tl2br w:val="nil"/>
              <w:tr2bl w:val="nil"/>
            </w:tcBorders>
            <w:noWrap w:val="0"/>
            <w:vAlign w:val="center"/>
          </w:tcPr>
          <w:p w14:paraId="22A95742">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highlight w:val="none"/>
                <w:lang w:val="en-US" w:eastAsia="zh-CN"/>
              </w:rPr>
            </w:pPr>
            <w:r>
              <w:rPr>
                <w:rFonts w:hint="eastAsia" w:ascii="宋体" w:hAnsi="宋体" w:eastAsia="宋体" w:cs="宋体"/>
                <w:kern w:val="2"/>
                <w:sz w:val="21"/>
                <w:szCs w:val="21"/>
                <w:highlight w:val="none"/>
                <w:lang w:val="en-US" w:eastAsia="zh-CN"/>
              </w:rPr>
              <w:t>ND</w:t>
            </w:r>
          </w:p>
        </w:tc>
        <w:tc>
          <w:tcPr>
            <w:tcW w:w="903" w:type="dxa"/>
            <w:tcBorders>
              <w:tl2br w:val="nil"/>
              <w:tr2bl w:val="nil"/>
            </w:tcBorders>
            <w:noWrap w:val="0"/>
            <w:vAlign w:val="center"/>
          </w:tcPr>
          <w:p w14:paraId="57A41C6A">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highlight w:val="none"/>
                <w:lang w:val="en-US" w:eastAsia="zh-CN"/>
              </w:rPr>
            </w:pPr>
            <w:r>
              <w:rPr>
                <w:rFonts w:hint="eastAsia" w:ascii="宋体" w:hAnsi="宋体" w:eastAsia="宋体" w:cs="宋体"/>
                <w:kern w:val="2"/>
                <w:sz w:val="21"/>
                <w:szCs w:val="21"/>
                <w:highlight w:val="none"/>
                <w:lang w:val="en-US" w:eastAsia="zh-CN"/>
              </w:rPr>
              <w:t>ND</w:t>
            </w:r>
          </w:p>
        </w:tc>
        <w:tc>
          <w:tcPr>
            <w:tcW w:w="903" w:type="dxa"/>
            <w:tcBorders>
              <w:tl2br w:val="nil"/>
              <w:tr2bl w:val="nil"/>
            </w:tcBorders>
            <w:noWrap w:val="0"/>
            <w:vAlign w:val="center"/>
          </w:tcPr>
          <w:p w14:paraId="32761163">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highlight w:val="none"/>
                <w:lang w:val="en-US" w:eastAsia="zh-CN"/>
              </w:rPr>
            </w:pPr>
            <w:r>
              <w:rPr>
                <w:rFonts w:hint="eastAsia" w:ascii="宋体" w:hAnsi="宋体" w:eastAsia="宋体" w:cs="宋体"/>
                <w:sz w:val="21"/>
                <w:szCs w:val="21"/>
                <w:highlight w:val="none"/>
                <w:lang w:val="en-US" w:eastAsia="zh-CN"/>
              </w:rPr>
              <w:t>ND</w:t>
            </w:r>
          </w:p>
        </w:tc>
        <w:tc>
          <w:tcPr>
            <w:tcW w:w="903" w:type="dxa"/>
            <w:tcBorders>
              <w:tl2br w:val="nil"/>
              <w:tr2bl w:val="nil"/>
            </w:tcBorders>
            <w:noWrap w:val="0"/>
            <w:vAlign w:val="center"/>
          </w:tcPr>
          <w:p w14:paraId="270FA325">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宋体" w:hAnsi="宋体" w:eastAsia="宋体" w:cs="宋体"/>
                <w:kern w:val="2"/>
                <w:sz w:val="21"/>
                <w:szCs w:val="21"/>
                <w:highlight w:val="none"/>
                <w:lang w:val="en-US" w:eastAsia="zh-CN"/>
              </w:rPr>
            </w:pPr>
            <w:r>
              <w:rPr>
                <w:rFonts w:hint="eastAsia" w:ascii="宋体" w:hAnsi="宋体" w:eastAsia="宋体" w:cs="宋体"/>
                <w:sz w:val="21"/>
                <w:szCs w:val="21"/>
                <w:highlight w:val="none"/>
                <w:lang w:val="en-US" w:eastAsia="zh-CN"/>
              </w:rPr>
              <w:t>0.001</w:t>
            </w:r>
          </w:p>
        </w:tc>
        <w:tc>
          <w:tcPr>
            <w:tcW w:w="903" w:type="dxa"/>
            <w:tcBorders>
              <w:tl2br w:val="nil"/>
              <w:tr2bl w:val="nil"/>
            </w:tcBorders>
            <w:noWrap w:val="0"/>
            <w:vAlign w:val="center"/>
          </w:tcPr>
          <w:p w14:paraId="59911C31">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highlight w:val="none"/>
                <w:lang w:val="en-US" w:eastAsia="zh-CN"/>
              </w:rPr>
            </w:pPr>
            <w:r>
              <w:rPr>
                <w:rFonts w:hint="eastAsia" w:ascii="宋体" w:hAnsi="宋体" w:eastAsia="宋体" w:cs="宋体"/>
                <w:sz w:val="21"/>
                <w:szCs w:val="21"/>
                <w:highlight w:val="none"/>
                <w:lang w:val="en-US" w:eastAsia="zh-CN"/>
              </w:rPr>
              <w:t>ND</w:t>
            </w:r>
          </w:p>
        </w:tc>
        <w:tc>
          <w:tcPr>
            <w:tcW w:w="903" w:type="dxa"/>
            <w:tcBorders>
              <w:tl2br w:val="nil"/>
              <w:tr2bl w:val="nil"/>
            </w:tcBorders>
            <w:noWrap w:val="0"/>
            <w:vAlign w:val="center"/>
          </w:tcPr>
          <w:p w14:paraId="542EBF45">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highlight w:val="none"/>
                <w:lang w:val="en-US" w:eastAsia="zh-CN"/>
              </w:rPr>
            </w:pPr>
            <w:r>
              <w:rPr>
                <w:rFonts w:hint="eastAsia" w:ascii="宋体" w:hAnsi="宋体" w:eastAsia="宋体" w:cs="宋体"/>
                <w:sz w:val="21"/>
                <w:szCs w:val="21"/>
                <w:highlight w:val="none"/>
                <w:lang w:val="en-US" w:eastAsia="zh-CN"/>
              </w:rPr>
              <w:t>ND</w:t>
            </w:r>
          </w:p>
        </w:tc>
        <w:tc>
          <w:tcPr>
            <w:tcW w:w="903" w:type="dxa"/>
            <w:tcBorders>
              <w:tl2br w:val="nil"/>
              <w:tr2bl w:val="nil"/>
            </w:tcBorders>
            <w:noWrap w:val="0"/>
            <w:vAlign w:val="center"/>
          </w:tcPr>
          <w:p w14:paraId="7E3966CC">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highlight w:val="none"/>
                <w:lang w:val="en-US" w:eastAsia="zh-CN"/>
              </w:rPr>
            </w:pPr>
            <w:r>
              <w:rPr>
                <w:rFonts w:hint="eastAsia" w:ascii="宋体" w:hAnsi="宋体" w:eastAsia="宋体" w:cs="宋体"/>
                <w:sz w:val="21"/>
                <w:szCs w:val="21"/>
                <w:highlight w:val="none"/>
                <w:lang w:val="en-US" w:eastAsia="zh-CN"/>
              </w:rPr>
              <w:t>ND</w:t>
            </w:r>
          </w:p>
        </w:tc>
        <w:tc>
          <w:tcPr>
            <w:tcW w:w="903" w:type="dxa"/>
            <w:tcBorders>
              <w:tl2br w:val="nil"/>
              <w:tr2bl w:val="nil"/>
            </w:tcBorders>
            <w:noWrap w:val="0"/>
            <w:vAlign w:val="center"/>
          </w:tcPr>
          <w:p w14:paraId="6EC03C56">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highlight w:val="none"/>
                <w:lang w:val="en-US" w:eastAsia="zh-CN"/>
              </w:rPr>
            </w:pPr>
            <w:r>
              <w:rPr>
                <w:rFonts w:hint="eastAsia" w:ascii="宋体" w:hAnsi="宋体" w:eastAsia="宋体" w:cs="宋体"/>
                <w:sz w:val="21"/>
                <w:szCs w:val="21"/>
                <w:highlight w:val="none"/>
                <w:lang w:val="en-US" w:eastAsia="zh-CN"/>
              </w:rPr>
              <w:t>ND</w:t>
            </w:r>
          </w:p>
        </w:tc>
        <w:tc>
          <w:tcPr>
            <w:tcW w:w="903" w:type="dxa"/>
            <w:tcBorders>
              <w:tl2br w:val="nil"/>
              <w:tr2bl w:val="nil"/>
            </w:tcBorders>
            <w:noWrap w:val="0"/>
            <w:vAlign w:val="center"/>
          </w:tcPr>
          <w:p w14:paraId="267D563E">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ND</w:t>
            </w:r>
          </w:p>
        </w:tc>
        <w:tc>
          <w:tcPr>
            <w:tcW w:w="903" w:type="dxa"/>
            <w:tcBorders>
              <w:tl2br w:val="nil"/>
              <w:tr2bl w:val="nil"/>
            </w:tcBorders>
            <w:noWrap w:val="0"/>
            <w:vAlign w:val="center"/>
          </w:tcPr>
          <w:p w14:paraId="7C41D855">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宋体" w:hAnsi="宋体" w:eastAsia="宋体" w:cs="宋体"/>
                <w:kern w:val="2"/>
                <w:sz w:val="21"/>
                <w:szCs w:val="21"/>
                <w:highlight w:val="none"/>
                <w:lang w:val="en-US" w:eastAsia="zh-CN"/>
              </w:rPr>
            </w:pPr>
            <w:r>
              <w:rPr>
                <w:rFonts w:hint="eastAsia" w:ascii="宋体" w:hAnsi="宋体" w:eastAsia="宋体" w:cs="宋体"/>
                <w:sz w:val="21"/>
                <w:szCs w:val="21"/>
                <w:highlight w:val="none"/>
                <w:lang w:val="en-US" w:eastAsia="zh-CN"/>
              </w:rPr>
              <w:t>0.0021</w:t>
            </w:r>
          </w:p>
        </w:tc>
        <w:tc>
          <w:tcPr>
            <w:tcW w:w="906" w:type="dxa"/>
            <w:tcBorders>
              <w:tl2br w:val="nil"/>
              <w:tr2bl w:val="nil"/>
            </w:tcBorders>
            <w:noWrap w:val="0"/>
            <w:vAlign w:val="center"/>
          </w:tcPr>
          <w:p w14:paraId="07B4832D">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宋体" w:hAnsi="宋体" w:eastAsia="宋体" w:cs="宋体"/>
                <w:kern w:val="2"/>
                <w:sz w:val="21"/>
                <w:szCs w:val="21"/>
                <w:highlight w:val="none"/>
                <w:lang w:val="en-US" w:eastAsia="zh-CN"/>
              </w:rPr>
            </w:pPr>
            <w:r>
              <w:rPr>
                <w:rFonts w:hint="eastAsia" w:ascii="宋体" w:hAnsi="宋体" w:eastAsia="宋体" w:cs="宋体"/>
                <w:sz w:val="21"/>
                <w:szCs w:val="21"/>
                <w:highlight w:val="none"/>
                <w:lang w:val="en-US" w:eastAsia="zh-CN"/>
              </w:rPr>
              <w:t>0.0014</w:t>
            </w:r>
          </w:p>
        </w:tc>
        <w:tc>
          <w:tcPr>
            <w:tcW w:w="906" w:type="dxa"/>
            <w:tcBorders>
              <w:tl2br w:val="nil"/>
              <w:tr2bl w:val="nil"/>
            </w:tcBorders>
            <w:noWrap w:val="0"/>
            <w:vAlign w:val="center"/>
          </w:tcPr>
          <w:p w14:paraId="7329DE3A">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color w:val="000000"/>
                <w:sz w:val="21"/>
                <w:szCs w:val="21"/>
              </w:rPr>
              <w:t>0.43</w:t>
            </w:r>
          </w:p>
        </w:tc>
      </w:tr>
      <w:tr w14:paraId="126F415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35" w:hRule="atLeast"/>
          <w:jc w:val="center"/>
        </w:trPr>
        <w:tc>
          <w:tcPr>
            <w:tcW w:w="2180" w:type="dxa"/>
            <w:tcBorders>
              <w:tl2br w:val="nil"/>
              <w:tr2bl w:val="nil"/>
            </w:tcBorders>
            <w:noWrap w:val="0"/>
            <w:vAlign w:val="center"/>
          </w:tcPr>
          <w:p w14:paraId="233EAF83">
            <w:pPr>
              <w:keepNext w:val="0"/>
              <w:keepLines w:val="0"/>
              <w:pageBreakBefore w:val="0"/>
              <w:widowControl w:val="0"/>
              <w:tabs>
                <w:tab w:val="left" w:pos="9540"/>
              </w:tabs>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苯(</w:t>
            </w:r>
            <w:r>
              <w:rPr>
                <w:rFonts w:hint="eastAsia" w:ascii="宋体" w:hAnsi="宋体" w:eastAsia="宋体" w:cs="宋体"/>
                <w:sz w:val="21"/>
                <w:szCs w:val="21"/>
              </w:rPr>
              <w:t>μ</w:t>
            </w:r>
            <w:r>
              <w:rPr>
                <w:rFonts w:hint="eastAsia" w:ascii="宋体" w:hAnsi="宋体" w:eastAsia="宋体" w:cs="宋体"/>
                <w:sz w:val="21"/>
                <w:szCs w:val="21"/>
                <w:lang w:val="en-US" w:eastAsia="zh-CN"/>
              </w:rPr>
              <w:t>g/kg)</w:t>
            </w:r>
          </w:p>
        </w:tc>
        <w:tc>
          <w:tcPr>
            <w:tcW w:w="903" w:type="dxa"/>
            <w:tcBorders>
              <w:tl2br w:val="nil"/>
              <w:tr2bl w:val="nil"/>
            </w:tcBorders>
            <w:noWrap w:val="0"/>
            <w:vAlign w:val="center"/>
          </w:tcPr>
          <w:p w14:paraId="70BDFEF6">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431EAC06">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ND</w:t>
            </w:r>
          </w:p>
        </w:tc>
        <w:tc>
          <w:tcPr>
            <w:tcW w:w="903" w:type="dxa"/>
            <w:tcBorders>
              <w:tl2br w:val="nil"/>
              <w:tr2bl w:val="nil"/>
            </w:tcBorders>
            <w:noWrap w:val="0"/>
            <w:vAlign w:val="center"/>
          </w:tcPr>
          <w:p w14:paraId="28848A9F">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ND</w:t>
            </w:r>
          </w:p>
        </w:tc>
        <w:tc>
          <w:tcPr>
            <w:tcW w:w="903" w:type="dxa"/>
            <w:tcBorders>
              <w:tl2br w:val="nil"/>
              <w:tr2bl w:val="nil"/>
            </w:tcBorders>
            <w:noWrap w:val="0"/>
            <w:vAlign w:val="center"/>
          </w:tcPr>
          <w:p w14:paraId="52767355">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32F0A7AB">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651BE4B5">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51544C1E">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4FCEE2F5">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0F5663A9">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78B9D4DB">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7509AC6C">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6" w:type="dxa"/>
            <w:tcBorders>
              <w:tl2br w:val="nil"/>
              <w:tr2bl w:val="nil"/>
            </w:tcBorders>
            <w:noWrap w:val="0"/>
            <w:vAlign w:val="center"/>
          </w:tcPr>
          <w:p w14:paraId="2F73784D">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6" w:type="dxa"/>
            <w:tcBorders>
              <w:tl2br w:val="nil"/>
              <w:tr2bl w:val="nil"/>
            </w:tcBorders>
            <w:noWrap w:val="0"/>
            <w:vAlign w:val="center"/>
          </w:tcPr>
          <w:p w14:paraId="34142A9E">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color w:val="000000"/>
                <w:sz w:val="21"/>
                <w:szCs w:val="21"/>
              </w:rPr>
              <w:t>4</w:t>
            </w:r>
          </w:p>
        </w:tc>
      </w:tr>
      <w:tr w14:paraId="1F338D3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84" w:hRule="atLeast"/>
          <w:jc w:val="center"/>
        </w:trPr>
        <w:tc>
          <w:tcPr>
            <w:tcW w:w="2180" w:type="dxa"/>
            <w:tcBorders>
              <w:tl2br w:val="nil"/>
              <w:tr2bl w:val="nil"/>
            </w:tcBorders>
            <w:noWrap w:val="0"/>
            <w:vAlign w:val="center"/>
          </w:tcPr>
          <w:p w14:paraId="3B2EDABB">
            <w:pPr>
              <w:keepNext w:val="0"/>
              <w:keepLines w:val="0"/>
              <w:pageBreakBefore w:val="0"/>
              <w:widowControl w:val="0"/>
              <w:tabs>
                <w:tab w:val="left" w:pos="9540"/>
              </w:tabs>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color w:val="000000"/>
                <w:kern w:val="2"/>
                <w:sz w:val="21"/>
                <w:szCs w:val="21"/>
                <w:lang w:val="en-US" w:eastAsia="zh-CN"/>
              </w:rPr>
            </w:pPr>
            <w:r>
              <w:rPr>
                <w:rFonts w:hint="eastAsia" w:ascii="宋体" w:hAnsi="宋体" w:eastAsia="宋体" w:cs="宋体"/>
                <w:sz w:val="21"/>
                <w:szCs w:val="21"/>
                <w:lang w:val="en-US" w:eastAsia="zh-CN"/>
              </w:rPr>
              <w:t>氯苯(</w:t>
            </w:r>
            <w:r>
              <w:rPr>
                <w:rFonts w:hint="eastAsia" w:ascii="宋体" w:hAnsi="宋体" w:eastAsia="宋体" w:cs="宋体"/>
                <w:sz w:val="21"/>
                <w:szCs w:val="21"/>
              </w:rPr>
              <w:t>μ</w:t>
            </w:r>
            <w:r>
              <w:rPr>
                <w:rFonts w:hint="eastAsia" w:ascii="宋体" w:hAnsi="宋体" w:eastAsia="宋体" w:cs="宋体"/>
                <w:sz w:val="21"/>
                <w:szCs w:val="21"/>
                <w:lang w:val="en-US" w:eastAsia="zh-CN"/>
              </w:rPr>
              <w:t>g/kg)</w:t>
            </w:r>
          </w:p>
        </w:tc>
        <w:tc>
          <w:tcPr>
            <w:tcW w:w="903" w:type="dxa"/>
            <w:tcBorders>
              <w:tl2br w:val="nil"/>
              <w:tr2bl w:val="nil"/>
            </w:tcBorders>
            <w:noWrap w:val="0"/>
            <w:vAlign w:val="center"/>
          </w:tcPr>
          <w:p w14:paraId="47F285CD">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287732F4">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ND</w:t>
            </w:r>
          </w:p>
        </w:tc>
        <w:tc>
          <w:tcPr>
            <w:tcW w:w="903" w:type="dxa"/>
            <w:tcBorders>
              <w:tl2br w:val="nil"/>
              <w:tr2bl w:val="nil"/>
            </w:tcBorders>
            <w:noWrap w:val="0"/>
            <w:vAlign w:val="center"/>
          </w:tcPr>
          <w:p w14:paraId="0902969F">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ND</w:t>
            </w:r>
          </w:p>
        </w:tc>
        <w:tc>
          <w:tcPr>
            <w:tcW w:w="903" w:type="dxa"/>
            <w:tcBorders>
              <w:tl2br w:val="nil"/>
              <w:tr2bl w:val="nil"/>
            </w:tcBorders>
            <w:noWrap w:val="0"/>
            <w:vAlign w:val="center"/>
          </w:tcPr>
          <w:p w14:paraId="2C8BEAB3">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506F5421">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7BC31F17">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0E2039C3">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09B6DEAE">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61ED5FD9">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01E1D40B">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01CF2957">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6" w:type="dxa"/>
            <w:tcBorders>
              <w:tl2br w:val="nil"/>
              <w:tr2bl w:val="nil"/>
            </w:tcBorders>
            <w:noWrap w:val="0"/>
            <w:vAlign w:val="center"/>
          </w:tcPr>
          <w:p w14:paraId="0CF61949">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6" w:type="dxa"/>
            <w:tcBorders>
              <w:tl2br w:val="nil"/>
              <w:tr2bl w:val="nil"/>
            </w:tcBorders>
            <w:noWrap w:val="0"/>
            <w:vAlign w:val="center"/>
          </w:tcPr>
          <w:p w14:paraId="781DC3DB">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color w:val="000000"/>
                <w:sz w:val="21"/>
                <w:szCs w:val="21"/>
              </w:rPr>
              <w:t>270</w:t>
            </w:r>
          </w:p>
        </w:tc>
      </w:tr>
      <w:tr w14:paraId="4887620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45" w:hRule="atLeast"/>
          <w:jc w:val="center"/>
        </w:trPr>
        <w:tc>
          <w:tcPr>
            <w:tcW w:w="2180" w:type="dxa"/>
            <w:tcBorders>
              <w:tl2br w:val="nil"/>
              <w:tr2bl w:val="nil"/>
            </w:tcBorders>
            <w:noWrap w:val="0"/>
            <w:vAlign w:val="center"/>
          </w:tcPr>
          <w:p w14:paraId="004827FD">
            <w:pPr>
              <w:keepNext w:val="0"/>
              <w:keepLines w:val="0"/>
              <w:pageBreakBefore w:val="0"/>
              <w:widowControl w:val="0"/>
              <w:tabs>
                <w:tab w:val="left" w:pos="9540"/>
              </w:tabs>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color w:val="000000"/>
                <w:kern w:val="2"/>
                <w:sz w:val="21"/>
                <w:szCs w:val="21"/>
                <w:lang w:val="en-US" w:eastAsia="zh-CN"/>
              </w:rPr>
            </w:pPr>
            <w:r>
              <w:rPr>
                <w:rFonts w:hint="eastAsia" w:ascii="宋体" w:hAnsi="宋体" w:eastAsia="宋体" w:cs="宋体"/>
                <w:sz w:val="21"/>
                <w:szCs w:val="21"/>
                <w:lang w:val="en-US" w:eastAsia="zh-CN"/>
              </w:rPr>
              <w:t>1,2-二氯苯(</w:t>
            </w:r>
            <w:r>
              <w:rPr>
                <w:rFonts w:hint="eastAsia" w:ascii="宋体" w:hAnsi="宋体" w:eastAsia="宋体" w:cs="宋体"/>
                <w:sz w:val="21"/>
                <w:szCs w:val="21"/>
              </w:rPr>
              <w:t>μ</w:t>
            </w:r>
            <w:r>
              <w:rPr>
                <w:rFonts w:hint="eastAsia" w:ascii="宋体" w:hAnsi="宋体" w:eastAsia="宋体" w:cs="宋体"/>
                <w:sz w:val="21"/>
                <w:szCs w:val="21"/>
                <w:lang w:val="en-US" w:eastAsia="zh-CN"/>
              </w:rPr>
              <w:t>g/kg)</w:t>
            </w:r>
          </w:p>
        </w:tc>
        <w:tc>
          <w:tcPr>
            <w:tcW w:w="903" w:type="dxa"/>
            <w:tcBorders>
              <w:tl2br w:val="nil"/>
              <w:tr2bl w:val="nil"/>
            </w:tcBorders>
            <w:noWrap w:val="0"/>
            <w:vAlign w:val="center"/>
          </w:tcPr>
          <w:p w14:paraId="435B9C4D">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04ADCD5A">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ND</w:t>
            </w:r>
          </w:p>
        </w:tc>
        <w:tc>
          <w:tcPr>
            <w:tcW w:w="903" w:type="dxa"/>
            <w:tcBorders>
              <w:tl2br w:val="nil"/>
              <w:tr2bl w:val="nil"/>
            </w:tcBorders>
            <w:noWrap w:val="0"/>
            <w:vAlign w:val="center"/>
          </w:tcPr>
          <w:p w14:paraId="7A96ED1A">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ND</w:t>
            </w:r>
          </w:p>
        </w:tc>
        <w:tc>
          <w:tcPr>
            <w:tcW w:w="903" w:type="dxa"/>
            <w:tcBorders>
              <w:tl2br w:val="nil"/>
              <w:tr2bl w:val="nil"/>
            </w:tcBorders>
            <w:noWrap w:val="0"/>
            <w:vAlign w:val="center"/>
          </w:tcPr>
          <w:p w14:paraId="108FB1AB">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0FE335C0">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567133C0">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245A62DD">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6ECCB39B">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44DA2B30">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0756F6DD">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06BF92A2">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6" w:type="dxa"/>
            <w:tcBorders>
              <w:tl2br w:val="nil"/>
              <w:tr2bl w:val="nil"/>
            </w:tcBorders>
            <w:noWrap w:val="0"/>
            <w:vAlign w:val="center"/>
          </w:tcPr>
          <w:p w14:paraId="39A1B1EC">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6" w:type="dxa"/>
            <w:tcBorders>
              <w:tl2br w:val="nil"/>
              <w:tr2bl w:val="nil"/>
            </w:tcBorders>
            <w:noWrap w:val="0"/>
            <w:vAlign w:val="center"/>
          </w:tcPr>
          <w:p w14:paraId="20E9D532">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color w:val="000000"/>
                <w:sz w:val="21"/>
                <w:szCs w:val="21"/>
              </w:rPr>
              <w:t>560</w:t>
            </w:r>
          </w:p>
        </w:tc>
      </w:tr>
      <w:tr w14:paraId="06011DE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71" w:hRule="atLeast"/>
          <w:jc w:val="center"/>
        </w:trPr>
        <w:tc>
          <w:tcPr>
            <w:tcW w:w="2180" w:type="dxa"/>
            <w:tcBorders>
              <w:tl2br w:val="nil"/>
              <w:tr2bl w:val="nil"/>
            </w:tcBorders>
            <w:noWrap w:val="0"/>
            <w:vAlign w:val="center"/>
          </w:tcPr>
          <w:p w14:paraId="37A0666B">
            <w:pPr>
              <w:keepNext w:val="0"/>
              <w:keepLines w:val="0"/>
              <w:pageBreakBefore w:val="0"/>
              <w:widowControl w:val="0"/>
              <w:tabs>
                <w:tab w:val="left" w:pos="9540"/>
              </w:tabs>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color w:val="000000"/>
                <w:kern w:val="2"/>
                <w:sz w:val="21"/>
                <w:szCs w:val="21"/>
                <w:lang w:val="en-US" w:eastAsia="zh-CN"/>
              </w:rPr>
            </w:pPr>
            <w:r>
              <w:rPr>
                <w:rFonts w:hint="eastAsia" w:ascii="宋体" w:hAnsi="宋体" w:eastAsia="宋体" w:cs="宋体"/>
                <w:sz w:val="21"/>
                <w:szCs w:val="21"/>
                <w:lang w:val="en-US" w:eastAsia="zh-CN"/>
              </w:rPr>
              <w:t>1,4-二氯苯(</w:t>
            </w:r>
            <w:r>
              <w:rPr>
                <w:rFonts w:hint="eastAsia" w:ascii="宋体" w:hAnsi="宋体" w:eastAsia="宋体" w:cs="宋体"/>
                <w:sz w:val="21"/>
                <w:szCs w:val="21"/>
              </w:rPr>
              <w:t>μ</w:t>
            </w:r>
            <w:r>
              <w:rPr>
                <w:rFonts w:hint="eastAsia" w:ascii="宋体" w:hAnsi="宋体" w:eastAsia="宋体" w:cs="宋体"/>
                <w:sz w:val="21"/>
                <w:szCs w:val="21"/>
                <w:lang w:val="en-US" w:eastAsia="zh-CN"/>
              </w:rPr>
              <w:t>g/kg)</w:t>
            </w:r>
          </w:p>
        </w:tc>
        <w:tc>
          <w:tcPr>
            <w:tcW w:w="903" w:type="dxa"/>
            <w:tcBorders>
              <w:tl2br w:val="nil"/>
              <w:tr2bl w:val="nil"/>
            </w:tcBorders>
            <w:noWrap w:val="0"/>
            <w:vAlign w:val="center"/>
          </w:tcPr>
          <w:p w14:paraId="425EEDBD">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2D0961D3">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ND</w:t>
            </w:r>
          </w:p>
        </w:tc>
        <w:tc>
          <w:tcPr>
            <w:tcW w:w="903" w:type="dxa"/>
            <w:tcBorders>
              <w:tl2br w:val="nil"/>
              <w:tr2bl w:val="nil"/>
            </w:tcBorders>
            <w:noWrap w:val="0"/>
            <w:vAlign w:val="center"/>
          </w:tcPr>
          <w:p w14:paraId="4F0A7512">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ND</w:t>
            </w:r>
          </w:p>
        </w:tc>
        <w:tc>
          <w:tcPr>
            <w:tcW w:w="903" w:type="dxa"/>
            <w:tcBorders>
              <w:tl2br w:val="nil"/>
              <w:tr2bl w:val="nil"/>
            </w:tcBorders>
            <w:noWrap w:val="0"/>
            <w:vAlign w:val="center"/>
          </w:tcPr>
          <w:p w14:paraId="1B88F7E9">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37653C15">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117814E1">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14252EEC">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3DF323CC">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5ECAC405">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7B51D534">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19F20579">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6" w:type="dxa"/>
            <w:tcBorders>
              <w:tl2br w:val="nil"/>
              <w:tr2bl w:val="nil"/>
            </w:tcBorders>
            <w:noWrap w:val="0"/>
            <w:vAlign w:val="center"/>
          </w:tcPr>
          <w:p w14:paraId="037E8DA0">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6" w:type="dxa"/>
            <w:tcBorders>
              <w:tl2br w:val="nil"/>
              <w:tr2bl w:val="nil"/>
            </w:tcBorders>
            <w:noWrap w:val="0"/>
            <w:vAlign w:val="center"/>
          </w:tcPr>
          <w:p w14:paraId="2EC3271B">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color w:val="000000"/>
                <w:sz w:val="21"/>
                <w:szCs w:val="21"/>
              </w:rPr>
              <w:t>20</w:t>
            </w:r>
          </w:p>
        </w:tc>
      </w:tr>
      <w:tr w14:paraId="67C1D91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2180" w:type="dxa"/>
            <w:tcBorders>
              <w:tl2br w:val="nil"/>
              <w:tr2bl w:val="nil"/>
            </w:tcBorders>
            <w:noWrap w:val="0"/>
            <w:vAlign w:val="center"/>
          </w:tcPr>
          <w:p w14:paraId="421C8F6B">
            <w:pPr>
              <w:keepNext w:val="0"/>
              <w:keepLines w:val="0"/>
              <w:pageBreakBefore w:val="0"/>
              <w:widowControl w:val="0"/>
              <w:tabs>
                <w:tab w:val="left" w:pos="9540"/>
              </w:tabs>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color w:val="000000"/>
                <w:kern w:val="2"/>
                <w:sz w:val="21"/>
                <w:szCs w:val="21"/>
                <w:lang w:val="en-US" w:eastAsia="zh-CN"/>
              </w:rPr>
            </w:pPr>
            <w:r>
              <w:rPr>
                <w:rFonts w:hint="eastAsia" w:ascii="宋体" w:hAnsi="宋体" w:eastAsia="宋体" w:cs="宋体"/>
                <w:sz w:val="21"/>
                <w:szCs w:val="21"/>
                <w:lang w:val="en-US" w:eastAsia="zh-CN"/>
              </w:rPr>
              <w:t>乙苯(</w:t>
            </w:r>
            <w:r>
              <w:rPr>
                <w:rFonts w:hint="eastAsia" w:ascii="宋体" w:hAnsi="宋体" w:eastAsia="宋体" w:cs="宋体"/>
                <w:sz w:val="21"/>
                <w:szCs w:val="21"/>
              </w:rPr>
              <w:t>μ</w:t>
            </w:r>
            <w:r>
              <w:rPr>
                <w:rFonts w:hint="eastAsia" w:ascii="宋体" w:hAnsi="宋体" w:eastAsia="宋体" w:cs="宋体"/>
                <w:sz w:val="21"/>
                <w:szCs w:val="21"/>
                <w:lang w:val="en-US" w:eastAsia="zh-CN"/>
              </w:rPr>
              <w:t>g/kg)</w:t>
            </w:r>
          </w:p>
        </w:tc>
        <w:tc>
          <w:tcPr>
            <w:tcW w:w="903" w:type="dxa"/>
            <w:tcBorders>
              <w:tl2br w:val="nil"/>
              <w:tr2bl w:val="nil"/>
            </w:tcBorders>
            <w:noWrap w:val="0"/>
            <w:vAlign w:val="center"/>
          </w:tcPr>
          <w:p w14:paraId="48D30F6A">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0823D0B9">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ND</w:t>
            </w:r>
          </w:p>
        </w:tc>
        <w:tc>
          <w:tcPr>
            <w:tcW w:w="903" w:type="dxa"/>
            <w:tcBorders>
              <w:tl2br w:val="nil"/>
              <w:tr2bl w:val="nil"/>
            </w:tcBorders>
            <w:noWrap w:val="0"/>
            <w:vAlign w:val="center"/>
          </w:tcPr>
          <w:p w14:paraId="79E29538">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ND</w:t>
            </w:r>
          </w:p>
        </w:tc>
        <w:tc>
          <w:tcPr>
            <w:tcW w:w="903" w:type="dxa"/>
            <w:tcBorders>
              <w:tl2br w:val="nil"/>
              <w:tr2bl w:val="nil"/>
            </w:tcBorders>
            <w:noWrap w:val="0"/>
            <w:vAlign w:val="center"/>
          </w:tcPr>
          <w:p w14:paraId="2D77994F">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0B51D9F6">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4B06E0EA">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color w:val="0000FF"/>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09FB2884">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75B39204">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6924955D">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3DBA3B76">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5F7CBBFC">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6" w:type="dxa"/>
            <w:tcBorders>
              <w:tl2br w:val="nil"/>
              <w:tr2bl w:val="nil"/>
            </w:tcBorders>
            <w:noWrap w:val="0"/>
            <w:vAlign w:val="center"/>
          </w:tcPr>
          <w:p w14:paraId="085BF843">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color w:val="0000FF"/>
                <w:kern w:val="2"/>
                <w:sz w:val="21"/>
                <w:szCs w:val="21"/>
                <w:lang w:val="en-US" w:eastAsia="zh-CN"/>
              </w:rPr>
            </w:pPr>
            <w:r>
              <w:rPr>
                <w:rFonts w:hint="eastAsia" w:ascii="宋体" w:hAnsi="宋体" w:eastAsia="宋体" w:cs="宋体"/>
                <w:sz w:val="21"/>
                <w:szCs w:val="21"/>
                <w:lang w:val="en-US" w:eastAsia="zh-CN"/>
              </w:rPr>
              <w:t>ND</w:t>
            </w:r>
          </w:p>
        </w:tc>
        <w:tc>
          <w:tcPr>
            <w:tcW w:w="906" w:type="dxa"/>
            <w:tcBorders>
              <w:tl2br w:val="nil"/>
              <w:tr2bl w:val="nil"/>
            </w:tcBorders>
            <w:noWrap w:val="0"/>
            <w:vAlign w:val="center"/>
          </w:tcPr>
          <w:p w14:paraId="5EE0B951">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color w:val="000000"/>
                <w:sz w:val="21"/>
                <w:szCs w:val="21"/>
              </w:rPr>
              <w:t>28</w:t>
            </w:r>
          </w:p>
        </w:tc>
      </w:tr>
      <w:tr w14:paraId="4E55A85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2180" w:type="dxa"/>
            <w:tcBorders>
              <w:tl2br w:val="nil"/>
              <w:tr2bl w:val="nil"/>
            </w:tcBorders>
            <w:noWrap w:val="0"/>
            <w:vAlign w:val="center"/>
          </w:tcPr>
          <w:p w14:paraId="79908CC7">
            <w:pPr>
              <w:keepNext w:val="0"/>
              <w:keepLines w:val="0"/>
              <w:pageBreakBefore w:val="0"/>
              <w:widowControl w:val="0"/>
              <w:tabs>
                <w:tab w:val="left" w:pos="9540"/>
              </w:tabs>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spacing w:val="-12"/>
                <w:kern w:val="2"/>
                <w:sz w:val="21"/>
                <w:szCs w:val="21"/>
                <w:lang w:val="en-US" w:eastAsia="zh-CN"/>
              </w:rPr>
            </w:pPr>
            <w:r>
              <w:rPr>
                <w:rFonts w:hint="eastAsia" w:ascii="宋体" w:hAnsi="宋体" w:eastAsia="宋体" w:cs="宋体"/>
                <w:sz w:val="21"/>
                <w:szCs w:val="21"/>
                <w:lang w:val="en-US" w:eastAsia="zh-CN"/>
              </w:rPr>
              <w:t>苯乙烯(</w:t>
            </w:r>
            <w:r>
              <w:rPr>
                <w:rFonts w:hint="eastAsia" w:ascii="宋体" w:hAnsi="宋体" w:eastAsia="宋体" w:cs="宋体"/>
                <w:sz w:val="21"/>
                <w:szCs w:val="21"/>
              </w:rPr>
              <w:t>μ</w:t>
            </w:r>
            <w:r>
              <w:rPr>
                <w:rFonts w:hint="eastAsia" w:ascii="宋体" w:hAnsi="宋体" w:eastAsia="宋体" w:cs="宋体"/>
                <w:sz w:val="21"/>
                <w:szCs w:val="21"/>
                <w:lang w:val="en-US" w:eastAsia="zh-CN"/>
              </w:rPr>
              <w:t>g/kg)</w:t>
            </w:r>
          </w:p>
        </w:tc>
        <w:tc>
          <w:tcPr>
            <w:tcW w:w="903" w:type="dxa"/>
            <w:tcBorders>
              <w:tl2br w:val="nil"/>
              <w:tr2bl w:val="nil"/>
            </w:tcBorders>
            <w:noWrap w:val="0"/>
            <w:vAlign w:val="center"/>
          </w:tcPr>
          <w:p w14:paraId="330EA129">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7A9C99F6">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ND</w:t>
            </w:r>
          </w:p>
        </w:tc>
        <w:tc>
          <w:tcPr>
            <w:tcW w:w="903" w:type="dxa"/>
            <w:tcBorders>
              <w:tl2br w:val="nil"/>
              <w:tr2bl w:val="nil"/>
            </w:tcBorders>
            <w:noWrap w:val="0"/>
            <w:vAlign w:val="center"/>
          </w:tcPr>
          <w:p w14:paraId="4A7711C0">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ND</w:t>
            </w:r>
          </w:p>
        </w:tc>
        <w:tc>
          <w:tcPr>
            <w:tcW w:w="903" w:type="dxa"/>
            <w:tcBorders>
              <w:tl2br w:val="nil"/>
              <w:tr2bl w:val="nil"/>
            </w:tcBorders>
            <w:noWrap w:val="0"/>
            <w:vAlign w:val="center"/>
          </w:tcPr>
          <w:p w14:paraId="6608DD46">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55251F16">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619ED99A">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57959FC2">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18DD8080">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07937EA0">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6FE76147">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1937D028">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6" w:type="dxa"/>
            <w:tcBorders>
              <w:tl2br w:val="nil"/>
              <w:tr2bl w:val="nil"/>
            </w:tcBorders>
            <w:noWrap w:val="0"/>
            <w:vAlign w:val="center"/>
          </w:tcPr>
          <w:p w14:paraId="46703783">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6" w:type="dxa"/>
            <w:tcBorders>
              <w:tl2br w:val="nil"/>
              <w:tr2bl w:val="nil"/>
            </w:tcBorders>
            <w:noWrap w:val="0"/>
            <w:vAlign w:val="center"/>
          </w:tcPr>
          <w:p w14:paraId="58FF2D41">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color w:val="000000"/>
                <w:sz w:val="21"/>
                <w:szCs w:val="21"/>
              </w:rPr>
              <w:t>1290</w:t>
            </w:r>
          </w:p>
        </w:tc>
      </w:tr>
      <w:tr w14:paraId="1A27CCD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47" w:hRule="atLeast"/>
          <w:jc w:val="center"/>
        </w:trPr>
        <w:tc>
          <w:tcPr>
            <w:tcW w:w="2180" w:type="dxa"/>
            <w:tcBorders>
              <w:tl2br w:val="nil"/>
              <w:tr2bl w:val="nil"/>
            </w:tcBorders>
            <w:noWrap w:val="0"/>
            <w:vAlign w:val="center"/>
          </w:tcPr>
          <w:p w14:paraId="54480F50">
            <w:pPr>
              <w:keepNext w:val="0"/>
              <w:keepLines w:val="0"/>
              <w:pageBreakBefore w:val="0"/>
              <w:widowControl w:val="0"/>
              <w:tabs>
                <w:tab w:val="left" w:pos="9540"/>
              </w:tabs>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spacing w:val="-12"/>
                <w:kern w:val="2"/>
                <w:sz w:val="21"/>
                <w:szCs w:val="21"/>
                <w:lang w:val="en-US" w:eastAsia="zh-CN"/>
              </w:rPr>
            </w:pPr>
            <w:r>
              <w:rPr>
                <w:rFonts w:hint="eastAsia" w:ascii="宋体" w:hAnsi="宋体" w:eastAsia="宋体" w:cs="宋体"/>
                <w:sz w:val="21"/>
                <w:szCs w:val="21"/>
                <w:lang w:val="en-US" w:eastAsia="zh-CN"/>
              </w:rPr>
              <w:t>甲苯(</w:t>
            </w:r>
            <w:r>
              <w:rPr>
                <w:rFonts w:hint="eastAsia" w:ascii="宋体" w:hAnsi="宋体" w:eastAsia="宋体" w:cs="宋体"/>
                <w:sz w:val="21"/>
                <w:szCs w:val="21"/>
              </w:rPr>
              <w:t>μ</w:t>
            </w:r>
            <w:r>
              <w:rPr>
                <w:rFonts w:hint="eastAsia" w:ascii="宋体" w:hAnsi="宋体" w:eastAsia="宋体" w:cs="宋体"/>
                <w:sz w:val="21"/>
                <w:szCs w:val="21"/>
                <w:lang w:val="en-US" w:eastAsia="zh-CN"/>
              </w:rPr>
              <w:t>g/kg)</w:t>
            </w:r>
          </w:p>
        </w:tc>
        <w:tc>
          <w:tcPr>
            <w:tcW w:w="903" w:type="dxa"/>
            <w:tcBorders>
              <w:tl2br w:val="nil"/>
              <w:tr2bl w:val="nil"/>
            </w:tcBorders>
            <w:noWrap w:val="0"/>
            <w:vAlign w:val="center"/>
          </w:tcPr>
          <w:p w14:paraId="20F7A073">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65039A1A">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ND</w:t>
            </w:r>
          </w:p>
        </w:tc>
        <w:tc>
          <w:tcPr>
            <w:tcW w:w="903" w:type="dxa"/>
            <w:tcBorders>
              <w:tl2br w:val="nil"/>
              <w:tr2bl w:val="nil"/>
            </w:tcBorders>
            <w:noWrap w:val="0"/>
            <w:vAlign w:val="center"/>
          </w:tcPr>
          <w:p w14:paraId="74594B80">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ND</w:t>
            </w:r>
          </w:p>
        </w:tc>
        <w:tc>
          <w:tcPr>
            <w:tcW w:w="903" w:type="dxa"/>
            <w:tcBorders>
              <w:tl2br w:val="nil"/>
              <w:tr2bl w:val="nil"/>
            </w:tcBorders>
            <w:noWrap w:val="0"/>
            <w:vAlign w:val="center"/>
          </w:tcPr>
          <w:p w14:paraId="4F113B48">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0E9C648E">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01E8C993">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73401118">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0A586689">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13013B34">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7D8C6D6F">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25765BF6">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6" w:type="dxa"/>
            <w:tcBorders>
              <w:tl2br w:val="nil"/>
              <w:tr2bl w:val="nil"/>
            </w:tcBorders>
            <w:noWrap w:val="0"/>
            <w:vAlign w:val="center"/>
          </w:tcPr>
          <w:p w14:paraId="0C3570F4">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6" w:type="dxa"/>
            <w:tcBorders>
              <w:tl2br w:val="nil"/>
              <w:tr2bl w:val="nil"/>
            </w:tcBorders>
            <w:noWrap w:val="0"/>
            <w:vAlign w:val="center"/>
          </w:tcPr>
          <w:p w14:paraId="19EB06A7">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color w:val="000000"/>
                <w:sz w:val="21"/>
                <w:szCs w:val="21"/>
              </w:rPr>
              <w:t>1200</w:t>
            </w:r>
          </w:p>
        </w:tc>
      </w:tr>
      <w:tr w14:paraId="28D9209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63" w:hRule="atLeast"/>
          <w:jc w:val="center"/>
        </w:trPr>
        <w:tc>
          <w:tcPr>
            <w:tcW w:w="2180" w:type="dxa"/>
            <w:tcBorders>
              <w:tl2br w:val="nil"/>
              <w:tr2bl w:val="nil"/>
            </w:tcBorders>
            <w:noWrap w:val="0"/>
            <w:vAlign w:val="center"/>
          </w:tcPr>
          <w:p w14:paraId="2C595402">
            <w:pPr>
              <w:keepNext w:val="0"/>
              <w:keepLines w:val="0"/>
              <w:pageBreakBefore w:val="0"/>
              <w:widowControl w:val="0"/>
              <w:tabs>
                <w:tab w:val="left" w:pos="9540"/>
              </w:tabs>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spacing w:val="-12"/>
                <w:kern w:val="2"/>
                <w:sz w:val="21"/>
                <w:szCs w:val="21"/>
                <w:lang w:val="en-US" w:eastAsia="zh-CN"/>
              </w:rPr>
            </w:pPr>
            <w:r>
              <w:rPr>
                <w:rFonts w:hint="eastAsia" w:ascii="宋体" w:hAnsi="宋体" w:eastAsia="宋体" w:cs="宋体"/>
                <w:sz w:val="21"/>
                <w:szCs w:val="21"/>
                <w:lang w:val="en-US" w:eastAsia="zh-CN"/>
              </w:rPr>
              <w:t>间二甲苯+对二甲苯(</w:t>
            </w:r>
            <w:r>
              <w:rPr>
                <w:rFonts w:hint="eastAsia" w:ascii="宋体" w:hAnsi="宋体" w:eastAsia="宋体" w:cs="宋体"/>
                <w:sz w:val="21"/>
                <w:szCs w:val="21"/>
              </w:rPr>
              <w:t>μ</w:t>
            </w:r>
            <w:r>
              <w:rPr>
                <w:rFonts w:hint="eastAsia" w:ascii="宋体" w:hAnsi="宋体" w:eastAsia="宋体" w:cs="宋体"/>
                <w:sz w:val="21"/>
                <w:szCs w:val="21"/>
                <w:lang w:val="en-US" w:eastAsia="zh-CN"/>
              </w:rPr>
              <w:t>g/kg)</w:t>
            </w:r>
          </w:p>
        </w:tc>
        <w:tc>
          <w:tcPr>
            <w:tcW w:w="903" w:type="dxa"/>
            <w:tcBorders>
              <w:tl2br w:val="nil"/>
              <w:tr2bl w:val="nil"/>
            </w:tcBorders>
            <w:noWrap w:val="0"/>
            <w:vAlign w:val="center"/>
          </w:tcPr>
          <w:p w14:paraId="144B91BC">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75E9736F">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ND</w:t>
            </w:r>
          </w:p>
        </w:tc>
        <w:tc>
          <w:tcPr>
            <w:tcW w:w="903" w:type="dxa"/>
            <w:tcBorders>
              <w:tl2br w:val="nil"/>
              <w:tr2bl w:val="nil"/>
            </w:tcBorders>
            <w:noWrap w:val="0"/>
            <w:vAlign w:val="center"/>
          </w:tcPr>
          <w:p w14:paraId="782D6BFD">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ND</w:t>
            </w:r>
          </w:p>
        </w:tc>
        <w:tc>
          <w:tcPr>
            <w:tcW w:w="903" w:type="dxa"/>
            <w:tcBorders>
              <w:tl2br w:val="nil"/>
              <w:tr2bl w:val="nil"/>
            </w:tcBorders>
            <w:noWrap w:val="0"/>
            <w:vAlign w:val="center"/>
          </w:tcPr>
          <w:p w14:paraId="0A2AC1AA">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2FA59A7A">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6F1F2567">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11EE7D64">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6C616135">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278B6814">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2F1FC606">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1EAE9123">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6" w:type="dxa"/>
            <w:tcBorders>
              <w:tl2br w:val="nil"/>
              <w:tr2bl w:val="nil"/>
            </w:tcBorders>
            <w:noWrap w:val="0"/>
            <w:vAlign w:val="center"/>
          </w:tcPr>
          <w:p w14:paraId="3A434943">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6" w:type="dxa"/>
            <w:tcBorders>
              <w:tl2br w:val="nil"/>
              <w:tr2bl w:val="nil"/>
            </w:tcBorders>
            <w:noWrap w:val="0"/>
            <w:vAlign w:val="center"/>
          </w:tcPr>
          <w:p w14:paraId="05AC5752">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color w:val="000000"/>
                <w:sz w:val="21"/>
                <w:szCs w:val="21"/>
              </w:rPr>
              <w:t>570</w:t>
            </w:r>
          </w:p>
        </w:tc>
      </w:tr>
      <w:tr w14:paraId="0071A60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2180" w:type="dxa"/>
            <w:tcBorders>
              <w:tl2br w:val="nil"/>
              <w:tr2bl w:val="nil"/>
            </w:tcBorders>
            <w:noWrap w:val="0"/>
            <w:vAlign w:val="center"/>
          </w:tcPr>
          <w:p w14:paraId="18987DC7">
            <w:pPr>
              <w:keepNext w:val="0"/>
              <w:keepLines w:val="0"/>
              <w:pageBreakBefore w:val="0"/>
              <w:widowControl w:val="0"/>
              <w:tabs>
                <w:tab w:val="left" w:pos="9540"/>
              </w:tabs>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spacing w:val="-12"/>
                <w:kern w:val="2"/>
                <w:sz w:val="21"/>
                <w:szCs w:val="21"/>
                <w:lang w:val="en-US" w:eastAsia="zh-CN"/>
              </w:rPr>
            </w:pPr>
            <w:r>
              <w:rPr>
                <w:rFonts w:hint="eastAsia" w:ascii="宋体" w:hAnsi="宋体" w:eastAsia="宋体" w:cs="宋体"/>
                <w:sz w:val="21"/>
                <w:szCs w:val="21"/>
                <w:lang w:val="en-US" w:eastAsia="zh-CN"/>
              </w:rPr>
              <w:t>邻二甲苯(</w:t>
            </w:r>
            <w:r>
              <w:rPr>
                <w:rFonts w:hint="eastAsia" w:ascii="宋体" w:hAnsi="宋体" w:eastAsia="宋体" w:cs="宋体"/>
                <w:sz w:val="21"/>
                <w:szCs w:val="21"/>
              </w:rPr>
              <w:t>μ</w:t>
            </w:r>
            <w:r>
              <w:rPr>
                <w:rFonts w:hint="eastAsia" w:ascii="宋体" w:hAnsi="宋体" w:eastAsia="宋体" w:cs="宋体"/>
                <w:sz w:val="21"/>
                <w:szCs w:val="21"/>
                <w:lang w:val="en-US" w:eastAsia="zh-CN"/>
              </w:rPr>
              <w:t>g/kg)</w:t>
            </w:r>
          </w:p>
        </w:tc>
        <w:tc>
          <w:tcPr>
            <w:tcW w:w="903" w:type="dxa"/>
            <w:tcBorders>
              <w:tl2br w:val="nil"/>
              <w:tr2bl w:val="nil"/>
            </w:tcBorders>
            <w:noWrap w:val="0"/>
            <w:vAlign w:val="center"/>
          </w:tcPr>
          <w:p w14:paraId="201D6843">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05D33FB2">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ND</w:t>
            </w:r>
          </w:p>
        </w:tc>
        <w:tc>
          <w:tcPr>
            <w:tcW w:w="903" w:type="dxa"/>
            <w:tcBorders>
              <w:tl2br w:val="nil"/>
              <w:tr2bl w:val="nil"/>
            </w:tcBorders>
            <w:noWrap w:val="0"/>
            <w:vAlign w:val="center"/>
          </w:tcPr>
          <w:p w14:paraId="1C199C18">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ND</w:t>
            </w:r>
          </w:p>
        </w:tc>
        <w:tc>
          <w:tcPr>
            <w:tcW w:w="903" w:type="dxa"/>
            <w:tcBorders>
              <w:tl2br w:val="nil"/>
              <w:tr2bl w:val="nil"/>
            </w:tcBorders>
            <w:noWrap w:val="0"/>
            <w:vAlign w:val="center"/>
          </w:tcPr>
          <w:p w14:paraId="362AFD28">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37D9195C">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01E8D707">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58B7698E">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2A71FA1A">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28DB69A0">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197503D9">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ND</w:t>
            </w:r>
          </w:p>
        </w:tc>
        <w:tc>
          <w:tcPr>
            <w:tcW w:w="903" w:type="dxa"/>
            <w:tcBorders>
              <w:tl2br w:val="nil"/>
              <w:tr2bl w:val="nil"/>
            </w:tcBorders>
            <w:noWrap w:val="0"/>
            <w:vAlign w:val="center"/>
          </w:tcPr>
          <w:p w14:paraId="5FA405D8">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6" w:type="dxa"/>
            <w:tcBorders>
              <w:tl2br w:val="nil"/>
              <w:tr2bl w:val="nil"/>
            </w:tcBorders>
            <w:noWrap w:val="0"/>
            <w:vAlign w:val="center"/>
          </w:tcPr>
          <w:p w14:paraId="6CF55FE8">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sz w:val="21"/>
                <w:szCs w:val="21"/>
                <w:lang w:val="en-US" w:eastAsia="zh-CN"/>
              </w:rPr>
              <w:t>ND</w:t>
            </w:r>
          </w:p>
        </w:tc>
        <w:tc>
          <w:tcPr>
            <w:tcW w:w="906" w:type="dxa"/>
            <w:tcBorders>
              <w:tl2br w:val="nil"/>
              <w:tr2bl w:val="nil"/>
            </w:tcBorders>
            <w:noWrap w:val="0"/>
            <w:vAlign w:val="center"/>
          </w:tcPr>
          <w:p w14:paraId="58E53B20">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1"/>
                <w:szCs w:val="21"/>
                <w:lang w:val="en-US" w:eastAsia="zh-CN"/>
              </w:rPr>
            </w:pPr>
            <w:r>
              <w:rPr>
                <w:rFonts w:hint="eastAsia"/>
                <w:color w:val="000000"/>
                <w:sz w:val="21"/>
                <w:szCs w:val="21"/>
              </w:rPr>
              <w:t>640</w:t>
            </w:r>
          </w:p>
        </w:tc>
      </w:tr>
      <w:tr w14:paraId="304648A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570" w:hRule="atLeast"/>
          <w:jc w:val="center"/>
        </w:trPr>
        <w:tc>
          <w:tcPr>
            <w:tcW w:w="13019" w:type="dxa"/>
            <w:gridSpan w:val="13"/>
            <w:tcBorders>
              <w:tl2br w:val="nil"/>
              <w:tr2bl w:val="nil"/>
            </w:tcBorders>
            <w:noWrap w:val="0"/>
            <w:vAlign w:val="center"/>
          </w:tcPr>
          <w:p w14:paraId="35EAA882">
            <w:pPr>
              <w:keepNext w:val="0"/>
              <w:keepLines w:val="0"/>
              <w:pageBreakBefore w:val="0"/>
              <w:widowControl w:val="0"/>
              <w:kinsoku/>
              <w:wordWrap/>
              <w:overflowPunct/>
              <w:topLinePunct w:val="0"/>
              <w:autoSpaceDE/>
              <w:autoSpaceDN/>
              <w:bidi w:val="0"/>
              <w:adjustRightInd/>
              <w:spacing w:line="240" w:lineRule="auto"/>
              <w:ind w:firstLine="0" w:firstLineChars="0"/>
              <w:jc w:val="left"/>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备注：“</w:t>
            </w:r>
            <w:r>
              <w:rPr>
                <w:rFonts w:hint="eastAsia" w:ascii="宋体" w:hAnsi="宋体" w:eastAsia="宋体" w:cs="宋体"/>
                <w:sz w:val="21"/>
                <w:szCs w:val="21"/>
                <w:lang w:val="en-US" w:eastAsia="zh-CN"/>
              </w:rPr>
              <w:t>ND</w:t>
            </w:r>
            <w:r>
              <w:rPr>
                <w:rFonts w:hint="eastAsia" w:ascii="宋体" w:hAnsi="宋体" w:eastAsia="宋体" w:cs="宋体"/>
                <w:sz w:val="21"/>
                <w:szCs w:val="21"/>
                <w:lang w:eastAsia="zh-CN"/>
              </w:rPr>
              <w:t>”代表未检出</w:t>
            </w:r>
          </w:p>
        </w:tc>
        <w:tc>
          <w:tcPr>
            <w:tcW w:w="906" w:type="dxa"/>
            <w:tcBorders>
              <w:tl2br w:val="nil"/>
              <w:tr2bl w:val="nil"/>
            </w:tcBorders>
            <w:noWrap w:val="0"/>
            <w:vAlign w:val="center"/>
          </w:tcPr>
          <w:p w14:paraId="6D461012">
            <w:pPr>
              <w:keepNext w:val="0"/>
              <w:keepLines w:val="0"/>
              <w:pageBreakBefore w:val="0"/>
              <w:widowControl w:val="0"/>
              <w:kinsoku/>
              <w:wordWrap/>
              <w:overflowPunct/>
              <w:topLinePunct w:val="0"/>
              <w:autoSpaceDE/>
              <w:autoSpaceDN/>
              <w:bidi w:val="0"/>
              <w:adjustRightInd/>
              <w:spacing w:line="240" w:lineRule="auto"/>
              <w:ind w:firstLine="0" w:firstLineChars="0"/>
              <w:jc w:val="left"/>
              <w:textAlignment w:val="auto"/>
              <w:rPr>
                <w:rFonts w:hint="eastAsia" w:ascii="宋体" w:hAnsi="宋体" w:eastAsia="宋体" w:cs="宋体"/>
                <w:sz w:val="21"/>
                <w:szCs w:val="21"/>
                <w:lang w:eastAsia="zh-CN"/>
              </w:rPr>
            </w:pPr>
          </w:p>
        </w:tc>
      </w:tr>
    </w:tbl>
    <w:p w14:paraId="294963DE">
      <w:pPr>
        <w:pStyle w:val="22"/>
        <w:rPr>
          <w:rFonts w:hint="eastAsia"/>
          <w:b/>
          <w:bCs/>
          <w:sz w:val="21"/>
          <w:szCs w:val="21"/>
          <w:lang w:eastAsia="zh-CN"/>
        </w:rPr>
        <w:sectPr>
          <w:pgSz w:w="16838" w:h="11906" w:orient="landscape"/>
          <w:pgMar w:top="1797" w:right="1440" w:bottom="1797" w:left="1440" w:header="907" w:footer="907" w:gutter="0"/>
          <w:pgBorders>
            <w:top w:val="none" w:sz="0" w:space="0"/>
            <w:left w:val="none" w:sz="0" w:space="0"/>
            <w:bottom w:val="none" w:sz="0" w:space="0"/>
            <w:right w:val="none" w:sz="0" w:space="0"/>
          </w:pgBorders>
          <w:pgNumType w:fmt="decimal"/>
          <w:cols w:space="425" w:num="1"/>
          <w:docGrid w:linePitch="326" w:charSpace="0"/>
        </w:sectPr>
      </w:pPr>
    </w:p>
    <w:p w14:paraId="478325F8">
      <w:pPr>
        <w:spacing w:before="120" w:beforeLines="50" w:line="360" w:lineRule="auto"/>
        <w:ind w:firstLine="480" w:firstLineChars="200"/>
        <w:jc w:val="left"/>
      </w:pPr>
      <w:r>
        <w:t>由监测结果可以知，监测点位土壤环境质量满足《土壤环境质量 建设用地土壤污染风险管控标准（试行）》（GB36600-2018）中第二类用地筛选值标准要求</w:t>
      </w:r>
      <w:r>
        <w:rPr>
          <w:rFonts w:hint="eastAsia"/>
        </w:rPr>
        <w:t>。</w:t>
      </w:r>
    </w:p>
    <w:p w14:paraId="45AC04B1">
      <w:pPr>
        <w:spacing w:line="295" w:lineRule="auto"/>
        <w:sectPr>
          <w:pgSz w:w="11906" w:h="16838"/>
          <w:pgMar w:top="1440" w:right="1797" w:bottom="1440" w:left="1797" w:header="907" w:footer="907" w:gutter="0"/>
          <w:pgBorders>
            <w:top w:val="none" w:sz="0" w:space="0"/>
            <w:left w:val="none" w:sz="0" w:space="0"/>
            <w:bottom w:val="none" w:sz="0" w:space="0"/>
            <w:right w:val="none" w:sz="0" w:space="0"/>
          </w:pgBorders>
          <w:pgNumType w:fmt="decimal"/>
          <w:cols w:space="425" w:num="1"/>
          <w:docGrid w:linePitch="326" w:charSpace="0"/>
        </w:sectPr>
      </w:pPr>
    </w:p>
    <w:p w14:paraId="1E38CA6D">
      <w:pPr>
        <w:pStyle w:val="72"/>
        <w:jc w:val="center"/>
        <w:rPr>
          <w:rFonts w:hint="eastAsia" w:eastAsia="仿宋_GB2312"/>
          <w:lang w:eastAsia="zh-CN"/>
        </w:rPr>
      </w:pPr>
      <w:r>
        <w:rPr>
          <w:rFonts w:hint="eastAsia" w:eastAsia="仿宋_GB2312"/>
          <w:lang w:eastAsia="zh-CN"/>
        </w:rPr>
        <w:drawing>
          <wp:inline distT="0" distB="0" distL="114300" distR="114300">
            <wp:extent cx="7861300" cy="5020945"/>
            <wp:effectExtent l="0" t="0" r="6350" b="8255"/>
            <wp:docPr id="10" name="图片 10" descr="截图20200427135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截图20200427135513"/>
                    <pic:cNvPicPr>
                      <a:picLocks noChangeAspect="1"/>
                    </pic:cNvPicPr>
                  </pic:nvPicPr>
                  <pic:blipFill>
                    <a:blip r:embed="rId27"/>
                    <a:stretch>
                      <a:fillRect/>
                    </a:stretch>
                  </pic:blipFill>
                  <pic:spPr>
                    <a:xfrm>
                      <a:off x="0" y="0"/>
                      <a:ext cx="7861300" cy="5020945"/>
                    </a:xfrm>
                    <a:prstGeom prst="rect">
                      <a:avLst/>
                    </a:prstGeom>
                  </pic:spPr>
                </pic:pic>
              </a:graphicData>
            </a:graphic>
          </wp:inline>
        </w:drawing>
      </w:r>
    </w:p>
    <w:p w14:paraId="63AC8A0E">
      <w:pPr>
        <w:pStyle w:val="72"/>
        <w:jc w:val="center"/>
        <w:rPr>
          <w:rFonts w:hint="eastAsia" w:ascii="黑体" w:hAnsi="黑体" w:eastAsia="黑体" w:cs="黑体"/>
          <w:sz w:val="21"/>
          <w:szCs w:val="21"/>
          <w:lang w:val="en-US" w:eastAsia="zh-CN"/>
        </w:rPr>
        <w:sectPr>
          <w:pgSz w:w="16838" w:h="11906" w:orient="landscape"/>
          <w:pgMar w:top="1797" w:right="1440" w:bottom="1797" w:left="1440" w:header="907" w:footer="907" w:gutter="0"/>
          <w:pgBorders>
            <w:top w:val="none" w:sz="0" w:space="0"/>
            <w:left w:val="none" w:sz="0" w:space="0"/>
            <w:bottom w:val="none" w:sz="0" w:space="0"/>
            <w:right w:val="none" w:sz="0" w:space="0"/>
          </w:pgBorders>
          <w:pgNumType w:fmt="decimal"/>
          <w:cols w:space="425" w:num="1"/>
          <w:docGrid w:linePitch="326" w:charSpace="0"/>
        </w:sectPr>
      </w:pPr>
      <w:r>
        <w:rPr>
          <w:rFonts w:hint="eastAsia" w:ascii="黑体" w:hAnsi="黑体" w:eastAsia="黑体" w:cs="黑体"/>
          <w:sz w:val="21"/>
          <w:szCs w:val="21"/>
          <w:lang w:eastAsia="zh-CN"/>
        </w:rPr>
        <w:t>图</w:t>
      </w:r>
      <w:r>
        <w:rPr>
          <w:rFonts w:hint="eastAsia" w:ascii="黑体" w:hAnsi="黑体" w:eastAsia="黑体" w:cs="黑体"/>
          <w:sz w:val="21"/>
          <w:szCs w:val="21"/>
          <w:lang w:val="en-US" w:eastAsia="zh-CN"/>
        </w:rPr>
        <w:t>6-1监测点位图</w:t>
      </w:r>
    </w:p>
    <w:bookmarkEnd w:id="7"/>
    <w:bookmarkEnd w:id="8"/>
    <w:bookmarkEnd w:id="9"/>
    <w:bookmarkEnd w:id="10"/>
    <w:p w14:paraId="0EECA2E1">
      <w:pPr>
        <w:pStyle w:val="2"/>
        <w:bidi w:val="0"/>
      </w:pPr>
      <w:bookmarkStart w:id="383" w:name="_Toc29522"/>
      <w:bookmarkStart w:id="384" w:name="_Toc343689921"/>
      <w:bookmarkStart w:id="385" w:name="_Toc302486740"/>
      <w:bookmarkStart w:id="386" w:name="_Toc477422016"/>
      <w:bookmarkStart w:id="387" w:name="_Toc202324098"/>
      <w:r>
        <w:rPr>
          <w:rFonts w:hint="eastAsia"/>
          <w:lang w:val="en-US" w:eastAsia="zh-CN"/>
        </w:rPr>
        <w:t>7</w:t>
      </w:r>
      <w:r>
        <w:t>环境影响预测与评价</w:t>
      </w:r>
      <w:bookmarkEnd w:id="383"/>
      <w:bookmarkEnd w:id="384"/>
    </w:p>
    <w:p w14:paraId="3861A215">
      <w:pPr>
        <w:pStyle w:val="3"/>
        <w:bidi w:val="0"/>
      </w:pPr>
      <w:bookmarkStart w:id="388" w:name="_Toc10760"/>
      <w:bookmarkStart w:id="389" w:name="_Toc8152_WPSOffice_Level1"/>
      <w:bookmarkStart w:id="390" w:name="_Toc25413"/>
      <w:bookmarkStart w:id="391" w:name="_Toc13759"/>
      <w:bookmarkStart w:id="392" w:name="_Toc23767"/>
      <w:r>
        <w:rPr>
          <w:rFonts w:hint="eastAsia"/>
          <w:lang w:val="en-US" w:eastAsia="zh-CN"/>
        </w:rPr>
        <w:t>7</w:t>
      </w:r>
      <w:r>
        <w:t>.1施工期环境影响分析</w:t>
      </w:r>
      <w:bookmarkEnd w:id="388"/>
    </w:p>
    <w:p w14:paraId="7528CDF6">
      <w:pPr>
        <w:pStyle w:val="5"/>
        <w:bidi w:val="0"/>
      </w:pPr>
      <w:r>
        <w:rPr>
          <w:rFonts w:hint="eastAsia"/>
          <w:lang w:val="en-US" w:eastAsia="zh-CN"/>
        </w:rPr>
        <w:t>7</w:t>
      </w:r>
      <w:r>
        <w:t>.1.1施工期环境空气影响分析</w:t>
      </w:r>
    </w:p>
    <w:p w14:paraId="398CF3F2">
      <w:pPr>
        <w:bidi w:val="0"/>
      </w:pPr>
      <w:r>
        <w:t>施工期空气污染源主要为扬尘源和机动车尾气污染源。</w:t>
      </w:r>
    </w:p>
    <w:p w14:paraId="6892C04E">
      <w:pPr>
        <w:pStyle w:val="6"/>
        <w:bidi w:val="0"/>
      </w:pPr>
      <w:r>
        <w:rPr>
          <w:rFonts w:hint="eastAsia"/>
          <w:lang w:val="en-US" w:eastAsia="zh-CN"/>
        </w:rPr>
        <w:t>7</w:t>
      </w:r>
      <w:r>
        <w:t>.1.1.1扬尘影响分析</w:t>
      </w:r>
    </w:p>
    <w:p w14:paraId="437E83AF">
      <w:pPr>
        <w:bidi w:val="0"/>
      </w:pPr>
      <w:r>
        <w:t>在整个施工期，产生扬尘的作业</w:t>
      </w:r>
      <w:r>
        <w:rPr>
          <w:rFonts w:hint="eastAsia"/>
          <w:lang w:eastAsia="zh-CN"/>
        </w:rPr>
        <w:t>主要为</w:t>
      </w:r>
      <w:r>
        <w:t>物料运输、装卸等过程，如遇干旱无雨季节，加上大风，施工扬尘将更为严重，其扬尘量的大小与施工现场条件、管理水平、机械化程度及施工季节及天气等诸多因素有关，是一个复杂、较难定量的问题。经类比分析，建筑施工扬尘影响严重，但影响范围有限。国内外的研究成果也表明，地面堆场和道路扬尘由于排放高度有限，一般最大影响范围在下风向100～200m以内区域。本项目距离敏感目标较远，因此施工期扬尘对周围环境敏感目标的影响较小。</w:t>
      </w:r>
    </w:p>
    <w:p w14:paraId="317DDCEE">
      <w:pPr>
        <w:bidi w:val="0"/>
      </w:pPr>
      <w:r>
        <w:t>据有关调查显示，施工工地的扬尘主要是由运输车辆的行驶产生，约占扬尘总量的60%，在完全干燥情况下，可按下列经验公式计算：</w:t>
      </w:r>
    </w:p>
    <w:p w14:paraId="2EE23952">
      <w:pPr>
        <w:bidi w:val="0"/>
      </w:pPr>
      <w:r>
        <w:rPr>
          <w:szCs w:val="20"/>
        </w:rPr>
        <w:object>
          <v:shape id="_x0000_i1026" o:spt="75" type="#_x0000_t75" style="height:30.1pt;width:192.35pt;" o:ole="t" filled="f" o:preferrelative="t" stroked="f" coordsize="21600,21600">
            <v:path/>
            <v:fill on="f" focussize="0,0"/>
            <v:stroke on="f" joinstyle="miter"/>
            <v:imagedata r:id="rId29" o:title=""/>
            <o:lock v:ext="edit" aspectratio="t"/>
            <w10:wrap type="none"/>
            <w10:anchorlock/>
          </v:shape>
          <o:OLEObject Type="Embed" ProgID="Equations" ShapeID="_x0000_i1026" DrawAspect="Content" ObjectID="_1468075726" r:id="rId28">
            <o:LockedField>false</o:LockedField>
          </o:OLEObject>
        </w:object>
      </w:r>
      <w:r>
        <w:t xml:space="preserve"> </w:t>
      </w:r>
    </w:p>
    <w:p w14:paraId="7C4BD985">
      <w:pPr>
        <w:bidi w:val="0"/>
      </w:pPr>
      <w:r>
        <w:t>式中：Q——汽车行驶的扬尘，kg/km·辆；</w:t>
      </w:r>
    </w:p>
    <w:p w14:paraId="2426019C">
      <w:pPr>
        <w:bidi w:val="0"/>
      </w:pPr>
      <w:r>
        <w:t xml:space="preserve">      V——汽车速度，km/h；</w:t>
      </w:r>
    </w:p>
    <w:p w14:paraId="7CF7FB4C">
      <w:pPr>
        <w:bidi w:val="0"/>
      </w:pPr>
      <w:r>
        <w:t xml:space="preserve">      W——汽车载重量，t；</w:t>
      </w:r>
    </w:p>
    <w:p w14:paraId="6800540E">
      <w:pPr>
        <w:bidi w:val="0"/>
      </w:pPr>
      <w:r>
        <w:t xml:space="preserve">      P——道路表面粉尘量，kg/m</w:t>
      </w:r>
      <w:r>
        <w:rPr>
          <w:vertAlign w:val="superscript"/>
        </w:rPr>
        <w:t>2</w:t>
      </w:r>
      <w:r>
        <w:t>。</w:t>
      </w:r>
    </w:p>
    <w:p w14:paraId="0AFAE057">
      <w:pPr>
        <w:bidi w:val="0"/>
      </w:pPr>
      <w:r>
        <w:t>下表为一辆载重5吨的卡车，通过一段长度为500m的路面时，不同路面清洁程度，不同行驶速度情况下产生的扬尘量。由此可见，在同样路面清洁情况下，车速越快，扬尘量越大；而在同样车速情况下，路面清洁度越差，则扬尘量越大。</w:t>
      </w:r>
    </w:p>
    <w:p w14:paraId="04DD5E81">
      <w:pPr>
        <w:adjustRightInd w:val="0"/>
        <w:snapToGrid w:val="0"/>
        <w:spacing w:before="120" w:beforeLines="50" w:line="240" w:lineRule="auto"/>
        <w:jc w:val="center"/>
        <w:rPr>
          <w:b/>
          <w:sz w:val="21"/>
          <w:szCs w:val="21"/>
        </w:rPr>
      </w:pPr>
      <w:r>
        <w:rPr>
          <w:rFonts w:hint="eastAsia" w:ascii="黑体" w:hAnsi="黑体" w:eastAsia="黑体" w:cs="黑体"/>
          <w:b w:val="0"/>
          <w:bCs/>
          <w:sz w:val="21"/>
          <w:szCs w:val="21"/>
        </w:rPr>
        <w:t>表</w:t>
      </w:r>
      <w:r>
        <w:rPr>
          <w:rFonts w:hint="eastAsia" w:ascii="黑体" w:hAnsi="黑体" w:eastAsia="黑体" w:cs="黑体"/>
          <w:b w:val="0"/>
          <w:bCs/>
          <w:sz w:val="21"/>
          <w:szCs w:val="21"/>
          <w:lang w:val="en-US" w:eastAsia="zh-CN"/>
        </w:rPr>
        <w:t>7-1</w:t>
      </w:r>
      <w:r>
        <w:rPr>
          <w:rFonts w:hint="eastAsia" w:ascii="黑体" w:hAnsi="黑体" w:eastAsia="黑体" w:cs="黑体"/>
          <w:b w:val="0"/>
          <w:bCs/>
          <w:sz w:val="21"/>
          <w:szCs w:val="21"/>
        </w:rPr>
        <w:t>不同车速和地面清洁程度时的汽车扬尘  kg/辆·km</w:t>
      </w:r>
    </w:p>
    <w:tbl>
      <w:tblPr>
        <w:tblStyle w:val="5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967"/>
        <w:gridCol w:w="1128"/>
        <w:gridCol w:w="1128"/>
        <w:gridCol w:w="1128"/>
        <w:gridCol w:w="1037"/>
        <w:gridCol w:w="1219"/>
        <w:gridCol w:w="1123"/>
      </w:tblGrid>
      <w:tr w14:paraId="44638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127" w:type="pct"/>
            <w:tcBorders>
              <w:top w:val="single" w:color="auto" w:sz="12" w:space="0"/>
              <w:left w:val="nil"/>
              <w:bottom w:val="single" w:color="auto" w:sz="4" w:space="0"/>
              <w:right w:val="single" w:color="auto" w:sz="4" w:space="0"/>
            </w:tcBorders>
            <w:vAlign w:val="center"/>
          </w:tcPr>
          <w:p w14:paraId="71FD855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P（kg/m</w:t>
            </w:r>
            <w:r>
              <w:rPr>
                <w:rFonts w:hint="eastAsia" w:ascii="宋体" w:hAnsi="宋体" w:eastAsia="宋体" w:cs="宋体"/>
                <w:sz w:val="21"/>
                <w:szCs w:val="21"/>
                <w:vertAlign w:val="superscript"/>
              </w:rPr>
              <w:t>2</w:t>
            </w:r>
            <w:r>
              <w:rPr>
                <w:rFonts w:hint="eastAsia" w:ascii="宋体" w:hAnsi="宋体" w:eastAsia="宋体" w:cs="宋体"/>
                <w:sz w:val="21"/>
                <w:szCs w:val="21"/>
              </w:rPr>
              <w:t>）</w:t>
            </w:r>
          </w:p>
          <w:p w14:paraId="7128DE1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车速（km/h）</w:t>
            </w:r>
          </w:p>
        </w:tc>
        <w:tc>
          <w:tcPr>
            <w:tcW w:w="646" w:type="pct"/>
            <w:tcBorders>
              <w:top w:val="single" w:color="auto" w:sz="12" w:space="0"/>
              <w:left w:val="single" w:color="auto" w:sz="4" w:space="0"/>
              <w:bottom w:val="single" w:color="auto" w:sz="4" w:space="0"/>
              <w:right w:val="single" w:color="auto" w:sz="4" w:space="0"/>
            </w:tcBorders>
            <w:vAlign w:val="center"/>
          </w:tcPr>
          <w:p w14:paraId="747756F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0.1</w:t>
            </w:r>
          </w:p>
        </w:tc>
        <w:tc>
          <w:tcPr>
            <w:tcW w:w="646" w:type="pct"/>
            <w:tcBorders>
              <w:top w:val="single" w:color="auto" w:sz="12" w:space="0"/>
              <w:left w:val="single" w:color="auto" w:sz="4" w:space="0"/>
              <w:bottom w:val="single" w:color="auto" w:sz="4" w:space="0"/>
              <w:right w:val="single" w:color="auto" w:sz="4" w:space="0"/>
            </w:tcBorders>
            <w:vAlign w:val="center"/>
          </w:tcPr>
          <w:p w14:paraId="7D8FA0B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0.2</w:t>
            </w:r>
          </w:p>
        </w:tc>
        <w:tc>
          <w:tcPr>
            <w:tcW w:w="646" w:type="pct"/>
            <w:tcBorders>
              <w:top w:val="single" w:color="auto" w:sz="12" w:space="0"/>
              <w:left w:val="single" w:color="auto" w:sz="4" w:space="0"/>
              <w:bottom w:val="single" w:color="auto" w:sz="4" w:space="0"/>
              <w:right w:val="single" w:color="auto" w:sz="4" w:space="0"/>
            </w:tcBorders>
            <w:vAlign w:val="center"/>
          </w:tcPr>
          <w:p w14:paraId="0708E47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0.3</w:t>
            </w:r>
          </w:p>
        </w:tc>
        <w:tc>
          <w:tcPr>
            <w:tcW w:w="594" w:type="pct"/>
            <w:tcBorders>
              <w:top w:val="single" w:color="auto" w:sz="12" w:space="0"/>
              <w:left w:val="single" w:color="auto" w:sz="4" w:space="0"/>
              <w:bottom w:val="single" w:color="auto" w:sz="4" w:space="0"/>
              <w:right w:val="single" w:color="auto" w:sz="4" w:space="0"/>
            </w:tcBorders>
            <w:vAlign w:val="center"/>
          </w:tcPr>
          <w:p w14:paraId="3F342A2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0.4</w:t>
            </w:r>
          </w:p>
        </w:tc>
        <w:tc>
          <w:tcPr>
            <w:tcW w:w="698" w:type="pct"/>
            <w:tcBorders>
              <w:top w:val="single" w:color="auto" w:sz="12" w:space="0"/>
              <w:left w:val="single" w:color="auto" w:sz="4" w:space="0"/>
              <w:bottom w:val="single" w:color="auto" w:sz="4" w:space="0"/>
              <w:right w:val="single" w:color="auto" w:sz="4" w:space="0"/>
            </w:tcBorders>
            <w:vAlign w:val="center"/>
          </w:tcPr>
          <w:p w14:paraId="2BB4104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0.5</w:t>
            </w:r>
          </w:p>
        </w:tc>
        <w:tc>
          <w:tcPr>
            <w:tcW w:w="643" w:type="pct"/>
            <w:tcBorders>
              <w:top w:val="single" w:color="auto" w:sz="12" w:space="0"/>
              <w:left w:val="single" w:color="auto" w:sz="4" w:space="0"/>
              <w:bottom w:val="single" w:color="auto" w:sz="4" w:space="0"/>
              <w:right w:val="nil"/>
            </w:tcBorders>
            <w:vAlign w:val="center"/>
          </w:tcPr>
          <w:p w14:paraId="57D54B8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1.0</w:t>
            </w:r>
          </w:p>
        </w:tc>
      </w:tr>
      <w:tr w14:paraId="66506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127" w:type="pct"/>
            <w:tcBorders>
              <w:top w:val="single" w:color="auto" w:sz="4" w:space="0"/>
              <w:left w:val="nil"/>
              <w:bottom w:val="single" w:color="auto" w:sz="4" w:space="0"/>
              <w:right w:val="single" w:color="auto" w:sz="4" w:space="0"/>
            </w:tcBorders>
            <w:vAlign w:val="center"/>
          </w:tcPr>
          <w:p w14:paraId="0E2D4B8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5</w:t>
            </w:r>
          </w:p>
        </w:tc>
        <w:tc>
          <w:tcPr>
            <w:tcW w:w="646" w:type="pct"/>
            <w:tcBorders>
              <w:top w:val="single" w:color="auto" w:sz="4" w:space="0"/>
              <w:left w:val="single" w:color="auto" w:sz="4" w:space="0"/>
              <w:bottom w:val="single" w:color="auto" w:sz="4" w:space="0"/>
              <w:right w:val="single" w:color="auto" w:sz="4" w:space="0"/>
            </w:tcBorders>
            <w:vAlign w:val="center"/>
          </w:tcPr>
          <w:p w14:paraId="094D432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0.0283</w:t>
            </w:r>
          </w:p>
        </w:tc>
        <w:tc>
          <w:tcPr>
            <w:tcW w:w="646" w:type="pct"/>
            <w:tcBorders>
              <w:top w:val="single" w:color="auto" w:sz="4" w:space="0"/>
              <w:left w:val="single" w:color="auto" w:sz="4" w:space="0"/>
              <w:bottom w:val="single" w:color="auto" w:sz="4" w:space="0"/>
              <w:right w:val="single" w:color="auto" w:sz="4" w:space="0"/>
            </w:tcBorders>
            <w:vAlign w:val="center"/>
          </w:tcPr>
          <w:p w14:paraId="3E730A6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0.0476</w:t>
            </w:r>
          </w:p>
        </w:tc>
        <w:tc>
          <w:tcPr>
            <w:tcW w:w="646" w:type="pct"/>
            <w:tcBorders>
              <w:top w:val="single" w:color="auto" w:sz="4" w:space="0"/>
              <w:left w:val="single" w:color="auto" w:sz="4" w:space="0"/>
              <w:bottom w:val="single" w:color="auto" w:sz="4" w:space="0"/>
              <w:right w:val="single" w:color="auto" w:sz="4" w:space="0"/>
            </w:tcBorders>
            <w:vAlign w:val="center"/>
          </w:tcPr>
          <w:p w14:paraId="71055F1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0.0646</w:t>
            </w:r>
          </w:p>
        </w:tc>
        <w:tc>
          <w:tcPr>
            <w:tcW w:w="594" w:type="pct"/>
            <w:tcBorders>
              <w:top w:val="single" w:color="auto" w:sz="4" w:space="0"/>
              <w:left w:val="single" w:color="auto" w:sz="4" w:space="0"/>
              <w:bottom w:val="single" w:color="auto" w:sz="4" w:space="0"/>
              <w:right w:val="single" w:color="auto" w:sz="4" w:space="0"/>
            </w:tcBorders>
            <w:vAlign w:val="center"/>
          </w:tcPr>
          <w:p w14:paraId="4EA40F5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0.0801</w:t>
            </w:r>
          </w:p>
        </w:tc>
        <w:tc>
          <w:tcPr>
            <w:tcW w:w="698" w:type="pct"/>
            <w:tcBorders>
              <w:top w:val="single" w:color="auto" w:sz="4" w:space="0"/>
              <w:left w:val="single" w:color="auto" w:sz="4" w:space="0"/>
              <w:bottom w:val="single" w:color="auto" w:sz="4" w:space="0"/>
              <w:right w:val="single" w:color="auto" w:sz="4" w:space="0"/>
            </w:tcBorders>
            <w:vAlign w:val="center"/>
          </w:tcPr>
          <w:p w14:paraId="7ED4191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0.0947</w:t>
            </w:r>
          </w:p>
        </w:tc>
        <w:tc>
          <w:tcPr>
            <w:tcW w:w="643" w:type="pct"/>
            <w:tcBorders>
              <w:top w:val="single" w:color="auto" w:sz="4" w:space="0"/>
              <w:left w:val="single" w:color="auto" w:sz="4" w:space="0"/>
              <w:bottom w:val="single" w:color="auto" w:sz="4" w:space="0"/>
              <w:right w:val="nil"/>
            </w:tcBorders>
            <w:vAlign w:val="center"/>
          </w:tcPr>
          <w:p w14:paraId="31F8F3C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0.1593</w:t>
            </w:r>
          </w:p>
        </w:tc>
      </w:tr>
      <w:tr w14:paraId="28301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127" w:type="pct"/>
            <w:tcBorders>
              <w:top w:val="single" w:color="auto" w:sz="4" w:space="0"/>
              <w:left w:val="nil"/>
              <w:bottom w:val="single" w:color="auto" w:sz="4" w:space="0"/>
              <w:right w:val="single" w:color="auto" w:sz="4" w:space="0"/>
            </w:tcBorders>
            <w:vAlign w:val="center"/>
          </w:tcPr>
          <w:p w14:paraId="2592F7C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10</w:t>
            </w:r>
          </w:p>
        </w:tc>
        <w:tc>
          <w:tcPr>
            <w:tcW w:w="646" w:type="pct"/>
            <w:tcBorders>
              <w:top w:val="single" w:color="auto" w:sz="4" w:space="0"/>
              <w:left w:val="single" w:color="auto" w:sz="4" w:space="0"/>
              <w:bottom w:val="single" w:color="auto" w:sz="4" w:space="0"/>
              <w:right w:val="single" w:color="auto" w:sz="4" w:space="0"/>
            </w:tcBorders>
            <w:vAlign w:val="center"/>
          </w:tcPr>
          <w:p w14:paraId="7BE660D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0.0566</w:t>
            </w:r>
          </w:p>
        </w:tc>
        <w:tc>
          <w:tcPr>
            <w:tcW w:w="646" w:type="pct"/>
            <w:tcBorders>
              <w:top w:val="single" w:color="auto" w:sz="4" w:space="0"/>
              <w:left w:val="single" w:color="auto" w:sz="4" w:space="0"/>
              <w:bottom w:val="single" w:color="auto" w:sz="4" w:space="0"/>
              <w:right w:val="single" w:color="auto" w:sz="4" w:space="0"/>
            </w:tcBorders>
            <w:vAlign w:val="center"/>
          </w:tcPr>
          <w:p w14:paraId="38FF721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0.0953</w:t>
            </w:r>
          </w:p>
        </w:tc>
        <w:tc>
          <w:tcPr>
            <w:tcW w:w="646" w:type="pct"/>
            <w:tcBorders>
              <w:top w:val="single" w:color="auto" w:sz="4" w:space="0"/>
              <w:left w:val="single" w:color="auto" w:sz="4" w:space="0"/>
              <w:bottom w:val="single" w:color="auto" w:sz="4" w:space="0"/>
              <w:right w:val="single" w:color="auto" w:sz="4" w:space="0"/>
            </w:tcBorders>
            <w:vAlign w:val="center"/>
          </w:tcPr>
          <w:p w14:paraId="2CB850F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0.1291</w:t>
            </w:r>
          </w:p>
        </w:tc>
        <w:tc>
          <w:tcPr>
            <w:tcW w:w="594" w:type="pct"/>
            <w:tcBorders>
              <w:top w:val="single" w:color="auto" w:sz="4" w:space="0"/>
              <w:left w:val="single" w:color="auto" w:sz="4" w:space="0"/>
              <w:bottom w:val="single" w:color="auto" w:sz="4" w:space="0"/>
              <w:right w:val="single" w:color="auto" w:sz="4" w:space="0"/>
            </w:tcBorders>
            <w:vAlign w:val="center"/>
          </w:tcPr>
          <w:p w14:paraId="11FADE9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0.1602</w:t>
            </w:r>
          </w:p>
        </w:tc>
        <w:tc>
          <w:tcPr>
            <w:tcW w:w="698" w:type="pct"/>
            <w:tcBorders>
              <w:top w:val="single" w:color="auto" w:sz="4" w:space="0"/>
              <w:left w:val="single" w:color="auto" w:sz="4" w:space="0"/>
              <w:bottom w:val="single" w:color="auto" w:sz="4" w:space="0"/>
              <w:right w:val="single" w:color="auto" w:sz="4" w:space="0"/>
            </w:tcBorders>
            <w:vAlign w:val="center"/>
          </w:tcPr>
          <w:p w14:paraId="6EF5E5F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0.1894</w:t>
            </w:r>
          </w:p>
        </w:tc>
        <w:tc>
          <w:tcPr>
            <w:tcW w:w="643" w:type="pct"/>
            <w:tcBorders>
              <w:top w:val="single" w:color="auto" w:sz="4" w:space="0"/>
              <w:left w:val="single" w:color="auto" w:sz="4" w:space="0"/>
              <w:bottom w:val="single" w:color="auto" w:sz="4" w:space="0"/>
              <w:right w:val="nil"/>
            </w:tcBorders>
            <w:vAlign w:val="center"/>
          </w:tcPr>
          <w:p w14:paraId="1C70CE2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0.3186</w:t>
            </w:r>
          </w:p>
        </w:tc>
      </w:tr>
      <w:tr w14:paraId="0A0BE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127" w:type="pct"/>
            <w:tcBorders>
              <w:top w:val="single" w:color="auto" w:sz="4" w:space="0"/>
              <w:left w:val="nil"/>
              <w:bottom w:val="single" w:color="auto" w:sz="4" w:space="0"/>
              <w:right w:val="single" w:color="auto" w:sz="4" w:space="0"/>
            </w:tcBorders>
            <w:vAlign w:val="center"/>
          </w:tcPr>
          <w:p w14:paraId="3EFEC07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15</w:t>
            </w:r>
          </w:p>
        </w:tc>
        <w:tc>
          <w:tcPr>
            <w:tcW w:w="646" w:type="pct"/>
            <w:tcBorders>
              <w:top w:val="single" w:color="auto" w:sz="4" w:space="0"/>
              <w:left w:val="single" w:color="auto" w:sz="4" w:space="0"/>
              <w:bottom w:val="single" w:color="auto" w:sz="4" w:space="0"/>
              <w:right w:val="single" w:color="auto" w:sz="4" w:space="0"/>
            </w:tcBorders>
            <w:vAlign w:val="center"/>
          </w:tcPr>
          <w:p w14:paraId="66B7A0F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0.0850</w:t>
            </w:r>
          </w:p>
        </w:tc>
        <w:tc>
          <w:tcPr>
            <w:tcW w:w="646" w:type="pct"/>
            <w:tcBorders>
              <w:top w:val="single" w:color="auto" w:sz="4" w:space="0"/>
              <w:left w:val="single" w:color="auto" w:sz="4" w:space="0"/>
              <w:bottom w:val="single" w:color="auto" w:sz="4" w:space="0"/>
              <w:right w:val="single" w:color="auto" w:sz="4" w:space="0"/>
            </w:tcBorders>
            <w:vAlign w:val="center"/>
          </w:tcPr>
          <w:p w14:paraId="5BE0021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0.1429</w:t>
            </w:r>
          </w:p>
        </w:tc>
        <w:tc>
          <w:tcPr>
            <w:tcW w:w="646" w:type="pct"/>
            <w:tcBorders>
              <w:top w:val="single" w:color="auto" w:sz="4" w:space="0"/>
              <w:left w:val="single" w:color="auto" w:sz="4" w:space="0"/>
              <w:bottom w:val="single" w:color="auto" w:sz="4" w:space="0"/>
              <w:right w:val="single" w:color="auto" w:sz="4" w:space="0"/>
            </w:tcBorders>
            <w:vAlign w:val="center"/>
          </w:tcPr>
          <w:p w14:paraId="33957AE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0.1937</w:t>
            </w:r>
          </w:p>
        </w:tc>
        <w:tc>
          <w:tcPr>
            <w:tcW w:w="594" w:type="pct"/>
            <w:tcBorders>
              <w:top w:val="single" w:color="auto" w:sz="4" w:space="0"/>
              <w:left w:val="single" w:color="auto" w:sz="4" w:space="0"/>
              <w:bottom w:val="single" w:color="auto" w:sz="4" w:space="0"/>
              <w:right w:val="single" w:color="auto" w:sz="4" w:space="0"/>
            </w:tcBorders>
            <w:vAlign w:val="center"/>
          </w:tcPr>
          <w:p w14:paraId="2D3F876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0.2403</w:t>
            </w:r>
          </w:p>
        </w:tc>
        <w:tc>
          <w:tcPr>
            <w:tcW w:w="698" w:type="pct"/>
            <w:tcBorders>
              <w:top w:val="single" w:color="auto" w:sz="4" w:space="0"/>
              <w:left w:val="single" w:color="auto" w:sz="4" w:space="0"/>
              <w:bottom w:val="single" w:color="auto" w:sz="4" w:space="0"/>
              <w:right w:val="single" w:color="auto" w:sz="4" w:space="0"/>
            </w:tcBorders>
            <w:vAlign w:val="center"/>
          </w:tcPr>
          <w:p w14:paraId="6C57184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0.2841</w:t>
            </w:r>
          </w:p>
        </w:tc>
        <w:tc>
          <w:tcPr>
            <w:tcW w:w="643" w:type="pct"/>
            <w:tcBorders>
              <w:top w:val="single" w:color="auto" w:sz="4" w:space="0"/>
              <w:left w:val="single" w:color="auto" w:sz="4" w:space="0"/>
              <w:bottom w:val="single" w:color="auto" w:sz="4" w:space="0"/>
              <w:right w:val="nil"/>
            </w:tcBorders>
            <w:vAlign w:val="center"/>
          </w:tcPr>
          <w:p w14:paraId="1642E54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0.4778</w:t>
            </w:r>
          </w:p>
        </w:tc>
      </w:tr>
      <w:tr w14:paraId="21EBB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127" w:type="pct"/>
            <w:tcBorders>
              <w:top w:val="single" w:color="auto" w:sz="4" w:space="0"/>
              <w:left w:val="nil"/>
              <w:bottom w:val="single" w:color="auto" w:sz="12" w:space="0"/>
              <w:right w:val="single" w:color="auto" w:sz="4" w:space="0"/>
            </w:tcBorders>
            <w:vAlign w:val="center"/>
          </w:tcPr>
          <w:p w14:paraId="71F9380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20</w:t>
            </w:r>
          </w:p>
        </w:tc>
        <w:tc>
          <w:tcPr>
            <w:tcW w:w="646" w:type="pct"/>
            <w:tcBorders>
              <w:top w:val="single" w:color="auto" w:sz="4" w:space="0"/>
              <w:left w:val="single" w:color="auto" w:sz="4" w:space="0"/>
              <w:bottom w:val="single" w:color="auto" w:sz="12" w:space="0"/>
              <w:right w:val="single" w:color="auto" w:sz="4" w:space="0"/>
            </w:tcBorders>
            <w:vAlign w:val="center"/>
          </w:tcPr>
          <w:p w14:paraId="1DB1F61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0.1133</w:t>
            </w:r>
          </w:p>
        </w:tc>
        <w:tc>
          <w:tcPr>
            <w:tcW w:w="646" w:type="pct"/>
            <w:tcBorders>
              <w:top w:val="single" w:color="auto" w:sz="4" w:space="0"/>
              <w:left w:val="single" w:color="auto" w:sz="4" w:space="0"/>
              <w:bottom w:val="single" w:color="auto" w:sz="12" w:space="0"/>
              <w:right w:val="single" w:color="auto" w:sz="4" w:space="0"/>
            </w:tcBorders>
            <w:vAlign w:val="center"/>
          </w:tcPr>
          <w:p w14:paraId="3FDC7A9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0.1905</w:t>
            </w:r>
          </w:p>
        </w:tc>
        <w:tc>
          <w:tcPr>
            <w:tcW w:w="646" w:type="pct"/>
            <w:tcBorders>
              <w:top w:val="single" w:color="auto" w:sz="4" w:space="0"/>
              <w:left w:val="single" w:color="auto" w:sz="4" w:space="0"/>
              <w:bottom w:val="single" w:color="auto" w:sz="12" w:space="0"/>
              <w:right w:val="single" w:color="auto" w:sz="4" w:space="0"/>
            </w:tcBorders>
            <w:vAlign w:val="center"/>
          </w:tcPr>
          <w:p w14:paraId="651B438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0.2583</w:t>
            </w:r>
          </w:p>
        </w:tc>
        <w:tc>
          <w:tcPr>
            <w:tcW w:w="594" w:type="pct"/>
            <w:tcBorders>
              <w:top w:val="single" w:color="auto" w:sz="4" w:space="0"/>
              <w:left w:val="single" w:color="auto" w:sz="4" w:space="0"/>
              <w:bottom w:val="single" w:color="auto" w:sz="12" w:space="0"/>
              <w:right w:val="single" w:color="auto" w:sz="4" w:space="0"/>
            </w:tcBorders>
            <w:vAlign w:val="center"/>
          </w:tcPr>
          <w:p w14:paraId="5B653F7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0.3204</w:t>
            </w:r>
          </w:p>
        </w:tc>
        <w:tc>
          <w:tcPr>
            <w:tcW w:w="698" w:type="pct"/>
            <w:tcBorders>
              <w:top w:val="single" w:color="auto" w:sz="4" w:space="0"/>
              <w:left w:val="single" w:color="auto" w:sz="4" w:space="0"/>
              <w:bottom w:val="single" w:color="auto" w:sz="12" w:space="0"/>
              <w:right w:val="single" w:color="auto" w:sz="4" w:space="0"/>
            </w:tcBorders>
            <w:vAlign w:val="center"/>
          </w:tcPr>
          <w:p w14:paraId="2650756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0.3788</w:t>
            </w:r>
          </w:p>
        </w:tc>
        <w:tc>
          <w:tcPr>
            <w:tcW w:w="643" w:type="pct"/>
            <w:tcBorders>
              <w:top w:val="single" w:color="auto" w:sz="4" w:space="0"/>
              <w:left w:val="single" w:color="auto" w:sz="4" w:space="0"/>
              <w:bottom w:val="single" w:color="auto" w:sz="12" w:space="0"/>
              <w:right w:val="nil"/>
            </w:tcBorders>
            <w:vAlign w:val="center"/>
          </w:tcPr>
          <w:p w14:paraId="609B42D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0.6371</w:t>
            </w:r>
          </w:p>
        </w:tc>
      </w:tr>
    </w:tbl>
    <w:p w14:paraId="4A3A1935">
      <w:pPr>
        <w:bidi w:val="0"/>
        <w:rPr>
          <w:szCs w:val="20"/>
        </w:rPr>
      </w:pPr>
      <w:r>
        <w:t>如果在施工期间对车辆行驶的路面实施洒水抑尘，每天洒水4～5次，可使扬尘减少70%左右。下表为施工场地洒水抑尘的试验结果，结果表明实施每天洒水4～5次进行抑尘，可有效地控制施工扬尘，可将TSP污染距离缩小到20～50m范围。</w:t>
      </w:r>
    </w:p>
    <w:p w14:paraId="2A9607A1">
      <w:pPr>
        <w:adjustRightInd w:val="0"/>
        <w:snapToGrid w:val="0"/>
        <w:spacing w:before="120" w:beforeLines="50" w:line="240" w:lineRule="auto"/>
        <w:jc w:val="center"/>
        <w:rPr>
          <w:rFonts w:hint="eastAsia" w:ascii="黑体" w:hAnsi="黑体" w:eastAsia="黑体" w:cs="黑体"/>
          <w:b w:val="0"/>
          <w:bCs/>
          <w:sz w:val="21"/>
          <w:szCs w:val="21"/>
        </w:rPr>
      </w:pPr>
      <w:r>
        <w:rPr>
          <w:rFonts w:hint="eastAsia" w:ascii="黑体" w:hAnsi="黑体" w:eastAsia="黑体" w:cs="黑体"/>
          <w:b w:val="0"/>
          <w:bCs/>
          <w:sz w:val="21"/>
          <w:szCs w:val="21"/>
        </w:rPr>
        <w:t>表</w:t>
      </w:r>
      <w:r>
        <w:rPr>
          <w:rFonts w:hint="eastAsia" w:ascii="黑体" w:hAnsi="黑体" w:eastAsia="黑体" w:cs="黑体"/>
          <w:b w:val="0"/>
          <w:bCs/>
          <w:sz w:val="21"/>
          <w:szCs w:val="21"/>
          <w:lang w:val="en-US" w:eastAsia="zh-CN"/>
        </w:rPr>
        <w:t>7-2</w:t>
      </w:r>
      <w:r>
        <w:rPr>
          <w:rFonts w:hint="eastAsia" w:ascii="黑体" w:hAnsi="黑体" w:eastAsia="黑体" w:cs="黑体"/>
          <w:b w:val="0"/>
          <w:bCs/>
          <w:sz w:val="21"/>
          <w:szCs w:val="21"/>
        </w:rPr>
        <w:t>施工场地洒水抑尘试验结果</w:t>
      </w:r>
    </w:p>
    <w:tbl>
      <w:tblPr>
        <w:tblStyle w:val="52"/>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2136"/>
        <w:gridCol w:w="1356"/>
        <w:gridCol w:w="1378"/>
        <w:gridCol w:w="1358"/>
        <w:gridCol w:w="1358"/>
        <w:gridCol w:w="1360"/>
      </w:tblGrid>
      <w:tr w14:paraId="45D640D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952" w:type="pct"/>
            <w:gridSpan w:val="2"/>
            <w:tcBorders>
              <w:top w:val="single" w:color="auto" w:sz="12" w:space="0"/>
              <w:left w:val="nil"/>
              <w:bottom w:val="single" w:color="auto" w:sz="4" w:space="0"/>
              <w:right w:val="single" w:color="auto" w:sz="4" w:space="0"/>
            </w:tcBorders>
            <w:vAlign w:val="center"/>
          </w:tcPr>
          <w:p w14:paraId="2BFE6CEC">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sz w:val="21"/>
              </w:rPr>
            </w:pPr>
            <w:r>
              <w:rPr>
                <w:sz w:val="21"/>
              </w:rPr>
              <w:t>距离（m）</w:t>
            </w:r>
          </w:p>
        </w:tc>
        <w:tc>
          <w:tcPr>
            <w:tcW w:w="770" w:type="pct"/>
            <w:tcBorders>
              <w:top w:val="single" w:color="auto" w:sz="12" w:space="0"/>
              <w:left w:val="single" w:color="auto" w:sz="4" w:space="0"/>
              <w:bottom w:val="single" w:color="auto" w:sz="4" w:space="0"/>
              <w:right w:val="single" w:color="auto" w:sz="4" w:space="0"/>
            </w:tcBorders>
            <w:vAlign w:val="center"/>
          </w:tcPr>
          <w:p w14:paraId="171914D4">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sz w:val="21"/>
              </w:rPr>
            </w:pPr>
            <w:r>
              <w:rPr>
                <w:sz w:val="21"/>
              </w:rPr>
              <w:t>5</w:t>
            </w:r>
          </w:p>
        </w:tc>
        <w:tc>
          <w:tcPr>
            <w:tcW w:w="759" w:type="pct"/>
            <w:tcBorders>
              <w:top w:val="single" w:color="auto" w:sz="12" w:space="0"/>
              <w:left w:val="single" w:color="auto" w:sz="4" w:space="0"/>
              <w:bottom w:val="single" w:color="auto" w:sz="4" w:space="0"/>
              <w:right w:val="single" w:color="auto" w:sz="4" w:space="0"/>
            </w:tcBorders>
            <w:vAlign w:val="center"/>
          </w:tcPr>
          <w:p w14:paraId="6FD3FCD0">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sz w:val="21"/>
              </w:rPr>
            </w:pPr>
            <w:r>
              <w:rPr>
                <w:sz w:val="21"/>
              </w:rPr>
              <w:t>20</w:t>
            </w:r>
          </w:p>
        </w:tc>
        <w:tc>
          <w:tcPr>
            <w:tcW w:w="759" w:type="pct"/>
            <w:tcBorders>
              <w:top w:val="single" w:color="auto" w:sz="12" w:space="0"/>
              <w:left w:val="single" w:color="auto" w:sz="4" w:space="0"/>
              <w:bottom w:val="single" w:color="auto" w:sz="4" w:space="0"/>
              <w:right w:val="single" w:color="auto" w:sz="4" w:space="0"/>
            </w:tcBorders>
            <w:vAlign w:val="center"/>
          </w:tcPr>
          <w:p w14:paraId="35622EBF">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sz w:val="21"/>
              </w:rPr>
            </w:pPr>
            <w:r>
              <w:rPr>
                <w:sz w:val="21"/>
              </w:rPr>
              <w:t>50</w:t>
            </w:r>
          </w:p>
        </w:tc>
        <w:tc>
          <w:tcPr>
            <w:tcW w:w="760" w:type="pct"/>
            <w:tcBorders>
              <w:top w:val="single" w:color="auto" w:sz="12" w:space="0"/>
              <w:left w:val="single" w:color="auto" w:sz="4" w:space="0"/>
              <w:bottom w:val="single" w:color="auto" w:sz="4" w:space="0"/>
              <w:right w:val="nil"/>
            </w:tcBorders>
            <w:vAlign w:val="center"/>
          </w:tcPr>
          <w:p w14:paraId="3AC3B8E3">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sz w:val="21"/>
              </w:rPr>
            </w:pPr>
            <w:r>
              <w:rPr>
                <w:sz w:val="21"/>
              </w:rPr>
              <w:t>100</w:t>
            </w:r>
          </w:p>
        </w:tc>
      </w:tr>
      <w:tr w14:paraId="09192A2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94" w:type="pct"/>
            <w:vMerge w:val="restart"/>
            <w:tcBorders>
              <w:top w:val="single" w:color="auto" w:sz="4" w:space="0"/>
              <w:left w:val="nil"/>
              <w:bottom w:val="single" w:color="auto" w:sz="12" w:space="0"/>
              <w:right w:val="single" w:color="auto" w:sz="4" w:space="0"/>
            </w:tcBorders>
            <w:vAlign w:val="center"/>
          </w:tcPr>
          <w:p w14:paraId="6878E87A">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sz w:val="21"/>
                <w:szCs w:val="20"/>
              </w:rPr>
            </w:pPr>
            <w:r>
              <w:rPr>
                <w:sz w:val="21"/>
              </w:rPr>
              <w:t>TSP平均浓度</w:t>
            </w:r>
          </w:p>
          <w:p w14:paraId="3585D09B">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sz w:val="21"/>
              </w:rPr>
            </w:pPr>
            <w:r>
              <w:rPr>
                <w:sz w:val="21"/>
              </w:rPr>
              <w:t>（mg/m</w:t>
            </w:r>
            <w:r>
              <w:rPr>
                <w:sz w:val="21"/>
                <w:vertAlign w:val="superscript"/>
              </w:rPr>
              <w:t>3</w:t>
            </w:r>
            <w:r>
              <w:rPr>
                <w:sz w:val="21"/>
              </w:rPr>
              <w:t>）</w:t>
            </w:r>
          </w:p>
        </w:tc>
        <w:tc>
          <w:tcPr>
            <w:tcW w:w="758" w:type="pct"/>
            <w:tcBorders>
              <w:top w:val="single" w:color="auto" w:sz="4" w:space="0"/>
              <w:left w:val="single" w:color="auto" w:sz="4" w:space="0"/>
              <w:bottom w:val="single" w:color="auto" w:sz="4" w:space="0"/>
              <w:right w:val="single" w:color="auto" w:sz="4" w:space="0"/>
            </w:tcBorders>
            <w:vAlign w:val="center"/>
          </w:tcPr>
          <w:p w14:paraId="0B3AFF33">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sz w:val="21"/>
              </w:rPr>
            </w:pPr>
            <w:r>
              <w:rPr>
                <w:sz w:val="21"/>
              </w:rPr>
              <w:t>不洒水</w:t>
            </w:r>
          </w:p>
        </w:tc>
        <w:tc>
          <w:tcPr>
            <w:tcW w:w="770" w:type="pct"/>
            <w:tcBorders>
              <w:top w:val="single" w:color="auto" w:sz="4" w:space="0"/>
              <w:left w:val="single" w:color="auto" w:sz="4" w:space="0"/>
              <w:bottom w:val="single" w:color="auto" w:sz="4" w:space="0"/>
              <w:right w:val="single" w:color="auto" w:sz="4" w:space="0"/>
            </w:tcBorders>
            <w:vAlign w:val="center"/>
          </w:tcPr>
          <w:p w14:paraId="7D4BDE3D">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sz w:val="21"/>
              </w:rPr>
            </w:pPr>
            <w:r>
              <w:rPr>
                <w:sz w:val="21"/>
              </w:rPr>
              <w:t>10.14</w:t>
            </w:r>
          </w:p>
        </w:tc>
        <w:tc>
          <w:tcPr>
            <w:tcW w:w="759" w:type="pct"/>
            <w:tcBorders>
              <w:top w:val="single" w:color="auto" w:sz="4" w:space="0"/>
              <w:left w:val="single" w:color="auto" w:sz="4" w:space="0"/>
              <w:bottom w:val="single" w:color="auto" w:sz="4" w:space="0"/>
              <w:right w:val="single" w:color="auto" w:sz="4" w:space="0"/>
            </w:tcBorders>
            <w:vAlign w:val="center"/>
          </w:tcPr>
          <w:p w14:paraId="42E1D7C3">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sz w:val="21"/>
              </w:rPr>
            </w:pPr>
            <w:r>
              <w:rPr>
                <w:sz w:val="21"/>
              </w:rPr>
              <w:t>2.89</w:t>
            </w:r>
          </w:p>
        </w:tc>
        <w:tc>
          <w:tcPr>
            <w:tcW w:w="759" w:type="pct"/>
            <w:tcBorders>
              <w:top w:val="single" w:color="auto" w:sz="4" w:space="0"/>
              <w:left w:val="single" w:color="auto" w:sz="4" w:space="0"/>
              <w:bottom w:val="single" w:color="auto" w:sz="4" w:space="0"/>
              <w:right w:val="single" w:color="auto" w:sz="4" w:space="0"/>
            </w:tcBorders>
            <w:vAlign w:val="center"/>
          </w:tcPr>
          <w:p w14:paraId="2FE3B799">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sz w:val="21"/>
              </w:rPr>
            </w:pPr>
            <w:r>
              <w:rPr>
                <w:sz w:val="21"/>
              </w:rPr>
              <w:t>1.15</w:t>
            </w:r>
          </w:p>
        </w:tc>
        <w:tc>
          <w:tcPr>
            <w:tcW w:w="760" w:type="pct"/>
            <w:tcBorders>
              <w:top w:val="single" w:color="auto" w:sz="4" w:space="0"/>
              <w:left w:val="single" w:color="auto" w:sz="4" w:space="0"/>
              <w:bottom w:val="single" w:color="auto" w:sz="4" w:space="0"/>
              <w:right w:val="nil"/>
            </w:tcBorders>
            <w:vAlign w:val="center"/>
          </w:tcPr>
          <w:p w14:paraId="4610FDEB">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sz w:val="21"/>
              </w:rPr>
            </w:pPr>
            <w:r>
              <w:rPr>
                <w:sz w:val="21"/>
              </w:rPr>
              <w:t>0.86</w:t>
            </w:r>
          </w:p>
        </w:tc>
      </w:tr>
      <w:tr w14:paraId="1A5BB05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jc w:val="center"/>
        </w:trPr>
        <w:tc>
          <w:tcPr>
            <w:tcW w:w="0" w:type="auto"/>
            <w:vMerge w:val="continue"/>
            <w:tcBorders>
              <w:top w:val="single" w:color="auto" w:sz="4" w:space="0"/>
              <w:left w:val="nil"/>
              <w:bottom w:val="single" w:color="auto" w:sz="12" w:space="0"/>
              <w:right w:val="single" w:color="auto" w:sz="4" w:space="0"/>
            </w:tcBorders>
            <w:vAlign w:val="center"/>
          </w:tcPr>
          <w:p w14:paraId="00BA2136">
            <w:pPr>
              <w:keepNext w:val="0"/>
              <w:keepLines w:val="0"/>
              <w:pageBreakBefore w:val="0"/>
              <w:widowControl/>
              <w:kinsoku/>
              <w:wordWrap/>
              <w:overflowPunct/>
              <w:topLinePunct w:val="0"/>
              <w:autoSpaceDE/>
              <w:autoSpaceDN/>
              <w:bidi w:val="0"/>
              <w:spacing w:line="240" w:lineRule="auto"/>
              <w:ind w:firstLine="0" w:firstLineChars="0"/>
              <w:jc w:val="left"/>
              <w:textAlignment w:val="auto"/>
              <w:rPr>
                <w:sz w:val="21"/>
              </w:rPr>
            </w:pPr>
          </w:p>
        </w:tc>
        <w:tc>
          <w:tcPr>
            <w:tcW w:w="758" w:type="pct"/>
            <w:tcBorders>
              <w:top w:val="single" w:color="auto" w:sz="4" w:space="0"/>
              <w:left w:val="single" w:color="auto" w:sz="4" w:space="0"/>
              <w:bottom w:val="single" w:color="auto" w:sz="12" w:space="0"/>
              <w:right w:val="single" w:color="auto" w:sz="4" w:space="0"/>
            </w:tcBorders>
            <w:vAlign w:val="center"/>
          </w:tcPr>
          <w:p w14:paraId="32998EF3">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sz w:val="21"/>
              </w:rPr>
            </w:pPr>
            <w:r>
              <w:rPr>
                <w:sz w:val="21"/>
              </w:rPr>
              <w:t>洒  水</w:t>
            </w:r>
          </w:p>
        </w:tc>
        <w:tc>
          <w:tcPr>
            <w:tcW w:w="770" w:type="pct"/>
            <w:tcBorders>
              <w:top w:val="single" w:color="auto" w:sz="4" w:space="0"/>
              <w:left w:val="single" w:color="auto" w:sz="4" w:space="0"/>
              <w:bottom w:val="single" w:color="auto" w:sz="12" w:space="0"/>
              <w:right w:val="single" w:color="auto" w:sz="4" w:space="0"/>
            </w:tcBorders>
            <w:vAlign w:val="center"/>
          </w:tcPr>
          <w:p w14:paraId="0CB33993">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sz w:val="21"/>
              </w:rPr>
            </w:pPr>
            <w:r>
              <w:rPr>
                <w:sz w:val="21"/>
              </w:rPr>
              <w:t>2.01</w:t>
            </w:r>
          </w:p>
        </w:tc>
        <w:tc>
          <w:tcPr>
            <w:tcW w:w="759" w:type="pct"/>
            <w:tcBorders>
              <w:top w:val="single" w:color="auto" w:sz="4" w:space="0"/>
              <w:left w:val="single" w:color="auto" w:sz="4" w:space="0"/>
              <w:bottom w:val="single" w:color="auto" w:sz="12" w:space="0"/>
              <w:right w:val="single" w:color="auto" w:sz="4" w:space="0"/>
            </w:tcBorders>
            <w:vAlign w:val="center"/>
          </w:tcPr>
          <w:p w14:paraId="2A4D2275">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sz w:val="21"/>
              </w:rPr>
            </w:pPr>
            <w:r>
              <w:rPr>
                <w:sz w:val="21"/>
              </w:rPr>
              <w:t>1.40</w:t>
            </w:r>
          </w:p>
        </w:tc>
        <w:tc>
          <w:tcPr>
            <w:tcW w:w="759" w:type="pct"/>
            <w:tcBorders>
              <w:top w:val="single" w:color="auto" w:sz="4" w:space="0"/>
              <w:left w:val="single" w:color="auto" w:sz="4" w:space="0"/>
              <w:bottom w:val="single" w:color="auto" w:sz="12" w:space="0"/>
              <w:right w:val="single" w:color="auto" w:sz="4" w:space="0"/>
            </w:tcBorders>
            <w:vAlign w:val="center"/>
          </w:tcPr>
          <w:p w14:paraId="5FE7B603">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sz w:val="21"/>
              </w:rPr>
            </w:pPr>
            <w:r>
              <w:rPr>
                <w:sz w:val="21"/>
              </w:rPr>
              <w:t>0.67</w:t>
            </w:r>
          </w:p>
        </w:tc>
        <w:tc>
          <w:tcPr>
            <w:tcW w:w="760" w:type="pct"/>
            <w:tcBorders>
              <w:top w:val="single" w:color="auto" w:sz="4" w:space="0"/>
              <w:left w:val="single" w:color="auto" w:sz="4" w:space="0"/>
              <w:bottom w:val="single" w:color="auto" w:sz="12" w:space="0"/>
              <w:right w:val="nil"/>
            </w:tcBorders>
            <w:vAlign w:val="center"/>
          </w:tcPr>
          <w:p w14:paraId="7BC7B3BA">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sz w:val="21"/>
              </w:rPr>
            </w:pPr>
            <w:r>
              <w:rPr>
                <w:sz w:val="21"/>
              </w:rPr>
              <w:t>0.60</w:t>
            </w:r>
          </w:p>
        </w:tc>
      </w:tr>
    </w:tbl>
    <w:p w14:paraId="1851E6B7">
      <w:pPr>
        <w:adjustRightInd w:val="0"/>
        <w:snapToGrid w:val="0"/>
        <w:spacing w:line="360" w:lineRule="auto"/>
        <w:ind w:firstLine="480" w:firstLineChars="200"/>
        <w:rPr>
          <w:szCs w:val="20"/>
        </w:rPr>
      </w:pPr>
      <w:r>
        <w:t>因此，限速行驶及保持路面清洁，同时适当洒水是减少汽车扬尘的有效手段。</w:t>
      </w:r>
    </w:p>
    <w:p w14:paraId="66F2E6DD">
      <w:pPr>
        <w:adjustRightInd w:val="0"/>
        <w:snapToGrid w:val="0"/>
        <w:spacing w:line="360" w:lineRule="auto"/>
        <w:ind w:firstLine="480" w:firstLineChars="200"/>
      </w:pPr>
      <w:r>
        <w:t>建设单位必须严格执行环评要求，采取抑制扬尘措施，如施工场地洒水抑尘、配置工地细目滞尘防护网，采用商品混凝土，做到施工现场及场外道路泥土及时清理，减少二次扬尘。这些措施将降低扬尘量50～70％，可有效减少施工扬尘对环境的影响。</w:t>
      </w:r>
    </w:p>
    <w:p w14:paraId="5F7D0323">
      <w:pPr>
        <w:pStyle w:val="6"/>
        <w:bidi w:val="0"/>
      </w:pPr>
      <w:r>
        <w:rPr>
          <w:rFonts w:hint="eastAsia"/>
          <w:lang w:val="en-US" w:eastAsia="zh-CN"/>
        </w:rPr>
        <w:t>7</w:t>
      </w:r>
      <w:r>
        <w:t>.1.1.2尾气影响分析</w:t>
      </w:r>
    </w:p>
    <w:p w14:paraId="66F69C8E">
      <w:pPr>
        <w:adjustRightInd w:val="0"/>
        <w:snapToGrid w:val="0"/>
        <w:spacing w:line="360" w:lineRule="auto"/>
        <w:ind w:firstLine="480" w:firstLineChars="200"/>
      </w:pPr>
      <w:r>
        <w:t>施工期尾气污染源主要是各种施工车辆。</w:t>
      </w:r>
      <w:r>
        <w:rPr>
          <w:rFonts w:hint="eastAsia"/>
          <w:lang w:eastAsia="zh-CN"/>
        </w:rPr>
        <w:t>本项目利用厂区现有厂房，主要施工作业为厂房内设备安装</w:t>
      </w:r>
      <w:r>
        <w:t>，主要污染源是</w:t>
      </w:r>
      <w:r>
        <w:rPr>
          <w:rFonts w:hint="eastAsia"/>
          <w:lang w:eastAsia="zh-CN"/>
        </w:rPr>
        <w:t>设备</w:t>
      </w:r>
      <w:r>
        <w:t>运输车，主要污染物是NO</w:t>
      </w:r>
      <w:r>
        <w:rPr>
          <w:vertAlign w:val="subscript"/>
        </w:rPr>
        <w:t>x</w:t>
      </w:r>
      <w:r>
        <w:t>、CO、HC等。</w:t>
      </w:r>
    </w:p>
    <w:p w14:paraId="7DA363FB">
      <w:pPr>
        <w:bidi w:val="0"/>
      </w:pPr>
      <w:r>
        <w:t>施工期尾气污染与交通道路尾气污染虽然有所差异，但总体相似。项目施工期进出施工现场的车流量相对很少，因此尾气的排放量对建设地区周边的环境空气质量影响很小。为使施工期间对周围空气环境的影响降到最低程度，应采取以下防治措施：</w:t>
      </w:r>
    </w:p>
    <w:p w14:paraId="63BD28D5">
      <w:pPr>
        <w:bidi w:val="0"/>
      </w:pPr>
      <w:r>
        <w:t>（1）施工工地周围应当设置连续、密闭的围挡，其高度不得低于2.5米。加强施工管理，施工作业点采取封闭施工。</w:t>
      </w:r>
    </w:p>
    <w:p w14:paraId="2FED8CC1">
      <w:pPr>
        <w:bidi w:val="0"/>
      </w:pPr>
      <w:r>
        <w:t>（2）施工工地地面、车行道路应当进行硬化等降尘处理，</w:t>
      </w:r>
    </w:p>
    <w:p w14:paraId="04864895">
      <w:pPr>
        <w:bidi w:val="0"/>
      </w:pPr>
      <w:r>
        <w:t>（3）土方工程等施工时，应当采取洒水等抑尘措施；</w:t>
      </w:r>
    </w:p>
    <w:p w14:paraId="33DAFD22">
      <w:pPr>
        <w:bidi w:val="0"/>
      </w:pPr>
      <w:r>
        <w:t>（4）建筑垃圾、工程渣土等在48小时内未能清运的，应当在施工工地内设置临时堆放场并采取围挡、遮盖等防尘措施；</w:t>
      </w:r>
    </w:p>
    <w:p w14:paraId="11EE4765">
      <w:pPr>
        <w:bidi w:val="0"/>
      </w:pPr>
      <w:r>
        <w:t>（5）运输车辆在除泥、冲洗干净后方可驶出作业场所，不得使用空气压缩机等易产生扬尘的设备清理车辆、设备和物料的尘埃，车辆进出工地应低速行驶，运输筑材料和建筑垃圾的车辆要遮盖苫布，尽量减少车辆在密集居民区的行驶，以减少二次扬尘对行人、居住区的影响。</w:t>
      </w:r>
    </w:p>
    <w:p w14:paraId="2C2F3DDC">
      <w:pPr>
        <w:bidi w:val="0"/>
      </w:pPr>
      <w:r>
        <w:t>（6）需使用混凝土的，应当使用预拌混凝土或者进行密闭搅拌并采取相应的扬尘防治措施，严禁现场露天搅拌；</w:t>
      </w:r>
    </w:p>
    <w:p w14:paraId="09D2B463">
      <w:pPr>
        <w:bidi w:val="0"/>
      </w:pPr>
      <w:r>
        <w:t>（7）如施工工地闲置3个月以上，应当对其裸露泥地进行临时绿化或者铺装；</w:t>
      </w:r>
    </w:p>
    <w:p w14:paraId="541D5310">
      <w:pPr>
        <w:bidi w:val="0"/>
      </w:pPr>
      <w:r>
        <w:t>（8）对工程材料、砂石、土方等易产生扬尘的物料应当密闭处理。在工地内堆放，应采取覆盖防尘网或者防尘布，定期采取喷洒粉尘抑制剂、洒水等措施；</w:t>
      </w:r>
    </w:p>
    <w:p w14:paraId="329CAF21">
      <w:pPr>
        <w:bidi w:val="0"/>
      </w:pPr>
      <w:r>
        <w:t xml:space="preserve">（9）在建筑物、构筑物上运送散装物料、建筑垃圾和渣土的。 </w:t>
      </w:r>
    </w:p>
    <w:p w14:paraId="3F3492A1">
      <w:pPr>
        <w:bidi w:val="0"/>
      </w:pPr>
      <w:r>
        <w:t>总之，要文明施工和加强管理，从源头减少扬尘产生。采取以上措施后，扬尘可得到有效控制，对外界的影响可大大减少。</w:t>
      </w:r>
    </w:p>
    <w:p w14:paraId="25FAC038">
      <w:pPr>
        <w:bidi w:val="0"/>
      </w:pPr>
      <w:r>
        <w:t>施工机械尾气污染控制主要可通过加强设备维护和车辆管理、控制车辆和机械非使用时间的运行、减少车辆空档等候和减速状态下的运行、提高其利用效率等，以达到减少尾气污染物排放的目的。</w:t>
      </w:r>
    </w:p>
    <w:p w14:paraId="6E3A6CF5">
      <w:pPr>
        <w:pageBreakBefore w:val="0"/>
        <w:kinsoku/>
        <w:wordWrap/>
        <w:overflowPunct/>
        <w:topLinePunct w:val="0"/>
        <w:autoSpaceDE/>
        <w:autoSpaceDN/>
        <w:bidi w:val="0"/>
        <w:textAlignment w:val="auto"/>
      </w:pPr>
      <w:r>
        <w:t>综合以上分析，本项目施工扬尘主要影响范围在施工现场内，同时对厂区内亦会产生轻微的影响；对施工现场外的大气环境质量及其它环境空气敏感目标基本没有影响。施工扬尘、汽车尾气对大气环境质量的这些不利影响是偶然的、短暂的、局部的，也是施工中不可避免的，其将随施工的结束而消失。经类比推定，施工期施工扬尘等污染物排放满足《施工及堆料场地扬尘排放标准》（DB21/2642-2016）中城镇建成区浓度限值0.8mg/m</w:t>
      </w:r>
      <w:r>
        <w:rPr>
          <w:vertAlign w:val="superscript"/>
        </w:rPr>
        <w:t>3</w:t>
      </w:r>
      <w:r>
        <w:t>，可达标排放。</w:t>
      </w:r>
    </w:p>
    <w:p w14:paraId="68D45594">
      <w:pPr>
        <w:pStyle w:val="5"/>
        <w:pageBreakBefore w:val="0"/>
        <w:kinsoku/>
        <w:wordWrap/>
        <w:overflowPunct/>
        <w:topLinePunct w:val="0"/>
        <w:autoSpaceDE/>
        <w:autoSpaceDN/>
        <w:bidi w:val="0"/>
        <w:spacing w:before="0" w:after="0"/>
        <w:textAlignment w:val="auto"/>
      </w:pPr>
      <w:r>
        <w:rPr>
          <w:rFonts w:hint="eastAsia"/>
          <w:lang w:val="en-US" w:eastAsia="zh-CN"/>
        </w:rPr>
        <w:t>7</w:t>
      </w:r>
      <w:r>
        <w:t>.1.2施工期水环境影响分析</w:t>
      </w:r>
    </w:p>
    <w:p w14:paraId="53AB4EE5">
      <w:pPr>
        <w:pageBreakBefore w:val="0"/>
        <w:kinsoku/>
        <w:wordWrap/>
        <w:overflowPunct/>
        <w:topLinePunct w:val="0"/>
        <w:autoSpaceDE/>
        <w:autoSpaceDN/>
        <w:bidi w:val="0"/>
        <w:adjustRightInd w:val="0"/>
        <w:snapToGrid w:val="0"/>
        <w:spacing w:line="360" w:lineRule="auto"/>
        <w:ind w:firstLine="480" w:firstLineChars="200"/>
        <w:textAlignment w:val="auto"/>
      </w:pPr>
      <w:r>
        <w:t>施工期产生废水主要为施工废水和施工人员的生活污水。施工期设置简易沉淀池，施工废水经沉淀处理后回用；施工生活污水排环保旱厕，定期清掏，</w:t>
      </w:r>
      <w:r>
        <w:rPr>
          <w:bCs/>
        </w:rPr>
        <w:t>项目施工期废水对地表水影响较小。</w:t>
      </w:r>
    </w:p>
    <w:p w14:paraId="1BDCD2AB">
      <w:pPr>
        <w:pStyle w:val="5"/>
        <w:pageBreakBefore w:val="0"/>
        <w:kinsoku/>
        <w:wordWrap/>
        <w:overflowPunct/>
        <w:topLinePunct w:val="0"/>
        <w:autoSpaceDE/>
        <w:autoSpaceDN/>
        <w:bidi w:val="0"/>
        <w:spacing w:before="0" w:after="0"/>
        <w:textAlignment w:val="auto"/>
      </w:pPr>
      <w:r>
        <w:rPr>
          <w:rFonts w:hint="eastAsia"/>
          <w:lang w:val="en-US" w:eastAsia="zh-CN"/>
        </w:rPr>
        <w:t>7</w:t>
      </w:r>
      <w:r>
        <w:t>.1.3施工期声环境影响分析</w:t>
      </w:r>
    </w:p>
    <w:p w14:paraId="09AB6704">
      <w:pPr>
        <w:pageBreakBefore w:val="0"/>
        <w:kinsoku/>
        <w:wordWrap/>
        <w:overflowPunct/>
        <w:topLinePunct w:val="0"/>
        <w:autoSpaceDE/>
        <w:autoSpaceDN/>
        <w:bidi w:val="0"/>
        <w:adjustRightInd w:val="0"/>
        <w:snapToGrid w:val="0"/>
        <w:spacing w:line="360" w:lineRule="auto"/>
        <w:ind w:firstLine="480" w:firstLineChars="200"/>
        <w:textAlignment w:val="auto"/>
      </w:pPr>
      <w:r>
        <w:t>施工噪声源主要为施工场地的施工机械运行及施工作业产生的噪声，以及车辆运输产生的噪声。根据同类施工阶段的类比调查，噪声源的强度大约在80-95dB（A）之间。类比有关建筑工地施工机械噪声监测数值，主要施工设备噪声及其噪声声级随距离的衰减情况见下表。</w:t>
      </w:r>
    </w:p>
    <w:p w14:paraId="0920F43D">
      <w:pPr>
        <w:adjustRightInd w:val="0"/>
        <w:snapToGrid w:val="0"/>
        <w:spacing w:line="240" w:lineRule="auto"/>
        <w:jc w:val="center"/>
        <w:rPr>
          <w:rFonts w:hint="eastAsia" w:ascii="黑体" w:hAnsi="黑体" w:eastAsia="黑体" w:cs="黑体"/>
          <w:b w:val="0"/>
          <w:bCs/>
          <w:sz w:val="21"/>
          <w:szCs w:val="21"/>
        </w:rPr>
      </w:pPr>
    </w:p>
    <w:p w14:paraId="565712DD">
      <w:pPr>
        <w:pStyle w:val="31"/>
        <w:rPr>
          <w:rFonts w:hint="eastAsia"/>
        </w:rPr>
      </w:pPr>
    </w:p>
    <w:p w14:paraId="27F40BBF">
      <w:pPr>
        <w:adjustRightInd w:val="0"/>
        <w:snapToGrid w:val="0"/>
        <w:spacing w:line="240" w:lineRule="auto"/>
        <w:jc w:val="center"/>
        <w:rPr>
          <w:b/>
          <w:sz w:val="21"/>
          <w:szCs w:val="21"/>
        </w:rPr>
      </w:pPr>
      <w:r>
        <w:rPr>
          <w:rFonts w:hint="eastAsia" w:ascii="黑体" w:hAnsi="黑体" w:eastAsia="黑体" w:cs="黑体"/>
          <w:b w:val="0"/>
          <w:bCs/>
          <w:sz w:val="21"/>
          <w:szCs w:val="21"/>
        </w:rPr>
        <w:t>表</w:t>
      </w:r>
      <w:r>
        <w:rPr>
          <w:rFonts w:hint="eastAsia" w:ascii="黑体" w:hAnsi="黑体" w:eastAsia="黑体" w:cs="黑体"/>
          <w:b w:val="0"/>
          <w:bCs/>
          <w:sz w:val="21"/>
          <w:szCs w:val="21"/>
          <w:lang w:val="en-US" w:eastAsia="zh-CN"/>
        </w:rPr>
        <w:t>7-3</w:t>
      </w:r>
      <w:r>
        <w:rPr>
          <w:rFonts w:hint="eastAsia" w:ascii="黑体" w:hAnsi="黑体" w:eastAsia="黑体" w:cs="黑体"/>
          <w:b w:val="0"/>
          <w:bCs/>
          <w:sz w:val="21"/>
          <w:szCs w:val="21"/>
        </w:rPr>
        <w:t>施工期主要噪声源及距离衰减声级  dB(A)</w:t>
      </w:r>
    </w:p>
    <w:tbl>
      <w:tblPr>
        <w:tblStyle w:val="5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19"/>
        <w:gridCol w:w="573"/>
        <w:gridCol w:w="590"/>
        <w:gridCol w:w="618"/>
        <w:gridCol w:w="657"/>
        <w:gridCol w:w="732"/>
        <w:gridCol w:w="547"/>
        <w:gridCol w:w="657"/>
        <w:gridCol w:w="732"/>
        <w:gridCol w:w="769"/>
        <w:gridCol w:w="1252"/>
      </w:tblGrid>
      <w:tr w14:paraId="436AE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7" w:type="pct"/>
            <w:tcBorders>
              <w:top w:val="single" w:color="auto" w:sz="12" w:space="0"/>
              <w:left w:val="nil"/>
              <w:bottom w:val="single" w:color="auto" w:sz="4" w:space="0"/>
              <w:right w:val="single" w:color="auto" w:sz="4" w:space="0"/>
            </w:tcBorders>
            <w:vAlign w:val="center"/>
          </w:tcPr>
          <w:p w14:paraId="02FEF562">
            <w:pPr>
              <w:keepNext w:val="0"/>
              <w:keepLines w:val="0"/>
              <w:pageBreakBefore w:val="0"/>
              <w:widowControl w:val="0"/>
              <w:kinsoku/>
              <w:wordWrap/>
              <w:overflowPunct/>
              <w:topLinePunct w:val="0"/>
              <w:autoSpaceDE/>
              <w:autoSpaceDN/>
              <w:bidi w:val="0"/>
              <w:spacing w:line="240" w:lineRule="auto"/>
              <w:ind w:firstLine="0" w:firstLineChars="0"/>
              <w:textAlignment w:val="auto"/>
              <w:rPr>
                <w:sz w:val="28"/>
                <w:szCs w:val="20"/>
              </w:rPr>
            </w:pPr>
            <w:r>
              <w:rPr>
                <w:sz w:val="21"/>
                <w:szCs w:val="21"/>
              </w:rPr>
              <w:t xml:space="preserve">          距离</w:t>
            </w:r>
          </w:p>
          <w:p w14:paraId="65C68DE1">
            <w:pPr>
              <w:keepNext w:val="0"/>
              <w:keepLines w:val="0"/>
              <w:pageBreakBefore w:val="0"/>
              <w:widowControl w:val="0"/>
              <w:kinsoku/>
              <w:wordWrap/>
              <w:overflowPunct/>
              <w:topLinePunct w:val="0"/>
              <w:autoSpaceDE/>
              <w:autoSpaceDN/>
              <w:bidi w:val="0"/>
              <w:spacing w:line="240" w:lineRule="auto"/>
              <w:ind w:firstLine="0" w:firstLineChars="0"/>
              <w:textAlignment w:val="auto"/>
              <w:rPr>
                <w:sz w:val="28"/>
              </w:rPr>
            </w:pPr>
            <w:r>
              <w:rPr>
                <w:sz w:val="21"/>
                <w:szCs w:val="21"/>
              </w:rPr>
              <w:t>噪声源</w:t>
            </w:r>
          </w:p>
        </w:tc>
        <w:tc>
          <w:tcPr>
            <w:tcW w:w="321" w:type="pct"/>
            <w:tcBorders>
              <w:top w:val="single" w:color="auto" w:sz="12" w:space="0"/>
              <w:left w:val="single" w:color="auto" w:sz="4" w:space="0"/>
              <w:bottom w:val="single" w:color="auto" w:sz="4" w:space="0"/>
              <w:right w:val="single" w:color="auto" w:sz="4" w:space="0"/>
            </w:tcBorders>
            <w:vAlign w:val="center"/>
          </w:tcPr>
          <w:p w14:paraId="4498164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5m</w:t>
            </w:r>
          </w:p>
        </w:tc>
        <w:tc>
          <w:tcPr>
            <w:tcW w:w="328" w:type="pct"/>
            <w:tcBorders>
              <w:top w:val="single" w:color="auto" w:sz="12" w:space="0"/>
              <w:left w:val="single" w:color="auto" w:sz="4" w:space="0"/>
              <w:bottom w:val="single" w:color="auto" w:sz="4" w:space="0"/>
              <w:right w:val="single" w:color="auto" w:sz="4" w:space="0"/>
            </w:tcBorders>
            <w:vAlign w:val="center"/>
          </w:tcPr>
          <w:p w14:paraId="4D5420B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20m</w:t>
            </w:r>
          </w:p>
        </w:tc>
        <w:tc>
          <w:tcPr>
            <w:tcW w:w="346" w:type="pct"/>
            <w:tcBorders>
              <w:top w:val="single" w:color="auto" w:sz="12" w:space="0"/>
              <w:left w:val="single" w:color="auto" w:sz="4" w:space="0"/>
              <w:bottom w:val="single" w:color="auto" w:sz="4" w:space="0"/>
              <w:right w:val="single" w:color="auto" w:sz="4" w:space="0"/>
            </w:tcBorders>
            <w:vAlign w:val="center"/>
          </w:tcPr>
          <w:p w14:paraId="546E421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30m</w:t>
            </w:r>
          </w:p>
        </w:tc>
        <w:tc>
          <w:tcPr>
            <w:tcW w:w="367" w:type="pct"/>
            <w:tcBorders>
              <w:top w:val="single" w:color="auto" w:sz="12" w:space="0"/>
              <w:left w:val="single" w:color="auto" w:sz="4" w:space="0"/>
              <w:bottom w:val="single" w:color="auto" w:sz="4" w:space="0"/>
              <w:right w:val="single" w:color="auto" w:sz="4" w:space="0"/>
            </w:tcBorders>
            <w:vAlign w:val="center"/>
          </w:tcPr>
          <w:p w14:paraId="42C2BE8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40m</w:t>
            </w:r>
          </w:p>
        </w:tc>
        <w:tc>
          <w:tcPr>
            <w:tcW w:w="409" w:type="pct"/>
            <w:tcBorders>
              <w:top w:val="single" w:color="auto" w:sz="12" w:space="0"/>
              <w:left w:val="single" w:color="auto" w:sz="4" w:space="0"/>
              <w:bottom w:val="single" w:color="auto" w:sz="4" w:space="0"/>
              <w:right w:val="single" w:color="auto" w:sz="4" w:space="0"/>
            </w:tcBorders>
            <w:vAlign w:val="center"/>
          </w:tcPr>
          <w:p w14:paraId="24D9613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60m</w:t>
            </w:r>
          </w:p>
        </w:tc>
        <w:tc>
          <w:tcPr>
            <w:tcW w:w="306" w:type="pct"/>
            <w:tcBorders>
              <w:top w:val="single" w:color="auto" w:sz="12" w:space="0"/>
              <w:left w:val="single" w:color="auto" w:sz="4" w:space="0"/>
              <w:bottom w:val="single" w:color="auto" w:sz="4" w:space="0"/>
              <w:right w:val="single" w:color="auto" w:sz="4" w:space="0"/>
            </w:tcBorders>
            <w:vAlign w:val="center"/>
          </w:tcPr>
          <w:p w14:paraId="20FDB72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pacing w:val="-20"/>
                <w:sz w:val="21"/>
                <w:szCs w:val="21"/>
              </w:rPr>
            </w:pPr>
            <w:r>
              <w:rPr>
                <w:spacing w:val="-20"/>
                <w:sz w:val="21"/>
                <w:szCs w:val="21"/>
              </w:rPr>
              <w:t>80m</w:t>
            </w:r>
          </w:p>
        </w:tc>
        <w:tc>
          <w:tcPr>
            <w:tcW w:w="367" w:type="pct"/>
            <w:tcBorders>
              <w:top w:val="single" w:color="auto" w:sz="12" w:space="0"/>
              <w:left w:val="single" w:color="auto" w:sz="4" w:space="0"/>
              <w:bottom w:val="single" w:color="auto" w:sz="4" w:space="0"/>
              <w:right w:val="single" w:color="auto" w:sz="4" w:space="0"/>
            </w:tcBorders>
            <w:vAlign w:val="center"/>
          </w:tcPr>
          <w:p w14:paraId="64F686B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1</w:t>
            </w:r>
            <w:r>
              <w:rPr>
                <w:spacing w:val="-20"/>
                <w:sz w:val="21"/>
                <w:szCs w:val="21"/>
              </w:rPr>
              <w:t>00m</w:t>
            </w:r>
          </w:p>
        </w:tc>
        <w:tc>
          <w:tcPr>
            <w:tcW w:w="409" w:type="pct"/>
            <w:tcBorders>
              <w:top w:val="single" w:color="auto" w:sz="12" w:space="0"/>
              <w:left w:val="single" w:color="auto" w:sz="4" w:space="0"/>
              <w:bottom w:val="single" w:color="auto" w:sz="4" w:space="0"/>
              <w:right w:val="single" w:color="auto" w:sz="4" w:space="0"/>
            </w:tcBorders>
            <w:vAlign w:val="center"/>
          </w:tcPr>
          <w:p w14:paraId="1C8E456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150m</w:t>
            </w:r>
          </w:p>
        </w:tc>
        <w:tc>
          <w:tcPr>
            <w:tcW w:w="430" w:type="pct"/>
            <w:tcBorders>
              <w:top w:val="single" w:color="auto" w:sz="12" w:space="0"/>
              <w:left w:val="single" w:color="auto" w:sz="4" w:space="0"/>
              <w:bottom w:val="single" w:color="auto" w:sz="4" w:space="0"/>
              <w:right w:val="single" w:color="auto" w:sz="4" w:space="0"/>
            </w:tcBorders>
            <w:vAlign w:val="center"/>
          </w:tcPr>
          <w:p w14:paraId="7B424E4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200m</w:t>
            </w:r>
          </w:p>
        </w:tc>
        <w:tc>
          <w:tcPr>
            <w:tcW w:w="700" w:type="pct"/>
            <w:tcBorders>
              <w:top w:val="single" w:color="auto" w:sz="12" w:space="0"/>
              <w:left w:val="single" w:color="auto" w:sz="4" w:space="0"/>
              <w:bottom w:val="single" w:color="auto" w:sz="4" w:space="0"/>
              <w:right w:val="nil"/>
            </w:tcBorders>
            <w:vAlign w:val="center"/>
          </w:tcPr>
          <w:p w14:paraId="4ACDCA3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声源特征</w:t>
            </w:r>
          </w:p>
        </w:tc>
      </w:tr>
      <w:tr w14:paraId="29F7C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7" w:type="pct"/>
            <w:tcBorders>
              <w:top w:val="single" w:color="auto" w:sz="4" w:space="0"/>
              <w:left w:val="nil"/>
              <w:bottom w:val="single" w:color="auto" w:sz="4" w:space="0"/>
              <w:right w:val="single" w:color="auto" w:sz="4" w:space="0"/>
            </w:tcBorders>
            <w:vAlign w:val="center"/>
          </w:tcPr>
          <w:p w14:paraId="74F50AC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运输车辆</w:t>
            </w:r>
          </w:p>
        </w:tc>
        <w:tc>
          <w:tcPr>
            <w:tcW w:w="321" w:type="pct"/>
            <w:tcBorders>
              <w:top w:val="single" w:color="auto" w:sz="4" w:space="0"/>
              <w:left w:val="single" w:color="auto" w:sz="4" w:space="0"/>
              <w:bottom w:val="single" w:color="auto" w:sz="4" w:space="0"/>
              <w:right w:val="single" w:color="auto" w:sz="4" w:space="0"/>
            </w:tcBorders>
            <w:vAlign w:val="center"/>
          </w:tcPr>
          <w:p w14:paraId="2ED16B1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84</w:t>
            </w:r>
          </w:p>
        </w:tc>
        <w:tc>
          <w:tcPr>
            <w:tcW w:w="328" w:type="pct"/>
            <w:tcBorders>
              <w:top w:val="single" w:color="auto" w:sz="4" w:space="0"/>
              <w:left w:val="single" w:color="auto" w:sz="4" w:space="0"/>
              <w:bottom w:val="single" w:color="auto" w:sz="4" w:space="0"/>
              <w:right w:val="single" w:color="auto" w:sz="4" w:space="0"/>
            </w:tcBorders>
            <w:vAlign w:val="center"/>
          </w:tcPr>
          <w:p w14:paraId="13C96F3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72</w:t>
            </w:r>
          </w:p>
        </w:tc>
        <w:tc>
          <w:tcPr>
            <w:tcW w:w="346" w:type="pct"/>
            <w:tcBorders>
              <w:top w:val="single" w:color="auto" w:sz="4" w:space="0"/>
              <w:left w:val="single" w:color="auto" w:sz="4" w:space="0"/>
              <w:bottom w:val="single" w:color="auto" w:sz="4" w:space="0"/>
              <w:right w:val="single" w:color="auto" w:sz="4" w:space="0"/>
            </w:tcBorders>
            <w:vAlign w:val="center"/>
          </w:tcPr>
          <w:p w14:paraId="546BD22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69</w:t>
            </w:r>
          </w:p>
        </w:tc>
        <w:tc>
          <w:tcPr>
            <w:tcW w:w="367" w:type="pct"/>
            <w:tcBorders>
              <w:top w:val="single" w:color="auto" w:sz="4" w:space="0"/>
              <w:left w:val="single" w:color="auto" w:sz="4" w:space="0"/>
              <w:bottom w:val="single" w:color="auto" w:sz="4" w:space="0"/>
              <w:right w:val="single" w:color="auto" w:sz="4" w:space="0"/>
            </w:tcBorders>
            <w:vAlign w:val="center"/>
          </w:tcPr>
          <w:p w14:paraId="57E2C23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66</w:t>
            </w:r>
          </w:p>
        </w:tc>
        <w:tc>
          <w:tcPr>
            <w:tcW w:w="409" w:type="pct"/>
            <w:tcBorders>
              <w:top w:val="single" w:color="auto" w:sz="4" w:space="0"/>
              <w:left w:val="single" w:color="auto" w:sz="4" w:space="0"/>
              <w:bottom w:val="single" w:color="auto" w:sz="4" w:space="0"/>
              <w:right w:val="single" w:color="auto" w:sz="4" w:space="0"/>
            </w:tcBorders>
            <w:vAlign w:val="center"/>
          </w:tcPr>
          <w:p w14:paraId="1D067AB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62.58</w:t>
            </w:r>
          </w:p>
        </w:tc>
        <w:tc>
          <w:tcPr>
            <w:tcW w:w="306" w:type="pct"/>
            <w:tcBorders>
              <w:top w:val="single" w:color="auto" w:sz="4" w:space="0"/>
              <w:left w:val="single" w:color="auto" w:sz="4" w:space="0"/>
              <w:bottom w:val="single" w:color="auto" w:sz="4" w:space="0"/>
              <w:right w:val="single" w:color="auto" w:sz="4" w:space="0"/>
            </w:tcBorders>
            <w:vAlign w:val="center"/>
          </w:tcPr>
          <w:p w14:paraId="6C70D63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60</w:t>
            </w:r>
          </w:p>
        </w:tc>
        <w:tc>
          <w:tcPr>
            <w:tcW w:w="367" w:type="pct"/>
            <w:tcBorders>
              <w:top w:val="single" w:color="auto" w:sz="4" w:space="0"/>
              <w:left w:val="single" w:color="auto" w:sz="4" w:space="0"/>
              <w:bottom w:val="single" w:color="auto" w:sz="4" w:space="0"/>
              <w:right w:val="single" w:color="auto" w:sz="4" w:space="0"/>
            </w:tcBorders>
            <w:vAlign w:val="center"/>
          </w:tcPr>
          <w:p w14:paraId="75851CB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58</w:t>
            </w:r>
          </w:p>
        </w:tc>
        <w:tc>
          <w:tcPr>
            <w:tcW w:w="409" w:type="pct"/>
            <w:tcBorders>
              <w:top w:val="single" w:color="auto" w:sz="4" w:space="0"/>
              <w:left w:val="single" w:color="auto" w:sz="4" w:space="0"/>
              <w:bottom w:val="single" w:color="auto" w:sz="4" w:space="0"/>
              <w:right w:val="single" w:color="auto" w:sz="4" w:space="0"/>
            </w:tcBorders>
            <w:vAlign w:val="center"/>
          </w:tcPr>
          <w:p w14:paraId="2E3B262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54.5</w:t>
            </w:r>
          </w:p>
        </w:tc>
        <w:tc>
          <w:tcPr>
            <w:tcW w:w="430" w:type="pct"/>
            <w:tcBorders>
              <w:top w:val="single" w:color="auto" w:sz="4" w:space="0"/>
              <w:left w:val="single" w:color="auto" w:sz="4" w:space="0"/>
              <w:bottom w:val="single" w:color="auto" w:sz="4" w:space="0"/>
              <w:right w:val="single" w:color="auto" w:sz="4" w:space="0"/>
            </w:tcBorders>
            <w:vAlign w:val="center"/>
          </w:tcPr>
          <w:p w14:paraId="73240A3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52</w:t>
            </w:r>
          </w:p>
        </w:tc>
        <w:tc>
          <w:tcPr>
            <w:tcW w:w="700" w:type="pct"/>
            <w:tcBorders>
              <w:top w:val="single" w:color="auto" w:sz="4" w:space="0"/>
              <w:left w:val="single" w:color="auto" w:sz="4" w:space="0"/>
              <w:bottom w:val="single" w:color="auto" w:sz="4" w:space="0"/>
              <w:right w:val="nil"/>
            </w:tcBorders>
            <w:vAlign w:val="center"/>
          </w:tcPr>
          <w:p w14:paraId="58039B8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不稳态源</w:t>
            </w:r>
          </w:p>
        </w:tc>
      </w:tr>
      <w:tr w14:paraId="31947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7" w:type="pct"/>
            <w:tcBorders>
              <w:top w:val="single" w:color="auto" w:sz="4" w:space="0"/>
              <w:left w:val="nil"/>
              <w:bottom w:val="single" w:color="auto" w:sz="12" w:space="0"/>
              <w:right w:val="single" w:color="auto" w:sz="4" w:space="0"/>
            </w:tcBorders>
            <w:vAlign w:val="center"/>
          </w:tcPr>
          <w:p w14:paraId="12A06C4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吊车</w:t>
            </w:r>
          </w:p>
        </w:tc>
        <w:tc>
          <w:tcPr>
            <w:tcW w:w="321" w:type="pct"/>
            <w:tcBorders>
              <w:top w:val="single" w:color="auto" w:sz="4" w:space="0"/>
              <w:left w:val="single" w:color="auto" w:sz="4" w:space="0"/>
              <w:bottom w:val="single" w:color="auto" w:sz="12" w:space="0"/>
              <w:right w:val="single" w:color="auto" w:sz="4" w:space="0"/>
            </w:tcBorders>
            <w:vAlign w:val="center"/>
          </w:tcPr>
          <w:p w14:paraId="196CF4B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87</w:t>
            </w:r>
          </w:p>
        </w:tc>
        <w:tc>
          <w:tcPr>
            <w:tcW w:w="328" w:type="pct"/>
            <w:tcBorders>
              <w:top w:val="single" w:color="auto" w:sz="4" w:space="0"/>
              <w:left w:val="single" w:color="auto" w:sz="4" w:space="0"/>
              <w:bottom w:val="single" w:color="auto" w:sz="12" w:space="0"/>
              <w:right w:val="single" w:color="auto" w:sz="4" w:space="0"/>
            </w:tcBorders>
            <w:vAlign w:val="center"/>
          </w:tcPr>
          <w:p w14:paraId="441538F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75</w:t>
            </w:r>
          </w:p>
        </w:tc>
        <w:tc>
          <w:tcPr>
            <w:tcW w:w="346" w:type="pct"/>
            <w:tcBorders>
              <w:top w:val="single" w:color="auto" w:sz="4" w:space="0"/>
              <w:left w:val="single" w:color="auto" w:sz="4" w:space="0"/>
              <w:bottom w:val="single" w:color="auto" w:sz="12" w:space="0"/>
              <w:right w:val="single" w:color="auto" w:sz="4" w:space="0"/>
            </w:tcBorders>
            <w:vAlign w:val="center"/>
          </w:tcPr>
          <w:p w14:paraId="55CECC3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72</w:t>
            </w:r>
          </w:p>
        </w:tc>
        <w:tc>
          <w:tcPr>
            <w:tcW w:w="367" w:type="pct"/>
            <w:tcBorders>
              <w:top w:val="single" w:color="auto" w:sz="4" w:space="0"/>
              <w:left w:val="single" w:color="auto" w:sz="4" w:space="0"/>
              <w:bottom w:val="single" w:color="auto" w:sz="12" w:space="0"/>
              <w:right w:val="single" w:color="auto" w:sz="4" w:space="0"/>
            </w:tcBorders>
            <w:vAlign w:val="center"/>
          </w:tcPr>
          <w:p w14:paraId="54E9AE8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69</w:t>
            </w:r>
          </w:p>
        </w:tc>
        <w:tc>
          <w:tcPr>
            <w:tcW w:w="409" w:type="pct"/>
            <w:tcBorders>
              <w:top w:val="single" w:color="auto" w:sz="4" w:space="0"/>
              <w:left w:val="single" w:color="auto" w:sz="4" w:space="0"/>
              <w:bottom w:val="single" w:color="auto" w:sz="12" w:space="0"/>
              <w:right w:val="single" w:color="auto" w:sz="4" w:space="0"/>
            </w:tcBorders>
            <w:vAlign w:val="center"/>
          </w:tcPr>
          <w:p w14:paraId="7468F51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65.5</w:t>
            </w:r>
          </w:p>
        </w:tc>
        <w:tc>
          <w:tcPr>
            <w:tcW w:w="306" w:type="pct"/>
            <w:tcBorders>
              <w:top w:val="single" w:color="auto" w:sz="4" w:space="0"/>
              <w:left w:val="single" w:color="auto" w:sz="4" w:space="0"/>
              <w:bottom w:val="single" w:color="auto" w:sz="12" w:space="0"/>
              <w:right w:val="single" w:color="auto" w:sz="4" w:space="0"/>
            </w:tcBorders>
            <w:vAlign w:val="center"/>
          </w:tcPr>
          <w:p w14:paraId="46B6074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63</w:t>
            </w:r>
          </w:p>
        </w:tc>
        <w:tc>
          <w:tcPr>
            <w:tcW w:w="367" w:type="pct"/>
            <w:tcBorders>
              <w:top w:val="single" w:color="auto" w:sz="4" w:space="0"/>
              <w:left w:val="single" w:color="auto" w:sz="4" w:space="0"/>
              <w:bottom w:val="single" w:color="auto" w:sz="12" w:space="0"/>
              <w:right w:val="single" w:color="auto" w:sz="4" w:space="0"/>
            </w:tcBorders>
            <w:vAlign w:val="center"/>
          </w:tcPr>
          <w:p w14:paraId="0144D75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61</w:t>
            </w:r>
          </w:p>
        </w:tc>
        <w:tc>
          <w:tcPr>
            <w:tcW w:w="409" w:type="pct"/>
            <w:tcBorders>
              <w:top w:val="single" w:color="auto" w:sz="4" w:space="0"/>
              <w:left w:val="single" w:color="auto" w:sz="4" w:space="0"/>
              <w:bottom w:val="single" w:color="auto" w:sz="12" w:space="0"/>
              <w:right w:val="single" w:color="auto" w:sz="4" w:space="0"/>
            </w:tcBorders>
            <w:vAlign w:val="center"/>
          </w:tcPr>
          <w:p w14:paraId="15D012E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57.5</w:t>
            </w:r>
          </w:p>
        </w:tc>
        <w:tc>
          <w:tcPr>
            <w:tcW w:w="430" w:type="pct"/>
            <w:tcBorders>
              <w:top w:val="single" w:color="auto" w:sz="4" w:space="0"/>
              <w:left w:val="single" w:color="auto" w:sz="4" w:space="0"/>
              <w:bottom w:val="single" w:color="auto" w:sz="12" w:space="0"/>
              <w:right w:val="single" w:color="auto" w:sz="4" w:space="0"/>
            </w:tcBorders>
            <w:vAlign w:val="center"/>
          </w:tcPr>
          <w:p w14:paraId="0DF37AD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55</w:t>
            </w:r>
          </w:p>
        </w:tc>
        <w:tc>
          <w:tcPr>
            <w:tcW w:w="700" w:type="pct"/>
            <w:tcBorders>
              <w:top w:val="single" w:color="auto" w:sz="4" w:space="0"/>
              <w:left w:val="single" w:color="auto" w:sz="4" w:space="0"/>
              <w:bottom w:val="single" w:color="auto" w:sz="12" w:space="0"/>
              <w:right w:val="nil"/>
            </w:tcBorders>
            <w:vAlign w:val="center"/>
          </w:tcPr>
          <w:p w14:paraId="3054648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不稳态源</w:t>
            </w:r>
          </w:p>
        </w:tc>
      </w:tr>
    </w:tbl>
    <w:p w14:paraId="58CBA57B">
      <w:pPr>
        <w:adjustRightInd w:val="0"/>
        <w:snapToGrid w:val="0"/>
        <w:spacing w:line="360" w:lineRule="auto"/>
        <w:ind w:firstLine="480" w:firstLineChars="200"/>
      </w:pPr>
    </w:p>
    <w:p w14:paraId="6FA7520B">
      <w:pPr>
        <w:adjustRightInd w:val="0"/>
        <w:snapToGrid w:val="0"/>
        <w:spacing w:line="360" w:lineRule="auto"/>
        <w:ind w:firstLine="480" w:firstLineChars="200"/>
      </w:pPr>
      <w:r>
        <w:t>施工噪声评价标准执行《建筑施工场界环境噪声排放标准》（GB12523-2011）中规定的噪声限值，昼、夜间分别为70dB(A)和55dB(A)。由上表可知，昼间施工产生噪声级在施工点30m以内吊车超标，40m处均可达到标准值，运输车辆在施工点30m以内可达到标准。经现场调查，本项目距离敏感目标较远，因此工程施工对周边声环境质量影响较小。</w:t>
      </w:r>
    </w:p>
    <w:p w14:paraId="0D162FB5">
      <w:pPr>
        <w:adjustRightInd w:val="0"/>
        <w:snapToGrid w:val="0"/>
        <w:spacing w:line="360" w:lineRule="auto"/>
        <w:ind w:firstLine="480" w:firstLineChars="200"/>
      </w:pPr>
      <w:r>
        <w:t>施工单位须认真落实本环评提出的噪声防治措施，严格按照GB12523-2011《建筑施工场界环境噪声排放标准》的要求进行施工，最大限度的降低噪声对周围声环境的影响，并需采取以下措施：</w:t>
      </w:r>
    </w:p>
    <w:p w14:paraId="79AE79BE">
      <w:pPr>
        <w:adjustRightInd w:val="0"/>
        <w:snapToGrid w:val="0"/>
        <w:spacing w:line="360" w:lineRule="auto"/>
        <w:ind w:firstLine="480" w:firstLineChars="200"/>
      </w:pPr>
      <w:r>
        <w:t>（1）合理安排施工作业时间，夜间22时-次日6时之间严禁施工，合理安排施工计划，尽可能避免大量高噪声设备同时施工；</w:t>
      </w:r>
    </w:p>
    <w:p w14:paraId="6808F1DD">
      <w:pPr>
        <w:adjustRightInd w:val="0"/>
        <w:snapToGrid w:val="0"/>
        <w:spacing w:line="360" w:lineRule="auto"/>
        <w:ind w:firstLine="480" w:firstLineChars="200"/>
      </w:pPr>
      <w:r>
        <w:t>（2）要选用较先进、噪声较小的施工设备，缩短一次开机时间、避免集中作业等，以减少噪声污染，并加强对施工机械的维护保养，做到定期检查、维修；</w:t>
      </w:r>
    </w:p>
    <w:p w14:paraId="0B73CCEF">
      <w:pPr>
        <w:adjustRightInd w:val="0"/>
        <w:snapToGrid w:val="0"/>
        <w:spacing w:line="360" w:lineRule="auto"/>
        <w:ind w:firstLine="480" w:firstLineChars="200"/>
      </w:pPr>
      <w:r>
        <w:t>（3）施工人员在高噪音环境下，每人每天工作时间不超过6h，并配备必要的防护用品。</w:t>
      </w:r>
    </w:p>
    <w:p w14:paraId="2AF030AD">
      <w:pPr>
        <w:autoSpaceDE w:val="0"/>
        <w:autoSpaceDN w:val="0"/>
        <w:adjustRightInd w:val="0"/>
        <w:snapToGrid w:val="0"/>
        <w:spacing w:line="360" w:lineRule="auto"/>
        <w:ind w:firstLine="480" w:firstLineChars="200"/>
      </w:pPr>
      <w:r>
        <w:t>（4）施工期的工作尽量避开评价区域与办公生活区，</w:t>
      </w:r>
      <w:r>
        <w:rPr>
          <w:kern w:val="0"/>
        </w:rPr>
        <w:t>并进行一定隔离和防护消声处理。</w:t>
      </w:r>
    </w:p>
    <w:p w14:paraId="5A9BCF0F">
      <w:pPr>
        <w:adjustRightInd w:val="0"/>
        <w:snapToGrid w:val="0"/>
        <w:spacing w:line="360" w:lineRule="auto"/>
        <w:ind w:firstLine="480" w:firstLineChars="200"/>
      </w:pPr>
      <w:r>
        <w:t>（5）运输车辆进入施工区附近区域时，要适当降低车速，避免或杜绝鸣笛。</w:t>
      </w:r>
    </w:p>
    <w:p w14:paraId="5066457F">
      <w:pPr>
        <w:pStyle w:val="5"/>
        <w:bidi w:val="0"/>
      </w:pPr>
      <w:r>
        <w:rPr>
          <w:rFonts w:hint="eastAsia"/>
          <w:lang w:val="en-US" w:eastAsia="zh-CN"/>
        </w:rPr>
        <w:t>7</w:t>
      </w:r>
      <w:r>
        <w:t>.1.4 施工期固废影响分析</w:t>
      </w:r>
    </w:p>
    <w:p w14:paraId="49B59DDE">
      <w:pPr>
        <w:bidi w:val="0"/>
      </w:pPr>
      <w:r>
        <w:t>施工期的固体废物主要为建筑垃圾和生活垃圾。建筑垃圾主要为弃土，集中堆放后运送至政府指定的地点填埋。施工人员生活垃圾由环卫部门统一运走，施工期固废均等到妥善处置，对外环境影响较小。</w:t>
      </w:r>
    </w:p>
    <w:p w14:paraId="1F1AA673">
      <w:pPr>
        <w:pStyle w:val="3"/>
        <w:keepNext/>
        <w:keepLines/>
        <w:pageBreakBefore w:val="0"/>
        <w:kinsoku/>
        <w:wordWrap/>
        <w:overflowPunct/>
        <w:topLinePunct w:val="0"/>
        <w:autoSpaceDE/>
        <w:autoSpaceDN/>
        <w:bidi w:val="0"/>
        <w:spacing w:before="0" w:after="0"/>
        <w:textAlignment w:val="auto"/>
      </w:pPr>
      <w:bookmarkStart w:id="393" w:name="_Toc28645"/>
      <w:r>
        <w:rPr>
          <w:rFonts w:hint="eastAsia"/>
          <w:lang w:val="en-US" w:eastAsia="zh-CN"/>
        </w:rPr>
        <w:t>7</w:t>
      </w:r>
      <w:r>
        <w:t>.</w:t>
      </w:r>
      <w:bookmarkEnd w:id="389"/>
      <w:bookmarkEnd w:id="390"/>
      <w:bookmarkEnd w:id="391"/>
      <w:bookmarkEnd w:id="392"/>
      <w:r>
        <w:t>2营运期环境影响分析与评价</w:t>
      </w:r>
      <w:bookmarkEnd w:id="393"/>
    </w:p>
    <w:p w14:paraId="3FCE458B">
      <w:pPr>
        <w:pStyle w:val="5"/>
        <w:bidi w:val="0"/>
      </w:pPr>
      <w:bookmarkStart w:id="394" w:name="_Toc479840588"/>
      <w:bookmarkStart w:id="395" w:name="_Toc476183511"/>
      <w:bookmarkStart w:id="396" w:name="_Toc476672759"/>
      <w:bookmarkStart w:id="397" w:name="_Toc468175661"/>
      <w:bookmarkStart w:id="398" w:name="_Toc469553929"/>
      <w:bookmarkStart w:id="399" w:name="_Toc467529125"/>
      <w:r>
        <w:rPr>
          <w:rFonts w:hint="eastAsia"/>
          <w:lang w:val="en-US" w:eastAsia="zh-CN"/>
        </w:rPr>
        <w:t>7</w:t>
      </w:r>
      <w:r>
        <w:t>.2.1环境空气影响预测</w:t>
      </w:r>
    </w:p>
    <w:p w14:paraId="64C200DE">
      <w:pPr>
        <w:pStyle w:val="6"/>
        <w:bidi w:val="0"/>
      </w:pPr>
      <w:r>
        <w:rPr>
          <w:rFonts w:hint="eastAsia"/>
          <w:lang w:val="en-US" w:eastAsia="zh-CN"/>
        </w:rPr>
        <w:t>7</w:t>
      </w:r>
      <w:r>
        <w:t>.2.1.1污染气象特征分析</w:t>
      </w:r>
    </w:p>
    <w:p w14:paraId="4FF2C489">
      <w:pPr>
        <w:pageBreakBefore w:val="0"/>
        <w:kinsoku/>
        <w:wordWrap/>
        <w:overflowPunct/>
        <w:topLinePunct w:val="0"/>
        <w:autoSpaceDE/>
        <w:autoSpaceDN/>
        <w:bidi w:val="0"/>
        <w:textAlignment w:val="auto"/>
      </w:pPr>
      <w:bookmarkStart w:id="400" w:name="_Hlt22537770"/>
      <w:bookmarkEnd w:id="400"/>
      <w:r>
        <w:t>污染气象条件选用</w:t>
      </w:r>
      <w:r>
        <w:rPr>
          <w:rFonts w:hint="eastAsia"/>
          <w:lang w:eastAsia="zh-CN"/>
        </w:rPr>
        <w:t>本溪</w:t>
      </w:r>
      <w:r>
        <w:t>市气象监测站近年的气象观测资料。大气污染物的输送距离和扩散速度直接受风速的影响，而风向可以决定污染物输送的方向。</w:t>
      </w:r>
    </w:p>
    <w:p w14:paraId="2468561A">
      <w:pPr>
        <w:bidi w:val="0"/>
        <w:rPr>
          <w:rFonts w:hint="eastAsia"/>
          <w:lang w:eastAsia="zh-CN"/>
        </w:rPr>
      </w:pPr>
      <w:r>
        <w:rPr>
          <w:rFonts w:hint="default"/>
        </w:rPr>
        <w:t>本区主导风向为东风，次主导风向为东北风；年平均风速2-3m/s，平均风速以4月最大，月平均风速为3.3-3.6m/s；以8月最小，月平均风速1.5-2.1m/s。全年≥6级风的日数为15-26天；全年≥8级风的日数为1-15天。大风的季分布为春多夏少</w:t>
      </w:r>
      <w:r>
        <w:t>。</w:t>
      </w:r>
      <w:r>
        <w:rPr>
          <w:rFonts w:hint="eastAsia"/>
          <w:lang w:eastAsia="zh-CN"/>
        </w:rPr>
        <w:t>本溪市风玫瑰图如下图所示。</w:t>
      </w:r>
    </w:p>
    <w:p w14:paraId="7415E1B0">
      <w:pPr>
        <w:spacing w:line="360" w:lineRule="auto"/>
        <w:ind w:firstLine="480" w:firstLineChars="200"/>
        <w:rPr>
          <w:rFonts w:hint="default" w:ascii="Times New Roman" w:hAnsi="Times New Roman" w:cs="Times New Roman"/>
          <w:color w:val="auto"/>
          <w:sz w:val="24"/>
        </w:rPr>
      </w:pPr>
    </w:p>
    <w:p w14:paraId="678D16F9">
      <w:pPr>
        <w:ind w:firstLine="482" w:firstLineChars="200"/>
        <w:jc w:val="center"/>
        <w:rPr>
          <w:rFonts w:hint="default" w:ascii="Times New Roman" w:hAnsi="Times New Roman" w:cs="Times New Roman"/>
          <w:b/>
          <w:color w:val="auto"/>
        </w:rPr>
      </w:pPr>
      <w:r>
        <w:rPr>
          <w:rFonts w:hint="default" w:ascii="Times New Roman" w:hAnsi="Times New Roman" w:cs="Times New Roman"/>
          <w:b/>
          <w:color w:val="auto"/>
        </w:rPr>
        <w:drawing>
          <wp:inline distT="0" distB="0" distL="114300" distR="114300">
            <wp:extent cx="2555240" cy="2340610"/>
            <wp:effectExtent l="0" t="0" r="16510" b="2540"/>
            <wp:docPr id="12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图片 4"/>
                    <pic:cNvPicPr>
                      <a:picLocks noChangeAspect="1"/>
                    </pic:cNvPicPr>
                  </pic:nvPicPr>
                  <pic:blipFill>
                    <a:blip r:embed="rId30"/>
                    <a:stretch>
                      <a:fillRect/>
                    </a:stretch>
                  </pic:blipFill>
                  <pic:spPr>
                    <a:xfrm>
                      <a:off x="0" y="0"/>
                      <a:ext cx="2555240" cy="2340610"/>
                    </a:xfrm>
                    <a:prstGeom prst="rect">
                      <a:avLst/>
                    </a:prstGeom>
                    <a:noFill/>
                    <a:ln>
                      <a:noFill/>
                    </a:ln>
                  </pic:spPr>
                </pic:pic>
              </a:graphicData>
            </a:graphic>
          </wp:inline>
        </w:drawing>
      </w:r>
    </w:p>
    <w:p w14:paraId="4B913662">
      <w:pPr>
        <w:ind w:firstLine="482" w:firstLineChars="200"/>
        <w:jc w:val="center"/>
        <w:rPr>
          <w:rFonts w:hint="default" w:ascii="Times New Roman" w:hAnsi="Times New Roman" w:cs="Times New Roman"/>
          <w:b/>
          <w:color w:val="auto"/>
        </w:rPr>
      </w:pPr>
    </w:p>
    <w:p w14:paraId="0A6B14E9">
      <w:pPr>
        <w:adjustRightInd w:val="0"/>
        <w:snapToGrid w:val="0"/>
        <w:jc w:val="center"/>
        <w:rPr>
          <w:rFonts w:hint="default" w:ascii="Times New Roman" w:hAnsi="Times New Roman" w:cs="Times New Roman"/>
          <w:color w:val="auto"/>
        </w:rPr>
      </w:pPr>
      <w:r>
        <w:rPr>
          <w:rFonts w:hint="default" w:ascii="Times New Roman" w:hAnsi="Times New Roman" w:cs="Times New Roman"/>
          <w:color w:val="auto"/>
        </w:rPr>
        <w:drawing>
          <wp:inline distT="0" distB="0" distL="114300" distR="114300">
            <wp:extent cx="2479040" cy="2268220"/>
            <wp:effectExtent l="0" t="0" r="16510" b="17780"/>
            <wp:docPr id="12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图片 5"/>
                    <pic:cNvPicPr>
                      <a:picLocks noChangeAspect="1"/>
                    </pic:cNvPicPr>
                  </pic:nvPicPr>
                  <pic:blipFill>
                    <a:blip r:embed="rId31"/>
                    <a:stretch>
                      <a:fillRect/>
                    </a:stretch>
                  </pic:blipFill>
                  <pic:spPr>
                    <a:xfrm>
                      <a:off x="0" y="0"/>
                      <a:ext cx="2479040" cy="2268220"/>
                    </a:xfrm>
                    <a:prstGeom prst="rect">
                      <a:avLst/>
                    </a:prstGeom>
                    <a:noFill/>
                    <a:ln>
                      <a:noFill/>
                    </a:ln>
                  </pic:spPr>
                </pic:pic>
              </a:graphicData>
            </a:graphic>
          </wp:inline>
        </w:drawing>
      </w:r>
      <w:r>
        <w:rPr>
          <w:rFonts w:hint="default" w:ascii="Times New Roman" w:hAnsi="Times New Roman" w:cs="Times New Roman"/>
          <w:color w:val="auto"/>
        </w:rPr>
        <w:t xml:space="preserve"> </w:t>
      </w:r>
    </w:p>
    <w:p w14:paraId="155746B0">
      <w:pPr>
        <w:adjustRightInd w:val="0"/>
        <w:snapToGrid w:val="0"/>
        <w:jc w:val="center"/>
        <w:rPr>
          <w:rFonts w:hint="default" w:ascii="Times New Roman" w:hAnsi="Times New Roman" w:cs="Times New Roman"/>
          <w:color w:val="auto"/>
        </w:rPr>
      </w:pPr>
    </w:p>
    <w:p w14:paraId="31CB0133">
      <w:pPr>
        <w:adjustRightInd w:val="0"/>
        <w:snapToGrid w:val="0"/>
        <w:jc w:val="center"/>
        <w:rPr>
          <w:rFonts w:hint="default" w:ascii="Times New Roman" w:hAnsi="Times New Roman" w:cs="Times New Roman"/>
          <w:color w:val="auto"/>
        </w:rPr>
      </w:pPr>
      <w:r>
        <w:rPr>
          <w:rFonts w:hint="default" w:ascii="Times New Roman" w:hAnsi="Times New Roman" w:cs="Times New Roman"/>
          <w:color w:val="auto"/>
        </w:rPr>
        <w:drawing>
          <wp:inline distT="0" distB="0" distL="114300" distR="114300">
            <wp:extent cx="2479040" cy="2268220"/>
            <wp:effectExtent l="0" t="0" r="16510" b="17780"/>
            <wp:docPr id="12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图片 6"/>
                    <pic:cNvPicPr>
                      <a:picLocks noChangeAspect="1"/>
                    </pic:cNvPicPr>
                  </pic:nvPicPr>
                  <pic:blipFill>
                    <a:blip r:embed="rId32"/>
                    <a:stretch>
                      <a:fillRect/>
                    </a:stretch>
                  </pic:blipFill>
                  <pic:spPr>
                    <a:xfrm>
                      <a:off x="0" y="0"/>
                      <a:ext cx="2479040" cy="2268220"/>
                    </a:xfrm>
                    <a:prstGeom prst="rect">
                      <a:avLst/>
                    </a:prstGeom>
                    <a:noFill/>
                    <a:ln>
                      <a:noFill/>
                    </a:ln>
                  </pic:spPr>
                </pic:pic>
              </a:graphicData>
            </a:graphic>
          </wp:inline>
        </w:drawing>
      </w:r>
    </w:p>
    <w:p w14:paraId="2C3A7D36">
      <w:pPr>
        <w:adjustRightInd w:val="0"/>
        <w:snapToGrid w:val="0"/>
        <w:jc w:val="center"/>
        <w:rPr>
          <w:rFonts w:hint="default" w:ascii="Times New Roman" w:hAnsi="Times New Roman" w:cs="Times New Roman"/>
          <w:b/>
          <w:color w:val="auto"/>
        </w:rPr>
      </w:pPr>
      <w:r>
        <w:rPr>
          <w:rFonts w:hint="default" w:ascii="Times New Roman" w:hAnsi="Times New Roman" w:cs="Times New Roman"/>
          <w:b/>
          <w:color w:val="auto"/>
        </w:rPr>
        <w:drawing>
          <wp:inline distT="0" distB="0" distL="114300" distR="114300">
            <wp:extent cx="2481580" cy="2268220"/>
            <wp:effectExtent l="0" t="0" r="13970" b="17780"/>
            <wp:docPr id="12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图片 7"/>
                    <pic:cNvPicPr>
                      <a:picLocks noChangeAspect="1"/>
                    </pic:cNvPicPr>
                  </pic:nvPicPr>
                  <pic:blipFill>
                    <a:blip r:embed="rId33"/>
                    <a:stretch>
                      <a:fillRect/>
                    </a:stretch>
                  </pic:blipFill>
                  <pic:spPr>
                    <a:xfrm>
                      <a:off x="0" y="0"/>
                      <a:ext cx="2481580" cy="2268220"/>
                    </a:xfrm>
                    <a:prstGeom prst="rect">
                      <a:avLst/>
                    </a:prstGeom>
                    <a:noFill/>
                    <a:ln>
                      <a:noFill/>
                    </a:ln>
                  </pic:spPr>
                </pic:pic>
              </a:graphicData>
            </a:graphic>
          </wp:inline>
        </w:drawing>
      </w:r>
    </w:p>
    <w:p w14:paraId="7D9DA8F9">
      <w:pPr>
        <w:adjustRightInd w:val="0"/>
        <w:snapToGrid w:val="0"/>
        <w:jc w:val="center"/>
        <w:rPr>
          <w:rFonts w:hint="default" w:ascii="Times New Roman" w:hAnsi="Times New Roman" w:cs="Times New Roman"/>
          <w:b/>
          <w:color w:val="auto"/>
        </w:rPr>
      </w:pPr>
      <w:r>
        <w:rPr>
          <w:rFonts w:hint="default" w:ascii="Times New Roman" w:hAnsi="Times New Roman" w:cs="Times New Roman"/>
          <w:b/>
          <w:color w:val="auto"/>
        </w:rPr>
        <w:drawing>
          <wp:inline distT="0" distB="0" distL="114300" distR="114300">
            <wp:extent cx="2481580" cy="2268220"/>
            <wp:effectExtent l="0" t="0" r="13970" b="17780"/>
            <wp:docPr id="12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图片 8"/>
                    <pic:cNvPicPr>
                      <a:picLocks noChangeAspect="1"/>
                    </pic:cNvPicPr>
                  </pic:nvPicPr>
                  <pic:blipFill>
                    <a:blip r:embed="rId34"/>
                    <a:stretch>
                      <a:fillRect/>
                    </a:stretch>
                  </pic:blipFill>
                  <pic:spPr>
                    <a:xfrm>
                      <a:off x="0" y="0"/>
                      <a:ext cx="2481580" cy="2268220"/>
                    </a:xfrm>
                    <a:prstGeom prst="rect">
                      <a:avLst/>
                    </a:prstGeom>
                    <a:noFill/>
                    <a:ln>
                      <a:noFill/>
                    </a:ln>
                  </pic:spPr>
                </pic:pic>
              </a:graphicData>
            </a:graphic>
          </wp:inline>
        </w:drawing>
      </w:r>
    </w:p>
    <w:p w14:paraId="47283B1D">
      <w:pPr>
        <w:adjustRightInd w:val="0"/>
        <w:snapToGrid w:val="0"/>
        <w:spacing w:line="360" w:lineRule="auto"/>
        <w:jc w:val="center"/>
      </w:pPr>
      <w:r>
        <w:rPr>
          <w:rFonts w:hint="eastAsia" w:ascii="黑体" w:hAnsi="黑体" w:eastAsia="黑体" w:cs="黑体"/>
          <w:b w:val="0"/>
          <w:bCs/>
          <w:color w:val="auto"/>
          <w:sz w:val="21"/>
          <w:szCs w:val="21"/>
        </w:rPr>
        <w:t>图</w:t>
      </w:r>
      <w:r>
        <w:rPr>
          <w:rFonts w:hint="eastAsia" w:ascii="黑体" w:hAnsi="黑体" w:eastAsia="黑体" w:cs="黑体"/>
          <w:b w:val="0"/>
          <w:bCs/>
          <w:color w:val="auto"/>
          <w:sz w:val="21"/>
          <w:szCs w:val="21"/>
          <w:lang w:val="en-US" w:eastAsia="zh-CN"/>
        </w:rPr>
        <w:t>7</w:t>
      </w:r>
      <w:r>
        <w:rPr>
          <w:rFonts w:hint="eastAsia" w:ascii="黑体" w:hAnsi="黑体" w:eastAsia="黑体" w:cs="黑体"/>
          <w:b w:val="0"/>
          <w:bCs/>
          <w:color w:val="auto"/>
          <w:sz w:val="21"/>
          <w:szCs w:val="21"/>
        </w:rPr>
        <w:t>-1 本溪市风玫瑰图</w:t>
      </w:r>
    </w:p>
    <w:p w14:paraId="478DFB5D">
      <w:pPr>
        <w:pStyle w:val="6"/>
        <w:bidi w:val="0"/>
      </w:pPr>
      <w:r>
        <w:rPr>
          <w:rFonts w:hint="eastAsia"/>
          <w:lang w:val="en-US" w:eastAsia="zh-CN"/>
        </w:rPr>
        <w:t>7</w:t>
      </w:r>
      <w:r>
        <w:t>.2.1.2</w:t>
      </w:r>
      <w:r>
        <w:rPr>
          <w:rFonts w:hint="eastAsia"/>
          <w:lang w:eastAsia="zh-CN"/>
        </w:rPr>
        <w:t>大气环境影响预测</w:t>
      </w:r>
    </w:p>
    <w:p w14:paraId="2E895450">
      <w:pPr>
        <w:bidi w:val="0"/>
        <w:rPr>
          <w:rFonts w:hint="default"/>
        </w:rPr>
      </w:pPr>
      <w:r>
        <w:rPr>
          <w:rFonts w:hint="default"/>
          <w:lang w:eastAsia="zh-CN"/>
        </w:rPr>
        <w:t>（</w:t>
      </w:r>
      <w:r>
        <w:rPr>
          <w:rFonts w:hint="default"/>
          <w:lang w:val="en-US" w:eastAsia="zh-CN"/>
        </w:rPr>
        <w:t>1</w:t>
      </w:r>
      <w:r>
        <w:rPr>
          <w:rFonts w:hint="default"/>
          <w:lang w:eastAsia="zh-CN"/>
        </w:rPr>
        <w:t>）</w:t>
      </w:r>
      <w:r>
        <w:rPr>
          <w:rFonts w:hint="default"/>
        </w:rPr>
        <w:t>评价等级判定</w:t>
      </w:r>
    </w:p>
    <w:p w14:paraId="4FE83E9E">
      <w:pPr>
        <w:bidi w:val="0"/>
        <w:rPr>
          <w:rFonts w:hint="default" w:ascii="Times New Roman" w:hAnsi="Times New Roman" w:eastAsia="宋体" w:cs="Times New Roman"/>
          <w:color w:val="auto"/>
          <w:kern w:val="2"/>
          <w:szCs w:val="24"/>
          <w:lang w:val="en-US" w:eastAsia="zh-CN" w:bidi="ar-SA"/>
        </w:rPr>
      </w:pPr>
      <w:r>
        <w:rPr>
          <w:rFonts w:hint="default"/>
          <w:lang w:val="en-US" w:eastAsia="zh-CN"/>
        </w:rPr>
        <w:t>根据《环境影响评价技术导则HJ2.2－2018》有关规定，大气环境影响评价等级根据污染物的最大地面浓度（Ci）占标率(Pi)及排放特征确定。计算每一种污染物的最大地面浓度占标率Pi（第i个污染物），及第i个污染物的地面浓度达标准限值10%时所对应的最远距离D10%。其中Pi定义为：</w:t>
      </w:r>
    </w:p>
    <w:p w14:paraId="2FD6BEAB">
      <w:pPr>
        <w:keepNext w:val="0"/>
        <w:keepLines w:val="0"/>
        <w:pageBreakBefore w:val="0"/>
        <w:kinsoku/>
        <w:wordWrap/>
        <w:overflowPunct/>
        <w:topLinePunct w:val="0"/>
        <w:autoSpaceDE/>
        <w:autoSpaceDN/>
        <w:bidi w:val="0"/>
        <w:adjustRightInd/>
        <w:snapToGrid/>
        <w:spacing w:line="360" w:lineRule="auto"/>
        <w:ind w:firstLine="480" w:firstLineChars="200"/>
        <w:jc w:val="center"/>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drawing>
          <wp:inline distT="0" distB="0" distL="114300" distR="114300">
            <wp:extent cx="1095375" cy="371475"/>
            <wp:effectExtent l="0" t="0" r="9525" b="8890"/>
            <wp:docPr id="1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9"/>
                    <pic:cNvPicPr>
                      <a:picLocks noChangeAspect="1"/>
                    </pic:cNvPicPr>
                  </pic:nvPicPr>
                  <pic:blipFill>
                    <a:blip r:embed="rId35">
                      <a:clrChange>
                        <a:clrFrom>
                          <a:srgbClr val="FFFFFF"/>
                        </a:clrFrom>
                        <a:clrTo>
                          <a:srgbClr val="FFFFFF">
                            <a:alpha val="0"/>
                          </a:srgbClr>
                        </a:clrTo>
                      </a:clrChange>
                    </a:blip>
                    <a:stretch>
                      <a:fillRect/>
                    </a:stretch>
                  </pic:blipFill>
                  <pic:spPr>
                    <a:xfrm>
                      <a:off x="0" y="0"/>
                      <a:ext cx="1095375" cy="371475"/>
                    </a:xfrm>
                    <a:prstGeom prst="rect">
                      <a:avLst/>
                    </a:prstGeom>
                    <a:noFill/>
                    <a:ln>
                      <a:noFill/>
                    </a:ln>
                  </pic:spPr>
                </pic:pic>
              </a:graphicData>
            </a:graphic>
          </wp:inline>
        </w:drawing>
      </w:r>
    </w:p>
    <w:p w14:paraId="411B32D2">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式中：Pi—第i个污染物的最大地面浓度占标率，%；</w:t>
      </w:r>
    </w:p>
    <w:p w14:paraId="043C7A59">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Ci—采用估算模式计算出的第i个污染物的最大地面浓度，mg/m3；</w:t>
      </w:r>
    </w:p>
    <w:p w14:paraId="7BC2DECC">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C0i—第i个污染物的环境空气质量标准，mg/m3。</w:t>
      </w:r>
    </w:p>
    <w:p w14:paraId="0B864BEE">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根据《环境影响评价技术导则 大气环境》（HJ2.2-2018）中有关规定，大气环境影响评价等级判别依据见表</w:t>
      </w:r>
      <w:r>
        <w:rPr>
          <w:rFonts w:hint="eastAsia" w:cs="Times New Roman"/>
          <w:color w:val="auto"/>
          <w:kern w:val="2"/>
          <w:sz w:val="24"/>
          <w:szCs w:val="24"/>
          <w:lang w:val="en-US" w:eastAsia="zh-CN" w:bidi="ar-SA"/>
        </w:rPr>
        <w:t>7</w:t>
      </w:r>
      <w:r>
        <w:rPr>
          <w:rFonts w:hint="default" w:ascii="Times New Roman" w:hAnsi="Times New Roman" w:cs="Times New Roman"/>
          <w:color w:val="auto"/>
          <w:kern w:val="2"/>
          <w:sz w:val="24"/>
          <w:szCs w:val="24"/>
          <w:lang w:val="en-US" w:eastAsia="zh-CN" w:bidi="ar-SA"/>
        </w:rPr>
        <w:t>-</w:t>
      </w:r>
      <w:r>
        <w:rPr>
          <w:rFonts w:hint="eastAsia" w:ascii="Times New Roman" w:hAnsi="Times New Roman" w:cs="Times New Roman"/>
          <w:color w:val="auto"/>
          <w:kern w:val="2"/>
          <w:sz w:val="24"/>
          <w:szCs w:val="24"/>
          <w:lang w:val="en-US" w:eastAsia="zh-CN" w:bidi="ar-SA"/>
        </w:rPr>
        <w:t>4</w:t>
      </w:r>
      <w:r>
        <w:rPr>
          <w:rFonts w:hint="default" w:ascii="Times New Roman" w:hAnsi="Times New Roman" w:eastAsia="宋体" w:cs="Times New Roman"/>
          <w:color w:val="auto"/>
          <w:kern w:val="2"/>
          <w:sz w:val="24"/>
          <w:szCs w:val="24"/>
          <w:lang w:val="en-US" w:eastAsia="zh-CN" w:bidi="ar-SA"/>
        </w:rPr>
        <w:t>。</w:t>
      </w:r>
    </w:p>
    <w:p w14:paraId="33CC73A9">
      <w:pPr>
        <w:pStyle w:val="1069"/>
        <w:rPr>
          <w:rFonts w:hint="default" w:ascii="Times New Roman" w:hAnsi="Times New Roman" w:cs="Times New Roman"/>
          <w:color w:val="auto"/>
        </w:rPr>
      </w:pPr>
      <w:bookmarkStart w:id="401" w:name="_Toc22493"/>
      <w:bookmarkStart w:id="402" w:name="_Toc31221"/>
      <w:r>
        <w:rPr>
          <w:rFonts w:hint="eastAsia" w:ascii="黑体" w:hAnsi="黑体" w:eastAsia="黑体" w:cs="黑体"/>
          <w:b w:val="0"/>
          <w:bCs/>
          <w:color w:val="auto"/>
          <w:sz w:val="21"/>
          <w:szCs w:val="21"/>
        </w:rPr>
        <w:t>表</w:t>
      </w:r>
      <w:r>
        <w:rPr>
          <w:rFonts w:hint="eastAsia" w:ascii="黑体" w:hAnsi="黑体" w:eastAsia="黑体" w:cs="黑体"/>
          <w:b w:val="0"/>
          <w:bCs/>
          <w:color w:val="auto"/>
          <w:sz w:val="21"/>
          <w:szCs w:val="21"/>
          <w:lang w:val="en-US" w:eastAsia="zh-CN"/>
        </w:rPr>
        <w:t>7-4</w:t>
      </w:r>
      <w:r>
        <w:rPr>
          <w:rFonts w:hint="eastAsia" w:ascii="黑体" w:hAnsi="黑体" w:eastAsia="黑体" w:cs="黑体"/>
          <w:b w:val="0"/>
          <w:bCs/>
          <w:color w:val="auto"/>
          <w:sz w:val="21"/>
          <w:szCs w:val="21"/>
        </w:rPr>
        <w:t>大气环境影响评价等级</w:t>
      </w:r>
      <w:bookmarkEnd w:id="401"/>
      <w:bookmarkEnd w:id="402"/>
    </w:p>
    <w:tbl>
      <w:tblPr>
        <w:tblStyle w:val="52"/>
        <w:tblW w:w="4999"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2784"/>
        <w:gridCol w:w="6160"/>
      </w:tblGrid>
      <w:tr w14:paraId="74043B0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556" w:type="pct"/>
            <w:tcBorders>
              <w:top w:val="single" w:color="auto" w:sz="12" w:space="0"/>
              <w:bottom w:val="single" w:color="auto" w:sz="4" w:space="0"/>
              <w:right w:val="single" w:color="auto" w:sz="4" w:space="0"/>
            </w:tcBorders>
            <w:vAlign w:val="center"/>
          </w:tcPr>
          <w:p w14:paraId="5FD0C99B">
            <w:pPr>
              <w:keepNext w:val="0"/>
              <w:keepLines w:val="0"/>
              <w:suppressLineNumbers w:val="0"/>
              <w:spacing w:before="0" w:beforeAutospacing="0" w:after="0" w:afterAutospacing="0" w:line="240" w:lineRule="atLeast"/>
              <w:ind w:left="0" w:right="0"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eastAsia="zh-CN"/>
              </w:rPr>
              <w:t>评</w:t>
            </w:r>
            <w:r>
              <w:rPr>
                <w:rFonts w:hint="default" w:ascii="Times New Roman" w:hAnsi="Times New Roman" w:cs="Times New Roman"/>
                <w:color w:val="auto"/>
                <w:sz w:val="21"/>
                <w:szCs w:val="21"/>
              </w:rPr>
              <w:t>价工作等级</w:t>
            </w:r>
          </w:p>
        </w:tc>
        <w:tc>
          <w:tcPr>
            <w:tcW w:w="3443" w:type="pct"/>
            <w:tcBorders>
              <w:top w:val="single" w:color="auto" w:sz="12" w:space="0"/>
              <w:left w:val="single" w:color="auto" w:sz="4" w:space="0"/>
              <w:bottom w:val="single" w:color="auto" w:sz="4" w:space="0"/>
            </w:tcBorders>
            <w:vAlign w:val="center"/>
          </w:tcPr>
          <w:p w14:paraId="2147A5AC">
            <w:pPr>
              <w:keepNext w:val="0"/>
              <w:keepLines w:val="0"/>
              <w:suppressLineNumbers w:val="0"/>
              <w:spacing w:before="0" w:beforeAutospacing="0" w:after="0" w:afterAutospacing="0" w:line="240" w:lineRule="atLeast"/>
              <w:ind w:left="0" w:right="0"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评</w:t>
            </w:r>
            <w:r>
              <w:rPr>
                <w:rFonts w:hint="default" w:ascii="Times New Roman" w:hAnsi="Times New Roman" w:cs="Times New Roman"/>
                <w:color w:val="auto"/>
                <w:sz w:val="21"/>
                <w:szCs w:val="21"/>
                <w:lang w:eastAsia="zh-CN"/>
              </w:rPr>
              <w:t>评</w:t>
            </w:r>
            <w:r>
              <w:rPr>
                <w:rFonts w:hint="default" w:ascii="Times New Roman" w:hAnsi="Times New Roman" w:cs="Times New Roman"/>
                <w:color w:val="auto"/>
                <w:sz w:val="21"/>
                <w:szCs w:val="21"/>
              </w:rPr>
              <w:t>价工作分级判据</w:t>
            </w:r>
          </w:p>
        </w:tc>
      </w:tr>
      <w:tr w14:paraId="269894C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556" w:type="pct"/>
            <w:tcBorders>
              <w:top w:val="single" w:color="auto" w:sz="4" w:space="0"/>
              <w:bottom w:val="single" w:color="auto" w:sz="4" w:space="0"/>
              <w:right w:val="single" w:color="auto" w:sz="4" w:space="0"/>
            </w:tcBorders>
            <w:vAlign w:val="center"/>
          </w:tcPr>
          <w:p w14:paraId="7863F6FC">
            <w:pPr>
              <w:keepNext w:val="0"/>
              <w:keepLines w:val="0"/>
              <w:suppressLineNumbers w:val="0"/>
              <w:spacing w:before="0" w:beforeAutospacing="0" w:after="0" w:afterAutospacing="0" w:line="240" w:lineRule="atLeast"/>
              <w:ind w:left="0" w:right="0"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eastAsia="zh-CN"/>
              </w:rPr>
              <w:t>一</w:t>
            </w:r>
            <w:r>
              <w:rPr>
                <w:rFonts w:hint="default" w:ascii="Times New Roman" w:hAnsi="Times New Roman" w:cs="Times New Roman"/>
                <w:color w:val="auto"/>
                <w:sz w:val="21"/>
                <w:szCs w:val="21"/>
              </w:rPr>
              <w:t>级</w:t>
            </w:r>
          </w:p>
        </w:tc>
        <w:tc>
          <w:tcPr>
            <w:tcW w:w="3443" w:type="pct"/>
            <w:tcBorders>
              <w:top w:val="single" w:color="auto" w:sz="4" w:space="0"/>
              <w:left w:val="single" w:color="auto" w:sz="4" w:space="0"/>
              <w:bottom w:val="single" w:color="auto" w:sz="4" w:space="0"/>
            </w:tcBorders>
            <w:vAlign w:val="center"/>
          </w:tcPr>
          <w:p w14:paraId="652D5A2A">
            <w:pPr>
              <w:keepNext w:val="0"/>
              <w:keepLines w:val="0"/>
              <w:suppressLineNumbers w:val="0"/>
              <w:spacing w:before="0" w:beforeAutospacing="0" w:after="0" w:afterAutospacing="0" w:line="240" w:lineRule="atLeast"/>
              <w:ind w:left="0" w:right="0"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P</w:t>
            </w:r>
            <w:r>
              <w:rPr>
                <w:rFonts w:hint="default" w:ascii="Times New Roman" w:hAnsi="Times New Roman" w:cs="Times New Roman"/>
                <w:color w:val="auto"/>
                <w:sz w:val="21"/>
                <w:szCs w:val="21"/>
              </w:rPr>
              <w:t>max≥10%</w:t>
            </w:r>
          </w:p>
        </w:tc>
      </w:tr>
      <w:tr w14:paraId="4A1E3AE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556" w:type="pct"/>
            <w:tcBorders>
              <w:top w:val="single" w:color="auto" w:sz="4" w:space="0"/>
              <w:bottom w:val="single" w:color="auto" w:sz="4" w:space="0"/>
              <w:right w:val="single" w:color="auto" w:sz="4" w:space="0"/>
            </w:tcBorders>
            <w:vAlign w:val="center"/>
          </w:tcPr>
          <w:p w14:paraId="4E8BEA92">
            <w:pPr>
              <w:keepNext w:val="0"/>
              <w:keepLines w:val="0"/>
              <w:suppressLineNumbers w:val="0"/>
              <w:spacing w:before="0" w:beforeAutospacing="0" w:after="0" w:afterAutospacing="0" w:line="240" w:lineRule="atLeast"/>
              <w:ind w:left="0" w:right="0"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eastAsia="zh-CN"/>
              </w:rPr>
              <w:t>二</w:t>
            </w:r>
            <w:r>
              <w:rPr>
                <w:rFonts w:hint="default" w:ascii="Times New Roman" w:hAnsi="Times New Roman" w:cs="Times New Roman"/>
                <w:color w:val="auto"/>
                <w:sz w:val="21"/>
                <w:szCs w:val="21"/>
              </w:rPr>
              <w:t>级</w:t>
            </w:r>
          </w:p>
        </w:tc>
        <w:tc>
          <w:tcPr>
            <w:tcW w:w="3443" w:type="pct"/>
            <w:tcBorders>
              <w:top w:val="single" w:color="auto" w:sz="4" w:space="0"/>
              <w:left w:val="single" w:color="auto" w:sz="4" w:space="0"/>
              <w:bottom w:val="single" w:color="auto" w:sz="4" w:space="0"/>
            </w:tcBorders>
            <w:vAlign w:val="center"/>
          </w:tcPr>
          <w:p w14:paraId="03BA4BF4">
            <w:pPr>
              <w:keepNext w:val="0"/>
              <w:keepLines w:val="0"/>
              <w:suppressLineNumbers w:val="0"/>
              <w:spacing w:before="0" w:beforeAutospacing="0" w:after="0" w:afterAutospacing="0" w:line="240" w:lineRule="atLeast"/>
              <w:ind w:left="0" w:right="0"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w:t>
            </w:r>
            <w:r>
              <w:rPr>
                <w:rFonts w:hint="default" w:ascii="Times New Roman" w:hAnsi="Times New Roman" w:cs="Times New Roman"/>
                <w:color w:val="auto"/>
                <w:sz w:val="21"/>
                <w:szCs w:val="21"/>
              </w:rPr>
              <w:t>%≤Pmax＜10%</w:t>
            </w:r>
          </w:p>
        </w:tc>
      </w:tr>
      <w:tr w14:paraId="4766D15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556" w:type="pct"/>
            <w:tcBorders>
              <w:top w:val="single" w:color="auto" w:sz="4" w:space="0"/>
              <w:bottom w:val="single" w:color="auto" w:sz="12" w:space="0"/>
              <w:right w:val="single" w:color="auto" w:sz="4" w:space="0"/>
            </w:tcBorders>
            <w:vAlign w:val="center"/>
          </w:tcPr>
          <w:p w14:paraId="429043B3">
            <w:pPr>
              <w:keepNext w:val="0"/>
              <w:keepLines w:val="0"/>
              <w:suppressLineNumbers w:val="0"/>
              <w:spacing w:before="0" w:beforeAutospacing="0" w:after="0" w:afterAutospacing="0" w:line="240" w:lineRule="atLeast"/>
              <w:ind w:left="0" w:right="0"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eastAsia="zh-CN"/>
              </w:rPr>
              <w:t>三</w:t>
            </w:r>
            <w:r>
              <w:rPr>
                <w:rFonts w:hint="default" w:ascii="Times New Roman" w:hAnsi="Times New Roman" w:cs="Times New Roman"/>
                <w:color w:val="auto"/>
                <w:sz w:val="21"/>
                <w:szCs w:val="21"/>
              </w:rPr>
              <w:t>级</w:t>
            </w:r>
          </w:p>
        </w:tc>
        <w:tc>
          <w:tcPr>
            <w:tcW w:w="3443" w:type="pct"/>
            <w:tcBorders>
              <w:top w:val="single" w:color="auto" w:sz="4" w:space="0"/>
              <w:left w:val="single" w:color="auto" w:sz="4" w:space="0"/>
              <w:bottom w:val="single" w:color="auto" w:sz="12" w:space="0"/>
            </w:tcBorders>
            <w:vAlign w:val="center"/>
          </w:tcPr>
          <w:p w14:paraId="3DFF5FA6">
            <w:pPr>
              <w:keepNext w:val="0"/>
              <w:keepLines w:val="0"/>
              <w:suppressLineNumbers w:val="0"/>
              <w:spacing w:before="0" w:beforeAutospacing="0" w:after="0" w:afterAutospacing="0" w:line="240" w:lineRule="atLeast"/>
              <w:ind w:left="0" w:right="0"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P</w:t>
            </w:r>
            <w:r>
              <w:rPr>
                <w:rFonts w:hint="default" w:ascii="Times New Roman" w:hAnsi="Times New Roman" w:cs="Times New Roman"/>
                <w:color w:val="auto"/>
                <w:sz w:val="21"/>
                <w:szCs w:val="21"/>
              </w:rPr>
              <w:t>max＜1%</w:t>
            </w:r>
          </w:p>
        </w:tc>
      </w:tr>
    </w:tbl>
    <w:p w14:paraId="7B2D2FF1">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cs="Times New Roman"/>
          <w:color w:val="auto"/>
          <w:kern w:val="2"/>
          <w:sz w:val="24"/>
          <w:szCs w:val="24"/>
          <w:lang w:val="en-US" w:eastAsia="zh-CN" w:bidi="ar-SA"/>
        </w:rPr>
        <w:t>（2）</w:t>
      </w:r>
      <w:r>
        <w:rPr>
          <w:rFonts w:hint="default" w:ascii="Times New Roman" w:hAnsi="Times New Roman" w:eastAsia="宋体" w:cs="Times New Roman"/>
          <w:color w:val="auto"/>
          <w:kern w:val="2"/>
          <w:sz w:val="24"/>
          <w:szCs w:val="24"/>
          <w:lang w:val="en-US" w:eastAsia="zh-CN" w:bidi="ar-SA"/>
        </w:rPr>
        <w:t>模式参数</w:t>
      </w:r>
    </w:p>
    <w:p w14:paraId="5C0BD463">
      <w:pPr>
        <w:pStyle w:val="1069"/>
        <w:rPr>
          <w:rFonts w:hint="default" w:ascii="Times New Roman" w:hAnsi="Times New Roman" w:cs="Times New Roman"/>
          <w:color w:val="auto"/>
        </w:rPr>
      </w:pPr>
      <w:r>
        <w:rPr>
          <w:rFonts w:hint="eastAsia" w:ascii="黑体" w:hAnsi="黑体" w:eastAsia="黑体" w:cs="黑体"/>
          <w:b w:val="0"/>
          <w:bCs/>
          <w:color w:val="auto"/>
          <w:sz w:val="21"/>
          <w:szCs w:val="21"/>
        </w:rPr>
        <w:t>表</w:t>
      </w:r>
      <w:r>
        <w:rPr>
          <w:rFonts w:hint="eastAsia" w:ascii="黑体" w:hAnsi="黑体" w:eastAsia="黑体" w:cs="黑体"/>
          <w:b w:val="0"/>
          <w:bCs/>
          <w:color w:val="auto"/>
          <w:sz w:val="21"/>
          <w:szCs w:val="21"/>
          <w:lang w:val="en-US" w:eastAsia="zh-CN"/>
        </w:rPr>
        <w:t>7-5</w:t>
      </w:r>
      <w:r>
        <w:rPr>
          <w:rFonts w:hint="eastAsia" w:ascii="黑体" w:hAnsi="黑体" w:eastAsia="黑体" w:cs="黑体"/>
          <w:b w:val="0"/>
          <w:bCs/>
          <w:color w:val="auto"/>
          <w:sz w:val="21"/>
          <w:szCs w:val="21"/>
        </w:rPr>
        <w:t xml:space="preserve"> 估算模式参数表</w:t>
      </w:r>
    </w:p>
    <w:tbl>
      <w:tblPr>
        <w:tblStyle w:val="52"/>
        <w:tblW w:w="4999"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2413"/>
        <w:gridCol w:w="2786"/>
        <w:gridCol w:w="3745"/>
      </w:tblGrid>
      <w:tr w14:paraId="46241A0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906" w:type="pct"/>
            <w:gridSpan w:val="2"/>
            <w:tcBorders>
              <w:top w:val="single" w:color="auto" w:sz="12" w:space="0"/>
              <w:bottom w:val="single" w:color="auto" w:sz="4" w:space="0"/>
              <w:right w:val="single" w:color="auto" w:sz="4" w:space="0"/>
            </w:tcBorders>
            <w:vAlign w:val="center"/>
          </w:tcPr>
          <w:p w14:paraId="4A12D74F">
            <w:pPr>
              <w:keepNext w:val="0"/>
              <w:keepLines w:val="0"/>
              <w:suppressLineNumbers w:val="0"/>
              <w:spacing w:before="0" w:beforeAutospacing="0" w:after="0" w:afterAutospacing="0" w:line="240" w:lineRule="atLeast"/>
              <w:ind w:left="0" w:right="0" w:firstLine="0" w:firstLineChars="0"/>
              <w:jc w:val="center"/>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lang w:eastAsia="zh-CN"/>
              </w:rPr>
              <w:t>参数</w:t>
            </w:r>
          </w:p>
        </w:tc>
        <w:tc>
          <w:tcPr>
            <w:tcW w:w="2093" w:type="pct"/>
            <w:tcBorders>
              <w:top w:val="single" w:color="auto" w:sz="12" w:space="0"/>
              <w:left w:val="single" w:color="auto" w:sz="4" w:space="0"/>
              <w:bottom w:val="single" w:color="auto" w:sz="4" w:space="0"/>
            </w:tcBorders>
            <w:vAlign w:val="center"/>
          </w:tcPr>
          <w:p w14:paraId="6FA720BF">
            <w:pPr>
              <w:keepNext w:val="0"/>
              <w:keepLines w:val="0"/>
              <w:suppressLineNumbers w:val="0"/>
              <w:spacing w:before="0" w:beforeAutospacing="0" w:after="0" w:afterAutospacing="0" w:line="240" w:lineRule="atLeast"/>
              <w:ind w:left="0" w:right="0" w:firstLine="0" w:firstLineChars="0"/>
              <w:jc w:val="center"/>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lang w:eastAsia="zh-CN"/>
              </w:rPr>
              <w:t>取值</w:t>
            </w:r>
          </w:p>
        </w:tc>
      </w:tr>
      <w:tr w14:paraId="6F05079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49" w:type="pct"/>
            <w:vMerge w:val="restart"/>
            <w:tcBorders>
              <w:top w:val="single" w:color="auto" w:sz="4" w:space="0"/>
              <w:bottom w:val="single" w:color="auto" w:sz="4" w:space="0"/>
              <w:right w:val="single" w:color="auto" w:sz="4" w:space="0"/>
            </w:tcBorders>
            <w:vAlign w:val="center"/>
          </w:tcPr>
          <w:p w14:paraId="503490B6">
            <w:pPr>
              <w:keepNext w:val="0"/>
              <w:keepLines w:val="0"/>
              <w:suppressLineNumbers w:val="0"/>
              <w:spacing w:before="0" w:beforeAutospacing="0" w:after="0" w:afterAutospacing="0" w:line="240" w:lineRule="atLeast"/>
              <w:ind w:left="0" w:right="0" w:firstLine="0" w:firstLineChars="0"/>
              <w:jc w:val="center"/>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lang w:eastAsia="zh-CN"/>
              </w:rPr>
              <w:t>城市农村/选项</w:t>
            </w:r>
          </w:p>
        </w:tc>
        <w:tc>
          <w:tcPr>
            <w:tcW w:w="1556" w:type="pct"/>
            <w:tcBorders>
              <w:top w:val="single" w:color="auto" w:sz="4" w:space="0"/>
              <w:left w:val="single" w:color="auto" w:sz="4" w:space="0"/>
              <w:bottom w:val="single" w:color="auto" w:sz="4" w:space="0"/>
              <w:right w:val="single" w:color="auto" w:sz="4" w:space="0"/>
            </w:tcBorders>
            <w:vAlign w:val="center"/>
          </w:tcPr>
          <w:p w14:paraId="44C828DB">
            <w:pPr>
              <w:keepNext w:val="0"/>
              <w:keepLines w:val="0"/>
              <w:suppressLineNumbers w:val="0"/>
              <w:spacing w:before="0" w:beforeAutospacing="0" w:after="0" w:afterAutospacing="0" w:line="240" w:lineRule="atLeast"/>
              <w:ind w:left="0" w:right="0" w:firstLine="0" w:firstLineChars="0"/>
              <w:jc w:val="center"/>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lang w:eastAsia="zh-CN"/>
              </w:rPr>
              <w:t>城市/农村</w:t>
            </w:r>
          </w:p>
        </w:tc>
        <w:tc>
          <w:tcPr>
            <w:tcW w:w="2093" w:type="pct"/>
            <w:tcBorders>
              <w:top w:val="single" w:color="auto" w:sz="4" w:space="0"/>
              <w:left w:val="single" w:color="auto" w:sz="4" w:space="0"/>
              <w:bottom w:val="single" w:color="auto" w:sz="4" w:space="0"/>
            </w:tcBorders>
            <w:vAlign w:val="center"/>
          </w:tcPr>
          <w:p w14:paraId="24BDBA99">
            <w:pPr>
              <w:keepNext w:val="0"/>
              <w:keepLines w:val="0"/>
              <w:suppressLineNumbers w:val="0"/>
              <w:spacing w:before="0" w:beforeAutospacing="0" w:after="0" w:afterAutospacing="0" w:line="240" w:lineRule="atLeast"/>
              <w:ind w:left="0" w:right="0" w:firstLine="0" w:firstLineChars="0"/>
              <w:jc w:val="center"/>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lang w:eastAsia="zh-CN"/>
              </w:rPr>
              <w:t>城市</w:t>
            </w:r>
          </w:p>
        </w:tc>
      </w:tr>
      <w:tr w14:paraId="63A16BE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49" w:type="pct"/>
            <w:vMerge w:val="continue"/>
            <w:tcBorders>
              <w:top w:val="single" w:color="auto" w:sz="4" w:space="0"/>
              <w:bottom w:val="single" w:color="auto" w:sz="4" w:space="0"/>
              <w:right w:val="single" w:color="auto" w:sz="4" w:space="0"/>
            </w:tcBorders>
            <w:vAlign w:val="center"/>
          </w:tcPr>
          <w:p w14:paraId="2FE0CB01">
            <w:pPr>
              <w:keepNext w:val="0"/>
              <w:keepLines w:val="0"/>
              <w:suppressLineNumbers w:val="0"/>
              <w:spacing w:before="0" w:beforeAutospacing="0" w:after="0" w:afterAutospacing="0" w:line="240" w:lineRule="atLeast"/>
              <w:ind w:left="0" w:right="0" w:firstLine="0" w:firstLineChars="0"/>
              <w:jc w:val="center"/>
              <w:rPr>
                <w:rFonts w:hint="default" w:ascii="Times New Roman" w:hAnsi="Times New Roman" w:cs="Times New Roman"/>
                <w:color w:val="auto"/>
                <w:sz w:val="21"/>
                <w:szCs w:val="21"/>
                <w:lang w:eastAsia="zh-CN"/>
              </w:rPr>
            </w:pPr>
          </w:p>
        </w:tc>
        <w:tc>
          <w:tcPr>
            <w:tcW w:w="1556" w:type="pct"/>
            <w:tcBorders>
              <w:top w:val="single" w:color="auto" w:sz="4" w:space="0"/>
              <w:left w:val="single" w:color="auto" w:sz="4" w:space="0"/>
              <w:bottom w:val="single" w:color="auto" w:sz="4" w:space="0"/>
              <w:right w:val="single" w:color="auto" w:sz="4" w:space="0"/>
            </w:tcBorders>
            <w:vAlign w:val="center"/>
          </w:tcPr>
          <w:p w14:paraId="5184E171">
            <w:pPr>
              <w:keepNext w:val="0"/>
              <w:keepLines w:val="0"/>
              <w:suppressLineNumbers w:val="0"/>
              <w:spacing w:before="0" w:beforeAutospacing="0" w:after="0" w:afterAutospacing="0" w:line="240" w:lineRule="atLeast"/>
              <w:ind w:left="0" w:right="0" w:firstLine="0" w:firstLineChars="0"/>
              <w:jc w:val="center"/>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lang w:eastAsia="zh-CN"/>
              </w:rPr>
              <w:t>人口数(城市人口数)</w:t>
            </w:r>
          </w:p>
        </w:tc>
        <w:tc>
          <w:tcPr>
            <w:tcW w:w="2093" w:type="pct"/>
            <w:tcBorders>
              <w:top w:val="single" w:color="auto" w:sz="4" w:space="0"/>
              <w:left w:val="single" w:color="auto" w:sz="4" w:space="0"/>
              <w:bottom w:val="single" w:color="auto" w:sz="4" w:space="0"/>
            </w:tcBorders>
            <w:vAlign w:val="center"/>
          </w:tcPr>
          <w:p w14:paraId="3E87DDD1">
            <w:pPr>
              <w:keepNext w:val="0"/>
              <w:keepLines w:val="0"/>
              <w:suppressLineNumbers w:val="0"/>
              <w:spacing w:before="0" w:beforeAutospacing="0" w:after="0" w:afterAutospacing="0" w:line="240" w:lineRule="atLeast"/>
              <w:ind w:left="0" w:right="0" w:firstLine="0" w:firstLineChars="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18万</w:t>
            </w:r>
          </w:p>
        </w:tc>
      </w:tr>
      <w:tr w14:paraId="52CF6F9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906" w:type="pct"/>
            <w:gridSpan w:val="2"/>
            <w:tcBorders>
              <w:top w:val="single" w:color="auto" w:sz="4" w:space="0"/>
              <w:bottom w:val="single" w:color="auto" w:sz="4" w:space="0"/>
              <w:right w:val="single" w:color="auto" w:sz="4" w:space="0"/>
            </w:tcBorders>
            <w:vAlign w:val="center"/>
          </w:tcPr>
          <w:p w14:paraId="7C08928F">
            <w:pPr>
              <w:keepNext w:val="0"/>
              <w:keepLines w:val="0"/>
              <w:suppressLineNumbers w:val="0"/>
              <w:spacing w:before="0" w:beforeAutospacing="0" w:after="0" w:afterAutospacing="0" w:line="240" w:lineRule="atLeast"/>
              <w:ind w:left="0" w:right="0" w:firstLine="0" w:firstLineChars="0"/>
              <w:jc w:val="center"/>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lang w:eastAsia="zh-CN"/>
              </w:rPr>
              <w:t>最高环境温度</w:t>
            </w:r>
          </w:p>
        </w:tc>
        <w:tc>
          <w:tcPr>
            <w:tcW w:w="2093" w:type="pct"/>
            <w:tcBorders>
              <w:top w:val="single" w:color="auto" w:sz="4" w:space="0"/>
              <w:left w:val="single" w:color="auto" w:sz="4" w:space="0"/>
              <w:bottom w:val="single" w:color="auto" w:sz="4" w:space="0"/>
            </w:tcBorders>
            <w:vAlign w:val="center"/>
          </w:tcPr>
          <w:p w14:paraId="46DBB8FF">
            <w:pPr>
              <w:keepNext w:val="0"/>
              <w:keepLines w:val="0"/>
              <w:suppressLineNumbers w:val="0"/>
              <w:spacing w:before="0" w:beforeAutospacing="0" w:after="0" w:afterAutospacing="0" w:line="240" w:lineRule="atLeast"/>
              <w:ind w:left="0" w:right="0" w:firstLine="0" w:firstLineChars="0"/>
              <w:jc w:val="center"/>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lang w:eastAsia="zh-CN"/>
              </w:rPr>
              <w:t>38.0 °C</w:t>
            </w:r>
          </w:p>
        </w:tc>
      </w:tr>
      <w:tr w14:paraId="39F0113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906" w:type="pct"/>
            <w:gridSpan w:val="2"/>
            <w:tcBorders>
              <w:top w:val="single" w:color="auto" w:sz="4" w:space="0"/>
              <w:bottom w:val="single" w:color="auto" w:sz="4" w:space="0"/>
              <w:right w:val="single" w:color="auto" w:sz="4" w:space="0"/>
            </w:tcBorders>
            <w:vAlign w:val="center"/>
          </w:tcPr>
          <w:p w14:paraId="16A53F3A">
            <w:pPr>
              <w:keepNext w:val="0"/>
              <w:keepLines w:val="0"/>
              <w:suppressLineNumbers w:val="0"/>
              <w:spacing w:before="0" w:beforeAutospacing="0" w:after="0" w:afterAutospacing="0" w:line="240" w:lineRule="atLeast"/>
              <w:ind w:left="0" w:right="0" w:firstLine="0" w:firstLineChars="0"/>
              <w:jc w:val="center"/>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lang w:eastAsia="zh-CN"/>
              </w:rPr>
              <w:t>最低环境温度</w:t>
            </w:r>
          </w:p>
        </w:tc>
        <w:tc>
          <w:tcPr>
            <w:tcW w:w="2093" w:type="pct"/>
            <w:tcBorders>
              <w:top w:val="single" w:color="auto" w:sz="4" w:space="0"/>
              <w:left w:val="single" w:color="auto" w:sz="4" w:space="0"/>
              <w:bottom w:val="single" w:color="auto" w:sz="4" w:space="0"/>
            </w:tcBorders>
            <w:vAlign w:val="center"/>
          </w:tcPr>
          <w:p w14:paraId="3501CBDE">
            <w:pPr>
              <w:keepNext w:val="0"/>
              <w:keepLines w:val="0"/>
              <w:suppressLineNumbers w:val="0"/>
              <w:spacing w:before="0" w:beforeAutospacing="0" w:after="0" w:afterAutospacing="0" w:line="240" w:lineRule="atLeast"/>
              <w:ind w:left="0" w:right="0" w:firstLine="0" w:firstLineChars="0"/>
              <w:jc w:val="center"/>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lang w:eastAsia="zh-CN"/>
              </w:rPr>
              <w:t>-30.0 °C</w:t>
            </w:r>
          </w:p>
        </w:tc>
      </w:tr>
      <w:tr w14:paraId="305DA09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906" w:type="pct"/>
            <w:gridSpan w:val="2"/>
            <w:tcBorders>
              <w:top w:val="single" w:color="auto" w:sz="4" w:space="0"/>
              <w:bottom w:val="single" w:color="auto" w:sz="4" w:space="0"/>
              <w:right w:val="single" w:color="auto" w:sz="4" w:space="0"/>
            </w:tcBorders>
            <w:vAlign w:val="center"/>
          </w:tcPr>
          <w:p w14:paraId="19340BEB">
            <w:pPr>
              <w:keepNext w:val="0"/>
              <w:keepLines w:val="0"/>
              <w:suppressLineNumbers w:val="0"/>
              <w:spacing w:before="0" w:beforeAutospacing="0" w:after="0" w:afterAutospacing="0" w:line="240" w:lineRule="atLeast"/>
              <w:ind w:left="0" w:right="0" w:firstLine="0" w:firstLineChars="0"/>
              <w:jc w:val="center"/>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lang w:eastAsia="zh-CN"/>
              </w:rPr>
              <w:t>土地利用类型</w:t>
            </w:r>
          </w:p>
        </w:tc>
        <w:tc>
          <w:tcPr>
            <w:tcW w:w="2093" w:type="pct"/>
            <w:tcBorders>
              <w:top w:val="single" w:color="auto" w:sz="4" w:space="0"/>
              <w:left w:val="single" w:color="auto" w:sz="4" w:space="0"/>
              <w:bottom w:val="single" w:color="auto" w:sz="4" w:space="0"/>
            </w:tcBorders>
            <w:vAlign w:val="center"/>
          </w:tcPr>
          <w:p w14:paraId="0A0EAF44">
            <w:pPr>
              <w:keepNext w:val="0"/>
              <w:keepLines w:val="0"/>
              <w:suppressLineNumbers w:val="0"/>
              <w:spacing w:before="0" w:beforeAutospacing="0" w:after="0" w:afterAutospacing="0" w:line="240" w:lineRule="atLeast"/>
              <w:ind w:left="0" w:right="0" w:firstLine="0" w:firstLineChars="0"/>
              <w:jc w:val="center"/>
              <w:rPr>
                <w:rFonts w:hint="default" w:ascii="Times New Roman" w:hAnsi="Times New Roman" w:cs="Times New Roman"/>
                <w:color w:val="auto"/>
                <w:sz w:val="21"/>
                <w:szCs w:val="21"/>
                <w:lang w:eastAsia="zh-CN"/>
              </w:rPr>
            </w:pPr>
            <w:r>
              <w:rPr>
                <w:rFonts w:hint="eastAsia" w:ascii="Times New Roman" w:hAnsi="Times New Roman" w:cs="Times New Roman"/>
                <w:color w:val="auto"/>
                <w:sz w:val="21"/>
                <w:szCs w:val="21"/>
                <w:lang w:eastAsia="zh-CN"/>
              </w:rPr>
              <w:t>工业用地</w:t>
            </w:r>
          </w:p>
        </w:tc>
      </w:tr>
      <w:tr w14:paraId="66157A6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906" w:type="pct"/>
            <w:gridSpan w:val="2"/>
            <w:tcBorders>
              <w:top w:val="single" w:color="auto" w:sz="4" w:space="0"/>
              <w:bottom w:val="single" w:color="auto" w:sz="4" w:space="0"/>
              <w:right w:val="single" w:color="auto" w:sz="4" w:space="0"/>
            </w:tcBorders>
            <w:vAlign w:val="center"/>
          </w:tcPr>
          <w:p w14:paraId="3EF1DF88">
            <w:pPr>
              <w:keepNext w:val="0"/>
              <w:keepLines w:val="0"/>
              <w:suppressLineNumbers w:val="0"/>
              <w:spacing w:before="0" w:beforeAutospacing="0" w:after="0" w:afterAutospacing="0" w:line="240" w:lineRule="atLeast"/>
              <w:ind w:left="0" w:right="0" w:firstLine="0" w:firstLineChars="0"/>
              <w:jc w:val="center"/>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lang w:eastAsia="zh-CN"/>
              </w:rPr>
              <w:t>区域湿度条件</w:t>
            </w:r>
          </w:p>
        </w:tc>
        <w:tc>
          <w:tcPr>
            <w:tcW w:w="2093" w:type="pct"/>
            <w:tcBorders>
              <w:top w:val="single" w:color="auto" w:sz="4" w:space="0"/>
              <w:left w:val="single" w:color="auto" w:sz="4" w:space="0"/>
              <w:bottom w:val="single" w:color="auto" w:sz="4" w:space="0"/>
            </w:tcBorders>
            <w:vAlign w:val="center"/>
          </w:tcPr>
          <w:p w14:paraId="3BBBAB32">
            <w:pPr>
              <w:keepNext w:val="0"/>
              <w:keepLines w:val="0"/>
              <w:suppressLineNumbers w:val="0"/>
              <w:spacing w:before="0" w:beforeAutospacing="0" w:after="0" w:afterAutospacing="0" w:line="240" w:lineRule="atLeast"/>
              <w:ind w:left="0" w:right="0" w:firstLine="0" w:firstLineChars="0"/>
              <w:jc w:val="center"/>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lang w:eastAsia="zh-CN"/>
              </w:rPr>
              <w:t>中等湿度</w:t>
            </w:r>
          </w:p>
        </w:tc>
      </w:tr>
      <w:tr w14:paraId="38890DB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49" w:type="pct"/>
            <w:vMerge w:val="restart"/>
            <w:tcBorders>
              <w:top w:val="single" w:color="auto" w:sz="4" w:space="0"/>
              <w:bottom w:val="single" w:color="auto" w:sz="4" w:space="0"/>
              <w:right w:val="single" w:color="auto" w:sz="4" w:space="0"/>
            </w:tcBorders>
            <w:vAlign w:val="center"/>
          </w:tcPr>
          <w:p w14:paraId="076D0E66">
            <w:pPr>
              <w:keepNext w:val="0"/>
              <w:keepLines w:val="0"/>
              <w:suppressLineNumbers w:val="0"/>
              <w:spacing w:before="0" w:beforeAutospacing="0" w:after="0" w:afterAutospacing="0" w:line="240" w:lineRule="atLeast"/>
              <w:ind w:left="0" w:right="0" w:firstLine="0" w:firstLineChars="0"/>
              <w:jc w:val="center"/>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lang w:eastAsia="zh-CN"/>
              </w:rPr>
              <w:t>是否考虑地形</w:t>
            </w:r>
          </w:p>
        </w:tc>
        <w:tc>
          <w:tcPr>
            <w:tcW w:w="1556" w:type="pct"/>
            <w:tcBorders>
              <w:top w:val="single" w:color="auto" w:sz="4" w:space="0"/>
              <w:left w:val="single" w:color="auto" w:sz="4" w:space="0"/>
              <w:bottom w:val="single" w:color="auto" w:sz="4" w:space="0"/>
              <w:right w:val="single" w:color="auto" w:sz="4" w:space="0"/>
            </w:tcBorders>
            <w:vAlign w:val="center"/>
          </w:tcPr>
          <w:p w14:paraId="2906A9C3">
            <w:pPr>
              <w:keepNext w:val="0"/>
              <w:keepLines w:val="0"/>
              <w:suppressLineNumbers w:val="0"/>
              <w:spacing w:before="0" w:beforeAutospacing="0" w:after="0" w:afterAutospacing="0" w:line="240" w:lineRule="atLeast"/>
              <w:ind w:left="0" w:right="0" w:firstLine="0" w:firstLineChars="0"/>
              <w:jc w:val="center"/>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lang w:eastAsia="zh-CN"/>
              </w:rPr>
              <w:t>考虑地形</w:t>
            </w:r>
          </w:p>
        </w:tc>
        <w:tc>
          <w:tcPr>
            <w:tcW w:w="2093" w:type="pct"/>
            <w:tcBorders>
              <w:top w:val="single" w:color="auto" w:sz="4" w:space="0"/>
              <w:left w:val="single" w:color="auto" w:sz="4" w:space="0"/>
              <w:bottom w:val="single" w:color="auto" w:sz="4" w:space="0"/>
            </w:tcBorders>
            <w:vAlign w:val="center"/>
          </w:tcPr>
          <w:p w14:paraId="4C273E8C">
            <w:pPr>
              <w:keepNext w:val="0"/>
              <w:keepLines w:val="0"/>
              <w:suppressLineNumbers w:val="0"/>
              <w:spacing w:before="0" w:beforeAutospacing="0" w:after="0" w:afterAutospacing="0" w:line="240" w:lineRule="atLeast"/>
              <w:ind w:left="0" w:right="0" w:firstLine="0" w:firstLineChars="0"/>
              <w:jc w:val="center"/>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lang w:eastAsia="zh-CN"/>
              </w:rPr>
              <w:t>是</w:t>
            </w:r>
          </w:p>
        </w:tc>
      </w:tr>
      <w:tr w14:paraId="33DBC1F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49" w:type="pct"/>
            <w:vMerge w:val="continue"/>
            <w:tcBorders>
              <w:top w:val="single" w:color="auto" w:sz="4" w:space="0"/>
              <w:bottom w:val="single" w:color="auto" w:sz="4" w:space="0"/>
              <w:right w:val="single" w:color="auto" w:sz="4" w:space="0"/>
            </w:tcBorders>
            <w:vAlign w:val="center"/>
          </w:tcPr>
          <w:p w14:paraId="65CCCD09">
            <w:pPr>
              <w:keepNext w:val="0"/>
              <w:keepLines w:val="0"/>
              <w:suppressLineNumbers w:val="0"/>
              <w:spacing w:before="0" w:beforeAutospacing="0" w:after="0" w:afterAutospacing="0" w:line="240" w:lineRule="atLeast"/>
              <w:ind w:left="0" w:right="0" w:firstLine="0" w:firstLineChars="0"/>
              <w:jc w:val="center"/>
              <w:rPr>
                <w:rFonts w:hint="default" w:ascii="Times New Roman" w:hAnsi="Times New Roman" w:cs="Times New Roman"/>
                <w:color w:val="auto"/>
                <w:sz w:val="21"/>
                <w:szCs w:val="21"/>
                <w:lang w:eastAsia="zh-CN"/>
              </w:rPr>
            </w:pPr>
          </w:p>
        </w:tc>
        <w:tc>
          <w:tcPr>
            <w:tcW w:w="1556" w:type="pct"/>
            <w:tcBorders>
              <w:top w:val="single" w:color="auto" w:sz="4" w:space="0"/>
              <w:left w:val="single" w:color="auto" w:sz="4" w:space="0"/>
              <w:bottom w:val="single" w:color="auto" w:sz="4" w:space="0"/>
              <w:right w:val="single" w:color="auto" w:sz="4" w:space="0"/>
            </w:tcBorders>
            <w:vAlign w:val="center"/>
          </w:tcPr>
          <w:p w14:paraId="4B966D0F">
            <w:pPr>
              <w:keepNext w:val="0"/>
              <w:keepLines w:val="0"/>
              <w:suppressLineNumbers w:val="0"/>
              <w:spacing w:before="0" w:beforeAutospacing="0" w:after="0" w:afterAutospacing="0" w:line="240" w:lineRule="atLeast"/>
              <w:ind w:left="0" w:right="0" w:firstLine="0" w:firstLineChars="0"/>
              <w:jc w:val="center"/>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lang w:eastAsia="zh-CN"/>
              </w:rPr>
              <w:t>地形数据分辨率(m)</w:t>
            </w:r>
          </w:p>
        </w:tc>
        <w:tc>
          <w:tcPr>
            <w:tcW w:w="2093" w:type="pct"/>
            <w:tcBorders>
              <w:top w:val="single" w:color="auto" w:sz="4" w:space="0"/>
              <w:left w:val="single" w:color="auto" w:sz="4" w:space="0"/>
              <w:bottom w:val="single" w:color="auto" w:sz="4" w:space="0"/>
            </w:tcBorders>
            <w:vAlign w:val="center"/>
          </w:tcPr>
          <w:p w14:paraId="4EDD2A49">
            <w:pPr>
              <w:keepNext w:val="0"/>
              <w:keepLines w:val="0"/>
              <w:suppressLineNumbers w:val="0"/>
              <w:spacing w:before="0" w:beforeAutospacing="0" w:after="0" w:afterAutospacing="0" w:line="240" w:lineRule="atLeast"/>
              <w:ind w:left="0" w:right="0" w:firstLine="0" w:firstLineChars="0"/>
              <w:jc w:val="center"/>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lang w:eastAsia="zh-CN"/>
              </w:rPr>
              <w:t>90</w:t>
            </w:r>
          </w:p>
        </w:tc>
      </w:tr>
      <w:tr w14:paraId="654934D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49" w:type="pct"/>
            <w:vMerge w:val="restart"/>
            <w:tcBorders>
              <w:top w:val="single" w:color="auto" w:sz="4" w:space="0"/>
              <w:bottom w:val="single" w:color="auto" w:sz="4" w:space="0"/>
              <w:right w:val="single" w:color="auto" w:sz="4" w:space="0"/>
            </w:tcBorders>
            <w:vAlign w:val="center"/>
          </w:tcPr>
          <w:p w14:paraId="6F8A6444">
            <w:pPr>
              <w:keepNext w:val="0"/>
              <w:keepLines w:val="0"/>
              <w:suppressLineNumbers w:val="0"/>
              <w:spacing w:before="0" w:beforeAutospacing="0" w:after="0" w:afterAutospacing="0" w:line="240" w:lineRule="atLeast"/>
              <w:ind w:left="0" w:right="0" w:firstLine="0" w:firstLineChars="0"/>
              <w:jc w:val="center"/>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lang w:eastAsia="zh-CN"/>
              </w:rPr>
              <w:t>是否考虑海岸线熏烟</w:t>
            </w:r>
          </w:p>
        </w:tc>
        <w:tc>
          <w:tcPr>
            <w:tcW w:w="1556" w:type="pct"/>
            <w:tcBorders>
              <w:top w:val="single" w:color="auto" w:sz="4" w:space="0"/>
              <w:left w:val="single" w:color="auto" w:sz="4" w:space="0"/>
              <w:bottom w:val="single" w:color="auto" w:sz="4" w:space="0"/>
              <w:right w:val="single" w:color="auto" w:sz="4" w:space="0"/>
            </w:tcBorders>
            <w:vAlign w:val="center"/>
          </w:tcPr>
          <w:p w14:paraId="7AC551B3">
            <w:pPr>
              <w:keepNext w:val="0"/>
              <w:keepLines w:val="0"/>
              <w:suppressLineNumbers w:val="0"/>
              <w:spacing w:before="0" w:beforeAutospacing="0" w:after="0" w:afterAutospacing="0" w:line="240" w:lineRule="atLeast"/>
              <w:ind w:left="0" w:right="0" w:firstLine="0" w:firstLineChars="0"/>
              <w:jc w:val="center"/>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lang w:eastAsia="zh-CN"/>
              </w:rPr>
              <w:t>考虑海岸线熏烟</w:t>
            </w:r>
          </w:p>
        </w:tc>
        <w:tc>
          <w:tcPr>
            <w:tcW w:w="2093" w:type="pct"/>
            <w:tcBorders>
              <w:top w:val="single" w:color="auto" w:sz="4" w:space="0"/>
              <w:left w:val="single" w:color="auto" w:sz="4" w:space="0"/>
              <w:bottom w:val="single" w:color="auto" w:sz="4" w:space="0"/>
            </w:tcBorders>
            <w:vAlign w:val="center"/>
          </w:tcPr>
          <w:p w14:paraId="6F2670AB">
            <w:pPr>
              <w:keepNext w:val="0"/>
              <w:keepLines w:val="0"/>
              <w:suppressLineNumbers w:val="0"/>
              <w:spacing w:before="0" w:beforeAutospacing="0" w:after="0" w:afterAutospacing="0" w:line="240" w:lineRule="atLeast"/>
              <w:ind w:left="0" w:right="0" w:firstLine="0" w:firstLineChars="0"/>
              <w:jc w:val="center"/>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lang w:eastAsia="zh-CN"/>
              </w:rPr>
              <w:t>否</w:t>
            </w:r>
          </w:p>
        </w:tc>
      </w:tr>
      <w:tr w14:paraId="5A9B989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49" w:type="pct"/>
            <w:vMerge w:val="continue"/>
            <w:tcBorders>
              <w:top w:val="single" w:color="auto" w:sz="4" w:space="0"/>
              <w:bottom w:val="single" w:color="auto" w:sz="4" w:space="0"/>
              <w:right w:val="single" w:color="auto" w:sz="4" w:space="0"/>
            </w:tcBorders>
            <w:vAlign w:val="center"/>
          </w:tcPr>
          <w:p w14:paraId="23B4C163">
            <w:pPr>
              <w:keepNext w:val="0"/>
              <w:keepLines w:val="0"/>
              <w:suppressLineNumbers w:val="0"/>
              <w:spacing w:before="0" w:beforeAutospacing="0" w:after="0" w:afterAutospacing="0" w:line="240" w:lineRule="atLeast"/>
              <w:ind w:left="0" w:right="0" w:firstLine="0" w:firstLineChars="0"/>
              <w:jc w:val="center"/>
              <w:rPr>
                <w:rFonts w:hint="default" w:ascii="Times New Roman" w:hAnsi="Times New Roman" w:cs="Times New Roman"/>
                <w:color w:val="auto"/>
                <w:sz w:val="21"/>
                <w:szCs w:val="21"/>
                <w:lang w:eastAsia="zh-CN"/>
              </w:rPr>
            </w:pPr>
          </w:p>
        </w:tc>
        <w:tc>
          <w:tcPr>
            <w:tcW w:w="1556" w:type="pct"/>
            <w:tcBorders>
              <w:top w:val="single" w:color="auto" w:sz="4" w:space="0"/>
              <w:left w:val="single" w:color="auto" w:sz="4" w:space="0"/>
              <w:bottom w:val="single" w:color="auto" w:sz="4" w:space="0"/>
              <w:right w:val="single" w:color="auto" w:sz="4" w:space="0"/>
            </w:tcBorders>
            <w:vAlign w:val="center"/>
          </w:tcPr>
          <w:p w14:paraId="42A8C07F">
            <w:pPr>
              <w:keepNext w:val="0"/>
              <w:keepLines w:val="0"/>
              <w:suppressLineNumbers w:val="0"/>
              <w:spacing w:before="0" w:beforeAutospacing="0" w:after="0" w:afterAutospacing="0" w:line="240" w:lineRule="atLeast"/>
              <w:ind w:left="0" w:right="0" w:firstLine="0" w:firstLineChars="0"/>
              <w:jc w:val="center"/>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lang w:eastAsia="zh-CN"/>
              </w:rPr>
              <w:t>海岸线距离/km</w:t>
            </w:r>
          </w:p>
        </w:tc>
        <w:tc>
          <w:tcPr>
            <w:tcW w:w="2093" w:type="pct"/>
            <w:tcBorders>
              <w:top w:val="single" w:color="auto" w:sz="4" w:space="0"/>
              <w:left w:val="single" w:color="auto" w:sz="4" w:space="0"/>
              <w:bottom w:val="single" w:color="auto" w:sz="4" w:space="0"/>
            </w:tcBorders>
            <w:vAlign w:val="center"/>
          </w:tcPr>
          <w:p w14:paraId="27B5C04E">
            <w:pPr>
              <w:keepNext w:val="0"/>
              <w:keepLines w:val="0"/>
              <w:suppressLineNumbers w:val="0"/>
              <w:spacing w:before="0" w:beforeAutospacing="0" w:after="0" w:afterAutospacing="0" w:line="240" w:lineRule="atLeast"/>
              <w:ind w:left="0" w:right="0" w:firstLine="0" w:firstLineChars="0"/>
              <w:jc w:val="center"/>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lang w:eastAsia="zh-CN"/>
              </w:rPr>
              <w:t>/</w:t>
            </w:r>
          </w:p>
        </w:tc>
      </w:tr>
      <w:tr w14:paraId="6649E90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49" w:type="pct"/>
            <w:vMerge w:val="continue"/>
            <w:tcBorders>
              <w:top w:val="single" w:color="auto" w:sz="4" w:space="0"/>
              <w:bottom w:val="single" w:color="auto" w:sz="12" w:space="0"/>
              <w:right w:val="single" w:color="auto" w:sz="4" w:space="0"/>
            </w:tcBorders>
            <w:vAlign w:val="center"/>
          </w:tcPr>
          <w:p w14:paraId="643DE4AD">
            <w:pPr>
              <w:keepNext w:val="0"/>
              <w:keepLines w:val="0"/>
              <w:suppressLineNumbers w:val="0"/>
              <w:spacing w:before="0" w:beforeAutospacing="0" w:after="0" w:afterAutospacing="0" w:line="240" w:lineRule="atLeast"/>
              <w:ind w:left="0" w:right="0" w:firstLine="0" w:firstLineChars="0"/>
              <w:jc w:val="center"/>
              <w:rPr>
                <w:rFonts w:hint="default" w:ascii="Times New Roman" w:hAnsi="Times New Roman" w:cs="Times New Roman"/>
                <w:color w:val="auto"/>
                <w:sz w:val="21"/>
                <w:szCs w:val="21"/>
                <w:lang w:eastAsia="zh-CN"/>
              </w:rPr>
            </w:pPr>
          </w:p>
        </w:tc>
        <w:tc>
          <w:tcPr>
            <w:tcW w:w="1556" w:type="pct"/>
            <w:tcBorders>
              <w:top w:val="single" w:color="auto" w:sz="4" w:space="0"/>
              <w:left w:val="single" w:color="auto" w:sz="4" w:space="0"/>
              <w:bottom w:val="single" w:color="auto" w:sz="12" w:space="0"/>
              <w:right w:val="single" w:color="auto" w:sz="4" w:space="0"/>
            </w:tcBorders>
            <w:vAlign w:val="center"/>
          </w:tcPr>
          <w:p w14:paraId="306FDB68">
            <w:pPr>
              <w:keepNext w:val="0"/>
              <w:keepLines w:val="0"/>
              <w:suppressLineNumbers w:val="0"/>
              <w:spacing w:before="0" w:beforeAutospacing="0" w:after="0" w:afterAutospacing="0" w:line="240" w:lineRule="atLeast"/>
              <w:ind w:left="0" w:right="0" w:firstLine="0" w:firstLineChars="0"/>
              <w:jc w:val="center"/>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lang w:eastAsia="zh-CN"/>
              </w:rPr>
              <w:t>海岸线方向/o</w:t>
            </w:r>
          </w:p>
        </w:tc>
        <w:tc>
          <w:tcPr>
            <w:tcW w:w="2093" w:type="pct"/>
            <w:tcBorders>
              <w:top w:val="single" w:color="auto" w:sz="4" w:space="0"/>
              <w:left w:val="single" w:color="auto" w:sz="4" w:space="0"/>
              <w:bottom w:val="single" w:color="auto" w:sz="12" w:space="0"/>
            </w:tcBorders>
            <w:vAlign w:val="center"/>
          </w:tcPr>
          <w:p w14:paraId="56BC877E">
            <w:pPr>
              <w:keepNext w:val="0"/>
              <w:keepLines w:val="0"/>
              <w:suppressLineNumbers w:val="0"/>
              <w:spacing w:before="0" w:beforeAutospacing="0" w:after="0" w:afterAutospacing="0" w:line="240" w:lineRule="atLeast"/>
              <w:ind w:left="0" w:right="0" w:firstLine="0" w:firstLineChars="0"/>
              <w:jc w:val="center"/>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lang w:eastAsia="zh-CN"/>
              </w:rPr>
              <w:t>/</w:t>
            </w:r>
          </w:p>
        </w:tc>
      </w:tr>
    </w:tbl>
    <w:p w14:paraId="4E57E30D">
      <w:pPr>
        <w:bidi w:val="0"/>
      </w:pPr>
      <w:r>
        <w:rPr>
          <w:rFonts w:hint="eastAsia"/>
          <w:lang w:eastAsia="zh-CN"/>
        </w:rPr>
        <w:t>（</w:t>
      </w:r>
      <w:r>
        <w:rPr>
          <w:rFonts w:hint="eastAsia"/>
          <w:lang w:val="en-US" w:eastAsia="zh-CN"/>
        </w:rPr>
        <w:t>3</w:t>
      </w:r>
      <w:r>
        <w:rPr>
          <w:rFonts w:hint="eastAsia"/>
          <w:lang w:eastAsia="zh-CN"/>
        </w:rPr>
        <w:t>）</w:t>
      </w:r>
      <w:r>
        <w:t>废气有组织排放与达标情况</w:t>
      </w:r>
    </w:p>
    <w:p w14:paraId="01207DA5">
      <w:pPr>
        <w:bidi w:val="0"/>
      </w:pPr>
      <w:r>
        <w:rPr>
          <w:rFonts w:hint="default"/>
          <w:lang w:val="en-US" w:eastAsia="zh-CN"/>
        </w:rPr>
        <w:t>通过槽边吸风装置对酸雾进行收集，收集后的酸雾进入酸雾净化塔吸收净化后通过厂房楼顶的</w:t>
      </w:r>
      <w:r>
        <w:rPr>
          <w:rFonts w:hint="eastAsia"/>
          <w:lang w:val="en-US" w:eastAsia="zh-CN"/>
        </w:rPr>
        <w:t>15m</w:t>
      </w:r>
      <w:r>
        <w:rPr>
          <w:rFonts w:hint="default"/>
          <w:lang w:val="en-US" w:eastAsia="zh-CN"/>
        </w:rPr>
        <w:t>排气筒外排</w:t>
      </w:r>
      <w:r>
        <w:t>。项目产生的废气排放与达标情况分析见表</w:t>
      </w:r>
      <w:r>
        <w:rPr>
          <w:rFonts w:hint="eastAsia"/>
          <w:lang w:val="en-US" w:eastAsia="zh-CN"/>
        </w:rPr>
        <w:t>7-6</w:t>
      </w:r>
      <w:r>
        <w:t>。</w:t>
      </w:r>
    </w:p>
    <w:p w14:paraId="29EC4062">
      <w:pPr>
        <w:pStyle w:val="14"/>
        <w:jc w:val="center"/>
        <w:rPr>
          <w:rFonts w:hint="eastAsia" w:ascii="黑体" w:hAnsi="黑体" w:eastAsia="黑体" w:cs="黑体"/>
          <w:b w:val="0"/>
          <w:bCs/>
          <w:sz w:val="21"/>
          <w:szCs w:val="21"/>
        </w:rPr>
      </w:pPr>
    </w:p>
    <w:p w14:paraId="319753FE">
      <w:pPr>
        <w:pStyle w:val="14"/>
        <w:jc w:val="center"/>
        <w:rPr>
          <w:rFonts w:hint="eastAsia" w:ascii="黑体" w:hAnsi="黑体" w:eastAsia="黑体" w:cs="黑体"/>
          <w:b w:val="0"/>
          <w:bCs/>
          <w:sz w:val="21"/>
          <w:szCs w:val="21"/>
        </w:rPr>
      </w:pPr>
    </w:p>
    <w:p w14:paraId="4A79EFCD">
      <w:pPr>
        <w:pStyle w:val="14"/>
        <w:jc w:val="center"/>
        <w:rPr>
          <w:rFonts w:hint="eastAsia" w:ascii="黑体" w:hAnsi="黑体" w:eastAsia="黑体" w:cs="黑体"/>
          <w:b w:val="0"/>
          <w:bCs/>
          <w:sz w:val="21"/>
          <w:szCs w:val="21"/>
        </w:rPr>
      </w:pPr>
    </w:p>
    <w:p w14:paraId="1201E65B">
      <w:pPr>
        <w:pStyle w:val="14"/>
        <w:jc w:val="center"/>
        <w:rPr>
          <w:rFonts w:hint="eastAsia" w:ascii="黑体" w:hAnsi="黑体" w:eastAsia="黑体" w:cs="黑体"/>
          <w:b w:val="0"/>
          <w:bCs/>
          <w:sz w:val="21"/>
          <w:szCs w:val="21"/>
        </w:rPr>
      </w:pPr>
    </w:p>
    <w:p w14:paraId="7BFF79BB">
      <w:pPr>
        <w:pStyle w:val="14"/>
        <w:jc w:val="center"/>
        <w:rPr>
          <w:b/>
          <w:sz w:val="21"/>
          <w:szCs w:val="21"/>
        </w:rPr>
      </w:pPr>
      <w:r>
        <w:rPr>
          <w:rFonts w:hint="eastAsia" w:ascii="黑体" w:hAnsi="黑体" w:eastAsia="黑体" w:cs="黑体"/>
          <w:b w:val="0"/>
          <w:bCs/>
          <w:sz w:val="21"/>
          <w:szCs w:val="21"/>
        </w:rPr>
        <w:t>表</w:t>
      </w:r>
      <w:r>
        <w:rPr>
          <w:rFonts w:hint="eastAsia" w:ascii="黑体" w:hAnsi="黑体" w:eastAsia="黑体" w:cs="黑体"/>
          <w:b w:val="0"/>
          <w:bCs/>
          <w:sz w:val="21"/>
          <w:szCs w:val="21"/>
          <w:lang w:val="en-US" w:eastAsia="zh-CN"/>
        </w:rPr>
        <w:t>7-6</w:t>
      </w:r>
      <w:r>
        <w:rPr>
          <w:rFonts w:hint="eastAsia" w:ascii="黑体" w:hAnsi="黑体" w:eastAsia="黑体" w:cs="黑体"/>
          <w:b w:val="0"/>
          <w:bCs/>
          <w:sz w:val="21"/>
          <w:szCs w:val="21"/>
        </w:rPr>
        <w:t>有组织废气排放情况</w:t>
      </w:r>
    </w:p>
    <w:tbl>
      <w:tblPr>
        <w:tblStyle w:val="52"/>
        <w:tblW w:w="4999" w:type="pct"/>
        <w:tblInd w:w="0" w:type="dxa"/>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854"/>
        <w:gridCol w:w="737"/>
        <w:gridCol w:w="1765"/>
        <w:gridCol w:w="748"/>
        <w:gridCol w:w="806"/>
        <w:gridCol w:w="1251"/>
        <w:gridCol w:w="926"/>
        <w:gridCol w:w="1240"/>
        <w:gridCol w:w="618"/>
      </w:tblGrid>
      <w:tr w14:paraId="4429F16D">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477" w:type="pct"/>
            <w:vMerge w:val="restart"/>
            <w:shd w:val="clear" w:color="auto" w:fill="auto"/>
            <w:vAlign w:val="center"/>
          </w:tcPr>
          <w:p w14:paraId="14DCD53C">
            <w:pPr>
              <w:keepNext w:val="0"/>
              <w:keepLines w:val="0"/>
              <w:pageBreakBefore w:val="0"/>
              <w:kinsoku/>
              <w:wordWrap/>
              <w:overflowPunct/>
              <w:topLinePunct w:val="0"/>
              <w:autoSpaceDE/>
              <w:autoSpaceDN/>
              <w:bidi w:val="0"/>
              <w:spacing w:line="240" w:lineRule="auto"/>
              <w:ind w:firstLine="0" w:firstLineChars="0"/>
              <w:jc w:val="center"/>
              <w:textAlignment w:val="auto"/>
              <w:rPr>
                <w:kern w:val="0"/>
                <w:sz w:val="21"/>
                <w:szCs w:val="21"/>
              </w:rPr>
            </w:pPr>
            <w:r>
              <w:rPr>
                <w:kern w:val="0"/>
                <w:sz w:val="21"/>
                <w:szCs w:val="21"/>
              </w:rPr>
              <w:t>产污 环节</w:t>
            </w:r>
          </w:p>
        </w:tc>
        <w:tc>
          <w:tcPr>
            <w:tcW w:w="411" w:type="pct"/>
            <w:vMerge w:val="restart"/>
            <w:shd w:val="clear" w:color="auto" w:fill="auto"/>
            <w:vAlign w:val="center"/>
          </w:tcPr>
          <w:p w14:paraId="39548E0D">
            <w:pPr>
              <w:keepNext w:val="0"/>
              <w:keepLines w:val="0"/>
              <w:pageBreakBefore w:val="0"/>
              <w:kinsoku/>
              <w:wordWrap/>
              <w:overflowPunct/>
              <w:topLinePunct w:val="0"/>
              <w:autoSpaceDE/>
              <w:autoSpaceDN/>
              <w:bidi w:val="0"/>
              <w:spacing w:line="240" w:lineRule="auto"/>
              <w:ind w:firstLine="0" w:firstLineChars="0"/>
              <w:jc w:val="center"/>
              <w:textAlignment w:val="auto"/>
              <w:rPr>
                <w:kern w:val="0"/>
                <w:sz w:val="21"/>
                <w:szCs w:val="21"/>
              </w:rPr>
            </w:pPr>
            <w:r>
              <w:rPr>
                <w:kern w:val="0"/>
                <w:sz w:val="21"/>
                <w:szCs w:val="21"/>
              </w:rPr>
              <w:t>污染物</w:t>
            </w:r>
          </w:p>
        </w:tc>
        <w:tc>
          <w:tcPr>
            <w:tcW w:w="986" w:type="pct"/>
            <w:vMerge w:val="restart"/>
            <w:shd w:val="clear" w:color="auto" w:fill="auto"/>
            <w:vAlign w:val="center"/>
          </w:tcPr>
          <w:p w14:paraId="65DA75AE">
            <w:pPr>
              <w:keepNext w:val="0"/>
              <w:keepLines w:val="0"/>
              <w:pageBreakBefore w:val="0"/>
              <w:kinsoku/>
              <w:wordWrap/>
              <w:overflowPunct/>
              <w:topLinePunct w:val="0"/>
              <w:autoSpaceDE/>
              <w:autoSpaceDN/>
              <w:bidi w:val="0"/>
              <w:spacing w:line="240" w:lineRule="auto"/>
              <w:ind w:firstLine="0" w:firstLineChars="0"/>
              <w:jc w:val="center"/>
              <w:textAlignment w:val="auto"/>
              <w:rPr>
                <w:kern w:val="0"/>
                <w:sz w:val="21"/>
                <w:szCs w:val="21"/>
              </w:rPr>
            </w:pPr>
            <w:r>
              <w:rPr>
                <w:kern w:val="0"/>
                <w:sz w:val="21"/>
                <w:szCs w:val="21"/>
              </w:rPr>
              <w:t>治理 措施</w:t>
            </w:r>
          </w:p>
        </w:tc>
        <w:tc>
          <w:tcPr>
            <w:tcW w:w="868" w:type="pct"/>
            <w:gridSpan w:val="2"/>
            <w:shd w:val="clear" w:color="auto" w:fill="auto"/>
            <w:vAlign w:val="center"/>
          </w:tcPr>
          <w:p w14:paraId="16D50207">
            <w:pPr>
              <w:keepNext w:val="0"/>
              <w:keepLines w:val="0"/>
              <w:pageBreakBefore w:val="0"/>
              <w:widowControl/>
              <w:kinsoku/>
              <w:wordWrap/>
              <w:overflowPunct/>
              <w:topLinePunct w:val="0"/>
              <w:autoSpaceDE/>
              <w:autoSpaceDN/>
              <w:bidi w:val="0"/>
              <w:spacing w:line="240" w:lineRule="auto"/>
              <w:ind w:firstLine="0" w:firstLineChars="0"/>
              <w:jc w:val="center"/>
              <w:textAlignment w:val="auto"/>
              <w:rPr>
                <w:kern w:val="0"/>
                <w:sz w:val="21"/>
                <w:szCs w:val="21"/>
              </w:rPr>
            </w:pPr>
            <w:r>
              <w:rPr>
                <w:kern w:val="0"/>
                <w:sz w:val="21"/>
                <w:szCs w:val="21"/>
              </w:rPr>
              <w:t>排气筒</w:t>
            </w:r>
          </w:p>
        </w:tc>
        <w:tc>
          <w:tcPr>
            <w:tcW w:w="699" w:type="pct"/>
            <w:shd w:val="clear" w:color="auto" w:fill="auto"/>
            <w:vAlign w:val="center"/>
          </w:tcPr>
          <w:p w14:paraId="5BDA6608">
            <w:pPr>
              <w:keepNext w:val="0"/>
              <w:keepLines w:val="0"/>
              <w:pageBreakBefore w:val="0"/>
              <w:widowControl/>
              <w:kinsoku/>
              <w:wordWrap/>
              <w:overflowPunct/>
              <w:topLinePunct w:val="0"/>
              <w:autoSpaceDE/>
              <w:autoSpaceDN/>
              <w:bidi w:val="0"/>
              <w:spacing w:line="240" w:lineRule="auto"/>
              <w:ind w:firstLine="0" w:firstLineChars="0"/>
              <w:jc w:val="center"/>
              <w:textAlignment w:val="auto"/>
              <w:rPr>
                <w:kern w:val="0"/>
                <w:sz w:val="21"/>
                <w:szCs w:val="21"/>
              </w:rPr>
            </w:pPr>
            <w:r>
              <w:rPr>
                <w:kern w:val="0"/>
                <w:sz w:val="21"/>
                <w:szCs w:val="21"/>
              </w:rPr>
              <w:t>排放速率</w:t>
            </w:r>
          </w:p>
        </w:tc>
        <w:tc>
          <w:tcPr>
            <w:tcW w:w="517" w:type="pct"/>
            <w:shd w:val="clear" w:color="auto" w:fill="auto"/>
            <w:vAlign w:val="center"/>
          </w:tcPr>
          <w:p w14:paraId="55F959D5">
            <w:pPr>
              <w:keepNext w:val="0"/>
              <w:keepLines w:val="0"/>
              <w:pageBreakBefore w:val="0"/>
              <w:widowControl/>
              <w:kinsoku/>
              <w:wordWrap/>
              <w:overflowPunct/>
              <w:topLinePunct w:val="0"/>
              <w:autoSpaceDE/>
              <w:autoSpaceDN/>
              <w:bidi w:val="0"/>
              <w:spacing w:line="240" w:lineRule="auto"/>
              <w:ind w:firstLine="0" w:firstLineChars="0"/>
              <w:jc w:val="center"/>
              <w:textAlignment w:val="auto"/>
              <w:rPr>
                <w:kern w:val="0"/>
                <w:sz w:val="21"/>
                <w:szCs w:val="21"/>
              </w:rPr>
            </w:pPr>
            <w:r>
              <w:rPr>
                <w:kern w:val="0"/>
                <w:sz w:val="21"/>
                <w:szCs w:val="21"/>
              </w:rPr>
              <w:t>排放 浓度</w:t>
            </w:r>
          </w:p>
        </w:tc>
        <w:tc>
          <w:tcPr>
            <w:tcW w:w="693" w:type="pct"/>
            <w:vMerge w:val="restart"/>
            <w:shd w:val="clear" w:color="auto" w:fill="auto"/>
            <w:vAlign w:val="center"/>
          </w:tcPr>
          <w:p w14:paraId="1A425F86">
            <w:pPr>
              <w:keepNext w:val="0"/>
              <w:keepLines w:val="0"/>
              <w:pageBreakBefore w:val="0"/>
              <w:kinsoku/>
              <w:wordWrap/>
              <w:overflowPunct/>
              <w:topLinePunct w:val="0"/>
              <w:autoSpaceDE/>
              <w:autoSpaceDN/>
              <w:bidi w:val="0"/>
              <w:spacing w:line="240" w:lineRule="auto"/>
              <w:ind w:firstLine="0" w:firstLineChars="0"/>
              <w:jc w:val="center"/>
              <w:textAlignment w:val="auto"/>
              <w:rPr>
                <w:kern w:val="0"/>
                <w:sz w:val="21"/>
                <w:szCs w:val="21"/>
              </w:rPr>
            </w:pPr>
            <w:r>
              <w:rPr>
                <w:kern w:val="0"/>
                <w:sz w:val="21"/>
                <w:szCs w:val="21"/>
              </w:rPr>
              <w:t>排放标准</w:t>
            </w:r>
          </w:p>
        </w:tc>
        <w:tc>
          <w:tcPr>
            <w:tcW w:w="345" w:type="pct"/>
            <w:vMerge w:val="restart"/>
            <w:shd w:val="clear" w:color="auto" w:fill="auto"/>
            <w:vAlign w:val="center"/>
          </w:tcPr>
          <w:p w14:paraId="0F67B6D7">
            <w:pPr>
              <w:keepNext w:val="0"/>
              <w:keepLines w:val="0"/>
              <w:pageBreakBefore w:val="0"/>
              <w:kinsoku/>
              <w:wordWrap/>
              <w:overflowPunct/>
              <w:topLinePunct w:val="0"/>
              <w:autoSpaceDE/>
              <w:autoSpaceDN/>
              <w:bidi w:val="0"/>
              <w:spacing w:line="240" w:lineRule="auto"/>
              <w:ind w:firstLine="0" w:firstLineChars="0"/>
              <w:jc w:val="center"/>
              <w:textAlignment w:val="auto"/>
              <w:rPr>
                <w:kern w:val="0"/>
                <w:sz w:val="21"/>
                <w:szCs w:val="21"/>
              </w:rPr>
            </w:pPr>
            <w:r>
              <w:rPr>
                <w:kern w:val="0"/>
                <w:sz w:val="21"/>
                <w:szCs w:val="21"/>
              </w:rPr>
              <w:t>达标情况</w:t>
            </w:r>
          </w:p>
        </w:tc>
      </w:tr>
      <w:tr w14:paraId="4D68B283">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477" w:type="pct"/>
            <w:vMerge w:val="continue"/>
            <w:shd w:val="clear" w:color="auto" w:fill="auto"/>
            <w:vAlign w:val="center"/>
          </w:tcPr>
          <w:p w14:paraId="26F73ED4">
            <w:pPr>
              <w:keepNext w:val="0"/>
              <w:keepLines w:val="0"/>
              <w:pageBreakBefore w:val="0"/>
              <w:widowControl/>
              <w:kinsoku/>
              <w:wordWrap/>
              <w:overflowPunct/>
              <w:topLinePunct w:val="0"/>
              <w:autoSpaceDE/>
              <w:autoSpaceDN/>
              <w:bidi w:val="0"/>
              <w:spacing w:line="240" w:lineRule="auto"/>
              <w:ind w:firstLine="0" w:firstLineChars="0"/>
              <w:jc w:val="center"/>
              <w:textAlignment w:val="auto"/>
              <w:rPr>
                <w:kern w:val="0"/>
                <w:sz w:val="21"/>
                <w:szCs w:val="21"/>
              </w:rPr>
            </w:pPr>
          </w:p>
        </w:tc>
        <w:tc>
          <w:tcPr>
            <w:tcW w:w="411" w:type="pct"/>
            <w:vMerge w:val="continue"/>
            <w:shd w:val="clear" w:color="auto" w:fill="auto"/>
            <w:vAlign w:val="center"/>
          </w:tcPr>
          <w:p w14:paraId="3954A06C">
            <w:pPr>
              <w:keepNext w:val="0"/>
              <w:keepLines w:val="0"/>
              <w:pageBreakBefore w:val="0"/>
              <w:widowControl/>
              <w:kinsoku/>
              <w:wordWrap/>
              <w:overflowPunct/>
              <w:topLinePunct w:val="0"/>
              <w:autoSpaceDE/>
              <w:autoSpaceDN/>
              <w:bidi w:val="0"/>
              <w:spacing w:line="240" w:lineRule="auto"/>
              <w:ind w:firstLine="0" w:firstLineChars="0"/>
              <w:jc w:val="center"/>
              <w:textAlignment w:val="auto"/>
              <w:rPr>
                <w:kern w:val="0"/>
                <w:sz w:val="21"/>
                <w:szCs w:val="21"/>
              </w:rPr>
            </w:pPr>
          </w:p>
        </w:tc>
        <w:tc>
          <w:tcPr>
            <w:tcW w:w="986" w:type="pct"/>
            <w:vMerge w:val="continue"/>
            <w:shd w:val="clear" w:color="auto" w:fill="auto"/>
            <w:vAlign w:val="center"/>
          </w:tcPr>
          <w:p w14:paraId="5DB25944">
            <w:pPr>
              <w:keepNext w:val="0"/>
              <w:keepLines w:val="0"/>
              <w:pageBreakBefore w:val="0"/>
              <w:widowControl/>
              <w:kinsoku/>
              <w:wordWrap/>
              <w:overflowPunct/>
              <w:topLinePunct w:val="0"/>
              <w:autoSpaceDE/>
              <w:autoSpaceDN/>
              <w:bidi w:val="0"/>
              <w:spacing w:line="240" w:lineRule="auto"/>
              <w:ind w:firstLine="0" w:firstLineChars="0"/>
              <w:jc w:val="center"/>
              <w:textAlignment w:val="auto"/>
              <w:rPr>
                <w:kern w:val="0"/>
                <w:sz w:val="21"/>
                <w:szCs w:val="21"/>
              </w:rPr>
            </w:pPr>
          </w:p>
        </w:tc>
        <w:tc>
          <w:tcPr>
            <w:tcW w:w="418" w:type="pct"/>
            <w:shd w:val="clear" w:color="auto" w:fill="auto"/>
            <w:vAlign w:val="center"/>
          </w:tcPr>
          <w:p w14:paraId="54603919">
            <w:pPr>
              <w:keepNext w:val="0"/>
              <w:keepLines w:val="0"/>
              <w:pageBreakBefore w:val="0"/>
              <w:widowControl/>
              <w:kinsoku/>
              <w:wordWrap/>
              <w:overflowPunct/>
              <w:topLinePunct w:val="0"/>
              <w:autoSpaceDE/>
              <w:autoSpaceDN/>
              <w:bidi w:val="0"/>
              <w:spacing w:line="240" w:lineRule="auto"/>
              <w:ind w:firstLine="0" w:firstLineChars="0"/>
              <w:jc w:val="center"/>
              <w:textAlignment w:val="auto"/>
              <w:rPr>
                <w:kern w:val="0"/>
                <w:sz w:val="21"/>
                <w:szCs w:val="21"/>
              </w:rPr>
            </w:pPr>
            <w:r>
              <w:rPr>
                <w:kern w:val="0"/>
                <w:sz w:val="21"/>
                <w:szCs w:val="21"/>
              </w:rPr>
              <w:t>高度（m）</w:t>
            </w:r>
          </w:p>
        </w:tc>
        <w:tc>
          <w:tcPr>
            <w:tcW w:w="450" w:type="pct"/>
            <w:shd w:val="clear" w:color="auto" w:fill="auto"/>
            <w:vAlign w:val="center"/>
          </w:tcPr>
          <w:p w14:paraId="7C57A216">
            <w:pPr>
              <w:keepNext w:val="0"/>
              <w:keepLines w:val="0"/>
              <w:pageBreakBefore w:val="0"/>
              <w:widowControl/>
              <w:kinsoku/>
              <w:wordWrap/>
              <w:overflowPunct/>
              <w:topLinePunct w:val="0"/>
              <w:autoSpaceDE/>
              <w:autoSpaceDN/>
              <w:bidi w:val="0"/>
              <w:spacing w:line="240" w:lineRule="auto"/>
              <w:ind w:firstLine="0" w:firstLineChars="0"/>
              <w:jc w:val="center"/>
              <w:textAlignment w:val="auto"/>
              <w:rPr>
                <w:kern w:val="0"/>
                <w:sz w:val="21"/>
                <w:szCs w:val="21"/>
              </w:rPr>
            </w:pPr>
            <w:r>
              <w:rPr>
                <w:kern w:val="0"/>
                <w:sz w:val="21"/>
                <w:szCs w:val="21"/>
              </w:rPr>
              <w:t>数量（个）</w:t>
            </w:r>
          </w:p>
        </w:tc>
        <w:tc>
          <w:tcPr>
            <w:tcW w:w="699" w:type="pct"/>
            <w:shd w:val="clear" w:color="auto" w:fill="auto"/>
            <w:vAlign w:val="center"/>
          </w:tcPr>
          <w:p w14:paraId="1D264345">
            <w:pPr>
              <w:keepNext w:val="0"/>
              <w:keepLines w:val="0"/>
              <w:pageBreakBefore w:val="0"/>
              <w:widowControl/>
              <w:kinsoku/>
              <w:wordWrap/>
              <w:overflowPunct/>
              <w:topLinePunct w:val="0"/>
              <w:autoSpaceDE/>
              <w:autoSpaceDN/>
              <w:bidi w:val="0"/>
              <w:spacing w:line="240" w:lineRule="auto"/>
              <w:ind w:firstLine="0" w:firstLineChars="0"/>
              <w:jc w:val="center"/>
              <w:textAlignment w:val="auto"/>
              <w:rPr>
                <w:bCs/>
                <w:kern w:val="0"/>
                <w:sz w:val="21"/>
                <w:szCs w:val="21"/>
              </w:rPr>
            </w:pPr>
            <w:r>
              <w:rPr>
                <w:bCs/>
                <w:kern w:val="0"/>
                <w:sz w:val="21"/>
                <w:szCs w:val="21"/>
              </w:rPr>
              <w:t>kg/h</w:t>
            </w:r>
          </w:p>
        </w:tc>
        <w:tc>
          <w:tcPr>
            <w:tcW w:w="517" w:type="pct"/>
            <w:tcBorders>
              <w:bottom w:val="single" w:color="auto" w:sz="4" w:space="0"/>
            </w:tcBorders>
            <w:shd w:val="clear" w:color="auto" w:fill="auto"/>
            <w:vAlign w:val="center"/>
          </w:tcPr>
          <w:p w14:paraId="48C1AEAB">
            <w:pPr>
              <w:keepNext w:val="0"/>
              <w:keepLines w:val="0"/>
              <w:pageBreakBefore w:val="0"/>
              <w:widowControl/>
              <w:kinsoku/>
              <w:wordWrap/>
              <w:overflowPunct/>
              <w:topLinePunct w:val="0"/>
              <w:autoSpaceDE/>
              <w:autoSpaceDN/>
              <w:bidi w:val="0"/>
              <w:spacing w:line="240" w:lineRule="auto"/>
              <w:ind w:firstLine="0" w:firstLineChars="0"/>
              <w:jc w:val="center"/>
              <w:textAlignment w:val="auto"/>
              <w:rPr>
                <w:bCs/>
                <w:kern w:val="0"/>
                <w:sz w:val="21"/>
                <w:szCs w:val="21"/>
              </w:rPr>
            </w:pPr>
            <w:r>
              <w:rPr>
                <w:bCs/>
                <w:kern w:val="0"/>
                <w:sz w:val="21"/>
                <w:szCs w:val="21"/>
              </w:rPr>
              <w:t>mg/m</w:t>
            </w:r>
            <w:r>
              <w:rPr>
                <w:bCs/>
                <w:kern w:val="0"/>
                <w:sz w:val="21"/>
                <w:szCs w:val="21"/>
                <w:vertAlign w:val="superscript"/>
              </w:rPr>
              <w:t>3</w:t>
            </w:r>
          </w:p>
        </w:tc>
        <w:tc>
          <w:tcPr>
            <w:tcW w:w="693" w:type="pct"/>
            <w:vMerge w:val="continue"/>
            <w:tcBorders>
              <w:bottom w:val="single" w:color="auto" w:sz="4" w:space="0"/>
            </w:tcBorders>
            <w:shd w:val="clear" w:color="auto" w:fill="auto"/>
            <w:vAlign w:val="center"/>
          </w:tcPr>
          <w:p w14:paraId="724005C6">
            <w:pPr>
              <w:keepNext w:val="0"/>
              <w:keepLines w:val="0"/>
              <w:pageBreakBefore w:val="0"/>
              <w:widowControl/>
              <w:kinsoku/>
              <w:wordWrap/>
              <w:overflowPunct/>
              <w:topLinePunct w:val="0"/>
              <w:autoSpaceDE/>
              <w:autoSpaceDN/>
              <w:bidi w:val="0"/>
              <w:spacing w:line="240" w:lineRule="auto"/>
              <w:ind w:firstLine="0" w:firstLineChars="0"/>
              <w:jc w:val="center"/>
              <w:textAlignment w:val="auto"/>
              <w:rPr>
                <w:kern w:val="0"/>
                <w:sz w:val="21"/>
                <w:szCs w:val="21"/>
              </w:rPr>
            </w:pPr>
          </w:p>
        </w:tc>
        <w:tc>
          <w:tcPr>
            <w:tcW w:w="345" w:type="pct"/>
            <w:vMerge w:val="continue"/>
            <w:tcBorders>
              <w:bottom w:val="single" w:color="auto" w:sz="4" w:space="0"/>
            </w:tcBorders>
            <w:shd w:val="clear" w:color="auto" w:fill="auto"/>
            <w:vAlign w:val="center"/>
          </w:tcPr>
          <w:p w14:paraId="6D119EFE">
            <w:pPr>
              <w:keepNext w:val="0"/>
              <w:keepLines w:val="0"/>
              <w:pageBreakBefore w:val="0"/>
              <w:widowControl/>
              <w:kinsoku/>
              <w:wordWrap/>
              <w:overflowPunct/>
              <w:topLinePunct w:val="0"/>
              <w:autoSpaceDE/>
              <w:autoSpaceDN/>
              <w:bidi w:val="0"/>
              <w:spacing w:line="240" w:lineRule="auto"/>
              <w:ind w:firstLine="0" w:firstLineChars="0"/>
              <w:jc w:val="center"/>
              <w:textAlignment w:val="auto"/>
              <w:rPr>
                <w:kern w:val="0"/>
                <w:sz w:val="21"/>
                <w:szCs w:val="21"/>
              </w:rPr>
            </w:pPr>
          </w:p>
        </w:tc>
      </w:tr>
      <w:tr w14:paraId="1F2F253E">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21" w:hRule="atLeast"/>
        </w:trPr>
        <w:tc>
          <w:tcPr>
            <w:tcW w:w="477" w:type="pct"/>
            <w:tcBorders>
              <w:bottom w:val="single" w:color="auto" w:sz="4" w:space="0"/>
            </w:tcBorders>
            <w:shd w:val="clear" w:color="auto" w:fill="auto"/>
            <w:vAlign w:val="center"/>
          </w:tcPr>
          <w:p w14:paraId="7FFF2BF9">
            <w:pPr>
              <w:keepNext w:val="0"/>
              <w:keepLines w:val="0"/>
              <w:pageBreakBefore w:val="0"/>
              <w:kinsoku/>
              <w:wordWrap/>
              <w:overflowPunct/>
              <w:topLinePunct w:val="0"/>
              <w:autoSpaceDE/>
              <w:autoSpaceDN/>
              <w:bidi w:val="0"/>
              <w:spacing w:line="240" w:lineRule="auto"/>
              <w:ind w:firstLine="0" w:firstLineChars="0"/>
              <w:jc w:val="center"/>
              <w:textAlignment w:val="auto"/>
              <w:rPr>
                <w:kern w:val="0"/>
                <w:sz w:val="21"/>
                <w:szCs w:val="21"/>
              </w:rPr>
            </w:pPr>
            <w:r>
              <w:rPr>
                <w:rFonts w:hint="eastAsia" w:ascii="宋体" w:hAnsi="宋体" w:eastAsia="宋体" w:cs="宋体"/>
                <w:sz w:val="21"/>
                <w:szCs w:val="21"/>
                <w:vertAlign w:val="baseline"/>
                <w:lang w:val="en-US" w:eastAsia="zh-CN"/>
              </w:rPr>
              <w:t>电镀车间废气排气筒</w:t>
            </w:r>
          </w:p>
        </w:tc>
        <w:tc>
          <w:tcPr>
            <w:tcW w:w="411" w:type="pct"/>
            <w:tcBorders>
              <w:bottom w:val="single" w:color="auto" w:sz="4" w:space="0"/>
            </w:tcBorders>
            <w:shd w:val="clear" w:color="auto" w:fill="auto"/>
            <w:vAlign w:val="center"/>
          </w:tcPr>
          <w:p w14:paraId="6C9AD3B4">
            <w:pPr>
              <w:keepNext w:val="0"/>
              <w:keepLines w:val="0"/>
              <w:pageBreakBefore w:val="0"/>
              <w:widowControl/>
              <w:kinsoku/>
              <w:wordWrap/>
              <w:overflowPunct/>
              <w:topLinePunct w:val="0"/>
              <w:autoSpaceDE/>
              <w:autoSpaceDN/>
              <w:bidi w:val="0"/>
              <w:spacing w:line="240" w:lineRule="auto"/>
              <w:ind w:firstLine="0" w:firstLineChars="0"/>
              <w:jc w:val="center"/>
              <w:textAlignment w:val="auto"/>
              <w:rPr>
                <w:kern w:val="0"/>
                <w:sz w:val="21"/>
                <w:szCs w:val="21"/>
              </w:rPr>
            </w:pPr>
            <w:r>
              <w:rPr>
                <w:rFonts w:hint="eastAsia" w:ascii="宋体" w:hAnsi="宋体" w:eastAsia="宋体" w:cs="宋体"/>
                <w:sz w:val="21"/>
                <w:szCs w:val="21"/>
                <w:vertAlign w:val="baseline"/>
                <w:lang w:val="en-US" w:eastAsia="zh-CN"/>
              </w:rPr>
              <w:t>甲基磺酸</w:t>
            </w:r>
          </w:p>
        </w:tc>
        <w:tc>
          <w:tcPr>
            <w:tcW w:w="986" w:type="pct"/>
            <w:tcBorders>
              <w:bottom w:val="single" w:color="auto" w:sz="4" w:space="0"/>
            </w:tcBorders>
            <w:shd w:val="clear" w:color="auto" w:fill="auto"/>
            <w:vAlign w:val="center"/>
          </w:tcPr>
          <w:p w14:paraId="6E81238A">
            <w:pPr>
              <w:pStyle w:val="72"/>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废气通过槽边抽风收集后进入酸雾喷淋净化塔吸收净化后经位于</w:t>
            </w:r>
          </w:p>
          <w:p w14:paraId="4B8B2E56">
            <w:pPr>
              <w:keepNext w:val="0"/>
              <w:keepLines w:val="0"/>
              <w:pageBreakBefore w:val="0"/>
              <w:kinsoku/>
              <w:wordWrap/>
              <w:overflowPunct/>
              <w:topLinePunct w:val="0"/>
              <w:autoSpaceDE/>
              <w:autoSpaceDN/>
              <w:bidi w:val="0"/>
              <w:spacing w:line="240" w:lineRule="auto"/>
              <w:ind w:firstLine="0" w:firstLineChars="0"/>
              <w:jc w:val="center"/>
              <w:textAlignment w:val="auto"/>
              <w:rPr>
                <w:kern w:val="0"/>
                <w:sz w:val="21"/>
                <w:szCs w:val="21"/>
              </w:rPr>
            </w:pPr>
            <w:r>
              <w:rPr>
                <w:rFonts w:hint="eastAsia" w:ascii="宋体" w:hAnsi="宋体" w:eastAsia="宋体" w:cs="宋体"/>
                <w:sz w:val="21"/>
                <w:szCs w:val="21"/>
                <w:vertAlign w:val="baseline"/>
                <w:lang w:val="en-US" w:eastAsia="zh-CN"/>
              </w:rPr>
              <w:t>厂房楼顶的15m高排气筒高空排放。</w:t>
            </w:r>
          </w:p>
        </w:tc>
        <w:tc>
          <w:tcPr>
            <w:tcW w:w="418" w:type="pct"/>
            <w:tcBorders>
              <w:bottom w:val="single" w:color="auto" w:sz="4" w:space="0"/>
            </w:tcBorders>
            <w:shd w:val="clear" w:color="auto" w:fill="auto"/>
            <w:vAlign w:val="center"/>
          </w:tcPr>
          <w:p w14:paraId="3B5743AB">
            <w:pPr>
              <w:keepNext w:val="0"/>
              <w:keepLines w:val="0"/>
              <w:pageBreakBefore w:val="0"/>
              <w:kinsoku/>
              <w:wordWrap/>
              <w:overflowPunct/>
              <w:topLinePunct w:val="0"/>
              <w:autoSpaceDE/>
              <w:autoSpaceDN/>
              <w:bidi w:val="0"/>
              <w:spacing w:line="240" w:lineRule="auto"/>
              <w:ind w:firstLine="0" w:firstLineChars="0"/>
              <w:jc w:val="center"/>
              <w:textAlignment w:val="auto"/>
              <w:rPr>
                <w:kern w:val="0"/>
                <w:sz w:val="21"/>
                <w:szCs w:val="21"/>
              </w:rPr>
            </w:pPr>
            <w:r>
              <w:rPr>
                <w:kern w:val="0"/>
                <w:sz w:val="21"/>
                <w:szCs w:val="21"/>
              </w:rPr>
              <w:t>15</w:t>
            </w:r>
          </w:p>
        </w:tc>
        <w:tc>
          <w:tcPr>
            <w:tcW w:w="450" w:type="pct"/>
            <w:tcBorders>
              <w:bottom w:val="single" w:color="auto" w:sz="4" w:space="0"/>
            </w:tcBorders>
            <w:shd w:val="clear" w:color="auto" w:fill="auto"/>
            <w:vAlign w:val="center"/>
          </w:tcPr>
          <w:p w14:paraId="22A07B05">
            <w:pPr>
              <w:keepNext w:val="0"/>
              <w:keepLines w:val="0"/>
              <w:pageBreakBefore w:val="0"/>
              <w:kinsoku/>
              <w:wordWrap/>
              <w:overflowPunct/>
              <w:topLinePunct w:val="0"/>
              <w:autoSpaceDE/>
              <w:autoSpaceDN/>
              <w:bidi w:val="0"/>
              <w:spacing w:line="240" w:lineRule="auto"/>
              <w:ind w:firstLine="0" w:firstLineChars="0"/>
              <w:jc w:val="center"/>
              <w:textAlignment w:val="auto"/>
              <w:rPr>
                <w:kern w:val="0"/>
                <w:sz w:val="21"/>
                <w:szCs w:val="21"/>
              </w:rPr>
            </w:pPr>
            <w:r>
              <w:rPr>
                <w:kern w:val="0"/>
                <w:sz w:val="21"/>
                <w:szCs w:val="21"/>
              </w:rPr>
              <w:t>1</w:t>
            </w:r>
          </w:p>
        </w:tc>
        <w:tc>
          <w:tcPr>
            <w:tcW w:w="699" w:type="pct"/>
            <w:tcBorders>
              <w:bottom w:val="single" w:color="auto" w:sz="4" w:space="0"/>
            </w:tcBorders>
            <w:shd w:val="clear" w:color="auto" w:fill="auto"/>
            <w:vAlign w:val="center"/>
          </w:tcPr>
          <w:p w14:paraId="55A4D285">
            <w:pPr>
              <w:keepNext w:val="0"/>
              <w:keepLines w:val="0"/>
              <w:pageBreakBefore w:val="0"/>
              <w:kinsoku/>
              <w:wordWrap/>
              <w:overflowPunct/>
              <w:topLinePunct w:val="0"/>
              <w:autoSpaceDE/>
              <w:autoSpaceDN/>
              <w:bidi w:val="0"/>
              <w:spacing w:line="240" w:lineRule="auto"/>
              <w:ind w:firstLine="0" w:firstLineChars="0"/>
              <w:jc w:val="center"/>
              <w:textAlignment w:val="auto"/>
              <w:rPr>
                <w:sz w:val="21"/>
                <w:szCs w:val="21"/>
              </w:rPr>
            </w:pPr>
            <w:r>
              <w:rPr>
                <w:rFonts w:hint="eastAsia" w:ascii="宋体" w:hAnsi="宋体" w:eastAsia="宋体" w:cs="宋体"/>
                <w:sz w:val="21"/>
                <w:szCs w:val="21"/>
                <w:vertAlign w:val="baseline"/>
                <w:lang w:val="en-US" w:eastAsia="zh-CN"/>
              </w:rPr>
              <w:t>0.000137</w:t>
            </w:r>
          </w:p>
        </w:tc>
        <w:tc>
          <w:tcPr>
            <w:tcW w:w="517" w:type="pct"/>
            <w:tcBorders>
              <w:bottom w:val="single" w:color="auto" w:sz="4" w:space="0"/>
            </w:tcBorders>
            <w:shd w:val="clear" w:color="auto" w:fill="auto"/>
            <w:vAlign w:val="center"/>
          </w:tcPr>
          <w:p w14:paraId="0A8A3B18">
            <w:pPr>
              <w:keepNext w:val="0"/>
              <w:keepLines w:val="0"/>
              <w:pageBreakBefore w:val="0"/>
              <w:kinsoku/>
              <w:wordWrap/>
              <w:overflowPunct/>
              <w:topLinePunct w:val="0"/>
              <w:autoSpaceDE/>
              <w:autoSpaceDN/>
              <w:bidi w:val="0"/>
              <w:spacing w:line="240" w:lineRule="auto"/>
              <w:ind w:firstLine="0" w:firstLineChars="0"/>
              <w:jc w:val="center"/>
              <w:textAlignment w:val="auto"/>
              <w:rPr>
                <w:sz w:val="21"/>
                <w:szCs w:val="21"/>
              </w:rPr>
            </w:pPr>
            <w:r>
              <w:rPr>
                <w:rFonts w:hint="eastAsia" w:ascii="宋体" w:hAnsi="宋体" w:eastAsia="宋体" w:cs="宋体"/>
                <w:sz w:val="21"/>
                <w:szCs w:val="21"/>
                <w:vertAlign w:val="baseline"/>
                <w:lang w:val="en-US" w:eastAsia="zh-CN"/>
              </w:rPr>
              <w:t>0.0137</w:t>
            </w:r>
          </w:p>
        </w:tc>
        <w:tc>
          <w:tcPr>
            <w:tcW w:w="693" w:type="pct"/>
            <w:tcBorders>
              <w:bottom w:val="single" w:color="auto" w:sz="4" w:space="0"/>
            </w:tcBorders>
            <w:shd w:val="clear" w:color="auto" w:fill="auto"/>
            <w:vAlign w:val="center"/>
          </w:tcPr>
          <w:p w14:paraId="0C947681">
            <w:pPr>
              <w:pStyle w:val="72"/>
              <w:jc w:val="center"/>
              <w:rPr>
                <w:rFonts w:hint="eastAsia" w:ascii="宋体" w:hAnsi="宋体" w:eastAsia="宋体" w:cs="宋体"/>
                <w:sz w:val="21"/>
                <w:szCs w:val="21"/>
                <w:vertAlign w:val="superscript"/>
                <w:lang w:val="en-US" w:eastAsia="zh-CN"/>
              </w:rPr>
            </w:pPr>
            <w:r>
              <w:rPr>
                <w:rFonts w:hint="eastAsia" w:ascii="宋体" w:hAnsi="宋体" w:eastAsia="宋体" w:cs="宋体"/>
                <w:sz w:val="21"/>
                <w:szCs w:val="21"/>
                <w:vertAlign w:val="baseline"/>
                <w:lang w:val="en-US" w:eastAsia="zh-CN"/>
              </w:rPr>
              <w:t>120mg/m</w:t>
            </w:r>
            <w:r>
              <w:rPr>
                <w:rFonts w:hint="eastAsia" w:ascii="宋体" w:hAnsi="宋体" w:eastAsia="宋体" w:cs="宋体"/>
                <w:sz w:val="21"/>
                <w:szCs w:val="21"/>
                <w:vertAlign w:val="superscript"/>
                <w:lang w:val="en-US" w:eastAsia="zh-CN"/>
              </w:rPr>
              <w:t>3</w:t>
            </w:r>
          </w:p>
          <w:p w14:paraId="373CD272">
            <w:pPr>
              <w:pStyle w:val="72"/>
              <w:jc w:val="center"/>
              <w:rPr>
                <w:bCs/>
                <w:sz w:val="21"/>
                <w:szCs w:val="21"/>
              </w:rPr>
            </w:pPr>
            <w:r>
              <w:rPr>
                <w:rFonts w:hint="eastAsia" w:ascii="宋体" w:hAnsi="宋体" w:eastAsia="宋体" w:cs="宋体"/>
                <w:sz w:val="21"/>
                <w:szCs w:val="21"/>
                <w:vertAlign w:val="baseline"/>
                <w:lang w:val="en-US" w:eastAsia="zh-CN"/>
              </w:rPr>
              <w:t>10kg/h</w:t>
            </w:r>
          </w:p>
        </w:tc>
        <w:tc>
          <w:tcPr>
            <w:tcW w:w="345" w:type="pct"/>
            <w:tcBorders>
              <w:bottom w:val="single" w:color="auto" w:sz="4" w:space="0"/>
            </w:tcBorders>
            <w:shd w:val="clear" w:color="auto" w:fill="auto"/>
            <w:vAlign w:val="center"/>
          </w:tcPr>
          <w:p w14:paraId="67923DCB">
            <w:pPr>
              <w:keepNext w:val="0"/>
              <w:keepLines w:val="0"/>
              <w:pageBreakBefore w:val="0"/>
              <w:widowControl/>
              <w:kinsoku/>
              <w:wordWrap/>
              <w:overflowPunct/>
              <w:topLinePunct w:val="0"/>
              <w:autoSpaceDE/>
              <w:autoSpaceDN/>
              <w:bidi w:val="0"/>
              <w:spacing w:line="240" w:lineRule="auto"/>
              <w:ind w:firstLine="0" w:firstLineChars="0"/>
              <w:jc w:val="center"/>
              <w:textAlignment w:val="auto"/>
              <w:rPr>
                <w:kern w:val="0"/>
                <w:sz w:val="21"/>
                <w:szCs w:val="21"/>
              </w:rPr>
            </w:pPr>
            <w:r>
              <w:rPr>
                <w:kern w:val="0"/>
                <w:sz w:val="21"/>
                <w:szCs w:val="21"/>
              </w:rPr>
              <w:t>达标</w:t>
            </w:r>
          </w:p>
        </w:tc>
      </w:tr>
    </w:tbl>
    <w:p w14:paraId="35CA3ACB">
      <w:pPr>
        <w:bidi w:val="0"/>
      </w:pPr>
      <w:r>
        <w:rPr>
          <w:rFonts w:hint="eastAsia"/>
          <w:lang w:eastAsia="zh-CN"/>
        </w:rPr>
        <w:t>（</w:t>
      </w:r>
      <w:r>
        <w:rPr>
          <w:rFonts w:hint="eastAsia"/>
          <w:lang w:val="en-US" w:eastAsia="zh-CN"/>
        </w:rPr>
        <w:t>4</w:t>
      </w:r>
      <w:r>
        <w:rPr>
          <w:rFonts w:hint="eastAsia"/>
          <w:lang w:eastAsia="zh-CN"/>
        </w:rPr>
        <w:t>）</w:t>
      </w:r>
      <w:r>
        <w:t>废气无组织排放与达标情况</w:t>
      </w:r>
    </w:p>
    <w:p w14:paraId="193265FB">
      <w:pPr>
        <w:bidi w:val="0"/>
      </w:pPr>
      <w:r>
        <w:t>本项目无组织废气主要为</w:t>
      </w:r>
      <w:r>
        <w:rPr>
          <w:rFonts w:hint="eastAsia"/>
          <w:lang w:eastAsia="zh-CN"/>
        </w:rPr>
        <w:t>车间无组织排放的甲基磺酸</w:t>
      </w:r>
      <w:r>
        <w:t>。评价中将</w:t>
      </w:r>
      <w:r>
        <w:rPr>
          <w:rFonts w:hint="eastAsia"/>
          <w:lang w:eastAsia="zh-CN"/>
        </w:rPr>
        <w:t>生产车间</w:t>
      </w:r>
      <w:r>
        <w:t>作为无组织排放的面源，对其进行达标性分析，该面源参数间表</w:t>
      </w:r>
      <w:r>
        <w:rPr>
          <w:rFonts w:hint="eastAsia"/>
          <w:lang w:val="en-US" w:eastAsia="zh-CN"/>
        </w:rPr>
        <w:t>7-7</w:t>
      </w:r>
      <w:r>
        <w:t>。</w:t>
      </w:r>
    </w:p>
    <w:p w14:paraId="7E8A16E6">
      <w:pPr>
        <w:pStyle w:val="14"/>
        <w:spacing w:before="120" w:beforeLines="50"/>
        <w:jc w:val="center"/>
        <w:rPr>
          <w:b/>
          <w:sz w:val="21"/>
          <w:szCs w:val="21"/>
        </w:rPr>
      </w:pPr>
      <w:r>
        <w:rPr>
          <w:b/>
          <w:sz w:val="21"/>
          <w:szCs w:val="21"/>
        </w:rPr>
        <w:t>表</w:t>
      </w:r>
      <w:r>
        <w:rPr>
          <w:rFonts w:hint="eastAsia"/>
          <w:b/>
          <w:sz w:val="21"/>
          <w:szCs w:val="21"/>
          <w:lang w:val="en-US" w:eastAsia="zh-CN"/>
        </w:rPr>
        <w:t>7-7</w:t>
      </w:r>
      <w:r>
        <w:rPr>
          <w:b/>
          <w:sz w:val="21"/>
          <w:szCs w:val="21"/>
        </w:rPr>
        <w:t>项目无组织面源参数表</w:t>
      </w:r>
    </w:p>
    <w:tbl>
      <w:tblPr>
        <w:tblStyle w:val="52"/>
        <w:tblW w:w="4997"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autofit"/>
        <w:tblCellMar>
          <w:top w:w="0" w:type="dxa"/>
          <w:left w:w="108" w:type="dxa"/>
          <w:bottom w:w="0" w:type="dxa"/>
          <w:right w:w="108" w:type="dxa"/>
        </w:tblCellMar>
      </w:tblPr>
      <w:tblGrid>
        <w:gridCol w:w="1158"/>
        <w:gridCol w:w="608"/>
        <w:gridCol w:w="573"/>
        <w:gridCol w:w="646"/>
        <w:gridCol w:w="1392"/>
        <w:gridCol w:w="1714"/>
        <w:gridCol w:w="1131"/>
        <w:gridCol w:w="1719"/>
      </w:tblGrid>
      <w:tr w14:paraId="7CABFF8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58" w:hRule="atLeast"/>
        </w:trPr>
        <w:tc>
          <w:tcPr>
            <w:tcW w:w="647" w:type="pct"/>
            <w:vMerge w:val="restart"/>
            <w:tcBorders>
              <w:tl2br w:val="nil"/>
              <w:tr2bl w:val="nil"/>
            </w:tcBorders>
            <w:shd w:val="clear" w:color="auto" w:fill="auto"/>
            <w:vAlign w:val="center"/>
          </w:tcPr>
          <w:p w14:paraId="12C529E2">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排放源</w:t>
            </w:r>
          </w:p>
        </w:tc>
        <w:tc>
          <w:tcPr>
            <w:tcW w:w="1021" w:type="pct"/>
            <w:gridSpan w:val="3"/>
            <w:tcBorders>
              <w:tl2br w:val="nil"/>
              <w:tr2bl w:val="nil"/>
            </w:tcBorders>
            <w:shd w:val="clear" w:color="auto" w:fill="auto"/>
            <w:vAlign w:val="center"/>
          </w:tcPr>
          <w:p w14:paraId="67F81D04">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面源参数</w:t>
            </w:r>
            <w:r>
              <w:rPr>
                <w:rFonts w:hint="eastAsia" w:ascii="宋体" w:hAnsi="宋体" w:eastAsia="宋体" w:cs="宋体"/>
                <w:bCs/>
                <w:kern w:val="0"/>
                <w:sz w:val="21"/>
                <w:szCs w:val="21"/>
              </w:rPr>
              <w:t>(m)</w:t>
            </w:r>
          </w:p>
        </w:tc>
        <w:tc>
          <w:tcPr>
            <w:tcW w:w="778" w:type="pct"/>
            <w:vMerge w:val="restart"/>
            <w:tcBorders>
              <w:tl2br w:val="nil"/>
              <w:tr2bl w:val="nil"/>
            </w:tcBorders>
            <w:shd w:val="clear" w:color="auto" w:fill="auto"/>
            <w:vAlign w:val="center"/>
          </w:tcPr>
          <w:p w14:paraId="080D7355">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年工作时间</w:t>
            </w:r>
            <w:r>
              <w:rPr>
                <w:rFonts w:hint="eastAsia" w:ascii="宋体" w:hAnsi="宋体" w:eastAsia="宋体" w:cs="宋体"/>
                <w:bCs/>
                <w:kern w:val="0"/>
                <w:sz w:val="21"/>
                <w:szCs w:val="21"/>
              </w:rPr>
              <w:t>(h)</w:t>
            </w:r>
          </w:p>
        </w:tc>
        <w:tc>
          <w:tcPr>
            <w:tcW w:w="958" w:type="pct"/>
            <w:vMerge w:val="restart"/>
            <w:tcBorders>
              <w:tl2br w:val="nil"/>
              <w:tr2bl w:val="nil"/>
            </w:tcBorders>
            <w:shd w:val="clear" w:color="auto" w:fill="auto"/>
            <w:vAlign w:val="center"/>
          </w:tcPr>
          <w:p w14:paraId="54FA1E75">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kern w:val="0"/>
                <w:sz w:val="21"/>
                <w:szCs w:val="21"/>
              </w:rPr>
            </w:pPr>
            <w:r>
              <w:rPr>
                <w:rFonts w:hint="eastAsia" w:ascii="宋体" w:hAnsi="宋体" w:eastAsia="宋体" w:cs="宋体"/>
                <w:kern w:val="2"/>
                <w:sz w:val="21"/>
                <w:szCs w:val="21"/>
                <w:vertAlign w:val="baseline"/>
                <w:lang w:val="en-US" w:eastAsia="zh-CN" w:bidi="ar-SA"/>
              </w:rPr>
              <w:t>拟采取的污染治理措施</w:t>
            </w:r>
          </w:p>
        </w:tc>
        <w:tc>
          <w:tcPr>
            <w:tcW w:w="632" w:type="pct"/>
            <w:vMerge w:val="restart"/>
            <w:tcBorders>
              <w:tl2br w:val="nil"/>
              <w:tr2bl w:val="nil"/>
            </w:tcBorders>
            <w:shd w:val="clear" w:color="auto" w:fill="auto"/>
            <w:vAlign w:val="center"/>
          </w:tcPr>
          <w:p w14:paraId="230EB08B">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污染物</w:t>
            </w:r>
          </w:p>
        </w:tc>
        <w:tc>
          <w:tcPr>
            <w:tcW w:w="961" w:type="pct"/>
            <w:vMerge w:val="restart"/>
            <w:tcBorders>
              <w:tl2br w:val="nil"/>
              <w:tr2bl w:val="nil"/>
            </w:tcBorders>
            <w:shd w:val="clear" w:color="auto" w:fill="auto"/>
            <w:vAlign w:val="center"/>
          </w:tcPr>
          <w:p w14:paraId="3E1BDF32">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排放源强</w:t>
            </w:r>
            <w:r>
              <w:rPr>
                <w:rFonts w:hint="eastAsia" w:ascii="宋体" w:hAnsi="宋体" w:eastAsia="宋体" w:cs="宋体"/>
                <w:color w:val="000000"/>
                <w:kern w:val="0"/>
                <w:sz w:val="21"/>
                <w:szCs w:val="21"/>
              </w:rPr>
              <w:t>（</w:t>
            </w:r>
            <w:r>
              <w:rPr>
                <w:rFonts w:hint="eastAsia" w:ascii="宋体" w:hAnsi="宋体" w:eastAsia="宋体" w:cs="宋体"/>
                <w:kern w:val="2"/>
                <w:sz w:val="21"/>
                <w:szCs w:val="21"/>
                <w:vertAlign w:val="baseline"/>
                <w:lang w:val="en-US" w:eastAsia="zh-CN" w:bidi="ar-SA"/>
              </w:rPr>
              <w:t>kg/h</w:t>
            </w:r>
            <w:r>
              <w:rPr>
                <w:rFonts w:hint="eastAsia" w:ascii="宋体" w:hAnsi="宋体" w:eastAsia="宋体" w:cs="宋体"/>
                <w:color w:val="000000"/>
                <w:kern w:val="0"/>
                <w:sz w:val="21"/>
                <w:szCs w:val="21"/>
              </w:rPr>
              <w:t>）</w:t>
            </w:r>
          </w:p>
        </w:tc>
      </w:tr>
      <w:tr w14:paraId="51C54A7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58" w:hRule="atLeast"/>
        </w:trPr>
        <w:tc>
          <w:tcPr>
            <w:tcW w:w="647" w:type="pct"/>
            <w:vMerge w:val="continue"/>
            <w:tcBorders>
              <w:tl2br w:val="nil"/>
              <w:tr2bl w:val="nil"/>
            </w:tcBorders>
            <w:shd w:val="clear" w:color="auto" w:fill="auto"/>
            <w:vAlign w:val="center"/>
          </w:tcPr>
          <w:p w14:paraId="4B1BCB44">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kern w:val="0"/>
                <w:sz w:val="21"/>
                <w:szCs w:val="21"/>
              </w:rPr>
            </w:pPr>
          </w:p>
        </w:tc>
        <w:tc>
          <w:tcPr>
            <w:tcW w:w="340" w:type="pct"/>
            <w:tcBorders>
              <w:tl2br w:val="nil"/>
              <w:tr2bl w:val="nil"/>
            </w:tcBorders>
            <w:shd w:val="clear" w:color="auto" w:fill="auto"/>
            <w:vAlign w:val="center"/>
          </w:tcPr>
          <w:p w14:paraId="3B651B73">
            <w:pPr>
              <w:pStyle w:val="72"/>
              <w:keepNext w:val="0"/>
              <w:keepLines w:val="0"/>
              <w:pageBreakBefore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1"/>
                <w:szCs w:val="21"/>
              </w:rPr>
            </w:pPr>
            <w:r>
              <w:rPr>
                <w:rFonts w:hint="eastAsia" w:ascii="宋体" w:hAnsi="宋体" w:eastAsia="宋体" w:cs="宋体"/>
                <w:kern w:val="2"/>
                <w:sz w:val="21"/>
                <w:szCs w:val="21"/>
                <w:vertAlign w:val="baseline"/>
                <w:lang w:val="en-US" w:eastAsia="zh-CN" w:bidi="ar-SA"/>
              </w:rPr>
              <w:t>长</w:t>
            </w:r>
          </w:p>
        </w:tc>
        <w:tc>
          <w:tcPr>
            <w:tcW w:w="320" w:type="pct"/>
            <w:tcBorders>
              <w:tl2br w:val="nil"/>
              <w:tr2bl w:val="nil"/>
            </w:tcBorders>
            <w:shd w:val="clear" w:color="auto" w:fill="auto"/>
            <w:vAlign w:val="center"/>
          </w:tcPr>
          <w:p w14:paraId="19F19FF3">
            <w:pPr>
              <w:pStyle w:val="72"/>
              <w:keepNext w:val="0"/>
              <w:keepLines w:val="0"/>
              <w:pageBreakBefore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1"/>
                <w:szCs w:val="21"/>
              </w:rPr>
            </w:pPr>
            <w:r>
              <w:rPr>
                <w:rFonts w:hint="eastAsia" w:ascii="宋体" w:hAnsi="宋体" w:eastAsia="宋体" w:cs="宋体"/>
                <w:kern w:val="2"/>
                <w:sz w:val="21"/>
                <w:szCs w:val="21"/>
                <w:vertAlign w:val="baseline"/>
                <w:lang w:val="en-US" w:eastAsia="zh-CN" w:bidi="ar-SA"/>
              </w:rPr>
              <w:t>宽</w:t>
            </w:r>
          </w:p>
        </w:tc>
        <w:tc>
          <w:tcPr>
            <w:tcW w:w="361" w:type="pct"/>
            <w:tcBorders>
              <w:tl2br w:val="nil"/>
              <w:tr2bl w:val="nil"/>
            </w:tcBorders>
            <w:shd w:val="clear" w:color="auto" w:fill="auto"/>
            <w:vAlign w:val="center"/>
          </w:tcPr>
          <w:p w14:paraId="27E60031">
            <w:pPr>
              <w:pStyle w:val="72"/>
              <w:keepNext w:val="0"/>
              <w:keepLines w:val="0"/>
              <w:pageBreakBefore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1"/>
                <w:szCs w:val="21"/>
              </w:rPr>
            </w:pPr>
            <w:r>
              <w:rPr>
                <w:rFonts w:hint="eastAsia" w:ascii="宋体" w:hAnsi="宋体" w:eastAsia="宋体" w:cs="宋体"/>
                <w:kern w:val="2"/>
                <w:sz w:val="21"/>
                <w:szCs w:val="21"/>
                <w:vertAlign w:val="baseline"/>
                <w:lang w:val="en-US" w:eastAsia="zh-CN" w:bidi="ar-SA"/>
              </w:rPr>
              <w:t>高</w:t>
            </w:r>
          </w:p>
        </w:tc>
        <w:tc>
          <w:tcPr>
            <w:tcW w:w="778" w:type="pct"/>
            <w:vMerge w:val="continue"/>
            <w:tcBorders>
              <w:tl2br w:val="nil"/>
              <w:tr2bl w:val="nil"/>
            </w:tcBorders>
            <w:shd w:val="clear" w:color="auto" w:fill="auto"/>
            <w:vAlign w:val="center"/>
          </w:tcPr>
          <w:p w14:paraId="3D295966">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kern w:val="0"/>
                <w:sz w:val="21"/>
                <w:szCs w:val="21"/>
              </w:rPr>
            </w:pPr>
          </w:p>
        </w:tc>
        <w:tc>
          <w:tcPr>
            <w:tcW w:w="958" w:type="pct"/>
            <w:vMerge w:val="continue"/>
            <w:tcBorders>
              <w:tl2br w:val="nil"/>
              <w:tr2bl w:val="nil"/>
            </w:tcBorders>
            <w:shd w:val="clear" w:color="auto" w:fill="auto"/>
            <w:vAlign w:val="center"/>
          </w:tcPr>
          <w:p w14:paraId="22F79A3C">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kern w:val="0"/>
                <w:sz w:val="21"/>
                <w:szCs w:val="21"/>
              </w:rPr>
            </w:pPr>
          </w:p>
        </w:tc>
        <w:tc>
          <w:tcPr>
            <w:tcW w:w="632" w:type="pct"/>
            <w:vMerge w:val="continue"/>
            <w:tcBorders>
              <w:tl2br w:val="nil"/>
              <w:tr2bl w:val="nil"/>
            </w:tcBorders>
            <w:shd w:val="clear" w:color="auto" w:fill="auto"/>
            <w:vAlign w:val="center"/>
          </w:tcPr>
          <w:p w14:paraId="0E21BE9C">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kern w:val="0"/>
                <w:sz w:val="21"/>
                <w:szCs w:val="21"/>
              </w:rPr>
            </w:pPr>
          </w:p>
        </w:tc>
        <w:tc>
          <w:tcPr>
            <w:tcW w:w="961" w:type="pct"/>
            <w:vMerge w:val="continue"/>
            <w:tcBorders>
              <w:tl2br w:val="nil"/>
              <w:tr2bl w:val="nil"/>
            </w:tcBorders>
            <w:shd w:val="clear" w:color="auto" w:fill="auto"/>
            <w:vAlign w:val="center"/>
          </w:tcPr>
          <w:p w14:paraId="4F349375">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kern w:val="0"/>
                <w:sz w:val="21"/>
                <w:szCs w:val="21"/>
              </w:rPr>
            </w:pPr>
          </w:p>
        </w:tc>
      </w:tr>
      <w:tr w14:paraId="5A48BC2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653" w:hRule="atLeast"/>
        </w:trPr>
        <w:tc>
          <w:tcPr>
            <w:tcW w:w="647" w:type="pct"/>
            <w:tcBorders>
              <w:tl2br w:val="nil"/>
              <w:tr2bl w:val="nil"/>
            </w:tcBorders>
            <w:shd w:val="clear" w:color="auto" w:fill="auto"/>
            <w:vAlign w:val="center"/>
          </w:tcPr>
          <w:p w14:paraId="4A5E8653">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kern w:val="0"/>
                <w:sz w:val="21"/>
                <w:szCs w:val="21"/>
              </w:rPr>
            </w:pPr>
            <w:r>
              <w:rPr>
                <w:rFonts w:hint="eastAsia" w:ascii="宋体" w:hAnsi="宋体" w:eastAsia="宋体" w:cs="宋体"/>
                <w:sz w:val="21"/>
                <w:szCs w:val="21"/>
                <w:vertAlign w:val="baseline"/>
                <w:lang w:val="en-US" w:eastAsia="zh-CN"/>
              </w:rPr>
              <w:t>电镀车间</w:t>
            </w:r>
          </w:p>
        </w:tc>
        <w:tc>
          <w:tcPr>
            <w:tcW w:w="340" w:type="pct"/>
            <w:tcBorders>
              <w:tl2br w:val="nil"/>
              <w:tr2bl w:val="nil"/>
            </w:tcBorders>
            <w:shd w:val="clear" w:color="auto" w:fill="auto"/>
            <w:vAlign w:val="center"/>
          </w:tcPr>
          <w:p w14:paraId="392D799C">
            <w:pPr>
              <w:pStyle w:val="72"/>
              <w:keepNext w:val="0"/>
              <w:keepLines w:val="0"/>
              <w:pageBreakBefore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1"/>
                <w:szCs w:val="21"/>
              </w:rPr>
            </w:pPr>
            <w:r>
              <w:rPr>
                <w:rFonts w:hint="eastAsia" w:ascii="宋体" w:hAnsi="宋体" w:eastAsia="宋体" w:cs="宋体"/>
                <w:kern w:val="2"/>
                <w:sz w:val="21"/>
                <w:szCs w:val="21"/>
                <w:vertAlign w:val="baseline"/>
                <w:lang w:val="en-US" w:eastAsia="zh-CN" w:bidi="ar-SA"/>
              </w:rPr>
              <w:t>97</w:t>
            </w:r>
          </w:p>
        </w:tc>
        <w:tc>
          <w:tcPr>
            <w:tcW w:w="320" w:type="pct"/>
            <w:tcBorders>
              <w:tl2br w:val="nil"/>
              <w:tr2bl w:val="nil"/>
            </w:tcBorders>
            <w:shd w:val="clear" w:color="auto" w:fill="auto"/>
            <w:vAlign w:val="center"/>
          </w:tcPr>
          <w:p w14:paraId="2DA1117F">
            <w:pPr>
              <w:pStyle w:val="72"/>
              <w:keepNext w:val="0"/>
              <w:keepLines w:val="0"/>
              <w:pageBreakBefore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1"/>
                <w:szCs w:val="21"/>
              </w:rPr>
            </w:pPr>
            <w:r>
              <w:rPr>
                <w:rFonts w:hint="eastAsia" w:ascii="宋体" w:hAnsi="宋体" w:eastAsia="宋体" w:cs="宋体"/>
                <w:kern w:val="2"/>
                <w:sz w:val="21"/>
                <w:szCs w:val="21"/>
                <w:vertAlign w:val="baseline"/>
                <w:lang w:val="en-US" w:eastAsia="zh-CN" w:bidi="ar-SA"/>
              </w:rPr>
              <w:t>40</w:t>
            </w:r>
          </w:p>
        </w:tc>
        <w:tc>
          <w:tcPr>
            <w:tcW w:w="361" w:type="pct"/>
            <w:tcBorders>
              <w:tl2br w:val="nil"/>
              <w:tr2bl w:val="nil"/>
            </w:tcBorders>
            <w:shd w:val="clear" w:color="auto" w:fill="auto"/>
            <w:vAlign w:val="center"/>
          </w:tcPr>
          <w:p w14:paraId="78E89ADA">
            <w:pPr>
              <w:pStyle w:val="72"/>
              <w:keepNext w:val="0"/>
              <w:keepLines w:val="0"/>
              <w:pageBreakBefore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1"/>
                <w:szCs w:val="21"/>
              </w:rPr>
            </w:pPr>
            <w:r>
              <w:rPr>
                <w:rFonts w:hint="eastAsia" w:ascii="宋体" w:hAnsi="宋体" w:eastAsia="宋体" w:cs="宋体"/>
                <w:kern w:val="2"/>
                <w:sz w:val="21"/>
                <w:szCs w:val="21"/>
                <w:vertAlign w:val="baseline"/>
                <w:lang w:val="en-US" w:eastAsia="zh-CN" w:bidi="ar-SA"/>
              </w:rPr>
              <w:t>5</w:t>
            </w:r>
          </w:p>
        </w:tc>
        <w:tc>
          <w:tcPr>
            <w:tcW w:w="778" w:type="pct"/>
            <w:tcBorders>
              <w:tl2br w:val="nil"/>
              <w:tr2bl w:val="nil"/>
            </w:tcBorders>
            <w:shd w:val="clear" w:color="auto" w:fill="auto"/>
            <w:vAlign w:val="center"/>
          </w:tcPr>
          <w:p w14:paraId="162EC85C">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2400</w:t>
            </w:r>
          </w:p>
        </w:tc>
        <w:tc>
          <w:tcPr>
            <w:tcW w:w="958" w:type="pct"/>
            <w:tcBorders>
              <w:tl2br w:val="nil"/>
              <w:tr2bl w:val="nil"/>
            </w:tcBorders>
            <w:shd w:val="clear" w:color="auto" w:fill="auto"/>
            <w:vAlign w:val="center"/>
          </w:tcPr>
          <w:p w14:paraId="032BF592">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kern w:val="0"/>
                <w:sz w:val="21"/>
                <w:szCs w:val="21"/>
              </w:rPr>
            </w:pPr>
            <w:r>
              <w:rPr>
                <w:rFonts w:hint="eastAsia" w:ascii="宋体" w:hAnsi="宋体" w:eastAsia="宋体" w:cs="宋体"/>
                <w:kern w:val="2"/>
                <w:sz w:val="21"/>
                <w:szCs w:val="21"/>
                <w:vertAlign w:val="baseline"/>
                <w:lang w:val="en-US" w:eastAsia="zh-CN" w:bidi="ar-SA"/>
              </w:rPr>
              <w:t>加强车间通风</w:t>
            </w:r>
          </w:p>
        </w:tc>
        <w:tc>
          <w:tcPr>
            <w:tcW w:w="632" w:type="pct"/>
            <w:tcBorders>
              <w:tl2br w:val="nil"/>
              <w:tr2bl w:val="nil"/>
            </w:tcBorders>
            <w:shd w:val="clear" w:color="auto" w:fill="auto"/>
            <w:vAlign w:val="center"/>
          </w:tcPr>
          <w:p w14:paraId="7C1DBC84">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kern w:val="0"/>
                <w:sz w:val="21"/>
                <w:szCs w:val="21"/>
              </w:rPr>
            </w:pPr>
            <w:r>
              <w:rPr>
                <w:rFonts w:hint="eastAsia" w:ascii="宋体" w:hAnsi="宋体" w:eastAsia="宋体" w:cs="宋体"/>
                <w:kern w:val="2"/>
                <w:sz w:val="21"/>
                <w:szCs w:val="21"/>
                <w:vertAlign w:val="baseline"/>
                <w:lang w:val="en-US" w:eastAsia="zh-CN" w:bidi="ar-SA"/>
              </w:rPr>
              <w:t>甲基磺酸</w:t>
            </w:r>
          </w:p>
        </w:tc>
        <w:tc>
          <w:tcPr>
            <w:tcW w:w="961" w:type="pct"/>
            <w:tcBorders>
              <w:tl2br w:val="nil"/>
              <w:tr2bl w:val="nil"/>
            </w:tcBorders>
            <w:shd w:val="clear" w:color="auto" w:fill="auto"/>
            <w:vAlign w:val="center"/>
          </w:tcPr>
          <w:p w14:paraId="1F438866">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kern w:val="0"/>
                <w:sz w:val="21"/>
                <w:szCs w:val="21"/>
              </w:rPr>
            </w:pPr>
            <w:r>
              <w:rPr>
                <w:rFonts w:hint="eastAsia" w:ascii="宋体" w:hAnsi="宋体" w:eastAsia="宋体" w:cs="宋体"/>
                <w:kern w:val="2"/>
                <w:sz w:val="21"/>
                <w:szCs w:val="21"/>
                <w:vertAlign w:val="baseline"/>
                <w:lang w:val="en-US" w:eastAsia="zh-CN" w:bidi="ar-SA"/>
              </w:rPr>
              <w:t>0.0003</w:t>
            </w:r>
          </w:p>
        </w:tc>
      </w:tr>
    </w:tbl>
    <w:p w14:paraId="19E7011E">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根据以上要求，本项目大气环境评价等级估算结果</w:t>
      </w:r>
      <w:r>
        <w:rPr>
          <w:rFonts w:hint="eastAsia" w:ascii="Times New Roman" w:hAnsi="Times New Roman" w:cs="Times New Roman"/>
          <w:color w:val="auto"/>
          <w:kern w:val="2"/>
          <w:sz w:val="24"/>
          <w:szCs w:val="24"/>
          <w:lang w:val="en-US" w:eastAsia="zh-CN" w:bidi="ar-SA"/>
        </w:rPr>
        <w:t>如下图所示</w:t>
      </w:r>
      <w:r>
        <w:rPr>
          <w:rFonts w:hint="default" w:ascii="Times New Roman" w:hAnsi="Times New Roman" w:eastAsia="宋体" w:cs="Times New Roman"/>
          <w:color w:val="auto"/>
          <w:kern w:val="2"/>
          <w:sz w:val="24"/>
          <w:szCs w:val="24"/>
          <w:lang w:val="en-US" w:eastAsia="zh-CN" w:bidi="ar-SA"/>
        </w:rPr>
        <w:t>。</w:t>
      </w:r>
    </w:p>
    <w:p w14:paraId="5095761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drawing>
          <wp:inline distT="0" distB="0" distL="114300" distR="114300">
            <wp:extent cx="5572760" cy="3841750"/>
            <wp:effectExtent l="0" t="0" r="8890" b="6350"/>
            <wp:docPr id="20" name="图片 20" descr="百汇铜业"/>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百汇铜业"/>
                    <pic:cNvPicPr>
                      <a:picLocks noChangeAspect="1"/>
                    </pic:cNvPicPr>
                  </pic:nvPicPr>
                  <pic:blipFill>
                    <a:blip r:embed="rId36"/>
                    <a:stretch>
                      <a:fillRect/>
                    </a:stretch>
                  </pic:blipFill>
                  <pic:spPr>
                    <a:xfrm>
                      <a:off x="0" y="0"/>
                      <a:ext cx="5572760" cy="3841750"/>
                    </a:xfrm>
                    <a:prstGeom prst="rect">
                      <a:avLst/>
                    </a:prstGeom>
                  </pic:spPr>
                </pic:pic>
              </a:graphicData>
            </a:graphic>
          </wp:inline>
        </w:drawing>
      </w:r>
    </w:p>
    <w:p w14:paraId="7793969D">
      <w:pPr>
        <w:pStyle w:val="1068"/>
        <w:ind w:left="0" w:leftChars="0" w:firstLine="0" w:firstLineChars="0"/>
        <w:jc w:val="center"/>
        <w:rPr>
          <w:rFonts w:hint="default"/>
          <w:lang w:val="en-US" w:eastAsia="zh-CN"/>
        </w:rPr>
      </w:pPr>
      <w:r>
        <w:rPr>
          <w:rFonts w:hint="eastAsia" w:ascii="黑体" w:hAnsi="黑体" w:eastAsia="黑体" w:cs="黑体"/>
          <w:color w:val="auto"/>
          <w:kern w:val="2"/>
          <w:sz w:val="21"/>
          <w:szCs w:val="21"/>
          <w:lang w:val="en-US" w:eastAsia="zh-CN" w:bidi="ar-SA"/>
        </w:rPr>
        <w:t>图7-2大气环境影响评价预测软件截图</w:t>
      </w:r>
    </w:p>
    <w:p w14:paraId="2DD2DCF6">
      <w:pPr>
        <w:keepNext w:val="0"/>
        <w:keepLines w:val="0"/>
        <w:pageBreakBefore w:val="0"/>
        <w:kinsoku/>
        <w:wordWrap/>
        <w:overflowPunct/>
        <w:topLinePunct w:val="0"/>
        <w:autoSpaceDE/>
        <w:autoSpaceDN/>
        <w:bidi w:val="0"/>
        <w:adjustRightInd/>
        <w:snapToGrid/>
        <w:spacing w:line="360" w:lineRule="auto"/>
        <w:ind w:firstLine="480" w:firstLineChars="200"/>
        <w:textAlignment w:val="auto"/>
      </w:pPr>
      <w:r>
        <w:rPr>
          <w:rFonts w:hint="default" w:ascii="Times New Roman" w:hAnsi="Times New Roman" w:eastAsia="宋体" w:cs="Times New Roman"/>
          <w:color w:val="auto"/>
          <w:kern w:val="2"/>
          <w:sz w:val="24"/>
          <w:szCs w:val="24"/>
          <w:lang w:val="en-US" w:eastAsia="zh-CN" w:bidi="ar-SA"/>
        </w:rPr>
        <w:t>根据《环境影响评价技术导则-大气环境》(HJ2.2-2018)，环境空气质量评价工作等级确定为</w:t>
      </w:r>
      <w:r>
        <w:rPr>
          <w:rFonts w:hint="eastAsia" w:ascii="Times New Roman" w:hAnsi="Times New Roman" w:cs="Times New Roman"/>
          <w:color w:val="auto"/>
          <w:kern w:val="2"/>
          <w:sz w:val="24"/>
          <w:szCs w:val="24"/>
          <w:lang w:val="en-US" w:eastAsia="zh-CN" w:bidi="ar-SA"/>
        </w:rPr>
        <w:t>三</w:t>
      </w:r>
      <w:r>
        <w:rPr>
          <w:rFonts w:hint="default" w:ascii="Times New Roman" w:hAnsi="Times New Roman" w:eastAsia="宋体" w:cs="Times New Roman"/>
          <w:color w:val="auto"/>
          <w:kern w:val="2"/>
          <w:sz w:val="24"/>
          <w:szCs w:val="24"/>
          <w:lang w:val="en-US" w:eastAsia="zh-CN" w:bidi="ar-SA"/>
        </w:rPr>
        <w:t>级，不需进行进一步预测评价。</w:t>
      </w:r>
    </w:p>
    <w:p w14:paraId="14525F7E">
      <w:pPr>
        <w:ind w:firstLine="480" w:firstLineChars="200"/>
      </w:pPr>
      <w:r>
        <w:t>3、非正常排放环境影响评价</w:t>
      </w:r>
    </w:p>
    <w:p w14:paraId="58C6215A">
      <w:pPr>
        <w:ind w:firstLine="480" w:firstLineChars="200"/>
      </w:pPr>
      <w:r>
        <w:t>非正常排放按照厂区各净化处理设施不能正常运行（净化效率为0），造成污染物未经处理直接排放考虑，其排放源强详见表</w:t>
      </w:r>
      <w:r>
        <w:rPr>
          <w:rFonts w:hint="eastAsia"/>
          <w:lang w:val="en-US" w:eastAsia="zh-CN"/>
        </w:rPr>
        <w:t>7-8</w:t>
      </w:r>
      <w:r>
        <w:t>。</w:t>
      </w:r>
    </w:p>
    <w:p w14:paraId="6CCA4087">
      <w:pPr>
        <w:pStyle w:val="14"/>
        <w:spacing w:before="120" w:beforeLines="50"/>
        <w:jc w:val="center"/>
        <w:rPr>
          <w:b/>
          <w:sz w:val="21"/>
          <w:szCs w:val="21"/>
        </w:rPr>
      </w:pPr>
      <w:bookmarkStart w:id="403" w:name="_Hlk9780424"/>
      <w:r>
        <w:rPr>
          <w:b/>
          <w:sz w:val="21"/>
          <w:szCs w:val="21"/>
        </w:rPr>
        <w:t>表</w:t>
      </w:r>
      <w:bookmarkEnd w:id="403"/>
      <w:r>
        <w:rPr>
          <w:rFonts w:hint="eastAsia"/>
          <w:b/>
          <w:sz w:val="21"/>
          <w:szCs w:val="21"/>
          <w:lang w:val="en-US" w:eastAsia="zh-CN"/>
        </w:rPr>
        <w:t>7-8</w:t>
      </w:r>
      <w:r>
        <w:rPr>
          <w:b/>
          <w:sz w:val="21"/>
          <w:szCs w:val="21"/>
        </w:rPr>
        <w:t>非正常情况污染源参数调查清单</w:t>
      </w:r>
    </w:p>
    <w:tbl>
      <w:tblPr>
        <w:tblStyle w:val="52"/>
        <w:tblW w:w="5000" w:type="pct"/>
        <w:tblInd w:w="0" w:type="dxa"/>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009"/>
        <w:gridCol w:w="743"/>
        <w:gridCol w:w="745"/>
        <w:gridCol w:w="1041"/>
        <w:gridCol w:w="742"/>
        <w:gridCol w:w="892"/>
        <w:gridCol w:w="742"/>
        <w:gridCol w:w="740"/>
        <w:gridCol w:w="1041"/>
        <w:gridCol w:w="1249"/>
      </w:tblGrid>
      <w:tr w14:paraId="019FC78C">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268" w:hRule="atLeast"/>
        </w:trPr>
        <w:tc>
          <w:tcPr>
            <w:tcW w:w="563" w:type="pct"/>
            <w:shd w:val="clear" w:color="auto" w:fill="auto"/>
            <w:vAlign w:val="center"/>
          </w:tcPr>
          <w:p w14:paraId="33FBA977">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废气</w:t>
            </w:r>
          </w:p>
          <w:p w14:paraId="044C3473">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来源</w:t>
            </w:r>
          </w:p>
        </w:tc>
        <w:tc>
          <w:tcPr>
            <w:tcW w:w="415" w:type="pct"/>
            <w:shd w:val="clear" w:color="auto" w:fill="auto"/>
            <w:vAlign w:val="center"/>
          </w:tcPr>
          <w:p w14:paraId="14B0FFAB">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高度（m）</w:t>
            </w:r>
          </w:p>
        </w:tc>
        <w:tc>
          <w:tcPr>
            <w:tcW w:w="416" w:type="pct"/>
            <w:shd w:val="clear" w:color="auto" w:fill="auto"/>
            <w:vAlign w:val="center"/>
          </w:tcPr>
          <w:p w14:paraId="3F70726E">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内径（m）</w:t>
            </w:r>
          </w:p>
        </w:tc>
        <w:tc>
          <w:tcPr>
            <w:tcW w:w="582" w:type="pct"/>
            <w:shd w:val="clear" w:color="auto" w:fill="auto"/>
            <w:vAlign w:val="center"/>
          </w:tcPr>
          <w:p w14:paraId="5F9E5920">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风机</w:t>
            </w:r>
          </w:p>
          <w:p w14:paraId="7563D7E4">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风量（m</w:t>
            </w:r>
            <w:r>
              <w:rPr>
                <w:rFonts w:hint="eastAsia" w:ascii="宋体" w:hAnsi="宋体" w:eastAsia="宋体" w:cs="宋体"/>
                <w:kern w:val="0"/>
                <w:sz w:val="21"/>
                <w:szCs w:val="21"/>
                <w:vertAlign w:val="superscript"/>
              </w:rPr>
              <w:t>3</w:t>
            </w:r>
            <w:r>
              <w:rPr>
                <w:rFonts w:hint="eastAsia" w:ascii="宋体" w:hAnsi="宋体" w:eastAsia="宋体" w:cs="宋体"/>
                <w:kern w:val="0"/>
                <w:sz w:val="21"/>
                <w:szCs w:val="21"/>
              </w:rPr>
              <w:t>/h）</w:t>
            </w:r>
          </w:p>
        </w:tc>
        <w:tc>
          <w:tcPr>
            <w:tcW w:w="414" w:type="pct"/>
            <w:shd w:val="clear" w:color="auto" w:fill="auto"/>
            <w:vAlign w:val="center"/>
          </w:tcPr>
          <w:p w14:paraId="436ED8B2">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出口温度</w:t>
            </w:r>
          </w:p>
        </w:tc>
        <w:tc>
          <w:tcPr>
            <w:tcW w:w="498" w:type="pct"/>
            <w:shd w:val="clear" w:color="auto" w:fill="auto"/>
            <w:vAlign w:val="center"/>
          </w:tcPr>
          <w:p w14:paraId="61B0BA56">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年排放小时数（h）</w:t>
            </w:r>
          </w:p>
        </w:tc>
        <w:tc>
          <w:tcPr>
            <w:tcW w:w="414" w:type="pct"/>
            <w:shd w:val="clear" w:color="auto" w:fill="auto"/>
            <w:vAlign w:val="center"/>
          </w:tcPr>
          <w:p w14:paraId="4D6D15B9">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排放工况</w:t>
            </w:r>
          </w:p>
        </w:tc>
        <w:tc>
          <w:tcPr>
            <w:tcW w:w="413" w:type="pct"/>
            <w:shd w:val="clear" w:color="auto" w:fill="auto"/>
            <w:vAlign w:val="center"/>
          </w:tcPr>
          <w:p w14:paraId="5A659337">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主要污染物</w:t>
            </w:r>
          </w:p>
        </w:tc>
        <w:tc>
          <w:tcPr>
            <w:tcW w:w="582" w:type="pct"/>
            <w:shd w:val="clear" w:color="auto" w:fill="auto"/>
            <w:vAlign w:val="center"/>
          </w:tcPr>
          <w:p w14:paraId="1ABCADD2">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排放</w:t>
            </w:r>
          </w:p>
          <w:p w14:paraId="6CF19B02">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速率（kg/h）</w:t>
            </w:r>
          </w:p>
        </w:tc>
        <w:tc>
          <w:tcPr>
            <w:tcW w:w="698" w:type="pct"/>
            <w:shd w:val="clear" w:color="auto" w:fill="auto"/>
            <w:vAlign w:val="center"/>
          </w:tcPr>
          <w:p w14:paraId="67E7C77F">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排放浓度（</w:t>
            </w:r>
            <w:r>
              <w:rPr>
                <w:rFonts w:hint="eastAsia" w:ascii="宋体" w:hAnsi="宋体" w:eastAsia="宋体" w:cs="宋体"/>
                <w:bCs/>
                <w:kern w:val="0"/>
                <w:sz w:val="21"/>
                <w:szCs w:val="21"/>
              </w:rPr>
              <w:t>mg/m</w:t>
            </w:r>
            <w:r>
              <w:rPr>
                <w:rFonts w:hint="eastAsia" w:ascii="宋体" w:hAnsi="宋体" w:eastAsia="宋体" w:cs="宋体"/>
                <w:bCs/>
                <w:kern w:val="0"/>
                <w:sz w:val="21"/>
                <w:szCs w:val="21"/>
                <w:vertAlign w:val="superscript"/>
              </w:rPr>
              <w:t>3</w:t>
            </w:r>
            <w:r>
              <w:rPr>
                <w:rFonts w:hint="eastAsia" w:ascii="宋体" w:hAnsi="宋体" w:eastAsia="宋体" w:cs="宋体"/>
                <w:kern w:val="0"/>
                <w:sz w:val="21"/>
                <w:szCs w:val="21"/>
              </w:rPr>
              <w:t>）</w:t>
            </w:r>
          </w:p>
        </w:tc>
      </w:tr>
      <w:tr w14:paraId="16B24D1E">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563" w:type="pct"/>
            <w:shd w:val="clear" w:color="auto" w:fill="auto"/>
            <w:vAlign w:val="center"/>
          </w:tcPr>
          <w:p w14:paraId="666BB2A3">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kern w:val="0"/>
                <w:sz w:val="21"/>
                <w:szCs w:val="21"/>
              </w:rPr>
            </w:pPr>
            <w:r>
              <w:rPr>
                <w:rFonts w:hint="eastAsia" w:ascii="宋体" w:hAnsi="宋体" w:eastAsia="宋体" w:cs="宋体"/>
                <w:sz w:val="21"/>
                <w:szCs w:val="21"/>
                <w:vertAlign w:val="baseline"/>
                <w:lang w:val="en-US" w:eastAsia="zh-CN"/>
              </w:rPr>
              <w:t>电镀车间</w:t>
            </w:r>
          </w:p>
        </w:tc>
        <w:tc>
          <w:tcPr>
            <w:tcW w:w="415" w:type="pct"/>
            <w:shd w:val="clear" w:color="auto" w:fill="auto"/>
            <w:vAlign w:val="center"/>
          </w:tcPr>
          <w:p w14:paraId="70B5AB04">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15</w:t>
            </w:r>
          </w:p>
        </w:tc>
        <w:tc>
          <w:tcPr>
            <w:tcW w:w="416" w:type="pct"/>
            <w:shd w:val="clear" w:color="auto" w:fill="auto"/>
            <w:vAlign w:val="center"/>
          </w:tcPr>
          <w:p w14:paraId="72C33E51">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kern w:val="0"/>
                <w:sz w:val="21"/>
                <w:szCs w:val="21"/>
                <w:lang w:eastAsia="zh-CN"/>
              </w:rPr>
            </w:pPr>
            <w:r>
              <w:rPr>
                <w:rFonts w:hint="eastAsia" w:ascii="宋体" w:hAnsi="宋体" w:eastAsia="宋体" w:cs="宋体"/>
                <w:kern w:val="0"/>
                <w:sz w:val="21"/>
                <w:szCs w:val="21"/>
              </w:rPr>
              <w:t>0.</w:t>
            </w:r>
            <w:r>
              <w:rPr>
                <w:rFonts w:hint="eastAsia" w:ascii="宋体" w:hAnsi="宋体" w:eastAsia="宋体" w:cs="宋体"/>
                <w:kern w:val="0"/>
                <w:sz w:val="21"/>
                <w:szCs w:val="21"/>
                <w:lang w:val="en-US" w:eastAsia="zh-CN"/>
              </w:rPr>
              <w:t>6</w:t>
            </w:r>
          </w:p>
        </w:tc>
        <w:tc>
          <w:tcPr>
            <w:tcW w:w="582" w:type="pct"/>
            <w:shd w:val="clear" w:color="auto" w:fill="auto"/>
            <w:vAlign w:val="center"/>
          </w:tcPr>
          <w:p w14:paraId="4DCFE115">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10000</w:t>
            </w:r>
          </w:p>
        </w:tc>
        <w:tc>
          <w:tcPr>
            <w:tcW w:w="414" w:type="pct"/>
            <w:shd w:val="clear" w:color="auto" w:fill="auto"/>
            <w:vAlign w:val="center"/>
          </w:tcPr>
          <w:p w14:paraId="31F3E94C">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与环境温度相同</w:t>
            </w:r>
          </w:p>
        </w:tc>
        <w:tc>
          <w:tcPr>
            <w:tcW w:w="498" w:type="pct"/>
            <w:shd w:val="clear" w:color="auto" w:fill="auto"/>
            <w:vAlign w:val="center"/>
          </w:tcPr>
          <w:p w14:paraId="14C8EDCD">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300</w:t>
            </w:r>
          </w:p>
        </w:tc>
        <w:tc>
          <w:tcPr>
            <w:tcW w:w="414" w:type="pct"/>
            <w:shd w:val="clear" w:color="auto" w:fill="auto"/>
            <w:vAlign w:val="center"/>
          </w:tcPr>
          <w:p w14:paraId="4305E266">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间歇</w:t>
            </w:r>
          </w:p>
        </w:tc>
        <w:tc>
          <w:tcPr>
            <w:tcW w:w="413" w:type="pct"/>
            <w:shd w:val="clear" w:color="auto" w:fill="auto"/>
            <w:vAlign w:val="center"/>
          </w:tcPr>
          <w:p w14:paraId="51F3D2D7">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kern w:val="0"/>
                <w:sz w:val="21"/>
                <w:szCs w:val="21"/>
              </w:rPr>
            </w:pPr>
            <w:r>
              <w:rPr>
                <w:rFonts w:hint="eastAsia" w:ascii="宋体" w:hAnsi="宋体" w:eastAsia="宋体" w:cs="宋体"/>
                <w:sz w:val="21"/>
                <w:szCs w:val="21"/>
                <w:vertAlign w:val="baseline"/>
                <w:lang w:val="en-US" w:eastAsia="zh-CN"/>
              </w:rPr>
              <w:t>甲基磺酸</w:t>
            </w:r>
          </w:p>
        </w:tc>
        <w:tc>
          <w:tcPr>
            <w:tcW w:w="582" w:type="pct"/>
            <w:shd w:val="clear" w:color="auto" w:fill="auto"/>
            <w:vAlign w:val="center"/>
          </w:tcPr>
          <w:p w14:paraId="608558A7">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0.00304</w:t>
            </w:r>
          </w:p>
        </w:tc>
        <w:tc>
          <w:tcPr>
            <w:tcW w:w="698" w:type="pct"/>
            <w:shd w:val="clear" w:color="auto" w:fill="auto"/>
            <w:vAlign w:val="center"/>
          </w:tcPr>
          <w:p w14:paraId="2CFFBCF8">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0.304</w:t>
            </w:r>
          </w:p>
        </w:tc>
      </w:tr>
    </w:tbl>
    <w:p w14:paraId="25DC8F92">
      <w:pPr>
        <w:spacing w:line="240" w:lineRule="auto"/>
        <w:ind w:firstLine="480" w:firstLineChars="200"/>
      </w:pPr>
    </w:p>
    <w:p w14:paraId="5C0CF06E">
      <w:pPr>
        <w:ind w:firstLine="480" w:firstLineChars="200"/>
      </w:pPr>
      <w:r>
        <w:t>由</w:t>
      </w:r>
      <w:r>
        <w:rPr>
          <w:rFonts w:hint="eastAsia"/>
          <w:lang w:eastAsia="zh-CN"/>
        </w:rPr>
        <w:t>上表</w:t>
      </w:r>
      <w:r>
        <w:t>可知，非正常工况下，净化设施净化效率为零时，</w:t>
      </w:r>
      <w:r>
        <w:rPr>
          <w:rFonts w:hint="eastAsia"/>
          <w:lang w:eastAsia="zh-CN"/>
        </w:rPr>
        <w:t>甲基磺酸废气</w:t>
      </w:r>
      <w:r>
        <w:t>较正常排放时排放浓度大大增加，项目应严格控制非正常排放情况，加强管理并制定和落实防范措施，尽量减小其发生频次，发生非正常排放时应注意根据当地气象条件加强监控措施，避免造成不良后果。</w:t>
      </w:r>
    </w:p>
    <w:p w14:paraId="0294327C">
      <w:pPr>
        <w:ind w:firstLine="480" w:firstLineChars="200"/>
      </w:pPr>
      <w:r>
        <w:t>针对非正常工况，为保证污染防治设施的正常运行，提出如下防控措施：</w:t>
      </w:r>
    </w:p>
    <w:p w14:paraId="3DD6B166">
      <w:pPr>
        <w:ind w:firstLine="480" w:firstLineChars="200"/>
      </w:pPr>
      <w:r>
        <w:t>（1）加强对操作人员的岗位培训，使其熟练掌握废气净化装置的操作规程和技术，发现问题及时维修，确保废气净化效率达设计要求，避免对周围环境造成污染。</w:t>
      </w:r>
    </w:p>
    <w:p w14:paraId="252B40EB">
      <w:pPr>
        <w:ind w:firstLine="480" w:firstLineChars="200"/>
      </w:pPr>
      <w:r>
        <w:t>（2）对废气收集、处理装置加强维护和管理，保证其正常运行及对有机废气的处理效率。配备自动监控系统和联动装置，真正做到出现非正常排放时可立即停机检修。应杜绝事故情况发生，减少废气中有机废气排放对环境的影响。</w:t>
      </w:r>
    </w:p>
    <w:p w14:paraId="28CD3C3E">
      <w:pPr>
        <w:ind w:firstLine="480" w:firstLineChars="200"/>
      </w:pPr>
      <w:r>
        <w:t>（3）加强企业的运行管理，通过规章制度约束工作按操作规程工作。</w:t>
      </w:r>
    </w:p>
    <w:bookmarkEnd w:id="394"/>
    <w:bookmarkEnd w:id="395"/>
    <w:bookmarkEnd w:id="396"/>
    <w:bookmarkEnd w:id="397"/>
    <w:bookmarkEnd w:id="398"/>
    <w:bookmarkEnd w:id="399"/>
    <w:p w14:paraId="68796C7B">
      <w:pPr>
        <w:ind w:firstLine="480" w:firstLineChars="200"/>
      </w:pPr>
      <w:r>
        <w:t>4、项目大气污染物排放量核算</w:t>
      </w:r>
    </w:p>
    <w:p w14:paraId="49B4B50B">
      <w:pPr>
        <w:ind w:firstLine="480" w:firstLineChars="200"/>
      </w:pPr>
      <w:r>
        <w:t>（1）有组织排放量核算</w:t>
      </w:r>
    </w:p>
    <w:p w14:paraId="68ACC79B">
      <w:pPr>
        <w:ind w:firstLine="480" w:firstLineChars="200"/>
      </w:pPr>
      <w:r>
        <w:t>本项目大气污染物有组织排放量核算见下表。</w:t>
      </w:r>
    </w:p>
    <w:p w14:paraId="44B41892">
      <w:pPr>
        <w:spacing w:line="240" w:lineRule="auto"/>
        <w:ind w:firstLine="420" w:firstLineChars="200"/>
        <w:jc w:val="center"/>
        <w:rPr>
          <w:b/>
          <w:bCs/>
          <w:sz w:val="21"/>
          <w:szCs w:val="21"/>
        </w:rPr>
      </w:pPr>
      <w:r>
        <w:rPr>
          <w:rFonts w:hint="eastAsia" w:ascii="黑体" w:hAnsi="黑体" w:eastAsia="黑体" w:cs="黑体"/>
          <w:b w:val="0"/>
          <w:bCs w:val="0"/>
          <w:sz w:val="21"/>
          <w:szCs w:val="21"/>
        </w:rPr>
        <w:t>表</w:t>
      </w:r>
      <w:r>
        <w:rPr>
          <w:rFonts w:hint="eastAsia" w:ascii="黑体" w:hAnsi="黑体" w:eastAsia="黑体" w:cs="黑体"/>
          <w:b w:val="0"/>
          <w:bCs w:val="0"/>
          <w:sz w:val="21"/>
          <w:szCs w:val="21"/>
          <w:lang w:val="en-US" w:eastAsia="zh-CN"/>
        </w:rPr>
        <w:t>7-9</w:t>
      </w:r>
      <w:r>
        <w:rPr>
          <w:rFonts w:hint="eastAsia" w:ascii="黑体" w:hAnsi="黑体" w:eastAsia="黑体" w:cs="黑体"/>
          <w:b w:val="0"/>
          <w:bCs w:val="0"/>
          <w:sz w:val="21"/>
          <w:szCs w:val="21"/>
        </w:rPr>
        <w:t>本项目大气污染物有组织排放量核算表</w:t>
      </w:r>
    </w:p>
    <w:tbl>
      <w:tblPr>
        <w:tblStyle w:val="52"/>
        <w:tblW w:w="5000" w:type="pct"/>
        <w:jc w:val="right"/>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899"/>
        <w:gridCol w:w="1853"/>
        <w:gridCol w:w="1122"/>
        <w:gridCol w:w="1665"/>
        <w:gridCol w:w="1545"/>
        <w:gridCol w:w="1862"/>
      </w:tblGrid>
      <w:tr w14:paraId="1780033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right"/>
        </w:trPr>
        <w:tc>
          <w:tcPr>
            <w:tcW w:w="503" w:type="pct"/>
            <w:vAlign w:val="center"/>
          </w:tcPr>
          <w:p w14:paraId="5ECB3470">
            <w:pPr>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序号</w:t>
            </w:r>
          </w:p>
        </w:tc>
        <w:tc>
          <w:tcPr>
            <w:tcW w:w="1035" w:type="pct"/>
            <w:vAlign w:val="center"/>
          </w:tcPr>
          <w:p w14:paraId="56B33082">
            <w:pPr>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排放口编号</w:t>
            </w:r>
          </w:p>
        </w:tc>
        <w:tc>
          <w:tcPr>
            <w:tcW w:w="627" w:type="pct"/>
            <w:vAlign w:val="center"/>
          </w:tcPr>
          <w:p w14:paraId="111DC3BB">
            <w:pPr>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污染物</w:t>
            </w:r>
          </w:p>
        </w:tc>
        <w:tc>
          <w:tcPr>
            <w:tcW w:w="930" w:type="pct"/>
            <w:vAlign w:val="center"/>
          </w:tcPr>
          <w:p w14:paraId="42351501">
            <w:pPr>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核算排放浓度/（mg/m</w:t>
            </w:r>
            <w:r>
              <w:rPr>
                <w:rFonts w:hint="eastAsia" w:ascii="宋体" w:hAnsi="宋体" w:eastAsia="宋体" w:cs="宋体"/>
                <w:sz w:val="21"/>
                <w:szCs w:val="21"/>
                <w:vertAlign w:val="superscript"/>
              </w:rPr>
              <w:t>3</w:t>
            </w:r>
            <w:r>
              <w:rPr>
                <w:rFonts w:hint="eastAsia" w:ascii="宋体" w:hAnsi="宋体" w:eastAsia="宋体" w:cs="宋体"/>
                <w:sz w:val="21"/>
                <w:szCs w:val="21"/>
              </w:rPr>
              <w:t>）</w:t>
            </w:r>
          </w:p>
        </w:tc>
        <w:tc>
          <w:tcPr>
            <w:tcW w:w="863" w:type="pct"/>
            <w:vAlign w:val="center"/>
          </w:tcPr>
          <w:p w14:paraId="391B603C">
            <w:pPr>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核算排放速率（kg/h）</w:t>
            </w:r>
          </w:p>
        </w:tc>
        <w:tc>
          <w:tcPr>
            <w:tcW w:w="1040" w:type="pct"/>
            <w:vAlign w:val="center"/>
          </w:tcPr>
          <w:p w14:paraId="2E0F1DC7">
            <w:pPr>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核算年排放量（</w:t>
            </w:r>
            <w:r>
              <w:rPr>
                <w:rFonts w:hint="eastAsia" w:ascii="宋体" w:hAnsi="宋体" w:eastAsia="宋体" w:cs="宋体"/>
                <w:sz w:val="21"/>
                <w:szCs w:val="21"/>
                <w:lang w:val="en-US" w:eastAsia="zh-CN"/>
              </w:rPr>
              <w:t>kg</w:t>
            </w:r>
            <w:r>
              <w:rPr>
                <w:rFonts w:hint="eastAsia" w:ascii="宋体" w:hAnsi="宋体" w:eastAsia="宋体" w:cs="宋体"/>
                <w:sz w:val="21"/>
                <w:szCs w:val="21"/>
              </w:rPr>
              <w:t>/a）</w:t>
            </w:r>
          </w:p>
        </w:tc>
      </w:tr>
      <w:tr w14:paraId="5E2E43F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right"/>
        </w:trPr>
        <w:tc>
          <w:tcPr>
            <w:tcW w:w="503" w:type="pct"/>
            <w:vAlign w:val="center"/>
          </w:tcPr>
          <w:p w14:paraId="56C36E1E">
            <w:pPr>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1</w:t>
            </w:r>
          </w:p>
        </w:tc>
        <w:tc>
          <w:tcPr>
            <w:tcW w:w="1035" w:type="pct"/>
            <w:vAlign w:val="center"/>
          </w:tcPr>
          <w:p w14:paraId="307AC625">
            <w:pPr>
              <w:pStyle w:val="6"/>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lang w:val="en-US" w:eastAsia="zh-CN"/>
              </w:rPr>
              <w:t>电镀车间</w:t>
            </w:r>
            <w:r>
              <w:rPr>
                <w:rFonts w:hint="eastAsia" w:ascii="宋体" w:hAnsi="宋体" w:eastAsia="宋体" w:cs="宋体"/>
                <w:b w:val="0"/>
                <w:bCs w:val="0"/>
                <w:color w:val="auto"/>
                <w:sz w:val="21"/>
                <w:szCs w:val="21"/>
              </w:rPr>
              <w:t>排气筒</w:t>
            </w:r>
          </w:p>
        </w:tc>
        <w:tc>
          <w:tcPr>
            <w:tcW w:w="627" w:type="pct"/>
            <w:vAlign w:val="center"/>
          </w:tcPr>
          <w:p w14:paraId="0A362F00">
            <w:pPr>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vertAlign w:val="baseline"/>
                <w:lang w:val="en-US" w:eastAsia="zh-CN"/>
              </w:rPr>
              <w:t>甲基磺酸</w:t>
            </w:r>
          </w:p>
        </w:tc>
        <w:tc>
          <w:tcPr>
            <w:tcW w:w="930" w:type="pct"/>
            <w:vAlign w:val="center"/>
          </w:tcPr>
          <w:p w14:paraId="3CE62D32">
            <w:pPr>
              <w:pageBreakBefore w:val="0"/>
              <w:kinsoku/>
              <w:wordWrap/>
              <w:overflowPunct/>
              <w:topLinePunct w:val="0"/>
              <w:autoSpaceDE/>
              <w:autoSpaceDN/>
              <w:bidi w:val="0"/>
              <w:spacing w:line="240" w:lineRule="auto"/>
              <w:ind w:firstLine="0" w:firstLineChars="0"/>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0.0137</w:t>
            </w:r>
          </w:p>
        </w:tc>
        <w:tc>
          <w:tcPr>
            <w:tcW w:w="863" w:type="pct"/>
            <w:vAlign w:val="center"/>
          </w:tcPr>
          <w:p w14:paraId="033F9CCC">
            <w:pPr>
              <w:pageBreakBefore w:val="0"/>
              <w:kinsoku/>
              <w:wordWrap/>
              <w:overflowPunct/>
              <w:topLinePunct w:val="0"/>
              <w:autoSpaceDE/>
              <w:autoSpaceDN/>
              <w:bidi w:val="0"/>
              <w:spacing w:line="240" w:lineRule="auto"/>
              <w:ind w:firstLine="0" w:firstLineChars="0"/>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0.000137</w:t>
            </w:r>
          </w:p>
        </w:tc>
        <w:tc>
          <w:tcPr>
            <w:tcW w:w="1040" w:type="pct"/>
            <w:vAlign w:val="center"/>
          </w:tcPr>
          <w:p w14:paraId="4419FB7A">
            <w:pPr>
              <w:pageBreakBefore w:val="0"/>
              <w:kinsoku/>
              <w:wordWrap/>
              <w:overflowPunct/>
              <w:topLinePunct w:val="0"/>
              <w:autoSpaceDE/>
              <w:autoSpaceDN/>
              <w:bidi w:val="0"/>
              <w:spacing w:line="240" w:lineRule="auto"/>
              <w:ind w:firstLine="0" w:firstLineChars="0"/>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0.329</w:t>
            </w:r>
          </w:p>
        </w:tc>
      </w:tr>
    </w:tbl>
    <w:p w14:paraId="23574F33">
      <w:pPr>
        <w:spacing w:line="240" w:lineRule="auto"/>
      </w:pPr>
    </w:p>
    <w:p w14:paraId="42A423C3">
      <w:pPr>
        <w:bidi w:val="0"/>
      </w:pPr>
      <w:r>
        <w:t>（2）无组织排放量核算</w:t>
      </w:r>
    </w:p>
    <w:p w14:paraId="0E375AC5">
      <w:pPr>
        <w:bidi w:val="0"/>
      </w:pPr>
      <w:r>
        <w:t>本项目大气污染物无组织排放量核算见下表。</w:t>
      </w:r>
    </w:p>
    <w:p w14:paraId="61EC396F">
      <w:pPr>
        <w:spacing w:line="240" w:lineRule="auto"/>
        <w:ind w:firstLine="420" w:firstLineChars="200"/>
        <w:jc w:val="center"/>
        <w:rPr>
          <w:b/>
          <w:bCs/>
          <w:sz w:val="21"/>
          <w:szCs w:val="21"/>
          <w:highlight w:val="none"/>
        </w:rPr>
      </w:pPr>
      <w:r>
        <w:rPr>
          <w:rFonts w:hint="eastAsia" w:ascii="黑体" w:hAnsi="黑体" w:eastAsia="黑体" w:cs="黑体"/>
          <w:b w:val="0"/>
          <w:bCs w:val="0"/>
          <w:sz w:val="21"/>
          <w:szCs w:val="21"/>
          <w:highlight w:val="none"/>
        </w:rPr>
        <w:t>表</w:t>
      </w:r>
      <w:r>
        <w:rPr>
          <w:rFonts w:hint="eastAsia" w:ascii="黑体" w:hAnsi="黑体" w:eastAsia="黑体" w:cs="黑体"/>
          <w:b w:val="0"/>
          <w:bCs w:val="0"/>
          <w:sz w:val="21"/>
          <w:szCs w:val="21"/>
          <w:highlight w:val="none"/>
          <w:lang w:val="en-US" w:eastAsia="zh-CN"/>
        </w:rPr>
        <w:t>7-10</w:t>
      </w:r>
      <w:r>
        <w:rPr>
          <w:rFonts w:hint="eastAsia" w:ascii="黑体" w:hAnsi="黑体" w:eastAsia="黑体" w:cs="黑体"/>
          <w:b w:val="0"/>
          <w:bCs w:val="0"/>
          <w:sz w:val="21"/>
          <w:szCs w:val="21"/>
          <w:highlight w:val="none"/>
        </w:rPr>
        <w:t>本项目大气污染物无组织排放量核算表</w:t>
      </w:r>
    </w:p>
    <w:tbl>
      <w:tblPr>
        <w:tblStyle w:val="52"/>
        <w:tblW w:w="4997" w:type="pct"/>
        <w:jc w:val="right"/>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481"/>
        <w:gridCol w:w="1262"/>
        <w:gridCol w:w="1368"/>
        <w:gridCol w:w="1552"/>
        <w:gridCol w:w="1937"/>
        <w:gridCol w:w="1285"/>
        <w:gridCol w:w="1056"/>
      </w:tblGrid>
      <w:tr w14:paraId="01A956F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right"/>
        </w:trPr>
        <w:tc>
          <w:tcPr>
            <w:tcW w:w="270" w:type="pct"/>
            <w:vMerge w:val="restart"/>
            <w:vAlign w:val="center"/>
          </w:tcPr>
          <w:p w14:paraId="74AADDC6">
            <w:pPr>
              <w:pageBreakBefore w:val="0"/>
              <w:kinsoku/>
              <w:wordWrap/>
              <w:overflowPunct/>
              <w:topLinePunct w:val="0"/>
              <w:autoSpaceDE/>
              <w:autoSpaceDN/>
              <w:bidi w:val="0"/>
              <w:adjustRightInd w:val="0"/>
              <w:snapToGrid w:val="0"/>
              <w:spacing w:line="240" w:lineRule="auto"/>
              <w:ind w:firstLine="0" w:firstLineChars="0"/>
              <w:jc w:val="center"/>
              <w:rPr>
                <w:rFonts w:hint="eastAsia" w:ascii="宋体" w:hAnsi="宋体" w:eastAsia="宋体" w:cs="宋体"/>
                <w:sz w:val="21"/>
                <w:szCs w:val="21"/>
              </w:rPr>
            </w:pPr>
            <w:r>
              <w:rPr>
                <w:rFonts w:hint="eastAsia" w:ascii="宋体" w:hAnsi="宋体" w:eastAsia="宋体" w:cs="宋体"/>
                <w:sz w:val="21"/>
                <w:szCs w:val="21"/>
              </w:rPr>
              <w:t>序号</w:t>
            </w:r>
          </w:p>
        </w:tc>
        <w:tc>
          <w:tcPr>
            <w:tcW w:w="706" w:type="pct"/>
            <w:vMerge w:val="restart"/>
            <w:vAlign w:val="center"/>
          </w:tcPr>
          <w:p w14:paraId="47AD0512">
            <w:pPr>
              <w:pStyle w:val="6"/>
              <w:pageBreakBefore w:val="0"/>
              <w:kinsoku/>
              <w:wordWrap/>
              <w:overflowPunct/>
              <w:topLinePunct w:val="0"/>
              <w:autoSpaceDE/>
              <w:autoSpaceDN/>
              <w:bidi w:val="0"/>
              <w:adjustRightInd w:val="0"/>
              <w:snapToGrid w:val="0"/>
              <w:spacing w:line="240" w:lineRule="auto"/>
              <w:ind w:firstLine="0" w:firstLineChars="0"/>
              <w:jc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产污环节</w:t>
            </w:r>
          </w:p>
        </w:tc>
        <w:tc>
          <w:tcPr>
            <w:tcW w:w="765" w:type="pct"/>
            <w:vMerge w:val="restart"/>
            <w:vAlign w:val="center"/>
          </w:tcPr>
          <w:p w14:paraId="2CE7BB6B">
            <w:pPr>
              <w:pStyle w:val="6"/>
              <w:pageBreakBefore w:val="0"/>
              <w:kinsoku/>
              <w:wordWrap/>
              <w:overflowPunct/>
              <w:topLinePunct w:val="0"/>
              <w:autoSpaceDE/>
              <w:autoSpaceDN/>
              <w:bidi w:val="0"/>
              <w:adjustRightInd w:val="0"/>
              <w:snapToGrid w:val="0"/>
              <w:spacing w:line="240" w:lineRule="auto"/>
              <w:ind w:firstLine="0" w:firstLineChars="0"/>
              <w:jc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污染物</w:t>
            </w:r>
          </w:p>
        </w:tc>
        <w:tc>
          <w:tcPr>
            <w:tcW w:w="868" w:type="pct"/>
            <w:vMerge w:val="restart"/>
            <w:vAlign w:val="center"/>
          </w:tcPr>
          <w:p w14:paraId="42FF7ACD">
            <w:pPr>
              <w:pStyle w:val="6"/>
              <w:pageBreakBefore w:val="0"/>
              <w:kinsoku/>
              <w:wordWrap/>
              <w:overflowPunct/>
              <w:topLinePunct w:val="0"/>
              <w:autoSpaceDE/>
              <w:autoSpaceDN/>
              <w:bidi w:val="0"/>
              <w:adjustRightInd w:val="0"/>
              <w:snapToGrid w:val="0"/>
              <w:spacing w:line="240" w:lineRule="auto"/>
              <w:ind w:firstLine="0" w:firstLineChars="0"/>
              <w:jc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主要污染防治措施</w:t>
            </w:r>
          </w:p>
        </w:tc>
        <w:tc>
          <w:tcPr>
            <w:tcW w:w="1802" w:type="pct"/>
            <w:gridSpan w:val="2"/>
            <w:vAlign w:val="center"/>
          </w:tcPr>
          <w:p w14:paraId="2AA02CE9">
            <w:pPr>
              <w:pStyle w:val="6"/>
              <w:pageBreakBefore w:val="0"/>
              <w:kinsoku/>
              <w:wordWrap/>
              <w:overflowPunct/>
              <w:topLinePunct w:val="0"/>
              <w:autoSpaceDE/>
              <w:autoSpaceDN/>
              <w:bidi w:val="0"/>
              <w:adjustRightInd w:val="0"/>
              <w:snapToGrid w:val="0"/>
              <w:spacing w:line="240" w:lineRule="auto"/>
              <w:ind w:firstLine="0" w:firstLineChars="0"/>
              <w:jc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排放标准</w:t>
            </w:r>
          </w:p>
        </w:tc>
        <w:tc>
          <w:tcPr>
            <w:tcW w:w="586" w:type="pct"/>
            <w:vMerge w:val="restart"/>
            <w:vAlign w:val="center"/>
          </w:tcPr>
          <w:p w14:paraId="63283FD1">
            <w:pPr>
              <w:pStyle w:val="6"/>
              <w:pageBreakBefore w:val="0"/>
              <w:kinsoku/>
              <w:wordWrap/>
              <w:overflowPunct/>
              <w:topLinePunct w:val="0"/>
              <w:autoSpaceDE/>
              <w:autoSpaceDN/>
              <w:bidi w:val="0"/>
              <w:adjustRightInd w:val="0"/>
              <w:snapToGrid w:val="0"/>
              <w:spacing w:line="240" w:lineRule="auto"/>
              <w:ind w:firstLine="0" w:firstLineChars="0"/>
              <w:jc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年排</w:t>
            </w:r>
          </w:p>
          <w:p w14:paraId="12510355">
            <w:pPr>
              <w:pStyle w:val="6"/>
              <w:pageBreakBefore w:val="0"/>
              <w:kinsoku/>
              <w:wordWrap/>
              <w:overflowPunct/>
              <w:topLinePunct w:val="0"/>
              <w:autoSpaceDE/>
              <w:autoSpaceDN/>
              <w:bidi w:val="0"/>
              <w:adjustRightInd w:val="0"/>
              <w:snapToGrid w:val="0"/>
              <w:spacing w:line="240" w:lineRule="auto"/>
              <w:ind w:firstLine="0" w:firstLineChars="0"/>
              <w:jc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放量（</w:t>
            </w:r>
            <w:r>
              <w:rPr>
                <w:rFonts w:hint="eastAsia" w:ascii="宋体" w:hAnsi="宋体" w:eastAsia="宋体" w:cs="宋体"/>
                <w:b w:val="0"/>
                <w:bCs w:val="0"/>
                <w:color w:val="auto"/>
                <w:sz w:val="21"/>
                <w:szCs w:val="21"/>
                <w:lang w:val="en-US" w:eastAsia="zh-CN"/>
              </w:rPr>
              <w:t>kg</w:t>
            </w:r>
            <w:r>
              <w:rPr>
                <w:rFonts w:hint="eastAsia" w:ascii="宋体" w:hAnsi="宋体" w:eastAsia="宋体" w:cs="宋体"/>
                <w:b w:val="0"/>
                <w:bCs w:val="0"/>
                <w:color w:val="auto"/>
                <w:sz w:val="21"/>
                <w:szCs w:val="21"/>
              </w:rPr>
              <w:t>/a）</w:t>
            </w:r>
          </w:p>
        </w:tc>
      </w:tr>
      <w:tr w14:paraId="76B6C5C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1" w:hRule="atLeast"/>
          <w:jc w:val="right"/>
        </w:trPr>
        <w:tc>
          <w:tcPr>
            <w:tcW w:w="270" w:type="pct"/>
            <w:vMerge w:val="continue"/>
            <w:vAlign w:val="center"/>
          </w:tcPr>
          <w:p w14:paraId="0B253344">
            <w:pPr>
              <w:pageBreakBefore w:val="0"/>
              <w:kinsoku/>
              <w:wordWrap/>
              <w:overflowPunct/>
              <w:topLinePunct w:val="0"/>
              <w:autoSpaceDE/>
              <w:autoSpaceDN/>
              <w:bidi w:val="0"/>
              <w:adjustRightInd w:val="0"/>
              <w:snapToGrid w:val="0"/>
              <w:spacing w:line="240" w:lineRule="auto"/>
              <w:ind w:firstLine="0" w:firstLineChars="0"/>
              <w:jc w:val="center"/>
              <w:rPr>
                <w:rFonts w:hint="eastAsia" w:ascii="宋体" w:hAnsi="宋体" w:eastAsia="宋体" w:cs="宋体"/>
                <w:sz w:val="21"/>
                <w:szCs w:val="21"/>
              </w:rPr>
            </w:pPr>
          </w:p>
        </w:tc>
        <w:tc>
          <w:tcPr>
            <w:tcW w:w="706" w:type="pct"/>
            <w:vMerge w:val="continue"/>
            <w:vAlign w:val="center"/>
          </w:tcPr>
          <w:p w14:paraId="1C803B49">
            <w:pPr>
              <w:pStyle w:val="6"/>
              <w:pageBreakBefore w:val="0"/>
              <w:kinsoku/>
              <w:wordWrap/>
              <w:overflowPunct/>
              <w:topLinePunct w:val="0"/>
              <w:autoSpaceDE/>
              <w:autoSpaceDN/>
              <w:bidi w:val="0"/>
              <w:adjustRightInd w:val="0"/>
              <w:snapToGrid w:val="0"/>
              <w:spacing w:line="240" w:lineRule="auto"/>
              <w:ind w:firstLine="0" w:firstLineChars="0"/>
              <w:jc w:val="center"/>
              <w:rPr>
                <w:rFonts w:hint="eastAsia" w:ascii="宋体" w:hAnsi="宋体" w:eastAsia="宋体" w:cs="宋体"/>
                <w:b w:val="0"/>
                <w:bCs w:val="0"/>
                <w:color w:val="auto"/>
                <w:sz w:val="21"/>
                <w:szCs w:val="21"/>
              </w:rPr>
            </w:pPr>
          </w:p>
        </w:tc>
        <w:tc>
          <w:tcPr>
            <w:tcW w:w="765" w:type="pct"/>
            <w:vMerge w:val="continue"/>
            <w:vAlign w:val="center"/>
          </w:tcPr>
          <w:p w14:paraId="7D3A027D">
            <w:pPr>
              <w:pStyle w:val="6"/>
              <w:pageBreakBefore w:val="0"/>
              <w:kinsoku/>
              <w:wordWrap/>
              <w:overflowPunct/>
              <w:topLinePunct w:val="0"/>
              <w:autoSpaceDE/>
              <w:autoSpaceDN/>
              <w:bidi w:val="0"/>
              <w:adjustRightInd w:val="0"/>
              <w:snapToGrid w:val="0"/>
              <w:spacing w:line="240" w:lineRule="auto"/>
              <w:ind w:firstLine="0" w:firstLineChars="0"/>
              <w:jc w:val="center"/>
              <w:rPr>
                <w:rFonts w:hint="eastAsia" w:ascii="宋体" w:hAnsi="宋体" w:eastAsia="宋体" w:cs="宋体"/>
                <w:b w:val="0"/>
                <w:bCs w:val="0"/>
                <w:color w:val="auto"/>
                <w:sz w:val="21"/>
                <w:szCs w:val="21"/>
              </w:rPr>
            </w:pPr>
          </w:p>
        </w:tc>
        <w:tc>
          <w:tcPr>
            <w:tcW w:w="868" w:type="pct"/>
            <w:vMerge w:val="continue"/>
            <w:vAlign w:val="center"/>
          </w:tcPr>
          <w:p w14:paraId="6238682A">
            <w:pPr>
              <w:pStyle w:val="6"/>
              <w:pageBreakBefore w:val="0"/>
              <w:kinsoku/>
              <w:wordWrap/>
              <w:overflowPunct/>
              <w:topLinePunct w:val="0"/>
              <w:autoSpaceDE/>
              <w:autoSpaceDN/>
              <w:bidi w:val="0"/>
              <w:adjustRightInd w:val="0"/>
              <w:snapToGrid w:val="0"/>
              <w:spacing w:line="240" w:lineRule="auto"/>
              <w:ind w:firstLine="0" w:firstLineChars="0"/>
              <w:jc w:val="center"/>
              <w:rPr>
                <w:rFonts w:hint="eastAsia" w:ascii="宋体" w:hAnsi="宋体" w:eastAsia="宋体" w:cs="宋体"/>
                <w:b w:val="0"/>
                <w:bCs w:val="0"/>
                <w:color w:val="auto"/>
                <w:sz w:val="21"/>
                <w:szCs w:val="21"/>
              </w:rPr>
            </w:pPr>
          </w:p>
        </w:tc>
        <w:tc>
          <w:tcPr>
            <w:tcW w:w="1083" w:type="pct"/>
            <w:vAlign w:val="center"/>
          </w:tcPr>
          <w:p w14:paraId="586C4DC0">
            <w:pPr>
              <w:pStyle w:val="6"/>
              <w:pageBreakBefore w:val="0"/>
              <w:kinsoku/>
              <w:wordWrap/>
              <w:overflowPunct/>
              <w:topLinePunct w:val="0"/>
              <w:autoSpaceDE/>
              <w:autoSpaceDN/>
              <w:bidi w:val="0"/>
              <w:adjustRightInd w:val="0"/>
              <w:snapToGrid w:val="0"/>
              <w:spacing w:line="240" w:lineRule="auto"/>
              <w:ind w:firstLine="0" w:firstLineChars="0"/>
              <w:jc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标准名称</w:t>
            </w:r>
          </w:p>
        </w:tc>
        <w:tc>
          <w:tcPr>
            <w:tcW w:w="719" w:type="pct"/>
            <w:vAlign w:val="center"/>
          </w:tcPr>
          <w:p w14:paraId="02E1427E">
            <w:pPr>
              <w:pStyle w:val="6"/>
              <w:pageBreakBefore w:val="0"/>
              <w:kinsoku/>
              <w:wordWrap/>
              <w:overflowPunct/>
              <w:topLinePunct w:val="0"/>
              <w:autoSpaceDE/>
              <w:autoSpaceDN/>
              <w:bidi w:val="0"/>
              <w:adjustRightInd w:val="0"/>
              <w:snapToGrid w:val="0"/>
              <w:spacing w:line="240" w:lineRule="auto"/>
              <w:ind w:firstLine="0" w:firstLineChars="0"/>
              <w:jc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浓度限值</w:t>
            </w:r>
            <w:r>
              <w:rPr>
                <w:rFonts w:hint="eastAsia" w:ascii="宋体" w:hAnsi="宋体" w:eastAsia="宋体" w:cs="宋体"/>
                <w:b w:val="0"/>
                <w:sz w:val="21"/>
                <w:szCs w:val="21"/>
              </w:rPr>
              <w:t>mg/m</w:t>
            </w:r>
            <w:r>
              <w:rPr>
                <w:rFonts w:hint="eastAsia" w:ascii="宋体" w:hAnsi="宋体" w:eastAsia="宋体" w:cs="宋体"/>
                <w:b w:val="0"/>
                <w:sz w:val="21"/>
                <w:szCs w:val="21"/>
                <w:vertAlign w:val="superscript"/>
              </w:rPr>
              <w:t>3</w:t>
            </w:r>
          </w:p>
        </w:tc>
        <w:tc>
          <w:tcPr>
            <w:tcW w:w="586" w:type="pct"/>
            <w:vMerge w:val="continue"/>
            <w:vAlign w:val="center"/>
          </w:tcPr>
          <w:p w14:paraId="5C58AEE4">
            <w:pPr>
              <w:pStyle w:val="6"/>
              <w:pageBreakBefore w:val="0"/>
              <w:kinsoku/>
              <w:wordWrap/>
              <w:overflowPunct/>
              <w:topLinePunct w:val="0"/>
              <w:autoSpaceDE/>
              <w:autoSpaceDN/>
              <w:bidi w:val="0"/>
              <w:adjustRightInd w:val="0"/>
              <w:snapToGrid w:val="0"/>
              <w:spacing w:line="240" w:lineRule="auto"/>
              <w:ind w:firstLine="0" w:firstLineChars="0"/>
              <w:jc w:val="center"/>
              <w:rPr>
                <w:rFonts w:hint="eastAsia" w:ascii="宋体" w:hAnsi="宋体" w:eastAsia="宋体" w:cs="宋体"/>
                <w:b w:val="0"/>
                <w:bCs w:val="0"/>
                <w:color w:val="auto"/>
                <w:sz w:val="21"/>
                <w:szCs w:val="21"/>
              </w:rPr>
            </w:pPr>
          </w:p>
        </w:tc>
      </w:tr>
      <w:tr w14:paraId="0EBA124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4" w:hRule="atLeast"/>
          <w:jc w:val="right"/>
        </w:trPr>
        <w:tc>
          <w:tcPr>
            <w:tcW w:w="270" w:type="pct"/>
            <w:vAlign w:val="center"/>
          </w:tcPr>
          <w:p w14:paraId="5451AFA7">
            <w:pPr>
              <w:pageBreakBefore w:val="0"/>
              <w:kinsoku/>
              <w:wordWrap/>
              <w:overflowPunct/>
              <w:topLinePunct w:val="0"/>
              <w:autoSpaceDE/>
              <w:autoSpaceDN/>
              <w:bidi w:val="0"/>
              <w:adjustRightInd w:val="0"/>
              <w:snapToGrid w:val="0"/>
              <w:spacing w:line="240" w:lineRule="auto"/>
              <w:ind w:firstLine="0" w:firstLineChars="0"/>
              <w:jc w:val="center"/>
              <w:rPr>
                <w:rFonts w:hint="eastAsia" w:ascii="宋体" w:hAnsi="宋体" w:eastAsia="宋体" w:cs="宋体"/>
                <w:sz w:val="21"/>
                <w:szCs w:val="21"/>
              </w:rPr>
            </w:pPr>
            <w:r>
              <w:rPr>
                <w:rFonts w:hint="eastAsia" w:ascii="宋体" w:hAnsi="宋体" w:eastAsia="宋体" w:cs="宋体"/>
                <w:sz w:val="21"/>
                <w:szCs w:val="21"/>
              </w:rPr>
              <w:t>1</w:t>
            </w:r>
          </w:p>
        </w:tc>
        <w:tc>
          <w:tcPr>
            <w:tcW w:w="706" w:type="pct"/>
            <w:vAlign w:val="center"/>
          </w:tcPr>
          <w:p w14:paraId="675FF1A1">
            <w:pPr>
              <w:pStyle w:val="309"/>
              <w:pageBreakBefore w:val="0"/>
              <w:kinsoku/>
              <w:wordWrap/>
              <w:overflowPunct/>
              <w:topLinePunct w:val="0"/>
              <w:autoSpaceDE/>
              <w:autoSpaceDN/>
              <w:bidi w:val="0"/>
              <w:snapToGrid w:val="0"/>
              <w:spacing w:line="240" w:lineRule="auto"/>
              <w:ind w:firstLine="0" w:firstLineChars="0"/>
              <w:jc w:val="center"/>
              <w:rPr>
                <w:rFonts w:hint="eastAsia" w:ascii="宋体" w:hAnsi="宋体" w:eastAsia="宋体" w:cs="宋体"/>
                <w:sz w:val="21"/>
                <w:szCs w:val="21"/>
              </w:rPr>
            </w:pPr>
            <w:r>
              <w:rPr>
                <w:rFonts w:hint="eastAsia" w:ascii="宋体" w:hAnsi="宋体" w:eastAsia="宋体" w:cs="宋体"/>
                <w:b w:val="0"/>
                <w:bCs w:val="0"/>
                <w:color w:val="auto"/>
                <w:sz w:val="21"/>
                <w:szCs w:val="21"/>
                <w:lang w:val="en-US" w:eastAsia="zh-CN"/>
              </w:rPr>
              <w:t>电镀车间</w:t>
            </w:r>
          </w:p>
        </w:tc>
        <w:tc>
          <w:tcPr>
            <w:tcW w:w="765" w:type="pct"/>
            <w:vAlign w:val="center"/>
          </w:tcPr>
          <w:p w14:paraId="0111CBD1">
            <w:pPr>
              <w:pageBreakBefore w:val="0"/>
              <w:kinsoku/>
              <w:wordWrap/>
              <w:overflowPunct/>
              <w:topLinePunct w:val="0"/>
              <w:autoSpaceDE/>
              <w:autoSpaceDN/>
              <w:bidi w:val="0"/>
              <w:snapToGrid w:val="0"/>
              <w:spacing w:line="240" w:lineRule="auto"/>
              <w:ind w:firstLine="0" w:firstLineChars="0"/>
              <w:jc w:val="center"/>
              <w:rPr>
                <w:rFonts w:hint="eastAsia" w:ascii="宋体" w:hAnsi="宋体" w:eastAsia="宋体" w:cs="宋体"/>
                <w:sz w:val="21"/>
                <w:szCs w:val="21"/>
              </w:rPr>
            </w:pPr>
            <w:r>
              <w:rPr>
                <w:rFonts w:hint="eastAsia" w:ascii="宋体" w:hAnsi="宋体" w:eastAsia="宋体" w:cs="宋体"/>
                <w:sz w:val="21"/>
                <w:szCs w:val="21"/>
                <w:vertAlign w:val="baseline"/>
                <w:lang w:val="en-US" w:eastAsia="zh-CN"/>
              </w:rPr>
              <w:t>甲基磺酸</w:t>
            </w:r>
          </w:p>
        </w:tc>
        <w:tc>
          <w:tcPr>
            <w:tcW w:w="868" w:type="pct"/>
            <w:vAlign w:val="center"/>
          </w:tcPr>
          <w:p w14:paraId="3441C4B5">
            <w:pPr>
              <w:pStyle w:val="309"/>
              <w:pageBreakBefore w:val="0"/>
              <w:kinsoku/>
              <w:wordWrap/>
              <w:overflowPunct/>
              <w:topLinePunct w:val="0"/>
              <w:autoSpaceDE/>
              <w:autoSpaceDN/>
              <w:bidi w:val="0"/>
              <w:snapToGrid w:val="0"/>
              <w:spacing w:line="240" w:lineRule="auto"/>
              <w:ind w:firstLine="0" w:firstLineChars="0"/>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加强车间通风</w:t>
            </w:r>
          </w:p>
        </w:tc>
        <w:tc>
          <w:tcPr>
            <w:tcW w:w="1083" w:type="pct"/>
            <w:vAlign w:val="center"/>
          </w:tcPr>
          <w:p w14:paraId="321F38D2">
            <w:pPr>
              <w:pStyle w:val="309"/>
              <w:pageBreakBefore w:val="0"/>
              <w:kinsoku/>
              <w:wordWrap/>
              <w:overflowPunct/>
              <w:topLinePunct w:val="0"/>
              <w:autoSpaceDE/>
              <w:autoSpaceDN/>
              <w:bidi w:val="0"/>
              <w:snapToGrid w:val="0"/>
              <w:spacing w:line="240" w:lineRule="auto"/>
              <w:ind w:firstLine="0" w:firstLineChars="0"/>
              <w:jc w:val="center"/>
              <w:rPr>
                <w:rFonts w:hint="eastAsia" w:ascii="宋体" w:hAnsi="宋体" w:eastAsia="宋体" w:cs="宋体"/>
                <w:sz w:val="21"/>
                <w:szCs w:val="21"/>
              </w:rPr>
            </w:pPr>
            <w:r>
              <w:rPr>
                <w:rFonts w:hint="eastAsia" w:ascii="宋体" w:hAnsi="宋体" w:eastAsia="宋体" w:cs="宋体"/>
                <w:b w:val="0"/>
                <w:bCs/>
                <w:sz w:val="21"/>
                <w:szCs w:val="21"/>
                <w:vertAlign w:val="baseline"/>
                <w:lang w:eastAsia="zh-CN"/>
              </w:rPr>
              <w:t>《挥发性有机物无组织排放标准》（</w:t>
            </w:r>
            <w:r>
              <w:rPr>
                <w:rFonts w:hint="default" w:ascii="宋体" w:hAnsi="宋体" w:eastAsia="宋体" w:cs="宋体"/>
                <w:b w:val="0"/>
                <w:bCs/>
                <w:sz w:val="21"/>
                <w:szCs w:val="21"/>
                <w:vertAlign w:val="baseline"/>
                <w:lang w:eastAsia="zh-CN"/>
              </w:rPr>
              <w:t>GB</w:t>
            </w:r>
            <w:r>
              <w:rPr>
                <w:rFonts w:hint="eastAsia" w:ascii="宋体" w:hAnsi="宋体" w:eastAsia="宋体" w:cs="宋体"/>
                <w:b w:val="0"/>
                <w:bCs/>
                <w:sz w:val="21"/>
                <w:szCs w:val="21"/>
                <w:vertAlign w:val="baseline"/>
                <w:lang w:val="en-US" w:eastAsia="zh-CN"/>
              </w:rPr>
              <w:t>37822-2019</w:t>
            </w:r>
            <w:r>
              <w:rPr>
                <w:rFonts w:hint="eastAsia" w:ascii="宋体" w:hAnsi="宋体" w:eastAsia="宋体" w:cs="宋体"/>
                <w:b w:val="0"/>
                <w:bCs/>
                <w:sz w:val="21"/>
                <w:szCs w:val="21"/>
                <w:vertAlign w:val="baseline"/>
                <w:lang w:eastAsia="zh-CN"/>
              </w:rPr>
              <w:t>）</w:t>
            </w:r>
          </w:p>
        </w:tc>
        <w:tc>
          <w:tcPr>
            <w:tcW w:w="719" w:type="pct"/>
            <w:vAlign w:val="center"/>
          </w:tcPr>
          <w:p w14:paraId="53CFC5DF">
            <w:pPr>
              <w:pStyle w:val="309"/>
              <w:pageBreakBefore w:val="0"/>
              <w:kinsoku/>
              <w:wordWrap/>
              <w:overflowPunct/>
              <w:topLinePunct w:val="0"/>
              <w:autoSpaceDE/>
              <w:autoSpaceDN/>
              <w:bidi w:val="0"/>
              <w:snapToGrid w:val="0"/>
              <w:spacing w:line="240" w:lineRule="auto"/>
              <w:ind w:firstLine="0" w:firstLineChars="0"/>
              <w:jc w:val="center"/>
              <w:rPr>
                <w:rFonts w:hint="eastAsia" w:ascii="宋体" w:hAnsi="宋体" w:cs="宋体"/>
                <w:b w:val="0"/>
                <w:bCs/>
                <w:sz w:val="21"/>
                <w:szCs w:val="21"/>
                <w:vertAlign w:val="baseline"/>
                <w:lang w:val="en-US" w:eastAsia="zh-CN"/>
              </w:rPr>
            </w:pPr>
            <w:r>
              <w:rPr>
                <w:rFonts w:hint="eastAsia" w:ascii="宋体" w:hAnsi="宋体" w:cs="宋体"/>
                <w:b w:val="0"/>
                <w:bCs/>
                <w:sz w:val="21"/>
                <w:szCs w:val="21"/>
                <w:vertAlign w:val="baseline"/>
                <w:lang w:val="en-US" w:eastAsia="zh-CN"/>
              </w:rPr>
              <w:t>20</w:t>
            </w:r>
          </w:p>
          <w:p w14:paraId="0DE87B98">
            <w:pPr>
              <w:pStyle w:val="309"/>
              <w:pageBreakBefore w:val="0"/>
              <w:kinsoku/>
              <w:wordWrap/>
              <w:overflowPunct/>
              <w:topLinePunct w:val="0"/>
              <w:autoSpaceDE/>
              <w:autoSpaceDN/>
              <w:bidi w:val="0"/>
              <w:snapToGrid w:val="0"/>
              <w:spacing w:line="240" w:lineRule="auto"/>
              <w:ind w:firstLine="0" w:firstLineChars="0"/>
              <w:jc w:val="center"/>
              <w:rPr>
                <w:rFonts w:hint="default" w:ascii="宋体" w:hAnsi="宋体" w:eastAsia="宋体" w:cs="宋体"/>
                <w:sz w:val="21"/>
                <w:szCs w:val="21"/>
                <w:lang w:val="en-US" w:eastAsia="zh-CN"/>
              </w:rPr>
            </w:pPr>
            <w:r>
              <w:rPr>
                <w:rFonts w:hint="eastAsia" w:ascii="宋体" w:hAnsi="宋体" w:cs="宋体"/>
                <w:b w:val="0"/>
                <w:bCs/>
                <w:sz w:val="21"/>
                <w:szCs w:val="21"/>
                <w:vertAlign w:val="baseline"/>
                <w:lang w:val="en-US" w:eastAsia="zh-CN"/>
              </w:rPr>
              <w:t>（</w:t>
            </w:r>
            <w:r>
              <w:rPr>
                <w:rFonts w:hint="eastAsia" w:ascii="宋体" w:hAnsi="宋体" w:cs="宋体"/>
                <w:b w:val="0"/>
                <w:bCs/>
                <w:sz w:val="21"/>
                <w:szCs w:val="21"/>
                <w:vertAlign w:val="baseline"/>
                <w:lang w:eastAsia="zh-CN"/>
              </w:rPr>
              <w:t>监控点处任意一次浓度值</w:t>
            </w:r>
            <w:r>
              <w:rPr>
                <w:rFonts w:hint="eastAsia" w:ascii="宋体" w:hAnsi="宋体" w:cs="宋体"/>
                <w:b w:val="0"/>
                <w:bCs/>
                <w:sz w:val="21"/>
                <w:szCs w:val="21"/>
                <w:vertAlign w:val="baseline"/>
                <w:lang w:val="en-US" w:eastAsia="zh-CN"/>
              </w:rPr>
              <w:t>）</w:t>
            </w:r>
          </w:p>
        </w:tc>
        <w:tc>
          <w:tcPr>
            <w:tcW w:w="586" w:type="pct"/>
            <w:vAlign w:val="center"/>
          </w:tcPr>
          <w:p w14:paraId="71BF9359">
            <w:pPr>
              <w:pageBreakBefore w:val="0"/>
              <w:kinsoku/>
              <w:wordWrap/>
              <w:overflowPunct/>
              <w:topLinePunct w:val="0"/>
              <w:autoSpaceDE/>
              <w:autoSpaceDN/>
              <w:bidi w:val="0"/>
              <w:spacing w:line="240" w:lineRule="auto"/>
              <w:ind w:firstLine="0" w:firstLineChars="0"/>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0.73</w:t>
            </w:r>
          </w:p>
        </w:tc>
      </w:tr>
    </w:tbl>
    <w:p w14:paraId="71AA7387">
      <w:pPr>
        <w:spacing w:before="120" w:beforeLines="50" w:after="120" w:afterLines="50" w:line="240" w:lineRule="auto"/>
        <w:ind w:firstLine="480" w:firstLineChars="200"/>
      </w:pPr>
      <w:r>
        <w:t>5、建设项目大气环境影响评价自查表</w:t>
      </w:r>
    </w:p>
    <w:p w14:paraId="6B210CFD">
      <w:pPr>
        <w:spacing w:line="240" w:lineRule="auto"/>
        <w:ind w:firstLine="728" w:firstLineChars="347"/>
        <w:jc w:val="center"/>
        <w:rPr>
          <w:rFonts w:hint="eastAsia" w:ascii="黑体" w:hAnsi="黑体" w:eastAsia="黑体" w:cs="黑体"/>
          <w:b w:val="0"/>
          <w:bCs w:val="0"/>
          <w:sz w:val="21"/>
          <w:szCs w:val="21"/>
        </w:rPr>
      </w:pPr>
    </w:p>
    <w:p w14:paraId="59721388">
      <w:pPr>
        <w:pStyle w:val="22"/>
        <w:rPr>
          <w:rFonts w:hint="eastAsia" w:ascii="黑体" w:hAnsi="黑体" w:eastAsia="黑体" w:cs="黑体"/>
          <w:b w:val="0"/>
          <w:bCs w:val="0"/>
          <w:sz w:val="21"/>
          <w:szCs w:val="21"/>
        </w:rPr>
      </w:pPr>
    </w:p>
    <w:p w14:paraId="152F0221">
      <w:pPr>
        <w:pStyle w:val="22"/>
        <w:rPr>
          <w:rFonts w:hint="eastAsia" w:ascii="黑体" w:hAnsi="黑体" w:eastAsia="黑体" w:cs="黑体"/>
          <w:b w:val="0"/>
          <w:bCs w:val="0"/>
          <w:sz w:val="21"/>
          <w:szCs w:val="21"/>
        </w:rPr>
      </w:pPr>
    </w:p>
    <w:p w14:paraId="6B0E2222">
      <w:pPr>
        <w:pStyle w:val="22"/>
        <w:rPr>
          <w:rFonts w:hint="eastAsia" w:ascii="黑体" w:hAnsi="黑体" w:eastAsia="黑体" w:cs="黑体"/>
          <w:b w:val="0"/>
          <w:bCs w:val="0"/>
          <w:sz w:val="21"/>
          <w:szCs w:val="21"/>
        </w:rPr>
      </w:pPr>
    </w:p>
    <w:p w14:paraId="61FB54B8">
      <w:pPr>
        <w:spacing w:line="240" w:lineRule="auto"/>
        <w:ind w:firstLine="728" w:firstLineChars="347"/>
        <w:jc w:val="center"/>
        <w:rPr>
          <w:rFonts w:hint="eastAsia" w:ascii="黑体" w:hAnsi="黑体" w:eastAsia="黑体" w:cs="黑体"/>
          <w:b w:val="0"/>
          <w:bCs w:val="0"/>
          <w:sz w:val="21"/>
          <w:szCs w:val="21"/>
        </w:rPr>
      </w:pPr>
    </w:p>
    <w:p w14:paraId="29C3DC5D">
      <w:pPr>
        <w:spacing w:line="240" w:lineRule="auto"/>
        <w:ind w:firstLine="728" w:firstLineChars="347"/>
        <w:jc w:val="center"/>
        <w:rPr>
          <w:b/>
          <w:bCs/>
          <w:sz w:val="21"/>
          <w:szCs w:val="21"/>
        </w:rPr>
      </w:pPr>
      <w:r>
        <w:rPr>
          <w:rFonts w:hint="eastAsia" w:ascii="黑体" w:hAnsi="黑体" w:eastAsia="黑体" w:cs="黑体"/>
          <w:b w:val="0"/>
          <w:bCs w:val="0"/>
          <w:sz w:val="21"/>
          <w:szCs w:val="21"/>
        </w:rPr>
        <w:t>表</w:t>
      </w:r>
      <w:r>
        <w:rPr>
          <w:rFonts w:hint="eastAsia" w:ascii="黑体" w:hAnsi="黑体" w:eastAsia="黑体" w:cs="黑体"/>
          <w:b w:val="0"/>
          <w:bCs w:val="0"/>
          <w:sz w:val="21"/>
          <w:szCs w:val="21"/>
          <w:lang w:val="en-US" w:eastAsia="zh-CN"/>
        </w:rPr>
        <w:t>7-11</w:t>
      </w:r>
      <w:r>
        <w:rPr>
          <w:rFonts w:hint="eastAsia" w:ascii="黑体" w:hAnsi="黑体" w:eastAsia="黑体" w:cs="黑体"/>
          <w:b w:val="0"/>
          <w:bCs w:val="0"/>
          <w:sz w:val="21"/>
          <w:szCs w:val="21"/>
        </w:rPr>
        <w:t>建设项目大气环境影响评价自查表</w:t>
      </w:r>
    </w:p>
    <w:tbl>
      <w:tblPr>
        <w:tblStyle w:val="52"/>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598"/>
        <w:gridCol w:w="1583"/>
        <w:gridCol w:w="1014"/>
        <w:gridCol w:w="52"/>
        <w:gridCol w:w="514"/>
        <w:gridCol w:w="184"/>
        <w:gridCol w:w="401"/>
        <w:gridCol w:w="39"/>
        <w:gridCol w:w="533"/>
        <w:gridCol w:w="336"/>
        <w:gridCol w:w="639"/>
        <w:gridCol w:w="442"/>
        <w:gridCol w:w="190"/>
        <w:gridCol w:w="685"/>
        <w:gridCol w:w="340"/>
        <w:gridCol w:w="104"/>
        <w:gridCol w:w="55"/>
        <w:gridCol w:w="43"/>
        <w:gridCol w:w="333"/>
        <w:gridCol w:w="861"/>
      </w:tblGrid>
      <w:tr w14:paraId="198075F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19" w:type="pct"/>
            <w:gridSpan w:val="2"/>
            <w:vAlign w:val="center"/>
          </w:tcPr>
          <w:p w14:paraId="457ACAF2">
            <w:pPr>
              <w:keepNext w:val="0"/>
              <w:keepLines w:val="0"/>
              <w:pageBreakBefore w:val="0"/>
              <w:kinsoku/>
              <w:wordWrap/>
              <w:overflowPunct/>
              <w:topLinePunct w:val="0"/>
              <w:autoSpaceDE w:val="0"/>
              <w:autoSpaceDN w:val="0"/>
              <w:bidi w:val="0"/>
              <w:adjustRightInd w:val="0"/>
              <w:snapToGrid/>
              <w:spacing w:line="240" w:lineRule="auto"/>
              <w:ind w:firstLine="0" w:firstLineChars="0"/>
              <w:jc w:val="center"/>
              <w:textAlignment w:val="auto"/>
              <w:rPr>
                <w:color w:val="000000"/>
                <w:kern w:val="0"/>
                <w:sz w:val="18"/>
                <w:szCs w:val="18"/>
              </w:rPr>
            </w:pPr>
            <w:r>
              <w:rPr>
                <w:color w:val="000000"/>
                <w:kern w:val="0"/>
                <w:sz w:val="18"/>
                <w:szCs w:val="18"/>
              </w:rPr>
              <w:t>工作内容</w:t>
            </w:r>
          </w:p>
        </w:tc>
        <w:tc>
          <w:tcPr>
            <w:tcW w:w="3781" w:type="pct"/>
            <w:gridSpan w:val="18"/>
            <w:vAlign w:val="center"/>
          </w:tcPr>
          <w:p w14:paraId="34AA8862">
            <w:pPr>
              <w:keepNext w:val="0"/>
              <w:keepLines w:val="0"/>
              <w:pageBreakBefore w:val="0"/>
              <w:kinsoku/>
              <w:wordWrap/>
              <w:overflowPunct/>
              <w:topLinePunct w:val="0"/>
              <w:autoSpaceDE w:val="0"/>
              <w:autoSpaceDN w:val="0"/>
              <w:bidi w:val="0"/>
              <w:adjustRightInd w:val="0"/>
              <w:snapToGrid/>
              <w:spacing w:line="240" w:lineRule="auto"/>
              <w:ind w:firstLine="0" w:firstLineChars="0"/>
              <w:jc w:val="center"/>
              <w:textAlignment w:val="auto"/>
              <w:rPr>
                <w:color w:val="000000"/>
                <w:kern w:val="0"/>
                <w:sz w:val="18"/>
                <w:szCs w:val="18"/>
              </w:rPr>
            </w:pPr>
            <w:r>
              <w:rPr>
                <w:color w:val="000000"/>
                <w:kern w:val="0"/>
                <w:sz w:val="18"/>
                <w:szCs w:val="18"/>
              </w:rPr>
              <w:t>自查项目</w:t>
            </w:r>
          </w:p>
        </w:tc>
      </w:tr>
      <w:tr w14:paraId="3348A00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34" w:type="pct"/>
            <w:vMerge w:val="restart"/>
            <w:vAlign w:val="center"/>
          </w:tcPr>
          <w:p w14:paraId="673C6DFB">
            <w:pPr>
              <w:keepNext w:val="0"/>
              <w:keepLines w:val="0"/>
              <w:pageBreakBefore w:val="0"/>
              <w:kinsoku/>
              <w:wordWrap/>
              <w:overflowPunct/>
              <w:topLinePunct w:val="0"/>
              <w:autoSpaceDE w:val="0"/>
              <w:autoSpaceDN w:val="0"/>
              <w:bidi w:val="0"/>
              <w:adjustRightInd w:val="0"/>
              <w:snapToGrid/>
              <w:spacing w:line="240" w:lineRule="auto"/>
              <w:ind w:firstLine="0" w:firstLineChars="0"/>
              <w:jc w:val="center"/>
              <w:textAlignment w:val="auto"/>
              <w:rPr>
                <w:color w:val="000000"/>
                <w:kern w:val="0"/>
                <w:sz w:val="18"/>
                <w:szCs w:val="18"/>
              </w:rPr>
            </w:pPr>
            <w:r>
              <w:rPr>
                <w:color w:val="000000"/>
                <w:kern w:val="0"/>
                <w:sz w:val="18"/>
                <w:szCs w:val="18"/>
              </w:rPr>
              <w:t>评价等级与范围</w:t>
            </w:r>
          </w:p>
        </w:tc>
        <w:tc>
          <w:tcPr>
            <w:tcW w:w="885" w:type="pct"/>
            <w:vAlign w:val="center"/>
          </w:tcPr>
          <w:p w14:paraId="3B1F1381">
            <w:pPr>
              <w:keepNext w:val="0"/>
              <w:keepLines w:val="0"/>
              <w:pageBreakBefore w:val="0"/>
              <w:kinsoku/>
              <w:wordWrap/>
              <w:overflowPunct/>
              <w:topLinePunct w:val="0"/>
              <w:autoSpaceDE w:val="0"/>
              <w:autoSpaceDN w:val="0"/>
              <w:bidi w:val="0"/>
              <w:adjustRightInd w:val="0"/>
              <w:snapToGrid/>
              <w:spacing w:line="240" w:lineRule="auto"/>
              <w:ind w:firstLine="0" w:firstLineChars="0"/>
              <w:jc w:val="center"/>
              <w:textAlignment w:val="auto"/>
              <w:rPr>
                <w:color w:val="000000"/>
                <w:kern w:val="0"/>
                <w:sz w:val="18"/>
                <w:szCs w:val="18"/>
              </w:rPr>
            </w:pPr>
            <w:r>
              <w:rPr>
                <w:color w:val="000000"/>
                <w:kern w:val="0"/>
                <w:sz w:val="18"/>
                <w:szCs w:val="18"/>
              </w:rPr>
              <w:t>评价等级</w:t>
            </w:r>
          </w:p>
        </w:tc>
        <w:tc>
          <w:tcPr>
            <w:tcW w:w="1232" w:type="pct"/>
            <w:gridSpan w:val="6"/>
            <w:vAlign w:val="center"/>
          </w:tcPr>
          <w:p w14:paraId="64F2CA9B">
            <w:pPr>
              <w:keepNext w:val="0"/>
              <w:keepLines w:val="0"/>
              <w:pageBreakBefore w:val="0"/>
              <w:kinsoku/>
              <w:wordWrap/>
              <w:overflowPunct/>
              <w:topLinePunct w:val="0"/>
              <w:autoSpaceDE w:val="0"/>
              <w:autoSpaceDN w:val="0"/>
              <w:bidi w:val="0"/>
              <w:adjustRightInd w:val="0"/>
              <w:snapToGrid/>
              <w:spacing w:line="240" w:lineRule="auto"/>
              <w:ind w:firstLine="0" w:firstLineChars="0"/>
              <w:jc w:val="center"/>
              <w:textAlignment w:val="auto"/>
              <w:rPr>
                <w:color w:val="000000"/>
                <w:kern w:val="0"/>
                <w:sz w:val="18"/>
                <w:szCs w:val="18"/>
              </w:rPr>
            </w:pPr>
            <w:r>
              <w:rPr>
                <w:color w:val="000000"/>
                <w:kern w:val="0"/>
                <w:sz w:val="18"/>
                <w:szCs w:val="18"/>
              </w:rPr>
              <w:t>一级□</w:t>
            </w:r>
          </w:p>
        </w:tc>
        <w:tc>
          <w:tcPr>
            <w:tcW w:w="1579" w:type="pct"/>
            <w:gridSpan w:val="6"/>
            <w:vAlign w:val="center"/>
          </w:tcPr>
          <w:p w14:paraId="586D088E">
            <w:pPr>
              <w:keepNext w:val="0"/>
              <w:keepLines w:val="0"/>
              <w:pageBreakBefore w:val="0"/>
              <w:kinsoku/>
              <w:wordWrap/>
              <w:overflowPunct/>
              <w:topLinePunct w:val="0"/>
              <w:autoSpaceDE w:val="0"/>
              <w:autoSpaceDN w:val="0"/>
              <w:bidi w:val="0"/>
              <w:adjustRightInd w:val="0"/>
              <w:snapToGrid/>
              <w:spacing w:line="240" w:lineRule="auto"/>
              <w:ind w:firstLine="0" w:firstLineChars="0"/>
              <w:jc w:val="center"/>
              <w:textAlignment w:val="auto"/>
              <w:rPr>
                <w:color w:val="000000"/>
                <w:kern w:val="0"/>
                <w:sz w:val="18"/>
                <w:szCs w:val="18"/>
              </w:rPr>
            </w:pPr>
            <w:r>
              <w:rPr>
                <w:color w:val="000000"/>
                <w:kern w:val="0"/>
                <w:sz w:val="18"/>
                <w:szCs w:val="18"/>
              </w:rPr>
              <w:t>二级</w:t>
            </w:r>
            <w:r>
              <w:rPr>
                <w:color w:val="000000"/>
                <w:kern w:val="0"/>
                <w:sz w:val="18"/>
                <w:szCs w:val="18"/>
              </w:rPr>
              <w:sym w:font="Wingdings 2" w:char="00A3"/>
            </w:r>
          </w:p>
        </w:tc>
        <w:tc>
          <w:tcPr>
            <w:tcW w:w="970" w:type="pct"/>
            <w:gridSpan w:val="6"/>
            <w:vAlign w:val="center"/>
          </w:tcPr>
          <w:p w14:paraId="3E5F5C5A">
            <w:pPr>
              <w:keepNext w:val="0"/>
              <w:keepLines w:val="0"/>
              <w:pageBreakBefore w:val="0"/>
              <w:kinsoku/>
              <w:wordWrap/>
              <w:overflowPunct/>
              <w:topLinePunct w:val="0"/>
              <w:autoSpaceDE w:val="0"/>
              <w:autoSpaceDN w:val="0"/>
              <w:bidi w:val="0"/>
              <w:adjustRightInd w:val="0"/>
              <w:snapToGrid/>
              <w:spacing w:line="240" w:lineRule="auto"/>
              <w:ind w:firstLine="0" w:firstLineChars="0"/>
              <w:jc w:val="center"/>
              <w:textAlignment w:val="auto"/>
              <w:rPr>
                <w:color w:val="000000"/>
                <w:kern w:val="0"/>
                <w:sz w:val="18"/>
                <w:szCs w:val="18"/>
              </w:rPr>
            </w:pPr>
            <w:r>
              <w:rPr>
                <w:color w:val="000000"/>
                <w:kern w:val="0"/>
                <w:sz w:val="18"/>
                <w:szCs w:val="18"/>
              </w:rPr>
              <w:t>三级</w:t>
            </w:r>
            <w:r>
              <w:rPr>
                <w:color w:val="000000"/>
                <w:kern w:val="0"/>
                <w:sz w:val="18"/>
                <w:szCs w:val="18"/>
              </w:rPr>
              <w:sym w:font="Wingdings 2" w:char="0052"/>
            </w:r>
          </w:p>
        </w:tc>
      </w:tr>
      <w:tr w14:paraId="458037F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34" w:type="pct"/>
            <w:vMerge w:val="continue"/>
            <w:vAlign w:val="center"/>
          </w:tcPr>
          <w:p w14:paraId="03467FFB">
            <w:pPr>
              <w:keepNext w:val="0"/>
              <w:keepLines w:val="0"/>
              <w:pageBreakBefore w:val="0"/>
              <w:widowControl/>
              <w:kinsoku/>
              <w:wordWrap/>
              <w:overflowPunct/>
              <w:topLinePunct w:val="0"/>
              <w:bidi w:val="0"/>
              <w:snapToGrid/>
              <w:spacing w:line="240" w:lineRule="auto"/>
              <w:ind w:firstLine="0" w:firstLineChars="0"/>
              <w:jc w:val="left"/>
              <w:textAlignment w:val="auto"/>
              <w:rPr>
                <w:color w:val="000000"/>
                <w:kern w:val="0"/>
                <w:sz w:val="18"/>
                <w:szCs w:val="18"/>
              </w:rPr>
            </w:pPr>
          </w:p>
        </w:tc>
        <w:tc>
          <w:tcPr>
            <w:tcW w:w="885" w:type="pct"/>
            <w:vAlign w:val="center"/>
          </w:tcPr>
          <w:p w14:paraId="605BC85D">
            <w:pPr>
              <w:keepNext w:val="0"/>
              <w:keepLines w:val="0"/>
              <w:pageBreakBefore w:val="0"/>
              <w:kinsoku/>
              <w:wordWrap/>
              <w:overflowPunct/>
              <w:topLinePunct w:val="0"/>
              <w:autoSpaceDE w:val="0"/>
              <w:autoSpaceDN w:val="0"/>
              <w:bidi w:val="0"/>
              <w:adjustRightInd w:val="0"/>
              <w:snapToGrid/>
              <w:spacing w:line="240" w:lineRule="auto"/>
              <w:ind w:firstLine="0" w:firstLineChars="0"/>
              <w:jc w:val="center"/>
              <w:textAlignment w:val="auto"/>
              <w:rPr>
                <w:color w:val="000000"/>
                <w:kern w:val="0"/>
                <w:sz w:val="18"/>
                <w:szCs w:val="18"/>
              </w:rPr>
            </w:pPr>
            <w:r>
              <w:rPr>
                <w:color w:val="000000"/>
                <w:kern w:val="0"/>
                <w:sz w:val="18"/>
                <w:szCs w:val="18"/>
              </w:rPr>
              <w:t>评价范围</w:t>
            </w:r>
          </w:p>
        </w:tc>
        <w:tc>
          <w:tcPr>
            <w:tcW w:w="1232" w:type="pct"/>
            <w:gridSpan w:val="6"/>
            <w:vAlign w:val="center"/>
          </w:tcPr>
          <w:p w14:paraId="352CB9E0">
            <w:pPr>
              <w:keepNext w:val="0"/>
              <w:keepLines w:val="0"/>
              <w:pageBreakBefore w:val="0"/>
              <w:kinsoku/>
              <w:wordWrap/>
              <w:overflowPunct/>
              <w:topLinePunct w:val="0"/>
              <w:autoSpaceDE w:val="0"/>
              <w:autoSpaceDN w:val="0"/>
              <w:bidi w:val="0"/>
              <w:adjustRightInd w:val="0"/>
              <w:snapToGrid/>
              <w:spacing w:line="240" w:lineRule="auto"/>
              <w:ind w:firstLine="0" w:firstLineChars="0"/>
              <w:jc w:val="center"/>
              <w:textAlignment w:val="auto"/>
              <w:rPr>
                <w:color w:val="000000"/>
                <w:kern w:val="0"/>
                <w:sz w:val="18"/>
                <w:szCs w:val="18"/>
              </w:rPr>
            </w:pPr>
            <w:r>
              <w:rPr>
                <w:color w:val="000000"/>
                <w:kern w:val="0"/>
                <w:sz w:val="18"/>
                <w:szCs w:val="18"/>
              </w:rPr>
              <w:t>边长=50km□</w:t>
            </w:r>
          </w:p>
        </w:tc>
        <w:tc>
          <w:tcPr>
            <w:tcW w:w="1579" w:type="pct"/>
            <w:gridSpan w:val="6"/>
            <w:vAlign w:val="center"/>
          </w:tcPr>
          <w:p w14:paraId="08E6A932">
            <w:pPr>
              <w:keepNext w:val="0"/>
              <w:keepLines w:val="0"/>
              <w:pageBreakBefore w:val="0"/>
              <w:kinsoku/>
              <w:wordWrap/>
              <w:overflowPunct/>
              <w:topLinePunct w:val="0"/>
              <w:autoSpaceDE w:val="0"/>
              <w:autoSpaceDN w:val="0"/>
              <w:bidi w:val="0"/>
              <w:adjustRightInd w:val="0"/>
              <w:snapToGrid/>
              <w:spacing w:line="240" w:lineRule="auto"/>
              <w:ind w:firstLine="0" w:firstLineChars="0"/>
              <w:jc w:val="center"/>
              <w:textAlignment w:val="auto"/>
              <w:rPr>
                <w:color w:val="000000"/>
                <w:kern w:val="0"/>
                <w:sz w:val="18"/>
                <w:szCs w:val="18"/>
              </w:rPr>
            </w:pPr>
            <w:r>
              <w:rPr>
                <w:color w:val="000000"/>
                <w:kern w:val="0"/>
                <w:sz w:val="18"/>
                <w:szCs w:val="18"/>
              </w:rPr>
              <w:t>边长5～50km□</w:t>
            </w:r>
          </w:p>
        </w:tc>
        <w:tc>
          <w:tcPr>
            <w:tcW w:w="970" w:type="pct"/>
            <w:gridSpan w:val="6"/>
            <w:vAlign w:val="center"/>
          </w:tcPr>
          <w:p w14:paraId="737AAF21">
            <w:pPr>
              <w:keepNext w:val="0"/>
              <w:keepLines w:val="0"/>
              <w:pageBreakBefore w:val="0"/>
              <w:kinsoku/>
              <w:wordWrap/>
              <w:overflowPunct/>
              <w:topLinePunct w:val="0"/>
              <w:autoSpaceDE w:val="0"/>
              <w:autoSpaceDN w:val="0"/>
              <w:bidi w:val="0"/>
              <w:adjustRightInd w:val="0"/>
              <w:snapToGrid/>
              <w:spacing w:line="240" w:lineRule="auto"/>
              <w:ind w:firstLine="0" w:firstLineChars="0"/>
              <w:jc w:val="center"/>
              <w:textAlignment w:val="auto"/>
              <w:rPr>
                <w:color w:val="000000"/>
                <w:kern w:val="0"/>
                <w:sz w:val="18"/>
                <w:szCs w:val="18"/>
              </w:rPr>
            </w:pPr>
            <w:r>
              <w:rPr>
                <w:color w:val="000000"/>
                <w:kern w:val="0"/>
                <w:sz w:val="18"/>
                <w:szCs w:val="18"/>
              </w:rPr>
              <w:t>边长=5 km</w:t>
            </w:r>
            <w:r>
              <w:rPr>
                <w:color w:val="000000"/>
                <w:kern w:val="0"/>
                <w:sz w:val="18"/>
                <w:szCs w:val="18"/>
              </w:rPr>
              <w:sym w:font="Wingdings 2" w:char="0052"/>
            </w:r>
          </w:p>
        </w:tc>
      </w:tr>
      <w:tr w14:paraId="700EC3E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34" w:type="pct"/>
            <w:vMerge w:val="restart"/>
            <w:vAlign w:val="center"/>
          </w:tcPr>
          <w:p w14:paraId="0DC2807A">
            <w:pPr>
              <w:keepNext w:val="0"/>
              <w:keepLines w:val="0"/>
              <w:pageBreakBefore w:val="0"/>
              <w:kinsoku/>
              <w:wordWrap/>
              <w:overflowPunct/>
              <w:topLinePunct w:val="0"/>
              <w:autoSpaceDE w:val="0"/>
              <w:autoSpaceDN w:val="0"/>
              <w:bidi w:val="0"/>
              <w:adjustRightInd w:val="0"/>
              <w:snapToGrid/>
              <w:spacing w:line="240" w:lineRule="auto"/>
              <w:ind w:firstLine="0" w:firstLineChars="0"/>
              <w:jc w:val="center"/>
              <w:textAlignment w:val="auto"/>
              <w:rPr>
                <w:color w:val="000000"/>
                <w:kern w:val="0"/>
                <w:sz w:val="18"/>
                <w:szCs w:val="18"/>
              </w:rPr>
            </w:pPr>
            <w:r>
              <w:rPr>
                <w:color w:val="000000"/>
                <w:kern w:val="0"/>
                <w:sz w:val="18"/>
                <w:szCs w:val="18"/>
              </w:rPr>
              <w:t>评价因子</w:t>
            </w:r>
          </w:p>
        </w:tc>
        <w:tc>
          <w:tcPr>
            <w:tcW w:w="885" w:type="pct"/>
            <w:vAlign w:val="center"/>
          </w:tcPr>
          <w:p w14:paraId="7A73164D">
            <w:pPr>
              <w:keepNext w:val="0"/>
              <w:keepLines w:val="0"/>
              <w:pageBreakBefore w:val="0"/>
              <w:kinsoku/>
              <w:wordWrap/>
              <w:overflowPunct/>
              <w:topLinePunct w:val="0"/>
              <w:autoSpaceDE w:val="0"/>
              <w:autoSpaceDN w:val="0"/>
              <w:bidi w:val="0"/>
              <w:adjustRightInd w:val="0"/>
              <w:snapToGrid/>
              <w:spacing w:line="240" w:lineRule="auto"/>
              <w:ind w:firstLine="0" w:firstLineChars="0"/>
              <w:jc w:val="center"/>
              <w:textAlignment w:val="auto"/>
              <w:rPr>
                <w:color w:val="000000"/>
                <w:kern w:val="0"/>
                <w:sz w:val="18"/>
                <w:szCs w:val="18"/>
              </w:rPr>
            </w:pPr>
            <w:r>
              <w:rPr>
                <w:rFonts w:hint="eastAsia"/>
                <w:color w:val="000000"/>
                <w:kern w:val="0"/>
                <w:sz w:val="18"/>
                <w:szCs w:val="18"/>
                <w:lang w:eastAsia="zh-CN"/>
              </w:rPr>
              <w:t>甲基磺酸</w:t>
            </w:r>
            <w:r>
              <w:rPr>
                <w:color w:val="000000"/>
                <w:kern w:val="0"/>
                <w:sz w:val="18"/>
                <w:szCs w:val="18"/>
              </w:rPr>
              <w:t>排放量</w:t>
            </w:r>
          </w:p>
        </w:tc>
        <w:tc>
          <w:tcPr>
            <w:tcW w:w="1232" w:type="pct"/>
            <w:gridSpan w:val="6"/>
            <w:vAlign w:val="center"/>
          </w:tcPr>
          <w:p w14:paraId="63B96F92">
            <w:pPr>
              <w:keepNext w:val="0"/>
              <w:keepLines w:val="0"/>
              <w:pageBreakBefore w:val="0"/>
              <w:kinsoku/>
              <w:wordWrap/>
              <w:overflowPunct/>
              <w:topLinePunct w:val="0"/>
              <w:autoSpaceDE w:val="0"/>
              <w:autoSpaceDN w:val="0"/>
              <w:bidi w:val="0"/>
              <w:adjustRightInd w:val="0"/>
              <w:snapToGrid/>
              <w:spacing w:line="240" w:lineRule="auto"/>
              <w:ind w:firstLine="0" w:firstLineChars="0"/>
              <w:jc w:val="center"/>
              <w:textAlignment w:val="auto"/>
              <w:rPr>
                <w:color w:val="000000"/>
                <w:kern w:val="0"/>
                <w:sz w:val="18"/>
                <w:szCs w:val="18"/>
              </w:rPr>
            </w:pPr>
            <w:r>
              <w:rPr>
                <w:color w:val="000000"/>
                <w:kern w:val="0"/>
                <w:sz w:val="18"/>
                <w:szCs w:val="18"/>
              </w:rPr>
              <w:t>≥2000t/a□</w:t>
            </w:r>
          </w:p>
        </w:tc>
        <w:tc>
          <w:tcPr>
            <w:tcW w:w="1579" w:type="pct"/>
            <w:gridSpan w:val="6"/>
            <w:vAlign w:val="center"/>
          </w:tcPr>
          <w:p w14:paraId="68960EDA">
            <w:pPr>
              <w:keepNext w:val="0"/>
              <w:keepLines w:val="0"/>
              <w:pageBreakBefore w:val="0"/>
              <w:kinsoku/>
              <w:wordWrap/>
              <w:overflowPunct/>
              <w:topLinePunct w:val="0"/>
              <w:autoSpaceDE w:val="0"/>
              <w:autoSpaceDN w:val="0"/>
              <w:bidi w:val="0"/>
              <w:adjustRightInd w:val="0"/>
              <w:snapToGrid/>
              <w:spacing w:line="240" w:lineRule="auto"/>
              <w:ind w:firstLine="0" w:firstLineChars="0"/>
              <w:jc w:val="center"/>
              <w:textAlignment w:val="auto"/>
              <w:rPr>
                <w:color w:val="000000"/>
                <w:kern w:val="0"/>
                <w:sz w:val="18"/>
                <w:szCs w:val="18"/>
              </w:rPr>
            </w:pPr>
            <w:r>
              <w:rPr>
                <w:color w:val="000000"/>
                <w:kern w:val="0"/>
                <w:sz w:val="18"/>
                <w:szCs w:val="18"/>
              </w:rPr>
              <w:t>500 ~ 2000t/a□</w:t>
            </w:r>
          </w:p>
        </w:tc>
        <w:tc>
          <w:tcPr>
            <w:tcW w:w="970" w:type="pct"/>
            <w:gridSpan w:val="6"/>
            <w:vAlign w:val="center"/>
          </w:tcPr>
          <w:p w14:paraId="6871835D">
            <w:pPr>
              <w:keepNext w:val="0"/>
              <w:keepLines w:val="0"/>
              <w:pageBreakBefore w:val="0"/>
              <w:kinsoku/>
              <w:wordWrap/>
              <w:overflowPunct/>
              <w:topLinePunct w:val="0"/>
              <w:autoSpaceDE w:val="0"/>
              <w:autoSpaceDN w:val="0"/>
              <w:bidi w:val="0"/>
              <w:adjustRightInd w:val="0"/>
              <w:snapToGrid/>
              <w:spacing w:line="240" w:lineRule="auto"/>
              <w:ind w:firstLine="0" w:firstLineChars="0"/>
              <w:jc w:val="center"/>
              <w:textAlignment w:val="auto"/>
              <w:rPr>
                <w:color w:val="000000"/>
                <w:kern w:val="0"/>
                <w:sz w:val="18"/>
                <w:szCs w:val="18"/>
              </w:rPr>
            </w:pPr>
            <w:r>
              <w:rPr>
                <w:color w:val="000000"/>
                <w:kern w:val="0"/>
                <w:sz w:val="18"/>
                <w:szCs w:val="18"/>
              </w:rPr>
              <w:t>＜500 t/a</w:t>
            </w:r>
            <w:r>
              <w:rPr>
                <w:color w:val="000000"/>
                <w:kern w:val="0"/>
                <w:sz w:val="18"/>
                <w:szCs w:val="18"/>
              </w:rPr>
              <w:sym w:font="Wingdings 2" w:char="0052"/>
            </w:r>
          </w:p>
        </w:tc>
      </w:tr>
      <w:tr w14:paraId="23DECA5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34" w:type="pct"/>
            <w:vMerge w:val="continue"/>
            <w:vAlign w:val="center"/>
          </w:tcPr>
          <w:p w14:paraId="0957DFDF">
            <w:pPr>
              <w:keepNext w:val="0"/>
              <w:keepLines w:val="0"/>
              <w:pageBreakBefore w:val="0"/>
              <w:widowControl/>
              <w:kinsoku/>
              <w:wordWrap/>
              <w:overflowPunct/>
              <w:topLinePunct w:val="0"/>
              <w:bidi w:val="0"/>
              <w:snapToGrid/>
              <w:spacing w:line="240" w:lineRule="auto"/>
              <w:ind w:firstLine="0" w:firstLineChars="0"/>
              <w:jc w:val="left"/>
              <w:textAlignment w:val="auto"/>
              <w:rPr>
                <w:color w:val="000000"/>
                <w:kern w:val="0"/>
                <w:sz w:val="18"/>
                <w:szCs w:val="18"/>
              </w:rPr>
            </w:pPr>
          </w:p>
        </w:tc>
        <w:tc>
          <w:tcPr>
            <w:tcW w:w="885" w:type="pct"/>
            <w:vAlign w:val="center"/>
          </w:tcPr>
          <w:p w14:paraId="531B9D7D">
            <w:pPr>
              <w:keepNext w:val="0"/>
              <w:keepLines w:val="0"/>
              <w:pageBreakBefore w:val="0"/>
              <w:kinsoku/>
              <w:wordWrap/>
              <w:overflowPunct/>
              <w:topLinePunct w:val="0"/>
              <w:autoSpaceDE w:val="0"/>
              <w:autoSpaceDN w:val="0"/>
              <w:bidi w:val="0"/>
              <w:adjustRightInd w:val="0"/>
              <w:snapToGrid/>
              <w:spacing w:line="240" w:lineRule="auto"/>
              <w:ind w:firstLine="0" w:firstLineChars="0"/>
              <w:jc w:val="center"/>
              <w:textAlignment w:val="auto"/>
              <w:rPr>
                <w:color w:val="000000"/>
                <w:kern w:val="0"/>
                <w:sz w:val="18"/>
                <w:szCs w:val="18"/>
              </w:rPr>
            </w:pPr>
            <w:r>
              <w:rPr>
                <w:color w:val="000000"/>
                <w:kern w:val="0"/>
                <w:sz w:val="18"/>
                <w:szCs w:val="18"/>
              </w:rPr>
              <w:t>评价因子</w:t>
            </w:r>
          </w:p>
        </w:tc>
        <w:tc>
          <w:tcPr>
            <w:tcW w:w="2075" w:type="pct"/>
            <w:gridSpan w:val="9"/>
            <w:vAlign w:val="center"/>
          </w:tcPr>
          <w:p w14:paraId="0B3A6E71">
            <w:pPr>
              <w:keepNext w:val="0"/>
              <w:keepLines w:val="0"/>
              <w:pageBreakBefore w:val="0"/>
              <w:kinsoku/>
              <w:wordWrap/>
              <w:overflowPunct/>
              <w:topLinePunct w:val="0"/>
              <w:autoSpaceDE w:val="0"/>
              <w:autoSpaceDN w:val="0"/>
              <w:bidi w:val="0"/>
              <w:adjustRightInd w:val="0"/>
              <w:snapToGrid/>
              <w:spacing w:line="240" w:lineRule="auto"/>
              <w:ind w:firstLine="0" w:firstLineChars="0"/>
              <w:jc w:val="center"/>
              <w:textAlignment w:val="auto"/>
              <w:rPr>
                <w:color w:val="000000"/>
                <w:kern w:val="0"/>
                <w:sz w:val="18"/>
                <w:szCs w:val="18"/>
              </w:rPr>
            </w:pPr>
            <w:r>
              <w:rPr>
                <w:color w:val="000000"/>
                <w:kern w:val="0"/>
                <w:sz w:val="18"/>
                <w:szCs w:val="18"/>
              </w:rPr>
              <w:t>基本污染物（无）</w:t>
            </w:r>
          </w:p>
          <w:p w14:paraId="629C8E4B">
            <w:pPr>
              <w:keepNext w:val="0"/>
              <w:keepLines w:val="0"/>
              <w:pageBreakBefore w:val="0"/>
              <w:kinsoku/>
              <w:wordWrap/>
              <w:overflowPunct/>
              <w:topLinePunct w:val="0"/>
              <w:autoSpaceDE w:val="0"/>
              <w:autoSpaceDN w:val="0"/>
              <w:bidi w:val="0"/>
              <w:adjustRightInd w:val="0"/>
              <w:snapToGrid/>
              <w:spacing w:line="240" w:lineRule="auto"/>
              <w:ind w:firstLine="0" w:firstLineChars="0"/>
              <w:jc w:val="center"/>
              <w:textAlignment w:val="auto"/>
              <w:rPr>
                <w:color w:val="000000"/>
                <w:kern w:val="0"/>
                <w:sz w:val="18"/>
                <w:szCs w:val="18"/>
              </w:rPr>
            </w:pPr>
            <w:r>
              <w:rPr>
                <w:color w:val="000000"/>
                <w:kern w:val="0"/>
                <w:sz w:val="18"/>
                <w:szCs w:val="18"/>
              </w:rPr>
              <w:t>其他污染物（氨、硫化氢）</w:t>
            </w:r>
          </w:p>
        </w:tc>
        <w:tc>
          <w:tcPr>
            <w:tcW w:w="1706" w:type="pct"/>
            <w:gridSpan w:val="9"/>
            <w:vAlign w:val="center"/>
          </w:tcPr>
          <w:p w14:paraId="76EFD9C9">
            <w:pPr>
              <w:keepNext w:val="0"/>
              <w:keepLines w:val="0"/>
              <w:pageBreakBefore w:val="0"/>
              <w:kinsoku/>
              <w:wordWrap/>
              <w:overflowPunct/>
              <w:topLinePunct w:val="0"/>
              <w:autoSpaceDE w:val="0"/>
              <w:autoSpaceDN w:val="0"/>
              <w:bidi w:val="0"/>
              <w:adjustRightInd w:val="0"/>
              <w:snapToGrid/>
              <w:spacing w:line="240" w:lineRule="auto"/>
              <w:ind w:firstLine="0" w:firstLineChars="0"/>
              <w:jc w:val="center"/>
              <w:textAlignment w:val="auto"/>
              <w:rPr>
                <w:color w:val="000000"/>
                <w:kern w:val="0"/>
                <w:sz w:val="18"/>
                <w:szCs w:val="18"/>
              </w:rPr>
            </w:pPr>
            <w:r>
              <w:rPr>
                <w:color w:val="000000"/>
                <w:kern w:val="0"/>
                <w:sz w:val="18"/>
                <w:szCs w:val="18"/>
              </w:rPr>
              <w:t>包括二次PM2.5□</w:t>
            </w:r>
          </w:p>
          <w:p w14:paraId="6BC0ED75">
            <w:pPr>
              <w:keepNext w:val="0"/>
              <w:keepLines w:val="0"/>
              <w:pageBreakBefore w:val="0"/>
              <w:kinsoku/>
              <w:wordWrap/>
              <w:overflowPunct/>
              <w:topLinePunct w:val="0"/>
              <w:autoSpaceDE w:val="0"/>
              <w:autoSpaceDN w:val="0"/>
              <w:bidi w:val="0"/>
              <w:adjustRightInd w:val="0"/>
              <w:snapToGrid/>
              <w:spacing w:line="240" w:lineRule="auto"/>
              <w:ind w:firstLine="0" w:firstLineChars="0"/>
              <w:jc w:val="center"/>
              <w:textAlignment w:val="auto"/>
              <w:rPr>
                <w:color w:val="000000"/>
                <w:kern w:val="0"/>
                <w:sz w:val="18"/>
                <w:szCs w:val="18"/>
              </w:rPr>
            </w:pPr>
            <w:r>
              <w:rPr>
                <w:color w:val="000000"/>
                <w:kern w:val="0"/>
                <w:sz w:val="18"/>
                <w:szCs w:val="18"/>
              </w:rPr>
              <w:t>不包括二次PM2.5</w:t>
            </w:r>
            <w:r>
              <w:rPr>
                <w:color w:val="000000"/>
                <w:kern w:val="0"/>
                <w:sz w:val="18"/>
                <w:szCs w:val="18"/>
              </w:rPr>
              <w:sym w:font="Wingdings 2" w:char="0052"/>
            </w:r>
          </w:p>
        </w:tc>
      </w:tr>
      <w:tr w14:paraId="528CA56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34" w:type="pct"/>
            <w:vAlign w:val="center"/>
          </w:tcPr>
          <w:p w14:paraId="576AE019">
            <w:pPr>
              <w:keepNext w:val="0"/>
              <w:keepLines w:val="0"/>
              <w:pageBreakBefore w:val="0"/>
              <w:kinsoku/>
              <w:wordWrap/>
              <w:overflowPunct/>
              <w:topLinePunct w:val="0"/>
              <w:autoSpaceDE w:val="0"/>
              <w:autoSpaceDN w:val="0"/>
              <w:bidi w:val="0"/>
              <w:adjustRightInd w:val="0"/>
              <w:snapToGrid/>
              <w:spacing w:line="240" w:lineRule="auto"/>
              <w:ind w:firstLine="0" w:firstLineChars="0"/>
              <w:jc w:val="center"/>
              <w:textAlignment w:val="auto"/>
              <w:rPr>
                <w:color w:val="000000"/>
                <w:kern w:val="0"/>
                <w:sz w:val="18"/>
                <w:szCs w:val="18"/>
              </w:rPr>
            </w:pPr>
            <w:r>
              <w:rPr>
                <w:color w:val="000000"/>
                <w:kern w:val="0"/>
                <w:sz w:val="18"/>
                <w:szCs w:val="18"/>
              </w:rPr>
              <w:t>评价标准</w:t>
            </w:r>
          </w:p>
        </w:tc>
        <w:tc>
          <w:tcPr>
            <w:tcW w:w="885" w:type="pct"/>
            <w:vAlign w:val="center"/>
          </w:tcPr>
          <w:p w14:paraId="39A2FC50">
            <w:pPr>
              <w:keepNext w:val="0"/>
              <w:keepLines w:val="0"/>
              <w:pageBreakBefore w:val="0"/>
              <w:kinsoku/>
              <w:wordWrap/>
              <w:overflowPunct/>
              <w:topLinePunct w:val="0"/>
              <w:autoSpaceDE w:val="0"/>
              <w:autoSpaceDN w:val="0"/>
              <w:bidi w:val="0"/>
              <w:adjustRightInd w:val="0"/>
              <w:snapToGrid/>
              <w:spacing w:line="240" w:lineRule="auto"/>
              <w:ind w:firstLine="0" w:firstLineChars="0"/>
              <w:jc w:val="center"/>
              <w:textAlignment w:val="auto"/>
              <w:rPr>
                <w:color w:val="000000"/>
                <w:kern w:val="0"/>
                <w:sz w:val="18"/>
                <w:szCs w:val="18"/>
              </w:rPr>
            </w:pPr>
            <w:r>
              <w:rPr>
                <w:color w:val="000000"/>
                <w:kern w:val="0"/>
                <w:sz w:val="18"/>
                <w:szCs w:val="18"/>
              </w:rPr>
              <w:t>评价标准</w:t>
            </w:r>
          </w:p>
        </w:tc>
        <w:tc>
          <w:tcPr>
            <w:tcW w:w="883" w:type="pct"/>
            <w:gridSpan w:val="3"/>
            <w:vAlign w:val="center"/>
          </w:tcPr>
          <w:p w14:paraId="36B26B4B">
            <w:pPr>
              <w:keepNext w:val="0"/>
              <w:keepLines w:val="0"/>
              <w:pageBreakBefore w:val="0"/>
              <w:kinsoku/>
              <w:wordWrap/>
              <w:overflowPunct/>
              <w:topLinePunct w:val="0"/>
              <w:autoSpaceDE w:val="0"/>
              <w:autoSpaceDN w:val="0"/>
              <w:bidi w:val="0"/>
              <w:adjustRightInd w:val="0"/>
              <w:snapToGrid/>
              <w:spacing w:line="240" w:lineRule="auto"/>
              <w:ind w:firstLine="0" w:firstLineChars="0"/>
              <w:jc w:val="center"/>
              <w:textAlignment w:val="auto"/>
              <w:rPr>
                <w:color w:val="000000"/>
                <w:kern w:val="0"/>
                <w:sz w:val="18"/>
                <w:szCs w:val="18"/>
              </w:rPr>
            </w:pPr>
            <w:r>
              <w:rPr>
                <w:color w:val="000000"/>
                <w:kern w:val="0"/>
                <w:sz w:val="18"/>
                <w:szCs w:val="18"/>
              </w:rPr>
              <w:t>国家标准</w:t>
            </w:r>
            <w:r>
              <w:rPr>
                <w:color w:val="000000"/>
                <w:kern w:val="0"/>
                <w:sz w:val="18"/>
                <w:szCs w:val="18"/>
              </w:rPr>
              <w:sym w:font="Wingdings 2" w:char="0052"/>
            </w:r>
          </w:p>
        </w:tc>
        <w:tc>
          <w:tcPr>
            <w:tcW w:w="1192" w:type="pct"/>
            <w:gridSpan w:val="6"/>
            <w:vAlign w:val="center"/>
          </w:tcPr>
          <w:p w14:paraId="0DF0624B">
            <w:pPr>
              <w:keepNext w:val="0"/>
              <w:keepLines w:val="0"/>
              <w:pageBreakBefore w:val="0"/>
              <w:kinsoku/>
              <w:wordWrap/>
              <w:overflowPunct/>
              <w:topLinePunct w:val="0"/>
              <w:autoSpaceDE w:val="0"/>
              <w:autoSpaceDN w:val="0"/>
              <w:bidi w:val="0"/>
              <w:adjustRightInd w:val="0"/>
              <w:snapToGrid/>
              <w:spacing w:line="240" w:lineRule="auto"/>
              <w:ind w:firstLine="0" w:firstLineChars="0"/>
              <w:jc w:val="center"/>
              <w:textAlignment w:val="auto"/>
              <w:rPr>
                <w:color w:val="000000"/>
                <w:kern w:val="0"/>
                <w:sz w:val="18"/>
                <w:szCs w:val="18"/>
              </w:rPr>
            </w:pPr>
            <w:r>
              <w:rPr>
                <w:color w:val="000000"/>
                <w:kern w:val="0"/>
                <w:sz w:val="18"/>
                <w:szCs w:val="18"/>
              </w:rPr>
              <w:t>地方标准□</w:t>
            </w:r>
          </w:p>
        </w:tc>
        <w:tc>
          <w:tcPr>
            <w:tcW w:w="984" w:type="pct"/>
            <w:gridSpan w:val="5"/>
            <w:vAlign w:val="center"/>
          </w:tcPr>
          <w:p w14:paraId="4634414A">
            <w:pPr>
              <w:keepNext w:val="0"/>
              <w:keepLines w:val="0"/>
              <w:pageBreakBefore w:val="0"/>
              <w:kinsoku/>
              <w:wordWrap/>
              <w:overflowPunct/>
              <w:topLinePunct w:val="0"/>
              <w:autoSpaceDE w:val="0"/>
              <w:autoSpaceDN w:val="0"/>
              <w:bidi w:val="0"/>
              <w:adjustRightInd w:val="0"/>
              <w:snapToGrid/>
              <w:spacing w:line="240" w:lineRule="auto"/>
              <w:ind w:firstLine="0" w:firstLineChars="0"/>
              <w:jc w:val="center"/>
              <w:textAlignment w:val="auto"/>
              <w:rPr>
                <w:color w:val="000000"/>
                <w:kern w:val="0"/>
                <w:sz w:val="18"/>
                <w:szCs w:val="18"/>
              </w:rPr>
            </w:pPr>
            <w:r>
              <w:rPr>
                <w:color w:val="000000"/>
                <w:kern w:val="0"/>
                <w:sz w:val="18"/>
                <w:szCs w:val="18"/>
              </w:rPr>
              <w:t xml:space="preserve">附录D </w:t>
            </w:r>
            <w:r>
              <w:rPr>
                <w:color w:val="000000"/>
                <w:kern w:val="0"/>
                <w:sz w:val="18"/>
                <w:szCs w:val="18"/>
              </w:rPr>
              <w:sym w:font="Wingdings 2" w:char="0052"/>
            </w:r>
          </w:p>
        </w:tc>
        <w:tc>
          <w:tcPr>
            <w:tcW w:w="722" w:type="pct"/>
            <w:gridSpan w:val="4"/>
            <w:vAlign w:val="center"/>
          </w:tcPr>
          <w:p w14:paraId="26E39BCF">
            <w:pPr>
              <w:keepNext w:val="0"/>
              <w:keepLines w:val="0"/>
              <w:pageBreakBefore w:val="0"/>
              <w:kinsoku/>
              <w:wordWrap/>
              <w:overflowPunct/>
              <w:topLinePunct w:val="0"/>
              <w:autoSpaceDE w:val="0"/>
              <w:autoSpaceDN w:val="0"/>
              <w:bidi w:val="0"/>
              <w:adjustRightInd w:val="0"/>
              <w:snapToGrid/>
              <w:spacing w:line="240" w:lineRule="auto"/>
              <w:ind w:firstLine="0" w:firstLineChars="0"/>
              <w:jc w:val="center"/>
              <w:textAlignment w:val="auto"/>
              <w:rPr>
                <w:color w:val="000000"/>
                <w:kern w:val="0"/>
                <w:sz w:val="18"/>
                <w:szCs w:val="18"/>
              </w:rPr>
            </w:pPr>
            <w:r>
              <w:rPr>
                <w:color w:val="000000"/>
                <w:kern w:val="0"/>
                <w:sz w:val="18"/>
                <w:szCs w:val="18"/>
              </w:rPr>
              <w:t>其他标准□</w:t>
            </w:r>
          </w:p>
        </w:tc>
      </w:tr>
      <w:tr w14:paraId="42C64E5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34" w:type="pct"/>
            <w:vMerge w:val="restart"/>
            <w:vAlign w:val="center"/>
          </w:tcPr>
          <w:p w14:paraId="554035B7">
            <w:pPr>
              <w:keepNext w:val="0"/>
              <w:keepLines w:val="0"/>
              <w:pageBreakBefore w:val="0"/>
              <w:kinsoku/>
              <w:wordWrap/>
              <w:overflowPunct/>
              <w:topLinePunct w:val="0"/>
              <w:autoSpaceDE w:val="0"/>
              <w:autoSpaceDN w:val="0"/>
              <w:bidi w:val="0"/>
              <w:adjustRightInd w:val="0"/>
              <w:snapToGrid/>
              <w:spacing w:line="240" w:lineRule="auto"/>
              <w:ind w:firstLine="0" w:firstLineChars="0"/>
              <w:jc w:val="center"/>
              <w:textAlignment w:val="auto"/>
              <w:rPr>
                <w:color w:val="000000"/>
                <w:kern w:val="0"/>
                <w:sz w:val="18"/>
                <w:szCs w:val="18"/>
              </w:rPr>
            </w:pPr>
            <w:r>
              <w:rPr>
                <w:color w:val="000000"/>
                <w:kern w:val="0"/>
                <w:sz w:val="18"/>
                <w:szCs w:val="18"/>
              </w:rPr>
              <w:t>现状评价</w:t>
            </w:r>
          </w:p>
        </w:tc>
        <w:tc>
          <w:tcPr>
            <w:tcW w:w="885" w:type="pct"/>
            <w:vAlign w:val="center"/>
          </w:tcPr>
          <w:p w14:paraId="39A4CE2D">
            <w:pPr>
              <w:keepNext w:val="0"/>
              <w:keepLines w:val="0"/>
              <w:pageBreakBefore w:val="0"/>
              <w:kinsoku/>
              <w:wordWrap/>
              <w:overflowPunct/>
              <w:topLinePunct w:val="0"/>
              <w:autoSpaceDE w:val="0"/>
              <w:autoSpaceDN w:val="0"/>
              <w:bidi w:val="0"/>
              <w:adjustRightInd w:val="0"/>
              <w:snapToGrid/>
              <w:spacing w:line="240" w:lineRule="auto"/>
              <w:ind w:firstLine="0" w:firstLineChars="0"/>
              <w:jc w:val="center"/>
              <w:textAlignment w:val="auto"/>
              <w:rPr>
                <w:color w:val="000000"/>
                <w:kern w:val="0"/>
                <w:sz w:val="18"/>
                <w:szCs w:val="18"/>
              </w:rPr>
            </w:pPr>
            <w:r>
              <w:rPr>
                <w:color w:val="000000"/>
                <w:kern w:val="0"/>
                <w:sz w:val="18"/>
                <w:szCs w:val="18"/>
              </w:rPr>
              <w:t>环境功能区</w:t>
            </w:r>
          </w:p>
        </w:tc>
        <w:tc>
          <w:tcPr>
            <w:tcW w:w="1232" w:type="pct"/>
            <w:gridSpan w:val="6"/>
            <w:vAlign w:val="center"/>
          </w:tcPr>
          <w:p w14:paraId="12625434">
            <w:pPr>
              <w:keepNext w:val="0"/>
              <w:keepLines w:val="0"/>
              <w:pageBreakBefore w:val="0"/>
              <w:kinsoku/>
              <w:wordWrap/>
              <w:overflowPunct/>
              <w:topLinePunct w:val="0"/>
              <w:autoSpaceDE w:val="0"/>
              <w:autoSpaceDN w:val="0"/>
              <w:bidi w:val="0"/>
              <w:adjustRightInd w:val="0"/>
              <w:snapToGrid/>
              <w:spacing w:line="240" w:lineRule="auto"/>
              <w:ind w:firstLine="0" w:firstLineChars="0"/>
              <w:jc w:val="center"/>
              <w:textAlignment w:val="auto"/>
              <w:rPr>
                <w:color w:val="000000"/>
                <w:kern w:val="0"/>
                <w:sz w:val="18"/>
                <w:szCs w:val="18"/>
              </w:rPr>
            </w:pPr>
            <w:r>
              <w:rPr>
                <w:color w:val="000000"/>
                <w:kern w:val="0"/>
                <w:sz w:val="18"/>
                <w:szCs w:val="18"/>
              </w:rPr>
              <w:t>一类区□</w:t>
            </w:r>
          </w:p>
        </w:tc>
        <w:tc>
          <w:tcPr>
            <w:tcW w:w="1579" w:type="pct"/>
            <w:gridSpan w:val="6"/>
            <w:vAlign w:val="center"/>
          </w:tcPr>
          <w:p w14:paraId="7AC05FA7">
            <w:pPr>
              <w:keepNext w:val="0"/>
              <w:keepLines w:val="0"/>
              <w:pageBreakBefore w:val="0"/>
              <w:kinsoku/>
              <w:wordWrap/>
              <w:overflowPunct/>
              <w:topLinePunct w:val="0"/>
              <w:autoSpaceDE w:val="0"/>
              <w:autoSpaceDN w:val="0"/>
              <w:bidi w:val="0"/>
              <w:adjustRightInd w:val="0"/>
              <w:snapToGrid/>
              <w:spacing w:line="240" w:lineRule="auto"/>
              <w:ind w:firstLine="0" w:firstLineChars="0"/>
              <w:jc w:val="center"/>
              <w:textAlignment w:val="auto"/>
              <w:rPr>
                <w:color w:val="000000"/>
                <w:kern w:val="0"/>
                <w:sz w:val="18"/>
                <w:szCs w:val="18"/>
              </w:rPr>
            </w:pPr>
            <w:r>
              <w:rPr>
                <w:color w:val="000000"/>
                <w:kern w:val="0"/>
                <w:sz w:val="18"/>
                <w:szCs w:val="18"/>
              </w:rPr>
              <w:t>二类区</w:t>
            </w:r>
            <w:r>
              <w:rPr>
                <w:color w:val="000000"/>
                <w:kern w:val="0"/>
                <w:sz w:val="18"/>
                <w:szCs w:val="18"/>
              </w:rPr>
              <w:sym w:font="Wingdings 2" w:char="0052"/>
            </w:r>
          </w:p>
        </w:tc>
        <w:tc>
          <w:tcPr>
            <w:tcW w:w="970" w:type="pct"/>
            <w:gridSpan w:val="6"/>
            <w:vAlign w:val="center"/>
          </w:tcPr>
          <w:p w14:paraId="5574B63B">
            <w:pPr>
              <w:keepNext w:val="0"/>
              <w:keepLines w:val="0"/>
              <w:pageBreakBefore w:val="0"/>
              <w:kinsoku/>
              <w:wordWrap/>
              <w:overflowPunct/>
              <w:topLinePunct w:val="0"/>
              <w:autoSpaceDE w:val="0"/>
              <w:autoSpaceDN w:val="0"/>
              <w:bidi w:val="0"/>
              <w:adjustRightInd w:val="0"/>
              <w:snapToGrid/>
              <w:spacing w:line="240" w:lineRule="auto"/>
              <w:ind w:firstLine="0" w:firstLineChars="0"/>
              <w:jc w:val="center"/>
              <w:textAlignment w:val="auto"/>
              <w:rPr>
                <w:color w:val="000000"/>
                <w:kern w:val="0"/>
                <w:sz w:val="18"/>
                <w:szCs w:val="18"/>
              </w:rPr>
            </w:pPr>
            <w:r>
              <w:rPr>
                <w:color w:val="000000"/>
                <w:kern w:val="0"/>
                <w:sz w:val="18"/>
                <w:szCs w:val="18"/>
              </w:rPr>
              <w:t>一类区和二类区□</w:t>
            </w:r>
          </w:p>
        </w:tc>
      </w:tr>
      <w:tr w14:paraId="62F40CD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34" w:type="pct"/>
            <w:vMerge w:val="continue"/>
            <w:vAlign w:val="center"/>
          </w:tcPr>
          <w:p w14:paraId="6D733E84">
            <w:pPr>
              <w:keepNext w:val="0"/>
              <w:keepLines w:val="0"/>
              <w:pageBreakBefore w:val="0"/>
              <w:widowControl/>
              <w:kinsoku/>
              <w:wordWrap/>
              <w:overflowPunct/>
              <w:topLinePunct w:val="0"/>
              <w:bidi w:val="0"/>
              <w:snapToGrid/>
              <w:spacing w:line="240" w:lineRule="auto"/>
              <w:ind w:firstLine="0" w:firstLineChars="0"/>
              <w:jc w:val="left"/>
              <w:textAlignment w:val="auto"/>
              <w:rPr>
                <w:color w:val="000000"/>
                <w:kern w:val="0"/>
                <w:sz w:val="18"/>
                <w:szCs w:val="18"/>
              </w:rPr>
            </w:pPr>
          </w:p>
        </w:tc>
        <w:tc>
          <w:tcPr>
            <w:tcW w:w="885" w:type="pct"/>
            <w:vAlign w:val="center"/>
          </w:tcPr>
          <w:p w14:paraId="7FD66522">
            <w:pPr>
              <w:keepNext w:val="0"/>
              <w:keepLines w:val="0"/>
              <w:pageBreakBefore w:val="0"/>
              <w:kinsoku/>
              <w:wordWrap/>
              <w:overflowPunct/>
              <w:topLinePunct w:val="0"/>
              <w:autoSpaceDE w:val="0"/>
              <w:autoSpaceDN w:val="0"/>
              <w:bidi w:val="0"/>
              <w:adjustRightInd w:val="0"/>
              <w:snapToGrid/>
              <w:spacing w:line="240" w:lineRule="auto"/>
              <w:ind w:firstLine="0" w:firstLineChars="0"/>
              <w:jc w:val="center"/>
              <w:textAlignment w:val="auto"/>
              <w:rPr>
                <w:color w:val="000000"/>
                <w:kern w:val="0"/>
                <w:sz w:val="18"/>
                <w:szCs w:val="18"/>
              </w:rPr>
            </w:pPr>
            <w:r>
              <w:rPr>
                <w:color w:val="000000"/>
                <w:kern w:val="0"/>
                <w:sz w:val="18"/>
                <w:szCs w:val="18"/>
              </w:rPr>
              <w:t>评价基准年</w:t>
            </w:r>
          </w:p>
        </w:tc>
        <w:tc>
          <w:tcPr>
            <w:tcW w:w="3781" w:type="pct"/>
            <w:gridSpan w:val="18"/>
            <w:vAlign w:val="center"/>
          </w:tcPr>
          <w:p w14:paraId="651871DB">
            <w:pPr>
              <w:keepNext w:val="0"/>
              <w:keepLines w:val="0"/>
              <w:pageBreakBefore w:val="0"/>
              <w:kinsoku/>
              <w:wordWrap/>
              <w:overflowPunct/>
              <w:topLinePunct w:val="0"/>
              <w:autoSpaceDE w:val="0"/>
              <w:autoSpaceDN w:val="0"/>
              <w:bidi w:val="0"/>
              <w:adjustRightInd w:val="0"/>
              <w:snapToGrid/>
              <w:spacing w:line="240" w:lineRule="auto"/>
              <w:ind w:firstLine="0" w:firstLineChars="0"/>
              <w:jc w:val="center"/>
              <w:textAlignment w:val="auto"/>
              <w:rPr>
                <w:color w:val="000000"/>
                <w:kern w:val="0"/>
                <w:sz w:val="18"/>
                <w:szCs w:val="18"/>
              </w:rPr>
            </w:pPr>
            <w:r>
              <w:rPr>
                <w:color w:val="000000"/>
                <w:kern w:val="0"/>
                <w:sz w:val="18"/>
                <w:szCs w:val="18"/>
              </w:rPr>
              <w:t>（201</w:t>
            </w:r>
            <w:r>
              <w:rPr>
                <w:rFonts w:hint="eastAsia"/>
                <w:color w:val="000000"/>
                <w:kern w:val="0"/>
                <w:sz w:val="18"/>
                <w:szCs w:val="18"/>
                <w:lang w:val="en-US" w:eastAsia="zh-CN"/>
              </w:rPr>
              <w:t>8</w:t>
            </w:r>
            <w:r>
              <w:rPr>
                <w:color w:val="000000"/>
                <w:kern w:val="0"/>
                <w:sz w:val="18"/>
                <w:szCs w:val="18"/>
              </w:rPr>
              <w:t>）年</w:t>
            </w:r>
          </w:p>
        </w:tc>
      </w:tr>
      <w:tr w14:paraId="265313F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34" w:type="pct"/>
            <w:vMerge w:val="continue"/>
            <w:vAlign w:val="center"/>
          </w:tcPr>
          <w:p w14:paraId="09E76D3A">
            <w:pPr>
              <w:keepNext w:val="0"/>
              <w:keepLines w:val="0"/>
              <w:pageBreakBefore w:val="0"/>
              <w:widowControl/>
              <w:kinsoku/>
              <w:wordWrap/>
              <w:overflowPunct/>
              <w:topLinePunct w:val="0"/>
              <w:bidi w:val="0"/>
              <w:snapToGrid/>
              <w:spacing w:line="240" w:lineRule="auto"/>
              <w:ind w:firstLine="0" w:firstLineChars="0"/>
              <w:jc w:val="left"/>
              <w:textAlignment w:val="auto"/>
              <w:rPr>
                <w:color w:val="000000"/>
                <w:kern w:val="0"/>
                <w:sz w:val="18"/>
                <w:szCs w:val="18"/>
              </w:rPr>
            </w:pPr>
          </w:p>
        </w:tc>
        <w:tc>
          <w:tcPr>
            <w:tcW w:w="885" w:type="pct"/>
            <w:vAlign w:val="center"/>
          </w:tcPr>
          <w:p w14:paraId="212631DD">
            <w:pPr>
              <w:keepNext w:val="0"/>
              <w:keepLines w:val="0"/>
              <w:pageBreakBefore w:val="0"/>
              <w:kinsoku/>
              <w:wordWrap/>
              <w:overflowPunct/>
              <w:topLinePunct w:val="0"/>
              <w:autoSpaceDE w:val="0"/>
              <w:autoSpaceDN w:val="0"/>
              <w:bidi w:val="0"/>
              <w:adjustRightInd w:val="0"/>
              <w:snapToGrid/>
              <w:spacing w:line="240" w:lineRule="auto"/>
              <w:ind w:firstLine="0" w:firstLineChars="0"/>
              <w:jc w:val="center"/>
              <w:textAlignment w:val="auto"/>
              <w:rPr>
                <w:color w:val="000000"/>
                <w:kern w:val="0"/>
                <w:sz w:val="18"/>
                <w:szCs w:val="18"/>
              </w:rPr>
            </w:pPr>
            <w:r>
              <w:rPr>
                <w:color w:val="000000"/>
                <w:kern w:val="0"/>
                <w:sz w:val="18"/>
                <w:szCs w:val="18"/>
              </w:rPr>
              <w:t>环境空气质量现状调查数据来源</w:t>
            </w:r>
          </w:p>
        </w:tc>
        <w:tc>
          <w:tcPr>
            <w:tcW w:w="1232" w:type="pct"/>
            <w:gridSpan w:val="6"/>
            <w:vAlign w:val="center"/>
          </w:tcPr>
          <w:p w14:paraId="232452D4">
            <w:pPr>
              <w:keepNext w:val="0"/>
              <w:keepLines w:val="0"/>
              <w:pageBreakBefore w:val="0"/>
              <w:kinsoku/>
              <w:wordWrap/>
              <w:overflowPunct/>
              <w:topLinePunct w:val="0"/>
              <w:autoSpaceDE w:val="0"/>
              <w:autoSpaceDN w:val="0"/>
              <w:bidi w:val="0"/>
              <w:adjustRightInd w:val="0"/>
              <w:snapToGrid/>
              <w:spacing w:line="240" w:lineRule="auto"/>
              <w:ind w:firstLine="0" w:firstLineChars="0"/>
              <w:jc w:val="center"/>
              <w:textAlignment w:val="auto"/>
              <w:rPr>
                <w:color w:val="000000"/>
                <w:kern w:val="0"/>
                <w:sz w:val="18"/>
                <w:szCs w:val="18"/>
              </w:rPr>
            </w:pPr>
            <w:r>
              <w:rPr>
                <w:color w:val="000000"/>
                <w:kern w:val="0"/>
                <w:sz w:val="18"/>
                <w:szCs w:val="18"/>
              </w:rPr>
              <w:t>长期例行监测数据□</w:t>
            </w:r>
          </w:p>
        </w:tc>
        <w:tc>
          <w:tcPr>
            <w:tcW w:w="1579" w:type="pct"/>
            <w:gridSpan w:val="6"/>
            <w:vAlign w:val="center"/>
          </w:tcPr>
          <w:p w14:paraId="60C97F16">
            <w:pPr>
              <w:keepNext w:val="0"/>
              <w:keepLines w:val="0"/>
              <w:pageBreakBefore w:val="0"/>
              <w:kinsoku/>
              <w:wordWrap/>
              <w:overflowPunct/>
              <w:topLinePunct w:val="0"/>
              <w:autoSpaceDE w:val="0"/>
              <w:autoSpaceDN w:val="0"/>
              <w:bidi w:val="0"/>
              <w:adjustRightInd w:val="0"/>
              <w:snapToGrid/>
              <w:spacing w:line="240" w:lineRule="auto"/>
              <w:ind w:firstLine="0" w:firstLineChars="0"/>
              <w:jc w:val="center"/>
              <w:textAlignment w:val="auto"/>
              <w:rPr>
                <w:color w:val="000000"/>
                <w:kern w:val="0"/>
                <w:sz w:val="18"/>
                <w:szCs w:val="18"/>
              </w:rPr>
            </w:pPr>
            <w:r>
              <w:rPr>
                <w:color w:val="000000"/>
                <w:kern w:val="0"/>
                <w:sz w:val="18"/>
                <w:szCs w:val="18"/>
              </w:rPr>
              <w:t>主管部门发布的数据</w:t>
            </w:r>
            <w:r>
              <w:rPr>
                <w:color w:val="000000"/>
                <w:kern w:val="0"/>
                <w:sz w:val="18"/>
                <w:szCs w:val="18"/>
              </w:rPr>
              <w:sym w:font="Wingdings 2" w:char="0052"/>
            </w:r>
          </w:p>
        </w:tc>
        <w:tc>
          <w:tcPr>
            <w:tcW w:w="970" w:type="pct"/>
            <w:gridSpan w:val="6"/>
            <w:vAlign w:val="center"/>
          </w:tcPr>
          <w:p w14:paraId="1715A496">
            <w:pPr>
              <w:keepNext w:val="0"/>
              <w:keepLines w:val="0"/>
              <w:pageBreakBefore w:val="0"/>
              <w:kinsoku/>
              <w:wordWrap/>
              <w:overflowPunct/>
              <w:topLinePunct w:val="0"/>
              <w:autoSpaceDE w:val="0"/>
              <w:autoSpaceDN w:val="0"/>
              <w:bidi w:val="0"/>
              <w:adjustRightInd w:val="0"/>
              <w:snapToGrid/>
              <w:spacing w:line="240" w:lineRule="auto"/>
              <w:ind w:firstLine="0" w:firstLineChars="0"/>
              <w:jc w:val="center"/>
              <w:textAlignment w:val="auto"/>
              <w:rPr>
                <w:color w:val="000000"/>
                <w:kern w:val="0"/>
                <w:sz w:val="18"/>
                <w:szCs w:val="18"/>
              </w:rPr>
            </w:pPr>
            <w:r>
              <w:rPr>
                <w:color w:val="000000"/>
                <w:kern w:val="0"/>
                <w:sz w:val="18"/>
                <w:szCs w:val="18"/>
              </w:rPr>
              <w:t>现状补充监测</w:t>
            </w:r>
            <w:r>
              <w:rPr>
                <w:color w:val="000000"/>
                <w:kern w:val="0"/>
                <w:sz w:val="18"/>
                <w:szCs w:val="18"/>
              </w:rPr>
              <w:sym w:font="Wingdings 2" w:char="0052"/>
            </w:r>
          </w:p>
        </w:tc>
      </w:tr>
      <w:tr w14:paraId="097BE6B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34" w:type="pct"/>
            <w:vMerge w:val="continue"/>
            <w:vAlign w:val="center"/>
          </w:tcPr>
          <w:p w14:paraId="344545C1">
            <w:pPr>
              <w:keepNext w:val="0"/>
              <w:keepLines w:val="0"/>
              <w:pageBreakBefore w:val="0"/>
              <w:widowControl/>
              <w:kinsoku/>
              <w:wordWrap/>
              <w:overflowPunct/>
              <w:topLinePunct w:val="0"/>
              <w:bidi w:val="0"/>
              <w:snapToGrid/>
              <w:spacing w:line="240" w:lineRule="auto"/>
              <w:ind w:firstLine="0" w:firstLineChars="0"/>
              <w:jc w:val="left"/>
              <w:textAlignment w:val="auto"/>
              <w:rPr>
                <w:color w:val="000000"/>
                <w:kern w:val="0"/>
                <w:sz w:val="18"/>
                <w:szCs w:val="18"/>
              </w:rPr>
            </w:pPr>
          </w:p>
        </w:tc>
        <w:tc>
          <w:tcPr>
            <w:tcW w:w="885" w:type="pct"/>
            <w:vAlign w:val="center"/>
          </w:tcPr>
          <w:p w14:paraId="6038261F">
            <w:pPr>
              <w:keepNext w:val="0"/>
              <w:keepLines w:val="0"/>
              <w:pageBreakBefore w:val="0"/>
              <w:kinsoku/>
              <w:wordWrap/>
              <w:overflowPunct/>
              <w:topLinePunct w:val="0"/>
              <w:autoSpaceDE w:val="0"/>
              <w:autoSpaceDN w:val="0"/>
              <w:bidi w:val="0"/>
              <w:adjustRightInd w:val="0"/>
              <w:snapToGrid/>
              <w:spacing w:line="240" w:lineRule="auto"/>
              <w:ind w:firstLine="0" w:firstLineChars="0"/>
              <w:jc w:val="center"/>
              <w:textAlignment w:val="auto"/>
              <w:rPr>
                <w:color w:val="000000"/>
                <w:kern w:val="0"/>
                <w:sz w:val="18"/>
                <w:szCs w:val="18"/>
              </w:rPr>
            </w:pPr>
            <w:r>
              <w:rPr>
                <w:color w:val="000000"/>
                <w:kern w:val="0"/>
                <w:sz w:val="18"/>
                <w:szCs w:val="18"/>
              </w:rPr>
              <w:t>现状评价</w:t>
            </w:r>
          </w:p>
        </w:tc>
        <w:tc>
          <w:tcPr>
            <w:tcW w:w="2075" w:type="pct"/>
            <w:gridSpan w:val="9"/>
            <w:vAlign w:val="center"/>
          </w:tcPr>
          <w:p w14:paraId="2CE39ED9">
            <w:pPr>
              <w:keepNext w:val="0"/>
              <w:keepLines w:val="0"/>
              <w:pageBreakBefore w:val="0"/>
              <w:kinsoku/>
              <w:wordWrap/>
              <w:overflowPunct/>
              <w:topLinePunct w:val="0"/>
              <w:autoSpaceDE w:val="0"/>
              <w:autoSpaceDN w:val="0"/>
              <w:bidi w:val="0"/>
              <w:adjustRightInd w:val="0"/>
              <w:snapToGrid/>
              <w:spacing w:line="240" w:lineRule="auto"/>
              <w:ind w:firstLine="0" w:firstLineChars="0"/>
              <w:jc w:val="center"/>
              <w:textAlignment w:val="auto"/>
              <w:rPr>
                <w:color w:val="000000"/>
                <w:kern w:val="0"/>
                <w:sz w:val="18"/>
                <w:szCs w:val="18"/>
              </w:rPr>
            </w:pPr>
            <w:r>
              <w:rPr>
                <w:color w:val="000000"/>
                <w:kern w:val="0"/>
                <w:sz w:val="18"/>
                <w:szCs w:val="18"/>
              </w:rPr>
              <w:t>达标区</w:t>
            </w:r>
            <w:r>
              <w:rPr>
                <w:color w:val="000000"/>
                <w:kern w:val="0"/>
                <w:sz w:val="18"/>
                <w:szCs w:val="18"/>
              </w:rPr>
              <w:sym w:font="Wingdings 2" w:char="0052"/>
            </w:r>
          </w:p>
        </w:tc>
        <w:tc>
          <w:tcPr>
            <w:tcW w:w="1706" w:type="pct"/>
            <w:gridSpan w:val="9"/>
            <w:vAlign w:val="center"/>
          </w:tcPr>
          <w:p w14:paraId="6C932871">
            <w:pPr>
              <w:keepNext w:val="0"/>
              <w:keepLines w:val="0"/>
              <w:pageBreakBefore w:val="0"/>
              <w:kinsoku/>
              <w:wordWrap/>
              <w:overflowPunct/>
              <w:topLinePunct w:val="0"/>
              <w:autoSpaceDE w:val="0"/>
              <w:autoSpaceDN w:val="0"/>
              <w:bidi w:val="0"/>
              <w:adjustRightInd w:val="0"/>
              <w:snapToGrid/>
              <w:spacing w:line="240" w:lineRule="auto"/>
              <w:ind w:firstLine="0" w:firstLineChars="0"/>
              <w:jc w:val="center"/>
              <w:textAlignment w:val="auto"/>
              <w:rPr>
                <w:color w:val="000000"/>
                <w:kern w:val="0"/>
                <w:sz w:val="18"/>
                <w:szCs w:val="18"/>
              </w:rPr>
            </w:pPr>
            <w:r>
              <w:rPr>
                <w:color w:val="000000"/>
                <w:kern w:val="0"/>
                <w:sz w:val="18"/>
                <w:szCs w:val="18"/>
              </w:rPr>
              <w:t>不达标区</w:t>
            </w:r>
            <w:r>
              <w:rPr>
                <w:color w:val="000000"/>
                <w:kern w:val="0"/>
                <w:sz w:val="18"/>
                <w:szCs w:val="18"/>
              </w:rPr>
              <w:sym w:font="Wingdings 2" w:char="00A3"/>
            </w:r>
          </w:p>
        </w:tc>
      </w:tr>
      <w:tr w14:paraId="4B5F162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34" w:type="pct"/>
            <w:vAlign w:val="center"/>
          </w:tcPr>
          <w:p w14:paraId="796E138B">
            <w:pPr>
              <w:keepNext w:val="0"/>
              <w:keepLines w:val="0"/>
              <w:pageBreakBefore w:val="0"/>
              <w:kinsoku/>
              <w:wordWrap/>
              <w:overflowPunct/>
              <w:topLinePunct w:val="0"/>
              <w:autoSpaceDE w:val="0"/>
              <w:autoSpaceDN w:val="0"/>
              <w:bidi w:val="0"/>
              <w:adjustRightInd w:val="0"/>
              <w:snapToGrid/>
              <w:spacing w:line="240" w:lineRule="auto"/>
              <w:ind w:firstLine="0" w:firstLineChars="0"/>
              <w:jc w:val="center"/>
              <w:textAlignment w:val="auto"/>
              <w:rPr>
                <w:color w:val="000000"/>
                <w:kern w:val="0"/>
                <w:sz w:val="18"/>
                <w:szCs w:val="18"/>
              </w:rPr>
            </w:pPr>
            <w:r>
              <w:rPr>
                <w:color w:val="000000"/>
                <w:kern w:val="0"/>
                <w:sz w:val="18"/>
                <w:szCs w:val="18"/>
              </w:rPr>
              <w:t>污染源调查</w:t>
            </w:r>
          </w:p>
        </w:tc>
        <w:tc>
          <w:tcPr>
            <w:tcW w:w="885" w:type="pct"/>
            <w:vAlign w:val="center"/>
          </w:tcPr>
          <w:p w14:paraId="69BDA96A">
            <w:pPr>
              <w:keepNext w:val="0"/>
              <w:keepLines w:val="0"/>
              <w:pageBreakBefore w:val="0"/>
              <w:kinsoku/>
              <w:wordWrap/>
              <w:overflowPunct/>
              <w:topLinePunct w:val="0"/>
              <w:autoSpaceDE w:val="0"/>
              <w:autoSpaceDN w:val="0"/>
              <w:bidi w:val="0"/>
              <w:adjustRightInd w:val="0"/>
              <w:snapToGrid/>
              <w:spacing w:line="240" w:lineRule="auto"/>
              <w:ind w:firstLine="0" w:firstLineChars="0"/>
              <w:jc w:val="center"/>
              <w:textAlignment w:val="auto"/>
              <w:rPr>
                <w:color w:val="000000"/>
                <w:kern w:val="0"/>
                <w:sz w:val="18"/>
                <w:szCs w:val="18"/>
              </w:rPr>
            </w:pPr>
            <w:r>
              <w:rPr>
                <w:color w:val="000000"/>
                <w:kern w:val="0"/>
                <w:sz w:val="18"/>
                <w:szCs w:val="18"/>
              </w:rPr>
              <w:t>调查内容</w:t>
            </w:r>
          </w:p>
        </w:tc>
        <w:tc>
          <w:tcPr>
            <w:tcW w:w="1210" w:type="pct"/>
            <w:gridSpan w:val="5"/>
            <w:vAlign w:val="center"/>
          </w:tcPr>
          <w:p w14:paraId="29E46C15">
            <w:pPr>
              <w:keepNext w:val="0"/>
              <w:keepLines w:val="0"/>
              <w:pageBreakBefore w:val="0"/>
              <w:kinsoku/>
              <w:wordWrap/>
              <w:overflowPunct/>
              <w:topLinePunct w:val="0"/>
              <w:autoSpaceDE w:val="0"/>
              <w:autoSpaceDN w:val="0"/>
              <w:bidi w:val="0"/>
              <w:adjustRightInd w:val="0"/>
              <w:snapToGrid/>
              <w:spacing w:line="240" w:lineRule="auto"/>
              <w:ind w:firstLine="0" w:firstLineChars="0"/>
              <w:jc w:val="center"/>
              <w:textAlignment w:val="auto"/>
              <w:rPr>
                <w:color w:val="000000"/>
                <w:kern w:val="0"/>
                <w:sz w:val="18"/>
                <w:szCs w:val="18"/>
              </w:rPr>
            </w:pPr>
            <w:r>
              <w:rPr>
                <w:color w:val="000000"/>
                <w:kern w:val="0"/>
                <w:sz w:val="18"/>
                <w:szCs w:val="18"/>
              </w:rPr>
              <w:t>本项目正常排放源</w:t>
            </w:r>
            <w:r>
              <w:rPr>
                <w:color w:val="000000"/>
                <w:kern w:val="0"/>
                <w:sz w:val="18"/>
                <w:szCs w:val="18"/>
              </w:rPr>
              <w:sym w:font="Wingdings 2" w:char="0052"/>
            </w:r>
          </w:p>
          <w:p w14:paraId="6713DBC4">
            <w:pPr>
              <w:keepNext w:val="0"/>
              <w:keepLines w:val="0"/>
              <w:pageBreakBefore w:val="0"/>
              <w:kinsoku/>
              <w:wordWrap/>
              <w:overflowPunct/>
              <w:topLinePunct w:val="0"/>
              <w:autoSpaceDE w:val="0"/>
              <w:autoSpaceDN w:val="0"/>
              <w:bidi w:val="0"/>
              <w:adjustRightInd w:val="0"/>
              <w:snapToGrid/>
              <w:spacing w:line="240" w:lineRule="auto"/>
              <w:ind w:firstLine="0" w:firstLineChars="0"/>
              <w:jc w:val="center"/>
              <w:textAlignment w:val="auto"/>
              <w:rPr>
                <w:color w:val="000000"/>
                <w:kern w:val="0"/>
                <w:sz w:val="18"/>
                <w:szCs w:val="18"/>
              </w:rPr>
            </w:pPr>
            <w:r>
              <w:rPr>
                <w:color w:val="000000"/>
                <w:kern w:val="0"/>
                <w:sz w:val="18"/>
                <w:szCs w:val="18"/>
              </w:rPr>
              <w:t>本项目非正常排放源</w:t>
            </w:r>
            <w:r>
              <w:rPr>
                <w:color w:val="000000"/>
                <w:kern w:val="0"/>
                <w:sz w:val="18"/>
                <w:szCs w:val="18"/>
              </w:rPr>
              <w:sym w:font="Wingdings 2" w:char="0052"/>
            </w:r>
          </w:p>
          <w:p w14:paraId="12A819C5">
            <w:pPr>
              <w:keepNext w:val="0"/>
              <w:keepLines w:val="0"/>
              <w:pageBreakBefore w:val="0"/>
              <w:kinsoku/>
              <w:wordWrap/>
              <w:overflowPunct/>
              <w:topLinePunct w:val="0"/>
              <w:autoSpaceDE w:val="0"/>
              <w:autoSpaceDN w:val="0"/>
              <w:bidi w:val="0"/>
              <w:adjustRightInd w:val="0"/>
              <w:snapToGrid/>
              <w:spacing w:line="240" w:lineRule="auto"/>
              <w:ind w:firstLine="0" w:firstLineChars="0"/>
              <w:jc w:val="center"/>
              <w:textAlignment w:val="auto"/>
              <w:rPr>
                <w:color w:val="000000"/>
                <w:kern w:val="0"/>
                <w:sz w:val="18"/>
                <w:szCs w:val="18"/>
              </w:rPr>
            </w:pPr>
            <w:r>
              <w:rPr>
                <w:color w:val="000000"/>
                <w:kern w:val="0"/>
                <w:sz w:val="18"/>
                <w:szCs w:val="18"/>
              </w:rPr>
              <w:t>现有污染源□</w:t>
            </w:r>
          </w:p>
        </w:tc>
        <w:tc>
          <w:tcPr>
            <w:tcW w:w="864" w:type="pct"/>
            <w:gridSpan w:val="4"/>
            <w:vAlign w:val="center"/>
          </w:tcPr>
          <w:p w14:paraId="2696DCE3">
            <w:pPr>
              <w:keepNext w:val="0"/>
              <w:keepLines w:val="0"/>
              <w:pageBreakBefore w:val="0"/>
              <w:kinsoku/>
              <w:wordWrap/>
              <w:overflowPunct/>
              <w:topLinePunct w:val="0"/>
              <w:autoSpaceDE w:val="0"/>
              <w:autoSpaceDN w:val="0"/>
              <w:bidi w:val="0"/>
              <w:adjustRightInd w:val="0"/>
              <w:snapToGrid/>
              <w:spacing w:line="240" w:lineRule="auto"/>
              <w:ind w:firstLine="0" w:firstLineChars="0"/>
              <w:jc w:val="center"/>
              <w:textAlignment w:val="auto"/>
              <w:rPr>
                <w:color w:val="000000"/>
                <w:kern w:val="0"/>
                <w:sz w:val="18"/>
                <w:szCs w:val="18"/>
              </w:rPr>
            </w:pPr>
            <w:r>
              <w:rPr>
                <w:color w:val="000000"/>
                <w:kern w:val="0"/>
                <w:sz w:val="18"/>
                <w:szCs w:val="18"/>
              </w:rPr>
              <w:t>拟替代的污染源□</w:t>
            </w:r>
          </w:p>
        </w:tc>
        <w:tc>
          <w:tcPr>
            <w:tcW w:w="984" w:type="pct"/>
            <w:gridSpan w:val="5"/>
            <w:vAlign w:val="center"/>
          </w:tcPr>
          <w:p w14:paraId="30F436D8">
            <w:pPr>
              <w:keepNext w:val="0"/>
              <w:keepLines w:val="0"/>
              <w:pageBreakBefore w:val="0"/>
              <w:kinsoku/>
              <w:wordWrap/>
              <w:overflowPunct/>
              <w:topLinePunct w:val="0"/>
              <w:autoSpaceDE w:val="0"/>
              <w:autoSpaceDN w:val="0"/>
              <w:bidi w:val="0"/>
              <w:adjustRightInd w:val="0"/>
              <w:snapToGrid/>
              <w:spacing w:line="240" w:lineRule="auto"/>
              <w:ind w:firstLine="0" w:firstLineChars="0"/>
              <w:jc w:val="center"/>
              <w:textAlignment w:val="auto"/>
              <w:rPr>
                <w:color w:val="000000"/>
                <w:kern w:val="0"/>
                <w:sz w:val="18"/>
                <w:szCs w:val="18"/>
              </w:rPr>
            </w:pPr>
            <w:r>
              <w:rPr>
                <w:color w:val="000000"/>
                <w:kern w:val="0"/>
                <w:sz w:val="18"/>
                <w:szCs w:val="18"/>
              </w:rPr>
              <w:t>其他在建、拟建项目污染源□</w:t>
            </w:r>
          </w:p>
        </w:tc>
        <w:tc>
          <w:tcPr>
            <w:tcW w:w="722" w:type="pct"/>
            <w:gridSpan w:val="4"/>
            <w:vAlign w:val="center"/>
          </w:tcPr>
          <w:p w14:paraId="75BD8939">
            <w:pPr>
              <w:keepNext w:val="0"/>
              <w:keepLines w:val="0"/>
              <w:pageBreakBefore w:val="0"/>
              <w:kinsoku/>
              <w:wordWrap/>
              <w:overflowPunct/>
              <w:topLinePunct w:val="0"/>
              <w:autoSpaceDE w:val="0"/>
              <w:autoSpaceDN w:val="0"/>
              <w:bidi w:val="0"/>
              <w:adjustRightInd w:val="0"/>
              <w:snapToGrid/>
              <w:spacing w:line="240" w:lineRule="auto"/>
              <w:ind w:firstLine="0" w:firstLineChars="0"/>
              <w:jc w:val="center"/>
              <w:textAlignment w:val="auto"/>
              <w:rPr>
                <w:color w:val="000000"/>
                <w:kern w:val="0"/>
                <w:sz w:val="18"/>
                <w:szCs w:val="18"/>
              </w:rPr>
            </w:pPr>
            <w:r>
              <w:rPr>
                <w:color w:val="000000"/>
                <w:kern w:val="0"/>
                <w:sz w:val="18"/>
                <w:szCs w:val="18"/>
              </w:rPr>
              <w:t>区域污染源□</w:t>
            </w:r>
          </w:p>
        </w:tc>
      </w:tr>
      <w:tr w14:paraId="5467C40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34" w:type="pct"/>
            <w:vMerge w:val="restart"/>
            <w:vAlign w:val="center"/>
          </w:tcPr>
          <w:p w14:paraId="1345DCB4">
            <w:pPr>
              <w:keepNext w:val="0"/>
              <w:keepLines w:val="0"/>
              <w:pageBreakBefore w:val="0"/>
              <w:kinsoku/>
              <w:wordWrap/>
              <w:overflowPunct/>
              <w:topLinePunct w:val="0"/>
              <w:autoSpaceDE w:val="0"/>
              <w:autoSpaceDN w:val="0"/>
              <w:bidi w:val="0"/>
              <w:adjustRightInd w:val="0"/>
              <w:snapToGrid/>
              <w:spacing w:line="240" w:lineRule="auto"/>
              <w:ind w:firstLine="0" w:firstLineChars="0"/>
              <w:jc w:val="center"/>
              <w:textAlignment w:val="auto"/>
              <w:rPr>
                <w:color w:val="000000"/>
                <w:kern w:val="0"/>
                <w:sz w:val="18"/>
                <w:szCs w:val="18"/>
              </w:rPr>
            </w:pPr>
            <w:r>
              <w:rPr>
                <w:color w:val="000000"/>
                <w:kern w:val="0"/>
                <w:sz w:val="18"/>
                <w:szCs w:val="18"/>
              </w:rPr>
              <w:t>大气环境影响预测与评价</w:t>
            </w:r>
          </w:p>
        </w:tc>
        <w:tc>
          <w:tcPr>
            <w:tcW w:w="885" w:type="pct"/>
            <w:vAlign w:val="center"/>
          </w:tcPr>
          <w:p w14:paraId="13FFB47B">
            <w:pPr>
              <w:keepNext w:val="0"/>
              <w:keepLines w:val="0"/>
              <w:pageBreakBefore w:val="0"/>
              <w:kinsoku/>
              <w:wordWrap/>
              <w:overflowPunct/>
              <w:topLinePunct w:val="0"/>
              <w:autoSpaceDE w:val="0"/>
              <w:autoSpaceDN w:val="0"/>
              <w:bidi w:val="0"/>
              <w:adjustRightInd w:val="0"/>
              <w:snapToGrid/>
              <w:spacing w:line="240" w:lineRule="auto"/>
              <w:ind w:firstLine="0" w:firstLineChars="0"/>
              <w:jc w:val="center"/>
              <w:textAlignment w:val="auto"/>
              <w:rPr>
                <w:color w:val="000000"/>
                <w:kern w:val="0"/>
                <w:sz w:val="18"/>
                <w:szCs w:val="18"/>
              </w:rPr>
            </w:pPr>
            <w:r>
              <w:rPr>
                <w:color w:val="000000"/>
                <w:kern w:val="0"/>
                <w:sz w:val="18"/>
                <w:szCs w:val="18"/>
              </w:rPr>
              <w:t>预测模型</w:t>
            </w:r>
          </w:p>
        </w:tc>
        <w:tc>
          <w:tcPr>
            <w:tcW w:w="567" w:type="pct"/>
            <w:vAlign w:val="center"/>
          </w:tcPr>
          <w:p w14:paraId="28F2B597">
            <w:pPr>
              <w:keepNext w:val="0"/>
              <w:keepLines w:val="0"/>
              <w:pageBreakBefore w:val="0"/>
              <w:kinsoku/>
              <w:wordWrap/>
              <w:overflowPunct/>
              <w:topLinePunct w:val="0"/>
              <w:autoSpaceDE w:val="0"/>
              <w:autoSpaceDN w:val="0"/>
              <w:bidi w:val="0"/>
              <w:adjustRightInd w:val="0"/>
              <w:snapToGrid/>
              <w:spacing w:line="240" w:lineRule="auto"/>
              <w:ind w:firstLine="0" w:firstLineChars="0"/>
              <w:jc w:val="center"/>
              <w:textAlignment w:val="auto"/>
              <w:rPr>
                <w:color w:val="000000"/>
                <w:kern w:val="0"/>
                <w:sz w:val="18"/>
                <w:szCs w:val="18"/>
              </w:rPr>
            </w:pPr>
            <w:r>
              <w:rPr>
                <w:color w:val="000000"/>
                <w:kern w:val="0"/>
                <w:sz w:val="18"/>
                <w:szCs w:val="18"/>
              </w:rPr>
              <w:t>AERMOD □</w:t>
            </w:r>
          </w:p>
        </w:tc>
        <w:tc>
          <w:tcPr>
            <w:tcW w:w="419" w:type="pct"/>
            <w:gridSpan w:val="3"/>
            <w:vAlign w:val="center"/>
          </w:tcPr>
          <w:p w14:paraId="34D7824D">
            <w:pPr>
              <w:keepNext w:val="0"/>
              <w:keepLines w:val="0"/>
              <w:pageBreakBefore w:val="0"/>
              <w:kinsoku/>
              <w:wordWrap/>
              <w:overflowPunct/>
              <w:topLinePunct w:val="0"/>
              <w:autoSpaceDE w:val="0"/>
              <w:autoSpaceDN w:val="0"/>
              <w:bidi w:val="0"/>
              <w:adjustRightInd w:val="0"/>
              <w:snapToGrid/>
              <w:spacing w:line="240" w:lineRule="auto"/>
              <w:ind w:firstLine="0" w:firstLineChars="0"/>
              <w:jc w:val="center"/>
              <w:textAlignment w:val="auto"/>
              <w:rPr>
                <w:color w:val="000000"/>
                <w:kern w:val="0"/>
                <w:sz w:val="18"/>
                <w:szCs w:val="18"/>
              </w:rPr>
            </w:pPr>
            <w:r>
              <w:rPr>
                <w:color w:val="000000"/>
                <w:kern w:val="0"/>
                <w:sz w:val="18"/>
                <w:szCs w:val="18"/>
              </w:rPr>
              <w:t>ADMS</w:t>
            </w:r>
          </w:p>
          <w:p w14:paraId="6BF502D6">
            <w:pPr>
              <w:keepNext w:val="0"/>
              <w:keepLines w:val="0"/>
              <w:pageBreakBefore w:val="0"/>
              <w:kinsoku/>
              <w:wordWrap/>
              <w:overflowPunct/>
              <w:topLinePunct w:val="0"/>
              <w:autoSpaceDE w:val="0"/>
              <w:autoSpaceDN w:val="0"/>
              <w:bidi w:val="0"/>
              <w:adjustRightInd w:val="0"/>
              <w:snapToGrid/>
              <w:spacing w:line="240" w:lineRule="auto"/>
              <w:ind w:firstLine="0" w:firstLineChars="0"/>
              <w:jc w:val="center"/>
              <w:textAlignment w:val="auto"/>
              <w:rPr>
                <w:color w:val="000000"/>
                <w:kern w:val="0"/>
                <w:sz w:val="18"/>
                <w:szCs w:val="18"/>
              </w:rPr>
            </w:pPr>
            <w:r>
              <w:rPr>
                <w:color w:val="000000"/>
                <w:kern w:val="0"/>
                <w:sz w:val="18"/>
                <w:szCs w:val="18"/>
              </w:rPr>
              <w:t xml:space="preserve"> □</w:t>
            </w:r>
          </w:p>
        </w:tc>
        <w:tc>
          <w:tcPr>
            <w:tcW w:w="732" w:type="pct"/>
            <w:gridSpan w:val="4"/>
            <w:vAlign w:val="center"/>
          </w:tcPr>
          <w:p w14:paraId="05293A99">
            <w:pPr>
              <w:keepNext w:val="0"/>
              <w:keepLines w:val="0"/>
              <w:pageBreakBefore w:val="0"/>
              <w:kinsoku/>
              <w:wordWrap/>
              <w:overflowPunct/>
              <w:topLinePunct w:val="0"/>
              <w:autoSpaceDE w:val="0"/>
              <w:autoSpaceDN w:val="0"/>
              <w:bidi w:val="0"/>
              <w:adjustRightInd w:val="0"/>
              <w:snapToGrid/>
              <w:spacing w:line="240" w:lineRule="auto"/>
              <w:ind w:firstLine="0" w:firstLineChars="0"/>
              <w:jc w:val="center"/>
              <w:textAlignment w:val="auto"/>
              <w:rPr>
                <w:color w:val="000000"/>
                <w:kern w:val="0"/>
                <w:sz w:val="18"/>
                <w:szCs w:val="18"/>
              </w:rPr>
            </w:pPr>
            <w:r>
              <w:rPr>
                <w:color w:val="000000"/>
                <w:kern w:val="0"/>
                <w:sz w:val="18"/>
                <w:szCs w:val="18"/>
              </w:rPr>
              <w:t>AUSTAL2000 □</w:t>
            </w:r>
          </w:p>
        </w:tc>
        <w:tc>
          <w:tcPr>
            <w:tcW w:w="710" w:type="pct"/>
            <w:gridSpan w:val="3"/>
            <w:vAlign w:val="center"/>
          </w:tcPr>
          <w:p w14:paraId="42211B0E">
            <w:pPr>
              <w:keepNext w:val="0"/>
              <w:keepLines w:val="0"/>
              <w:pageBreakBefore w:val="0"/>
              <w:kinsoku/>
              <w:wordWrap/>
              <w:overflowPunct/>
              <w:topLinePunct w:val="0"/>
              <w:autoSpaceDE w:val="0"/>
              <w:autoSpaceDN w:val="0"/>
              <w:bidi w:val="0"/>
              <w:adjustRightInd w:val="0"/>
              <w:snapToGrid/>
              <w:spacing w:line="240" w:lineRule="auto"/>
              <w:ind w:firstLine="0" w:firstLineChars="0"/>
              <w:jc w:val="center"/>
              <w:textAlignment w:val="auto"/>
              <w:rPr>
                <w:color w:val="000000"/>
                <w:kern w:val="0"/>
                <w:sz w:val="18"/>
                <w:szCs w:val="18"/>
              </w:rPr>
            </w:pPr>
            <w:r>
              <w:rPr>
                <w:color w:val="000000"/>
                <w:kern w:val="0"/>
                <w:sz w:val="18"/>
                <w:szCs w:val="18"/>
              </w:rPr>
              <w:t>EDMS/AEDT □</w:t>
            </w:r>
          </w:p>
        </w:tc>
        <w:tc>
          <w:tcPr>
            <w:tcW w:w="573" w:type="pct"/>
            <w:gridSpan w:val="2"/>
            <w:vAlign w:val="center"/>
          </w:tcPr>
          <w:p w14:paraId="470FB29A">
            <w:pPr>
              <w:keepNext w:val="0"/>
              <w:keepLines w:val="0"/>
              <w:pageBreakBefore w:val="0"/>
              <w:kinsoku/>
              <w:wordWrap/>
              <w:overflowPunct/>
              <w:topLinePunct w:val="0"/>
              <w:autoSpaceDE w:val="0"/>
              <w:autoSpaceDN w:val="0"/>
              <w:bidi w:val="0"/>
              <w:adjustRightInd w:val="0"/>
              <w:snapToGrid/>
              <w:spacing w:line="240" w:lineRule="auto"/>
              <w:ind w:firstLine="0" w:firstLineChars="0"/>
              <w:jc w:val="center"/>
              <w:textAlignment w:val="auto"/>
              <w:rPr>
                <w:color w:val="000000"/>
                <w:kern w:val="0"/>
                <w:sz w:val="18"/>
                <w:szCs w:val="18"/>
              </w:rPr>
            </w:pPr>
            <w:r>
              <w:rPr>
                <w:color w:val="000000"/>
                <w:kern w:val="0"/>
                <w:sz w:val="18"/>
                <w:szCs w:val="18"/>
              </w:rPr>
              <w:t>CALPUFF □</w:t>
            </w:r>
          </w:p>
        </w:tc>
        <w:tc>
          <w:tcPr>
            <w:tcW w:w="299" w:type="pct"/>
            <w:gridSpan w:val="4"/>
            <w:vAlign w:val="center"/>
          </w:tcPr>
          <w:p w14:paraId="617B9D21">
            <w:pPr>
              <w:keepNext w:val="0"/>
              <w:keepLines w:val="0"/>
              <w:pageBreakBefore w:val="0"/>
              <w:kinsoku/>
              <w:wordWrap/>
              <w:overflowPunct/>
              <w:topLinePunct w:val="0"/>
              <w:autoSpaceDE w:val="0"/>
              <w:autoSpaceDN w:val="0"/>
              <w:bidi w:val="0"/>
              <w:adjustRightInd w:val="0"/>
              <w:snapToGrid/>
              <w:spacing w:line="240" w:lineRule="auto"/>
              <w:ind w:firstLine="0" w:firstLineChars="0"/>
              <w:jc w:val="center"/>
              <w:textAlignment w:val="auto"/>
              <w:rPr>
                <w:color w:val="000000"/>
                <w:kern w:val="0"/>
                <w:sz w:val="18"/>
                <w:szCs w:val="18"/>
              </w:rPr>
            </w:pPr>
            <w:r>
              <w:rPr>
                <w:color w:val="000000"/>
                <w:kern w:val="0"/>
                <w:sz w:val="18"/>
                <w:szCs w:val="18"/>
              </w:rPr>
              <w:t>网格模型□</w:t>
            </w:r>
          </w:p>
        </w:tc>
        <w:tc>
          <w:tcPr>
            <w:tcW w:w="480" w:type="pct"/>
            <w:vAlign w:val="center"/>
          </w:tcPr>
          <w:p w14:paraId="5D5EFA27">
            <w:pPr>
              <w:keepNext w:val="0"/>
              <w:keepLines w:val="0"/>
              <w:pageBreakBefore w:val="0"/>
              <w:kinsoku/>
              <w:wordWrap/>
              <w:overflowPunct/>
              <w:topLinePunct w:val="0"/>
              <w:autoSpaceDE w:val="0"/>
              <w:autoSpaceDN w:val="0"/>
              <w:bidi w:val="0"/>
              <w:adjustRightInd w:val="0"/>
              <w:snapToGrid/>
              <w:spacing w:line="240" w:lineRule="auto"/>
              <w:ind w:firstLine="0" w:firstLineChars="0"/>
              <w:jc w:val="center"/>
              <w:textAlignment w:val="auto"/>
              <w:rPr>
                <w:color w:val="000000"/>
                <w:kern w:val="0"/>
                <w:sz w:val="18"/>
                <w:szCs w:val="18"/>
              </w:rPr>
            </w:pPr>
            <w:r>
              <w:rPr>
                <w:color w:val="000000"/>
                <w:kern w:val="0"/>
                <w:sz w:val="18"/>
                <w:szCs w:val="18"/>
              </w:rPr>
              <w:t>其他</w:t>
            </w:r>
          </w:p>
          <w:p w14:paraId="6F762BC9">
            <w:pPr>
              <w:keepNext w:val="0"/>
              <w:keepLines w:val="0"/>
              <w:pageBreakBefore w:val="0"/>
              <w:kinsoku/>
              <w:wordWrap/>
              <w:overflowPunct/>
              <w:topLinePunct w:val="0"/>
              <w:autoSpaceDE w:val="0"/>
              <w:autoSpaceDN w:val="0"/>
              <w:bidi w:val="0"/>
              <w:adjustRightInd w:val="0"/>
              <w:snapToGrid/>
              <w:spacing w:line="240" w:lineRule="auto"/>
              <w:ind w:firstLine="0" w:firstLineChars="0"/>
              <w:jc w:val="center"/>
              <w:textAlignment w:val="auto"/>
              <w:rPr>
                <w:color w:val="000000"/>
                <w:kern w:val="0"/>
                <w:sz w:val="18"/>
                <w:szCs w:val="18"/>
              </w:rPr>
            </w:pPr>
            <w:r>
              <w:rPr>
                <w:color w:val="000000"/>
                <w:kern w:val="0"/>
                <w:sz w:val="18"/>
                <w:szCs w:val="18"/>
              </w:rPr>
              <w:sym w:font="Wingdings 2" w:char="0052"/>
            </w:r>
          </w:p>
        </w:tc>
      </w:tr>
      <w:tr w14:paraId="50D9B43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34" w:type="pct"/>
            <w:vMerge w:val="continue"/>
            <w:vAlign w:val="center"/>
          </w:tcPr>
          <w:p w14:paraId="4ECDC067">
            <w:pPr>
              <w:keepNext w:val="0"/>
              <w:keepLines w:val="0"/>
              <w:pageBreakBefore w:val="0"/>
              <w:widowControl/>
              <w:kinsoku/>
              <w:wordWrap/>
              <w:overflowPunct/>
              <w:topLinePunct w:val="0"/>
              <w:bidi w:val="0"/>
              <w:snapToGrid/>
              <w:spacing w:line="240" w:lineRule="auto"/>
              <w:ind w:firstLine="0" w:firstLineChars="0"/>
              <w:jc w:val="left"/>
              <w:textAlignment w:val="auto"/>
              <w:rPr>
                <w:color w:val="000000"/>
                <w:kern w:val="0"/>
                <w:sz w:val="18"/>
                <w:szCs w:val="18"/>
              </w:rPr>
            </w:pPr>
          </w:p>
        </w:tc>
        <w:tc>
          <w:tcPr>
            <w:tcW w:w="885" w:type="pct"/>
            <w:vAlign w:val="center"/>
          </w:tcPr>
          <w:p w14:paraId="3FE068D5">
            <w:pPr>
              <w:keepNext w:val="0"/>
              <w:keepLines w:val="0"/>
              <w:pageBreakBefore w:val="0"/>
              <w:kinsoku/>
              <w:wordWrap/>
              <w:overflowPunct/>
              <w:topLinePunct w:val="0"/>
              <w:autoSpaceDE w:val="0"/>
              <w:autoSpaceDN w:val="0"/>
              <w:bidi w:val="0"/>
              <w:adjustRightInd w:val="0"/>
              <w:snapToGrid/>
              <w:spacing w:line="240" w:lineRule="auto"/>
              <w:ind w:firstLine="0" w:firstLineChars="0"/>
              <w:jc w:val="center"/>
              <w:textAlignment w:val="auto"/>
              <w:rPr>
                <w:color w:val="000000"/>
                <w:kern w:val="0"/>
                <w:sz w:val="18"/>
                <w:szCs w:val="18"/>
              </w:rPr>
            </w:pPr>
            <w:r>
              <w:rPr>
                <w:color w:val="000000"/>
                <w:kern w:val="0"/>
                <w:sz w:val="18"/>
                <w:szCs w:val="18"/>
              </w:rPr>
              <w:t>预测范围</w:t>
            </w:r>
          </w:p>
        </w:tc>
        <w:tc>
          <w:tcPr>
            <w:tcW w:w="1232" w:type="pct"/>
            <w:gridSpan w:val="6"/>
            <w:vAlign w:val="center"/>
          </w:tcPr>
          <w:p w14:paraId="7A1CB880">
            <w:pPr>
              <w:keepNext w:val="0"/>
              <w:keepLines w:val="0"/>
              <w:pageBreakBefore w:val="0"/>
              <w:kinsoku/>
              <w:wordWrap/>
              <w:overflowPunct/>
              <w:topLinePunct w:val="0"/>
              <w:autoSpaceDE w:val="0"/>
              <w:autoSpaceDN w:val="0"/>
              <w:bidi w:val="0"/>
              <w:adjustRightInd w:val="0"/>
              <w:snapToGrid/>
              <w:spacing w:line="240" w:lineRule="auto"/>
              <w:ind w:firstLine="0" w:firstLineChars="0"/>
              <w:jc w:val="center"/>
              <w:textAlignment w:val="auto"/>
              <w:rPr>
                <w:color w:val="000000"/>
                <w:kern w:val="0"/>
                <w:sz w:val="18"/>
                <w:szCs w:val="18"/>
              </w:rPr>
            </w:pPr>
            <w:r>
              <w:rPr>
                <w:color w:val="000000"/>
                <w:kern w:val="0"/>
                <w:sz w:val="18"/>
                <w:szCs w:val="18"/>
              </w:rPr>
              <w:t>边长≥50km□</w:t>
            </w:r>
          </w:p>
        </w:tc>
        <w:tc>
          <w:tcPr>
            <w:tcW w:w="1579" w:type="pct"/>
            <w:gridSpan w:val="6"/>
            <w:vAlign w:val="center"/>
          </w:tcPr>
          <w:p w14:paraId="259FE6DA">
            <w:pPr>
              <w:keepNext w:val="0"/>
              <w:keepLines w:val="0"/>
              <w:pageBreakBefore w:val="0"/>
              <w:kinsoku/>
              <w:wordWrap/>
              <w:overflowPunct/>
              <w:topLinePunct w:val="0"/>
              <w:autoSpaceDE w:val="0"/>
              <w:autoSpaceDN w:val="0"/>
              <w:bidi w:val="0"/>
              <w:adjustRightInd w:val="0"/>
              <w:snapToGrid/>
              <w:spacing w:line="240" w:lineRule="auto"/>
              <w:ind w:firstLine="0" w:firstLineChars="0"/>
              <w:jc w:val="center"/>
              <w:textAlignment w:val="auto"/>
              <w:rPr>
                <w:color w:val="000000"/>
                <w:kern w:val="0"/>
                <w:sz w:val="18"/>
                <w:szCs w:val="18"/>
              </w:rPr>
            </w:pPr>
            <w:r>
              <w:rPr>
                <w:color w:val="000000"/>
                <w:kern w:val="0"/>
                <w:sz w:val="18"/>
                <w:szCs w:val="18"/>
              </w:rPr>
              <w:t>边长5～50km □</w:t>
            </w:r>
          </w:p>
        </w:tc>
        <w:tc>
          <w:tcPr>
            <w:tcW w:w="970" w:type="pct"/>
            <w:gridSpan w:val="6"/>
            <w:vAlign w:val="center"/>
          </w:tcPr>
          <w:p w14:paraId="45F6A14B">
            <w:pPr>
              <w:keepNext w:val="0"/>
              <w:keepLines w:val="0"/>
              <w:pageBreakBefore w:val="0"/>
              <w:kinsoku/>
              <w:wordWrap/>
              <w:overflowPunct/>
              <w:topLinePunct w:val="0"/>
              <w:autoSpaceDE w:val="0"/>
              <w:autoSpaceDN w:val="0"/>
              <w:bidi w:val="0"/>
              <w:adjustRightInd w:val="0"/>
              <w:snapToGrid/>
              <w:spacing w:line="240" w:lineRule="auto"/>
              <w:ind w:firstLine="0" w:firstLineChars="0"/>
              <w:jc w:val="center"/>
              <w:textAlignment w:val="auto"/>
              <w:rPr>
                <w:color w:val="000000"/>
                <w:kern w:val="0"/>
                <w:sz w:val="18"/>
                <w:szCs w:val="18"/>
              </w:rPr>
            </w:pPr>
            <w:r>
              <w:rPr>
                <w:color w:val="000000"/>
                <w:kern w:val="0"/>
                <w:sz w:val="18"/>
                <w:szCs w:val="18"/>
              </w:rPr>
              <w:t xml:space="preserve">边长= 5 km </w:t>
            </w:r>
            <w:r>
              <w:rPr>
                <w:color w:val="000000"/>
                <w:kern w:val="0"/>
                <w:sz w:val="18"/>
                <w:szCs w:val="18"/>
              </w:rPr>
              <w:sym w:font="Wingdings 2" w:char="0052"/>
            </w:r>
          </w:p>
        </w:tc>
      </w:tr>
      <w:tr w14:paraId="67ED0B4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34" w:type="pct"/>
            <w:vMerge w:val="continue"/>
            <w:vAlign w:val="center"/>
          </w:tcPr>
          <w:p w14:paraId="6CADD9FF">
            <w:pPr>
              <w:keepNext w:val="0"/>
              <w:keepLines w:val="0"/>
              <w:pageBreakBefore w:val="0"/>
              <w:widowControl/>
              <w:kinsoku/>
              <w:wordWrap/>
              <w:overflowPunct/>
              <w:topLinePunct w:val="0"/>
              <w:bidi w:val="0"/>
              <w:snapToGrid/>
              <w:spacing w:line="240" w:lineRule="auto"/>
              <w:ind w:firstLine="0" w:firstLineChars="0"/>
              <w:jc w:val="left"/>
              <w:textAlignment w:val="auto"/>
              <w:rPr>
                <w:color w:val="000000"/>
                <w:kern w:val="0"/>
                <w:sz w:val="18"/>
                <w:szCs w:val="18"/>
              </w:rPr>
            </w:pPr>
          </w:p>
        </w:tc>
        <w:tc>
          <w:tcPr>
            <w:tcW w:w="885" w:type="pct"/>
            <w:vAlign w:val="center"/>
          </w:tcPr>
          <w:p w14:paraId="27648061">
            <w:pPr>
              <w:keepNext w:val="0"/>
              <w:keepLines w:val="0"/>
              <w:pageBreakBefore w:val="0"/>
              <w:kinsoku/>
              <w:wordWrap/>
              <w:overflowPunct/>
              <w:topLinePunct w:val="0"/>
              <w:autoSpaceDE w:val="0"/>
              <w:autoSpaceDN w:val="0"/>
              <w:bidi w:val="0"/>
              <w:adjustRightInd w:val="0"/>
              <w:snapToGrid/>
              <w:spacing w:line="240" w:lineRule="auto"/>
              <w:ind w:firstLine="0" w:firstLineChars="0"/>
              <w:jc w:val="center"/>
              <w:textAlignment w:val="auto"/>
              <w:rPr>
                <w:color w:val="000000"/>
                <w:kern w:val="0"/>
                <w:sz w:val="18"/>
                <w:szCs w:val="18"/>
              </w:rPr>
            </w:pPr>
            <w:r>
              <w:rPr>
                <w:color w:val="000000"/>
                <w:kern w:val="0"/>
                <w:sz w:val="18"/>
                <w:szCs w:val="18"/>
              </w:rPr>
              <w:t>预测因子</w:t>
            </w:r>
          </w:p>
        </w:tc>
        <w:tc>
          <w:tcPr>
            <w:tcW w:w="2322" w:type="pct"/>
            <w:gridSpan w:val="10"/>
            <w:vAlign w:val="center"/>
          </w:tcPr>
          <w:p w14:paraId="3E801032">
            <w:pPr>
              <w:keepNext w:val="0"/>
              <w:keepLines w:val="0"/>
              <w:pageBreakBefore w:val="0"/>
              <w:kinsoku/>
              <w:wordWrap/>
              <w:overflowPunct/>
              <w:topLinePunct w:val="0"/>
              <w:autoSpaceDE w:val="0"/>
              <w:autoSpaceDN w:val="0"/>
              <w:bidi w:val="0"/>
              <w:adjustRightInd w:val="0"/>
              <w:snapToGrid/>
              <w:spacing w:line="240" w:lineRule="auto"/>
              <w:ind w:firstLine="0" w:firstLineChars="0"/>
              <w:jc w:val="center"/>
              <w:textAlignment w:val="auto"/>
              <w:rPr>
                <w:color w:val="000000"/>
                <w:kern w:val="0"/>
                <w:sz w:val="18"/>
                <w:szCs w:val="18"/>
              </w:rPr>
            </w:pPr>
            <w:r>
              <w:rPr>
                <w:color w:val="000000"/>
                <w:kern w:val="0"/>
                <w:sz w:val="18"/>
                <w:szCs w:val="18"/>
              </w:rPr>
              <w:t>预测因子(</w:t>
            </w:r>
            <w:r>
              <w:rPr>
                <w:rFonts w:hint="eastAsia"/>
                <w:color w:val="000000"/>
                <w:kern w:val="0"/>
                <w:sz w:val="18"/>
                <w:szCs w:val="18"/>
                <w:lang w:eastAsia="zh-CN"/>
              </w:rPr>
              <w:t>甲基磺酸</w:t>
            </w:r>
            <w:r>
              <w:rPr>
                <w:color w:val="000000"/>
                <w:kern w:val="0"/>
                <w:sz w:val="18"/>
                <w:szCs w:val="18"/>
              </w:rPr>
              <w:t>)</w:t>
            </w:r>
          </w:p>
        </w:tc>
        <w:tc>
          <w:tcPr>
            <w:tcW w:w="1459" w:type="pct"/>
            <w:gridSpan w:val="8"/>
            <w:vAlign w:val="center"/>
          </w:tcPr>
          <w:p w14:paraId="39293414">
            <w:pPr>
              <w:keepNext w:val="0"/>
              <w:keepLines w:val="0"/>
              <w:pageBreakBefore w:val="0"/>
              <w:kinsoku/>
              <w:wordWrap/>
              <w:overflowPunct/>
              <w:topLinePunct w:val="0"/>
              <w:autoSpaceDE w:val="0"/>
              <w:autoSpaceDN w:val="0"/>
              <w:bidi w:val="0"/>
              <w:adjustRightInd w:val="0"/>
              <w:snapToGrid/>
              <w:spacing w:line="240" w:lineRule="auto"/>
              <w:ind w:firstLine="0" w:firstLineChars="0"/>
              <w:jc w:val="center"/>
              <w:textAlignment w:val="auto"/>
              <w:rPr>
                <w:color w:val="000000"/>
                <w:kern w:val="0"/>
                <w:sz w:val="18"/>
                <w:szCs w:val="18"/>
              </w:rPr>
            </w:pPr>
            <w:r>
              <w:rPr>
                <w:color w:val="000000"/>
                <w:kern w:val="0"/>
                <w:sz w:val="18"/>
                <w:szCs w:val="18"/>
              </w:rPr>
              <w:t>包括二次PM</w:t>
            </w:r>
            <w:r>
              <w:rPr>
                <w:color w:val="000000"/>
                <w:kern w:val="0"/>
                <w:sz w:val="18"/>
                <w:szCs w:val="18"/>
                <w:vertAlign w:val="subscript"/>
              </w:rPr>
              <w:t>2.5</w:t>
            </w:r>
            <w:r>
              <w:rPr>
                <w:color w:val="000000"/>
                <w:kern w:val="0"/>
                <w:sz w:val="18"/>
                <w:szCs w:val="18"/>
              </w:rPr>
              <w:t xml:space="preserve"> □</w:t>
            </w:r>
          </w:p>
          <w:p w14:paraId="5DEF915A">
            <w:pPr>
              <w:keepNext w:val="0"/>
              <w:keepLines w:val="0"/>
              <w:pageBreakBefore w:val="0"/>
              <w:kinsoku/>
              <w:wordWrap/>
              <w:overflowPunct/>
              <w:topLinePunct w:val="0"/>
              <w:autoSpaceDE w:val="0"/>
              <w:autoSpaceDN w:val="0"/>
              <w:bidi w:val="0"/>
              <w:adjustRightInd w:val="0"/>
              <w:snapToGrid/>
              <w:spacing w:line="240" w:lineRule="auto"/>
              <w:ind w:firstLine="0" w:firstLineChars="0"/>
              <w:jc w:val="center"/>
              <w:textAlignment w:val="auto"/>
              <w:rPr>
                <w:color w:val="000000"/>
                <w:kern w:val="0"/>
                <w:sz w:val="18"/>
                <w:szCs w:val="18"/>
              </w:rPr>
            </w:pPr>
            <w:r>
              <w:rPr>
                <w:color w:val="000000"/>
                <w:kern w:val="0"/>
                <w:sz w:val="18"/>
                <w:szCs w:val="18"/>
              </w:rPr>
              <w:t>不包括二次PM</w:t>
            </w:r>
            <w:r>
              <w:rPr>
                <w:color w:val="000000"/>
                <w:kern w:val="0"/>
                <w:sz w:val="18"/>
                <w:szCs w:val="18"/>
                <w:vertAlign w:val="subscript"/>
              </w:rPr>
              <w:t>2.5</w:t>
            </w:r>
            <w:r>
              <w:rPr>
                <w:color w:val="000000"/>
                <w:kern w:val="0"/>
                <w:sz w:val="18"/>
                <w:szCs w:val="18"/>
              </w:rPr>
              <w:t xml:space="preserve"> </w:t>
            </w:r>
            <w:r>
              <w:rPr>
                <w:color w:val="000000"/>
                <w:kern w:val="0"/>
                <w:sz w:val="18"/>
                <w:szCs w:val="18"/>
              </w:rPr>
              <w:sym w:font="Wingdings 2" w:char="0052"/>
            </w:r>
          </w:p>
        </w:tc>
      </w:tr>
      <w:tr w14:paraId="7629830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34" w:type="pct"/>
            <w:vMerge w:val="continue"/>
            <w:vAlign w:val="center"/>
          </w:tcPr>
          <w:p w14:paraId="67B68B5E">
            <w:pPr>
              <w:keepNext w:val="0"/>
              <w:keepLines w:val="0"/>
              <w:pageBreakBefore w:val="0"/>
              <w:widowControl/>
              <w:kinsoku/>
              <w:wordWrap/>
              <w:overflowPunct/>
              <w:topLinePunct w:val="0"/>
              <w:bidi w:val="0"/>
              <w:snapToGrid/>
              <w:spacing w:line="240" w:lineRule="auto"/>
              <w:ind w:firstLine="0" w:firstLineChars="0"/>
              <w:jc w:val="left"/>
              <w:textAlignment w:val="auto"/>
              <w:rPr>
                <w:color w:val="000000"/>
                <w:kern w:val="0"/>
                <w:sz w:val="18"/>
                <w:szCs w:val="18"/>
              </w:rPr>
            </w:pPr>
          </w:p>
        </w:tc>
        <w:tc>
          <w:tcPr>
            <w:tcW w:w="885" w:type="pct"/>
            <w:vAlign w:val="center"/>
          </w:tcPr>
          <w:p w14:paraId="3563073C">
            <w:pPr>
              <w:keepNext w:val="0"/>
              <w:keepLines w:val="0"/>
              <w:pageBreakBefore w:val="0"/>
              <w:kinsoku/>
              <w:wordWrap/>
              <w:overflowPunct/>
              <w:topLinePunct w:val="0"/>
              <w:autoSpaceDE w:val="0"/>
              <w:autoSpaceDN w:val="0"/>
              <w:bidi w:val="0"/>
              <w:adjustRightInd w:val="0"/>
              <w:snapToGrid/>
              <w:spacing w:line="240" w:lineRule="auto"/>
              <w:ind w:firstLine="0" w:firstLineChars="0"/>
              <w:jc w:val="center"/>
              <w:textAlignment w:val="auto"/>
              <w:rPr>
                <w:color w:val="000000"/>
                <w:kern w:val="0"/>
                <w:sz w:val="18"/>
                <w:szCs w:val="18"/>
              </w:rPr>
            </w:pPr>
            <w:r>
              <w:rPr>
                <w:color w:val="000000"/>
                <w:kern w:val="0"/>
                <w:sz w:val="18"/>
                <w:szCs w:val="18"/>
              </w:rPr>
              <w:t>正常排放短期浓度贡献值</w:t>
            </w:r>
          </w:p>
        </w:tc>
        <w:tc>
          <w:tcPr>
            <w:tcW w:w="2322" w:type="pct"/>
            <w:gridSpan w:val="10"/>
            <w:vAlign w:val="center"/>
          </w:tcPr>
          <w:p w14:paraId="35BE317D">
            <w:pPr>
              <w:keepNext w:val="0"/>
              <w:keepLines w:val="0"/>
              <w:pageBreakBefore w:val="0"/>
              <w:kinsoku/>
              <w:wordWrap/>
              <w:overflowPunct/>
              <w:topLinePunct w:val="0"/>
              <w:autoSpaceDE w:val="0"/>
              <w:autoSpaceDN w:val="0"/>
              <w:bidi w:val="0"/>
              <w:adjustRightInd w:val="0"/>
              <w:snapToGrid/>
              <w:spacing w:line="240" w:lineRule="auto"/>
              <w:ind w:firstLine="0" w:firstLineChars="0"/>
              <w:jc w:val="center"/>
              <w:textAlignment w:val="auto"/>
              <w:rPr>
                <w:color w:val="000000"/>
                <w:kern w:val="0"/>
                <w:sz w:val="18"/>
                <w:szCs w:val="18"/>
              </w:rPr>
            </w:pPr>
            <w:r>
              <w:rPr>
                <w:rFonts w:ascii="Cambria Math" w:hAnsi="Cambria Math" w:cs="Cambria Math"/>
                <w:color w:val="000000"/>
                <w:kern w:val="0"/>
                <w:sz w:val="18"/>
                <w:szCs w:val="18"/>
              </w:rPr>
              <w:t>𝐶</w:t>
            </w:r>
            <w:r>
              <w:rPr>
                <w:color w:val="000000"/>
                <w:kern w:val="0"/>
                <w:sz w:val="18"/>
                <w:szCs w:val="18"/>
              </w:rPr>
              <w:t>本项目最大占标率≤100%</w:t>
            </w:r>
            <w:r>
              <w:rPr>
                <w:color w:val="000000"/>
                <w:kern w:val="0"/>
                <w:sz w:val="18"/>
                <w:szCs w:val="18"/>
              </w:rPr>
              <w:sym w:font="Wingdings 2" w:char="0052"/>
            </w:r>
          </w:p>
        </w:tc>
        <w:tc>
          <w:tcPr>
            <w:tcW w:w="1459" w:type="pct"/>
            <w:gridSpan w:val="8"/>
            <w:vAlign w:val="center"/>
          </w:tcPr>
          <w:p w14:paraId="5FE509D2">
            <w:pPr>
              <w:keepNext w:val="0"/>
              <w:keepLines w:val="0"/>
              <w:pageBreakBefore w:val="0"/>
              <w:kinsoku/>
              <w:wordWrap/>
              <w:overflowPunct/>
              <w:topLinePunct w:val="0"/>
              <w:autoSpaceDE w:val="0"/>
              <w:autoSpaceDN w:val="0"/>
              <w:bidi w:val="0"/>
              <w:adjustRightInd w:val="0"/>
              <w:snapToGrid/>
              <w:spacing w:line="240" w:lineRule="auto"/>
              <w:ind w:firstLine="0" w:firstLineChars="0"/>
              <w:jc w:val="center"/>
              <w:textAlignment w:val="auto"/>
              <w:rPr>
                <w:color w:val="000000"/>
                <w:kern w:val="0"/>
                <w:sz w:val="18"/>
                <w:szCs w:val="18"/>
              </w:rPr>
            </w:pPr>
            <w:r>
              <w:rPr>
                <w:rFonts w:ascii="Cambria Math" w:hAnsi="Cambria Math" w:cs="Cambria Math"/>
                <w:color w:val="000000"/>
                <w:kern w:val="0"/>
                <w:sz w:val="18"/>
                <w:szCs w:val="18"/>
              </w:rPr>
              <w:t>𝐶</w:t>
            </w:r>
            <w:r>
              <w:rPr>
                <w:color w:val="000000"/>
                <w:kern w:val="0"/>
                <w:sz w:val="18"/>
                <w:szCs w:val="18"/>
              </w:rPr>
              <w:t>本项目最大占标率＞100% □</w:t>
            </w:r>
          </w:p>
        </w:tc>
      </w:tr>
      <w:tr w14:paraId="1841A1E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34" w:type="pct"/>
            <w:vMerge w:val="continue"/>
            <w:vAlign w:val="center"/>
          </w:tcPr>
          <w:p w14:paraId="5769867E">
            <w:pPr>
              <w:keepNext w:val="0"/>
              <w:keepLines w:val="0"/>
              <w:pageBreakBefore w:val="0"/>
              <w:widowControl/>
              <w:kinsoku/>
              <w:wordWrap/>
              <w:overflowPunct/>
              <w:topLinePunct w:val="0"/>
              <w:bidi w:val="0"/>
              <w:snapToGrid/>
              <w:spacing w:line="240" w:lineRule="auto"/>
              <w:ind w:firstLine="0" w:firstLineChars="0"/>
              <w:jc w:val="left"/>
              <w:textAlignment w:val="auto"/>
              <w:rPr>
                <w:color w:val="000000"/>
                <w:kern w:val="0"/>
                <w:sz w:val="18"/>
                <w:szCs w:val="18"/>
              </w:rPr>
            </w:pPr>
          </w:p>
        </w:tc>
        <w:tc>
          <w:tcPr>
            <w:tcW w:w="885" w:type="pct"/>
            <w:vMerge w:val="restart"/>
            <w:vAlign w:val="center"/>
          </w:tcPr>
          <w:p w14:paraId="781B2B3D">
            <w:pPr>
              <w:keepNext w:val="0"/>
              <w:keepLines w:val="0"/>
              <w:pageBreakBefore w:val="0"/>
              <w:kinsoku/>
              <w:wordWrap/>
              <w:overflowPunct/>
              <w:topLinePunct w:val="0"/>
              <w:autoSpaceDE w:val="0"/>
              <w:autoSpaceDN w:val="0"/>
              <w:bidi w:val="0"/>
              <w:adjustRightInd w:val="0"/>
              <w:snapToGrid/>
              <w:spacing w:line="240" w:lineRule="auto"/>
              <w:ind w:firstLine="0" w:firstLineChars="0"/>
              <w:jc w:val="center"/>
              <w:textAlignment w:val="auto"/>
              <w:rPr>
                <w:color w:val="000000"/>
                <w:kern w:val="0"/>
                <w:sz w:val="18"/>
                <w:szCs w:val="18"/>
              </w:rPr>
            </w:pPr>
            <w:r>
              <w:rPr>
                <w:color w:val="000000"/>
                <w:kern w:val="0"/>
                <w:sz w:val="18"/>
                <w:szCs w:val="18"/>
              </w:rPr>
              <w:t>正常排放年均浓度贡献值</w:t>
            </w:r>
          </w:p>
        </w:tc>
        <w:tc>
          <w:tcPr>
            <w:tcW w:w="596" w:type="pct"/>
            <w:gridSpan w:val="2"/>
            <w:vAlign w:val="center"/>
          </w:tcPr>
          <w:p w14:paraId="29D68AEA">
            <w:pPr>
              <w:keepNext w:val="0"/>
              <w:keepLines w:val="0"/>
              <w:pageBreakBefore w:val="0"/>
              <w:kinsoku/>
              <w:wordWrap/>
              <w:overflowPunct/>
              <w:topLinePunct w:val="0"/>
              <w:autoSpaceDE w:val="0"/>
              <w:autoSpaceDN w:val="0"/>
              <w:bidi w:val="0"/>
              <w:adjustRightInd w:val="0"/>
              <w:snapToGrid/>
              <w:spacing w:line="240" w:lineRule="auto"/>
              <w:ind w:firstLine="0" w:firstLineChars="0"/>
              <w:jc w:val="center"/>
              <w:textAlignment w:val="auto"/>
              <w:rPr>
                <w:color w:val="000000"/>
                <w:kern w:val="0"/>
                <w:sz w:val="18"/>
                <w:szCs w:val="18"/>
              </w:rPr>
            </w:pPr>
            <w:r>
              <w:rPr>
                <w:color w:val="000000"/>
                <w:kern w:val="0"/>
                <w:sz w:val="18"/>
                <w:szCs w:val="18"/>
              </w:rPr>
              <w:t>一类区</w:t>
            </w:r>
          </w:p>
        </w:tc>
        <w:tc>
          <w:tcPr>
            <w:tcW w:w="1725" w:type="pct"/>
            <w:gridSpan w:val="8"/>
            <w:vAlign w:val="center"/>
          </w:tcPr>
          <w:p w14:paraId="535CCAFB">
            <w:pPr>
              <w:keepNext w:val="0"/>
              <w:keepLines w:val="0"/>
              <w:pageBreakBefore w:val="0"/>
              <w:kinsoku/>
              <w:wordWrap/>
              <w:overflowPunct/>
              <w:topLinePunct w:val="0"/>
              <w:autoSpaceDE w:val="0"/>
              <w:autoSpaceDN w:val="0"/>
              <w:bidi w:val="0"/>
              <w:adjustRightInd w:val="0"/>
              <w:snapToGrid/>
              <w:spacing w:line="240" w:lineRule="auto"/>
              <w:ind w:firstLine="0" w:firstLineChars="0"/>
              <w:jc w:val="center"/>
              <w:textAlignment w:val="auto"/>
              <w:rPr>
                <w:color w:val="000000"/>
                <w:kern w:val="0"/>
                <w:sz w:val="18"/>
                <w:szCs w:val="18"/>
              </w:rPr>
            </w:pPr>
            <w:r>
              <w:rPr>
                <w:rFonts w:ascii="Cambria Math" w:hAnsi="Cambria Math" w:cs="Cambria Math"/>
                <w:color w:val="000000"/>
                <w:kern w:val="0"/>
                <w:sz w:val="18"/>
                <w:szCs w:val="18"/>
              </w:rPr>
              <w:t>𝐶</w:t>
            </w:r>
            <w:r>
              <w:rPr>
                <w:color w:val="000000"/>
                <w:kern w:val="0"/>
                <w:sz w:val="18"/>
                <w:szCs w:val="18"/>
              </w:rPr>
              <w:t>本项目最大占标率≤10%□</w:t>
            </w:r>
          </w:p>
        </w:tc>
        <w:tc>
          <w:tcPr>
            <w:tcW w:w="1459" w:type="pct"/>
            <w:gridSpan w:val="8"/>
            <w:vAlign w:val="center"/>
          </w:tcPr>
          <w:p w14:paraId="18527E00">
            <w:pPr>
              <w:keepNext w:val="0"/>
              <w:keepLines w:val="0"/>
              <w:pageBreakBefore w:val="0"/>
              <w:kinsoku/>
              <w:wordWrap/>
              <w:overflowPunct/>
              <w:topLinePunct w:val="0"/>
              <w:autoSpaceDE w:val="0"/>
              <w:autoSpaceDN w:val="0"/>
              <w:bidi w:val="0"/>
              <w:adjustRightInd w:val="0"/>
              <w:snapToGrid/>
              <w:spacing w:line="240" w:lineRule="auto"/>
              <w:ind w:firstLine="0" w:firstLineChars="0"/>
              <w:jc w:val="center"/>
              <w:textAlignment w:val="auto"/>
              <w:rPr>
                <w:color w:val="000000"/>
                <w:kern w:val="0"/>
                <w:sz w:val="18"/>
                <w:szCs w:val="18"/>
              </w:rPr>
            </w:pPr>
            <w:r>
              <w:rPr>
                <w:rFonts w:ascii="Cambria Math" w:hAnsi="Cambria Math" w:cs="Cambria Math"/>
                <w:color w:val="000000"/>
                <w:kern w:val="0"/>
                <w:sz w:val="18"/>
                <w:szCs w:val="18"/>
              </w:rPr>
              <w:t>𝐶</w:t>
            </w:r>
            <w:r>
              <w:rPr>
                <w:color w:val="000000"/>
                <w:kern w:val="0"/>
                <w:sz w:val="18"/>
                <w:szCs w:val="18"/>
              </w:rPr>
              <w:t>本项目最大标率＞10% □</w:t>
            </w:r>
          </w:p>
        </w:tc>
      </w:tr>
      <w:tr w14:paraId="7A8A617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34" w:type="pct"/>
            <w:vMerge w:val="continue"/>
            <w:vAlign w:val="center"/>
          </w:tcPr>
          <w:p w14:paraId="35BCE8FB">
            <w:pPr>
              <w:keepNext w:val="0"/>
              <w:keepLines w:val="0"/>
              <w:pageBreakBefore w:val="0"/>
              <w:widowControl/>
              <w:kinsoku/>
              <w:wordWrap/>
              <w:overflowPunct/>
              <w:topLinePunct w:val="0"/>
              <w:bidi w:val="0"/>
              <w:snapToGrid/>
              <w:spacing w:line="240" w:lineRule="auto"/>
              <w:ind w:firstLine="0" w:firstLineChars="0"/>
              <w:jc w:val="left"/>
              <w:textAlignment w:val="auto"/>
              <w:rPr>
                <w:color w:val="000000"/>
                <w:kern w:val="0"/>
                <w:sz w:val="18"/>
                <w:szCs w:val="18"/>
              </w:rPr>
            </w:pPr>
          </w:p>
        </w:tc>
        <w:tc>
          <w:tcPr>
            <w:tcW w:w="885" w:type="pct"/>
            <w:vMerge w:val="continue"/>
            <w:vAlign w:val="center"/>
          </w:tcPr>
          <w:p w14:paraId="0E268F4E">
            <w:pPr>
              <w:keepNext w:val="0"/>
              <w:keepLines w:val="0"/>
              <w:pageBreakBefore w:val="0"/>
              <w:widowControl/>
              <w:kinsoku/>
              <w:wordWrap/>
              <w:overflowPunct/>
              <w:topLinePunct w:val="0"/>
              <w:bidi w:val="0"/>
              <w:snapToGrid/>
              <w:spacing w:line="240" w:lineRule="auto"/>
              <w:ind w:firstLine="0" w:firstLineChars="0"/>
              <w:jc w:val="left"/>
              <w:textAlignment w:val="auto"/>
              <w:rPr>
                <w:color w:val="000000"/>
                <w:kern w:val="0"/>
                <w:sz w:val="18"/>
                <w:szCs w:val="18"/>
              </w:rPr>
            </w:pPr>
          </w:p>
        </w:tc>
        <w:tc>
          <w:tcPr>
            <w:tcW w:w="596" w:type="pct"/>
            <w:gridSpan w:val="2"/>
            <w:vAlign w:val="center"/>
          </w:tcPr>
          <w:p w14:paraId="08DED0EB">
            <w:pPr>
              <w:keepNext w:val="0"/>
              <w:keepLines w:val="0"/>
              <w:pageBreakBefore w:val="0"/>
              <w:kinsoku/>
              <w:wordWrap/>
              <w:overflowPunct/>
              <w:topLinePunct w:val="0"/>
              <w:autoSpaceDE w:val="0"/>
              <w:autoSpaceDN w:val="0"/>
              <w:bidi w:val="0"/>
              <w:adjustRightInd w:val="0"/>
              <w:snapToGrid/>
              <w:spacing w:line="240" w:lineRule="auto"/>
              <w:ind w:firstLine="0" w:firstLineChars="0"/>
              <w:jc w:val="center"/>
              <w:textAlignment w:val="auto"/>
              <w:rPr>
                <w:color w:val="000000"/>
                <w:kern w:val="0"/>
                <w:sz w:val="18"/>
                <w:szCs w:val="18"/>
              </w:rPr>
            </w:pPr>
            <w:r>
              <w:rPr>
                <w:color w:val="000000"/>
                <w:kern w:val="0"/>
                <w:sz w:val="18"/>
                <w:szCs w:val="18"/>
              </w:rPr>
              <w:t>二类区</w:t>
            </w:r>
          </w:p>
        </w:tc>
        <w:tc>
          <w:tcPr>
            <w:tcW w:w="1725" w:type="pct"/>
            <w:gridSpan w:val="8"/>
            <w:vAlign w:val="center"/>
          </w:tcPr>
          <w:p w14:paraId="47F361DF">
            <w:pPr>
              <w:keepNext w:val="0"/>
              <w:keepLines w:val="0"/>
              <w:pageBreakBefore w:val="0"/>
              <w:kinsoku/>
              <w:wordWrap/>
              <w:overflowPunct/>
              <w:topLinePunct w:val="0"/>
              <w:autoSpaceDE w:val="0"/>
              <w:autoSpaceDN w:val="0"/>
              <w:bidi w:val="0"/>
              <w:adjustRightInd w:val="0"/>
              <w:snapToGrid/>
              <w:spacing w:line="240" w:lineRule="auto"/>
              <w:ind w:firstLine="0" w:firstLineChars="0"/>
              <w:textAlignment w:val="auto"/>
              <w:rPr>
                <w:color w:val="000000"/>
                <w:kern w:val="0"/>
                <w:sz w:val="18"/>
                <w:szCs w:val="18"/>
              </w:rPr>
            </w:pPr>
            <w:r>
              <w:rPr>
                <w:rFonts w:ascii="Cambria Math" w:hAnsi="Cambria Math" w:cs="Cambria Math"/>
                <w:color w:val="000000"/>
                <w:kern w:val="0"/>
                <w:sz w:val="18"/>
                <w:szCs w:val="18"/>
              </w:rPr>
              <w:t>𝐶</w:t>
            </w:r>
            <w:r>
              <w:rPr>
                <w:color w:val="000000"/>
                <w:kern w:val="0"/>
                <w:sz w:val="18"/>
                <w:szCs w:val="18"/>
              </w:rPr>
              <w:t>本项目最大占标率≤30%</w:t>
            </w:r>
            <w:r>
              <w:rPr>
                <w:color w:val="000000"/>
                <w:kern w:val="0"/>
                <w:sz w:val="18"/>
                <w:szCs w:val="18"/>
              </w:rPr>
              <w:sym w:font="Wingdings 2" w:char="0052"/>
            </w:r>
          </w:p>
        </w:tc>
        <w:tc>
          <w:tcPr>
            <w:tcW w:w="1459" w:type="pct"/>
            <w:gridSpan w:val="8"/>
            <w:vAlign w:val="center"/>
          </w:tcPr>
          <w:p w14:paraId="63772FEE">
            <w:pPr>
              <w:keepNext w:val="0"/>
              <w:keepLines w:val="0"/>
              <w:pageBreakBefore w:val="0"/>
              <w:kinsoku/>
              <w:wordWrap/>
              <w:overflowPunct/>
              <w:topLinePunct w:val="0"/>
              <w:autoSpaceDE w:val="0"/>
              <w:autoSpaceDN w:val="0"/>
              <w:bidi w:val="0"/>
              <w:adjustRightInd w:val="0"/>
              <w:snapToGrid/>
              <w:spacing w:line="240" w:lineRule="auto"/>
              <w:ind w:firstLine="0" w:firstLineChars="0"/>
              <w:jc w:val="center"/>
              <w:textAlignment w:val="auto"/>
              <w:rPr>
                <w:color w:val="000000"/>
                <w:kern w:val="0"/>
                <w:sz w:val="18"/>
                <w:szCs w:val="18"/>
              </w:rPr>
            </w:pPr>
            <w:r>
              <w:rPr>
                <w:rFonts w:ascii="Cambria Math" w:hAnsi="Cambria Math" w:cs="Cambria Math"/>
                <w:color w:val="000000"/>
                <w:kern w:val="0"/>
                <w:sz w:val="18"/>
                <w:szCs w:val="18"/>
              </w:rPr>
              <w:t>𝐶</w:t>
            </w:r>
            <w:r>
              <w:rPr>
                <w:color w:val="000000"/>
                <w:kern w:val="0"/>
                <w:sz w:val="18"/>
                <w:szCs w:val="18"/>
              </w:rPr>
              <w:t>本项目最大标率＞30% □</w:t>
            </w:r>
          </w:p>
        </w:tc>
      </w:tr>
      <w:tr w14:paraId="32012FD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34" w:type="pct"/>
            <w:vMerge w:val="continue"/>
            <w:vAlign w:val="center"/>
          </w:tcPr>
          <w:p w14:paraId="4F81CDA3">
            <w:pPr>
              <w:keepNext w:val="0"/>
              <w:keepLines w:val="0"/>
              <w:pageBreakBefore w:val="0"/>
              <w:widowControl/>
              <w:kinsoku/>
              <w:wordWrap/>
              <w:overflowPunct/>
              <w:topLinePunct w:val="0"/>
              <w:bidi w:val="0"/>
              <w:snapToGrid/>
              <w:spacing w:line="240" w:lineRule="auto"/>
              <w:ind w:firstLine="0" w:firstLineChars="0"/>
              <w:jc w:val="left"/>
              <w:textAlignment w:val="auto"/>
              <w:rPr>
                <w:color w:val="000000"/>
                <w:kern w:val="0"/>
                <w:sz w:val="18"/>
                <w:szCs w:val="18"/>
              </w:rPr>
            </w:pPr>
          </w:p>
        </w:tc>
        <w:tc>
          <w:tcPr>
            <w:tcW w:w="885" w:type="pct"/>
            <w:vAlign w:val="center"/>
          </w:tcPr>
          <w:p w14:paraId="2F541D7E">
            <w:pPr>
              <w:keepNext w:val="0"/>
              <w:keepLines w:val="0"/>
              <w:pageBreakBefore w:val="0"/>
              <w:kinsoku/>
              <w:wordWrap/>
              <w:overflowPunct/>
              <w:topLinePunct w:val="0"/>
              <w:autoSpaceDE w:val="0"/>
              <w:autoSpaceDN w:val="0"/>
              <w:bidi w:val="0"/>
              <w:adjustRightInd w:val="0"/>
              <w:snapToGrid/>
              <w:spacing w:line="240" w:lineRule="auto"/>
              <w:ind w:firstLine="0" w:firstLineChars="0"/>
              <w:jc w:val="center"/>
              <w:textAlignment w:val="auto"/>
              <w:rPr>
                <w:color w:val="000000"/>
                <w:kern w:val="0"/>
                <w:sz w:val="18"/>
                <w:szCs w:val="18"/>
              </w:rPr>
            </w:pPr>
            <w:r>
              <w:rPr>
                <w:color w:val="000000"/>
                <w:kern w:val="0"/>
                <w:sz w:val="18"/>
                <w:szCs w:val="18"/>
              </w:rPr>
              <w:t>非正常排放1h浓度贡献值</w:t>
            </w:r>
          </w:p>
        </w:tc>
        <w:tc>
          <w:tcPr>
            <w:tcW w:w="1232" w:type="pct"/>
            <w:gridSpan w:val="6"/>
            <w:vAlign w:val="center"/>
          </w:tcPr>
          <w:p w14:paraId="62966282">
            <w:pPr>
              <w:keepNext w:val="0"/>
              <w:keepLines w:val="0"/>
              <w:pageBreakBefore w:val="0"/>
              <w:kinsoku/>
              <w:wordWrap/>
              <w:overflowPunct/>
              <w:topLinePunct w:val="0"/>
              <w:autoSpaceDE w:val="0"/>
              <w:autoSpaceDN w:val="0"/>
              <w:bidi w:val="0"/>
              <w:adjustRightInd w:val="0"/>
              <w:snapToGrid/>
              <w:spacing w:line="240" w:lineRule="auto"/>
              <w:ind w:firstLine="0" w:firstLineChars="0"/>
              <w:jc w:val="center"/>
              <w:textAlignment w:val="auto"/>
              <w:rPr>
                <w:color w:val="000000"/>
                <w:kern w:val="0"/>
                <w:sz w:val="18"/>
                <w:szCs w:val="18"/>
              </w:rPr>
            </w:pPr>
            <w:r>
              <w:rPr>
                <w:color w:val="000000"/>
                <w:kern w:val="0"/>
                <w:sz w:val="18"/>
                <w:szCs w:val="18"/>
              </w:rPr>
              <w:t>非正常持续时长（</w:t>
            </w:r>
            <w:r>
              <w:rPr>
                <w:rFonts w:hint="eastAsia"/>
                <w:color w:val="000000"/>
                <w:kern w:val="0"/>
                <w:sz w:val="18"/>
                <w:szCs w:val="18"/>
                <w:lang w:val="en-US" w:eastAsia="zh-CN"/>
              </w:rPr>
              <w:t>300</w:t>
            </w:r>
            <w:r>
              <w:rPr>
                <w:color w:val="000000"/>
                <w:kern w:val="0"/>
                <w:sz w:val="18"/>
                <w:szCs w:val="18"/>
              </w:rPr>
              <w:t>）h</w:t>
            </w:r>
          </w:p>
        </w:tc>
        <w:tc>
          <w:tcPr>
            <w:tcW w:w="1579" w:type="pct"/>
            <w:gridSpan w:val="6"/>
            <w:vAlign w:val="center"/>
          </w:tcPr>
          <w:p w14:paraId="30C83DC4">
            <w:pPr>
              <w:keepNext w:val="0"/>
              <w:keepLines w:val="0"/>
              <w:pageBreakBefore w:val="0"/>
              <w:kinsoku/>
              <w:wordWrap/>
              <w:overflowPunct/>
              <w:topLinePunct w:val="0"/>
              <w:autoSpaceDE w:val="0"/>
              <w:autoSpaceDN w:val="0"/>
              <w:bidi w:val="0"/>
              <w:adjustRightInd w:val="0"/>
              <w:snapToGrid/>
              <w:spacing w:line="240" w:lineRule="auto"/>
              <w:ind w:firstLine="0" w:firstLineChars="0"/>
              <w:jc w:val="center"/>
              <w:textAlignment w:val="auto"/>
              <w:rPr>
                <w:color w:val="000000"/>
                <w:kern w:val="0"/>
                <w:sz w:val="18"/>
                <w:szCs w:val="18"/>
              </w:rPr>
            </w:pPr>
            <w:r>
              <w:rPr>
                <w:rFonts w:ascii="Cambria Math" w:hAnsi="Cambria Math" w:cs="Cambria Math"/>
                <w:color w:val="000000"/>
                <w:kern w:val="0"/>
                <w:sz w:val="18"/>
                <w:szCs w:val="18"/>
              </w:rPr>
              <w:t>𝐶</w:t>
            </w:r>
            <w:r>
              <w:rPr>
                <w:color w:val="000000"/>
                <w:kern w:val="0"/>
                <w:sz w:val="18"/>
                <w:szCs w:val="18"/>
              </w:rPr>
              <w:t xml:space="preserve">非正常占标率≤100% </w:t>
            </w:r>
            <w:r>
              <w:rPr>
                <w:color w:val="000000"/>
                <w:kern w:val="0"/>
                <w:sz w:val="18"/>
                <w:szCs w:val="18"/>
              </w:rPr>
              <w:sym w:font="Wingdings 2" w:char="0052"/>
            </w:r>
          </w:p>
        </w:tc>
        <w:tc>
          <w:tcPr>
            <w:tcW w:w="970" w:type="pct"/>
            <w:gridSpan w:val="6"/>
            <w:vAlign w:val="center"/>
          </w:tcPr>
          <w:p w14:paraId="7073A5E3">
            <w:pPr>
              <w:keepNext w:val="0"/>
              <w:keepLines w:val="0"/>
              <w:pageBreakBefore w:val="0"/>
              <w:kinsoku/>
              <w:wordWrap/>
              <w:overflowPunct/>
              <w:topLinePunct w:val="0"/>
              <w:autoSpaceDE w:val="0"/>
              <w:autoSpaceDN w:val="0"/>
              <w:bidi w:val="0"/>
              <w:adjustRightInd w:val="0"/>
              <w:snapToGrid/>
              <w:spacing w:line="240" w:lineRule="auto"/>
              <w:ind w:firstLine="0" w:firstLineChars="0"/>
              <w:jc w:val="center"/>
              <w:textAlignment w:val="auto"/>
              <w:rPr>
                <w:color w:val="000000"/>
                <w:kern w:val="0"/>
                <w:sz w:val="18"/>
                <w:szCs w:val="18"/>
              </w:rPr>
            </w:pPr>
            <w:r>
              <w:rPr>
                <w:rFonts w:ascii="Cambria Math" w:hAnsi="Cambria Math" w:cs="Cambria Math"/>
                <w:color w:val="000000"/>
                <w:kern w:val="0"/>
                <w:sz w:val="18"/>
                <w:szCs w:val="18"/>
              </w:rPr>
              <w:t>𝐶</w:t>
            </w:r>
            <w:r>
              <w:rPr>
                <w:color w:val="000000"/>
                <w:kern w:val="0"/>
                <w:sz w:val="18"/>
                <w:szCs w:val="18"/>
              </w:rPr>
              <w:t>非正常占标率＞100%□</w:t>
            </w:r>
          </w:p>
        </w:tc>
      </w:tr>
      <w:tr w14:paraId="5ECF246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34" w:type="pct"/>
            <w:vMerge w:val="continue"/>
            <w:vAlign w:val="center"/>
          </w:tcPr>
          <w:p w14:paraId="2CE36E9F">
            <w:pPr>
              <w:keepNext w:val="0"/>
              <w:keepLines w:val="0"/>
              <w:pageBreakBefore w:val="0"/>
              <w:widowControl/>
              <w:kinsoku/>
              <w:wordWrap/>
              <w:overflowPunct/>
              <w:topLinePunct w:val="0"/>
              <w:bidi w:val="0"/>
              <w:snapToGrid/>
              <w:spacing w:line="240" w:lineRule="auto"/>
              <w:ind w:firstLine="0" w:firstLineChars="0"/>
              <w:jc w:val="left"/>
              <w:textAlignment w:val="auto"/>
              <w:rPr>
                <w:color w:val="000000"/>
                <w:kern w:val="0"/>
                <w:sz w:val="18"/>
                <w:szCs w:val="18"/>
              </w:rPr>
            </w:pPr>
          </w:p>
        </w:tc>
        <w:tc>
          <w:tcPr>
            <w:tcW w:w="885" w:type="pct"/>
            <w:vAlign w:val="center"/>
          </w:tcPr>
          <w:p w14:paraId="59F35E2E">
            <w:pPr>
              <w:keepNext w:val="0"/>
              <w:keepLines w:val="0"/>
              <w:pageBreakBefore w:val="0"/>
              <w:kinsoku/>
              <w:wordWrap/>
              <w:overflowPunct/>
              <w:topLinePunct w:val="0"/>
              <w:autoSpaceDE w:val="0"/>
              <w:autoSpaceDN w:val="0"/>
              <w:bidi w:val="0"/>
              <w:adjustRightInd w:val="0"/>
              <w:snapToGrid/>
              <w:spacing w:line="240" w:lineRule="auto"/>
              <w:ind w:firstLine="0" w:firstLineChars="0"/>
              <w:jc w:val="center"/>
              <w:textAlignment w:val="auto"/>
              <w:rPr>
                <w:color w:val="000000"/>
                <w:kern w:val="0"/>
                <w:sz w:val="18"/>
                <w:szCs w:val="18"/>
              </w:rPr>
            </w:pPr>
            <w:r>
              <w:rPr>
                <w:color w:val="000000"/>
                <w:kern w:val="0"/>
                <w:sz w:val="18"/>
                <w:szCs w:val="18"/>
              </w:rPr>
              <w:t>保证率日平均浓度和年平均浓度叠加值</w:t>
            </w:r>
          </w:p>
        </w:tc>
        <w:tc>
          <w:tcPr>
            <w:tcW w:w="2075" w:type="pct"/>
            <w:gridSpan w:val="9"/>
            <w:vAlign w:val="center"/>
          </w:tcPr>
          <w:p w14:paraId="13648636">
            <w:pPr>
              <w:keepNext w:val="0"/>
              <w:keepLines w:val="0"/>
              <w:pageBreakBefore w:val="0"/>
              <w:kinsoku/>
              <w:wordWrap/>
              <w:overflowPunct/>
              <w:topLinePunct w:val="0"/>
              <w:autoSpaceDE w:val="0"/>
              <w:autoSpaceDN w:val="0"/>
              <w:bidi w:val="0"/>
              <w:adjustRightInd w:val="0"/>
              <w:snapToGrid/>
              <w:spacing w:line="240" w:lineRule="auto"/>
              <w:ind w:firstLine="0" w:firstLineChars="0"/>
              <w:jc w:val="center"/>
              <w:textAlignment w:val="auto"/>
              <w:rPr>
                <w:color w:val="000000"/>
                <w:kern w:val="0"/>
                <w:sz w:val="18"/>
                <w:szCs w:val="18"/>
              </w:rPr>
            </w:pPr>
            <w:r>
              <w:rPr>
                <w:rFonts w:ascii="Cambria Math" w:hAnsi="Cambria Math" w:cs="Cambria Math"/>
                <w:color w:val="000000"/>
                <w:kern w:val="0"/>
                <w:sz w:val="18"/>
                <w:szCs w:val="18"/>
              </w:rPr>
              <w:t>𝐶</w:t>
            </w:r>
            <w:r>
              <w:rPr>
                <w:color w:val="000000"/>
                <w:kern w:val="0"/>
                <w:sz w:val="18"/>
                <w:szCs w:val="18"/>
              </w:rPr>
              <w:t>叠加达标□</w:t>
            </w:r>
          </w:p>
        </w:tc>
        <w:tc>
          <w:tcPr>
            <w:tcW w:w="1706" w:type="pct"/>
            <w:gridSpan w:val="9"/>
            <w:vAlign w:val="center"/>
          </w:tcPr>
          <w:p w14:paraId="76BA195E">
            <w:pPr>
              <w:keepNext w:val="0"/>
              <w:keepLines w:val="0"/>
              <w:pageBreakBefore w:val="0"/>
              <w:kinsoku/>
              <w:wordWrap/>
              <w:overflowPunct/>
              <w:topLinePunct w:val="0"/>
              <w:autoSpaceDE w:val="0"/>
              <w:autoSpaceDN w:val="0"/>
              <w:bidi w:val="0"/>
              <w:adjustRightInd w:val="0"/>
              <w:snapToGrid/>
              <w:spacing w:line="240" w:lineRule="auto"/>
              <w:ind w:firstLine="0" w:firstLineChars="0"/>
              <w:jc w:val="center"/>
              <w:textAlignment w:val="auto"/>
              <w:rPr>
                <w:color w:val="000000"/>
                <w:kern w:val="0"/>
                <w:sz w:val="18"/>
                <w:szCs w:val="18"/>
              </w:rPr>
            </w:pPr>
            <w:r>
              <w:rPr>
                <w:rFonts w:ascii="Cambria Math" w:hAnsi="Cambria Math" w:cs="Cambria Math"/>
                <w:color w:val="000000"/>
                <w:kern w:val="0"/>
                <w:sz w:val="18"/>
                <w:szCs w:val="18"/>
              </w:rPr>
              <w:t>𝐶</w:t>
            </w:r>
            <w:r>
              <w:rPr>
                <w:color w:val="000000"/>
                <w:kern w:val="0"/>
                <w:sz w:val="18"/>
                <w:szCs w:val="18"/>
              </w:rPr>
              <w:t>叠加不达标□</w:t>
            </w:r>
          </w:p>
        </w:tc>
      </w:tr>
      <w:tr w14:paraId="612A548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34" w:type="pct"/>
            <w:vMerge w:val="continue"/>
            <w:vAlign w:val="center"/>
          </w:tcPr>
          <w:p w14:paraId="35B4EC38">
            <w:pPr>
              <w:keepNext w:val="0"/>
              <w:keepLines w:val="0"/>
              <w:pageBreakBefore w:val="0"/>
              <w:widowControl/>
              <w:kinsoku/>
              <w:wordWrap/>
              <w:overflowPunct/>
              <w:topLinePunct w:val="0"/>
              <w:bidi w:val="0"/>
              <w:snapToGrid/>
              <w:spacing w:line="240" w:lineRule="auto"/>
              <w:ind w:firstLine="0" w:firstLineChars="0"/>
              <w:jc w:val="left"/>
              <w:textAlignment w:val="auto"/>
              <w:rPr>
                <w:color w:val="000000"/>
                <w:kern w:val="0"/>
                <w:sz w:val="18"/>
                <w:szCs w:val="18"/>
              </w:rPr>
            </w:pPr>
          </w:p>
        </w:tc>
        <w:tc>
          <w:tcPr>
            <w:tcW w:w="885" w:type="pct"/>
            <w:vAlign w:val="center"/>
          </w:tcPr>
          <w:p w14:paraId="05F205FA">
            <w:pPr>
              <w:keepNext w:val="0"/>
              <w:keepLines w:val="0"/>
              <w:pageBreakBefore w:val="0"/>
              <w:kinsoku/>
              <w:wordWrap/>
              <w:overflowPunct/>
              <w:topLinePunct w:val="0"/>
              <w:autoSpaceDE w:val="0"/>
              <w:autoSpaceDN w:val="0"/>
              <w:bidi w:val="0"/>
              <w:adjustRightInd w:val="0"/>
              <w:snapToGrid/>
              <w:spacing w:line="240" w:lineRule="auto"/>
              <w:ind w:firstLine="0" w:firstLineChars="0"/>
              <w:jc w:val="center"/>
              <w:textAlignment w:val="auto"/>
              <w:rPr>
                <w:color w:val="000000"/>
                <w:kern w:val="0"/>
                <w:sz w:val="18"/>
                <w:szCs w:val="18"/>
              </w:rPr>
            </w:pPr>
            <w:r>
              <w:rPr>
                <w:color w:val="000000"/>
                <w:kern w:val="0"/>
                <w:sz w:val="18"/>
                <w:szCs w:val="18"/>
              </w:rPr>
              <w:t>区域环境质量的整体变化情况</w:t>
            </w:r>
          </w:p>
        </w:tc>
        <w:tc>
          <w:tcPr>
            <w:tcW w:w="2075" w:type="pct"/>
            <w:gridSpan w:val="9"/>
            <w:vAlign w:val="center"/>
          </w:tcPr>
          <w:p w14:paraId="217DC131">
            <w:pPr>
              <w:keepNext w:val="0"/>
              <w:keepLines w:val="0"/>
              <w:pageBreakBefore w:val="0"/>
              <w:kinsoku/>
              <w:wordWrap/>
              <w:overflowPunct/>
              <w:topLinePunct w:val="0"/>
              <w:autoSpaceDE w:val="0"/>
              <w:autoSpaceDN w:val="0"/>
              <w:bidi w:val="0"/>
              <w:adjustRightInd w:val="0"/>
              <w:snapToGrid/>
              <w:spacing w:line="240" w:lineRule="auto"/>
              <w:ind w:firstLine="0" w:firstLineChars="0"/>
              <w:jc w:val="center"/>
              <w:textAlignment w:val="auto"/>
              <w:rPr>
                <w:color w:val="000000"/>
                <w:kern w:val="0"/>
                <w:sz w:val="18"/>
                <w:szCs w:val="18"/>
              </w:rPr>
            </w:pPr>
            <w:r>
              <w:rPr>
                <w:i/>
                <w:iCs/>
                <w:color w:val="000000"/>
                <w:kern w:val="0"/>
                <w:sz w:val="18"/>
                <w:szCs w:val="18"/>
              </w:rPr>
              <w:t xml:space="preserve">k </w:t>
            </w:r>
            <w:r>
              <w:rPr>
                <w:color w:val="000000"/>
                <w:kern w:val="0"/>
                <w:sz w:val="18"/>
                <w:szCs w:val="18"/>
              </w:rPr>
              <w:t>≤-20% □</w:t>
            </w:r>
          </w:p>
        </w:tc>
        <w:tc>
          <w:tcPr>
            <w:tcW w:w="1706" w:type="pct"/>
            <w:gridSpan w:val="9"/>
            <w:vAlign w:val="center"/>
          </w:tcPr>
          <w:p w14:paraId="50310141">
            <w:pPr>
              <w:keepNext w:val="0"/>
              <w:keepLines w:val="0"/>
              <w:pageBreakBefore w:val="0"/>
              <w:kinsoku/>
              <w:wordWrap/>
              <w:overflowPunct/>
              <w:topLinePunct w:val="0"/>
              <w:autoSpaceDE w:val="0"/>
              <w:autoSpaceDN w:val="0"/>
              <w:bidi w:val="0"/>
              <w:adjustRightInd w:val="0"/>
              <w:snapToGrid/>
              <w:spacing w:line="240" w:lineRule="auto"/>
              <w:ind w:firstLine="0" w:firstLineChars="0"/>
              <w:jc w:val="center"/>
              <w:textAlignment w:val="auto"/>
              <w:rPr>
                <w:color w:val="000000"/>
                <w:kern w:val="0"/>
                <w:sz w:val="18"/>
                <w:szCs w:val="18"/>
              </w:rPr>
            </w:pPr>
            <w:r>
              <w:rPr>
                <w:i/>
                <w:iCs/>
                <w:color w:val="000000"/>
                <w:kern w:val="0"/>
                <w:sz w:val="18"/>
                <w:szCs w:val="18"/>
              </w:rPr>
              <w:t xml:space="preserve">k </w:t>
            </w:r>
            <w:r>
              <w:rPr>
                <w:color w:val="000000"/>
                <w:kern w:val="0"/>
                <w:sz w:val="18"/>
                <w:szCs w:val="18"/>
              </w:rPr>
              <w:t>＞-20% □</w:t>
            </w:r>
          </w:p>
        </w:tc>
      </w:tr>
      <w:tr w14:paraId="2E4BE04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34" w:type="pct"/>
            <w:vMerge w:val="restart"/>
            <w:vAlign w:val="center"/>
          </w:tcPr>
          <w:p w14:paraId="70E00540">
            <w:pPr>
              <w:keepNext w:val="0"/>
              <w:keepLines w:val="0"/>
              <w:pageBreakBefore w:val="0"/>
              <w:kinsoku/>
              <w:wordWrap/>
              <w:overflowPunct/>
              <w:topLinePunct w:val="0"/>
              <w:autoSpaceDE w:val="0"/>
              <w:autoSpaceDN w:val="0"/>
              <w:bidi w:val="0"/>
              <w:adjustRightInd w:val="0"/>
              <w:snapToGrid/>
              <w:spacing w:line="240" w:lineRule="auto"/>
              <w:ind w:firstLine="0" w:firstLineChars="0"/>
              <w:jc w:val="center"/>
              <w:textAlignment w:val="auto"/>
              <w:rPr>
                <w:color w:val="000000"/>
                <w:kern w:val="0"/>
                <w:sz w:val="18"/>
                <w:szCs w:val="18"/>
              </w:rPr>
            </w:pPr>
            <w:r>
              <w:rPr>
                <w:color w:val="000000"/>
                <w:kern w:val="0"/>
                <w:sz w:val="18"/>
                <w:szCs w:val="18"/>
              </w:rPr>
              <w:t>环境监测计划</w:t>
            </w:r>
          </w:p>
        </w:tc>
        <w:tc>
          <w:tcPr>
            <w:tcW w:w="885" w:type="pct"/>
            <w:vAlign w:val="center"/>
          </w:tcPr>
          <w:p w14:paraId="109B5EBF">
            <w:pPr>
              <w:keepNext w:val="0"/>
              <w:keepLines w:val="0"/>
              <w:pageBreakBefore w:val="0"/>
              <w:kinsoku/>
              <w:wordWrap/>
              <w:overflowPunct/>
              <w:topLinePunct w:val="0"/>
              <w:autoSpaceDE w:val="0"/>
              <w:autoSpaceDN w:val="0"/>
              <w:bidi w:val="0"/>
              <w:adjustRightInd w:val="0"/>
              <w:snapToGrid/>
              <w:spacing w:line="240" w:lineRule="auto"/>
              <w:ind w:firstLine="0" w:firstLineChars="0"/>
              <w:jc w:val="center"/>
              <w:textAlignment w:val="auto"/>
              <w:rPr>
                <w:color w:val="000000"/>
                <w:kern w:val="0"/>
                <w:sz w:val="18"/>
                <w:szCs w:val="18"/>
              </w:rPr>
            </w:pPr>
            <w:r>
              <w:rPr>
                <w:color w:val="000000"/>
                <w:kern w:val="0"/>
                <w:sz w:val="18"/>
                <w:szCs w:val="18"/>
              </w:rPr>
              <w:t>污染源监测</w:t>
            </w:r>
          </w:p>
        </w:tc>
        <w:tc>
          <w:tcPr>
            <w:tcW w:w="1530" w:type="pct"/>
            <w:gridSpan w:val="7"/>
            <w:vAlign w:val="center"/>
          </w:tcPr>
          <w:p w14:paraId="4A919E97">
            <w:pPr>
              <w:keepNext w:val="0"/>
              <w:keepLines w:val="0"/>
              <w:pageBreakBefore w:val="0"/>
              <w:kinsoku/>
              <w:wordWrap/>
              <w:overflowPunct/>
              <w:topLinePunct w:val="0"/>
              <w:autoSpaceDE w:val="0"/>
              <w:autoSpaceDN w:val="0"/>
              <w:bidi w:val="0"/>
              <w:adjustRightInd w:val="0"/>
              <w:snapToGrid/>
              <w:spacing w:line="240" w:lineRule="auto"/>
              <w:ind w:firstLine="0" w:firstLineChars="0"/>
              <w:jc w:val="center"/>
              <w:textAlignment w:val="auto"/>
              <w:rPr>
                <w:color w:val="000000"/>
                <w:kern w:val="0"/>
                <w:sz w:val="18"/>
                <w:szCs w:val="18"/>
              </w:rPr>
            </w:pPr>
            <w:r>
              <w:rPr>
                <w:color w:val="000000"/>
                <w:kern w:val="0"/>
                <w:sz w:val="18"/>
                <w:szCs w:val="18"/>
              </w:rPr>
              <w:t>监测因子：（</w:t>
            </w:r>
            <w:r>
              <w:rPr>
                <w:rFonts w:hint="eastAsia"/>
                <w:color w:val="000000"/>
                <w:kern w:val="0"/>
                <w:sz w:val="18"/>
                <w:szCs w:val="18"/>
                <w:lang w:val="en-US" w:eastAsia="zh-CN"/>
              </w:rPr>
              <w:t>TVOCs</w:t>
            </w:r>
            <w:r>
              <w:rPr>
                <w:color w:val="000000"/>
                <w:kern w:val="0"/>
                <w:sz w:val="18"/>
                <w:szCs w:val="18"/>
              </w:rPr>
              <w:t>）</w:t>
            </w:r>
          </w:p>
        </w:tc>
        <w:tc>
          <w:tcPr>
            <w:tcW w:w="1584" w:type="pct"/>
            <w:gridSpan w:val="9"/>
            <w:vAlign w:val="center"/>
          </w:tcPr>
          <w:p w14:paraId="40B648BA">
            <w:pPr>
              <w:keepNext w:val="0"/>
              <w:keepLines w:val="0"/>
              <w:pageBreakBefore w:val="0"/>
              <w:kinsoku/>
              <w:wordWrap/>
              <w:overflowPunct/>
              <w:topLinePunct w:val="0"/>
              <w:autoSpaceDE w:val="0"/>
              <w:autoSpaceDN w:val="0"/>
              <w:bidi w:val="0"/>
              <w:adjustRightInd w:val="0"/>
              <w:snapToGrid/>
              <w:spacing w:line="240" w:lineRule="auto"/>
              <w:ind w:firstLine="0" w:firstLineChars="0"/>
              <w:jc w:val="center"/>
              <w:textAlignment w:val="auto"/>
              <w:rPr>
                <w:color w:val="000000"/>
                <w:kern w:val="0"/>
                <w:sz w:val="18"/>
                <w:szCs w:val="18"/>
              </w:rPr>
            </w:pPr>
            <w:r>
              <w:rPr>
                <w:color w:val="000000"/>
                <w:kern w:val="0"/>
                <w:sz w:val="18"/>
                <w:szCs w:val="18"/>
              </w:rPr>
              <w:t>有组织废气监测</w:t>
            </w:r>
            <w:r>
              <w:rPr>
                <w:color w:val="000000"/>
                <w:kern w:val="0"/>
                <w:sz w:val="18"/>
                <w:szCs w:val="18"/>
              </w:rPr>
              <w:sym w:font="Wingdings 2" w:char="0052"/>
            </w:r>
          </w:p>
          <w:p w14:paraId="2178BF40">
            <w:pPr>
              <w:keepNext w:val="0"/>
              <w:keepLines w:val="0"/>
              <w:pageBreakBefore w:val="0"/>
              <w:kinsoku/>
              <w:wordWrap/>
              <w:overflowPunct/>
              <w:topLinePunct w:val="0"/>
              <w:autoSpaceDE w:val="0"/>
              <w:autoSpaceDN w:val="0"/>
              <w:bidi w:val="0"/>
              <w:adjustRightInd w:val="0"/>
              <w:snapToGrid/>
              <w:spacing w:line="240" w:lineRule="auto"/>
              <w:ind w:firstLine="0" w:firstLineChars="0"/>
              <w:jc w:val="center"/>
              <w:textAlignment w:val="auto"/>
              <w:rPr>
                <w:color w:val="000000"/>
                <w:kern w:val="0"/>
                <w:sz w:val="18"/>
                <w:szCs w:val="18"/>
              </w:rPr>
            </w:pPr>
            <w:r>
              <w:rPr>
                <w:color w:val="000000"/>
                <w:kern w:val="0"/>
                <w:sz w:val="18"/>
                <w:szCs w:val="18"/>
              </w:rPr>
              <w:t>无组织废气监测</w:t>
            </w:r>
            <w:r>
              <w:rPr>
                <w:color w:val="000000"/>
                <w:kern w:val="0"/>
                <w:sz w:val="18"/>
                <w:szCs w:val="18"/>
              </w:rPr>
              <w:sym w:font="Wingdings 2" w:char="0052"/>
            </w:r>
          </w:p>
        </w:tc>
        <w:tc>
          <w:tcPr>
            <w:tcW w:w="667" w:type="pct"/>
            <w:gridSpan w:val="2"/>
            <w:vAlign w:val="center"/>
          </w:tcPr>
          <w:p w14:paraId="52BA591C">
            <w:pPr>
              <w:keepNext w:val="0"/>
              <w:keepLines w:val="0"/>
              <w:pageBreakBefore w:val="0"/>
              <w:kinsoku/>
              <w:wordWrap/>
              <w:overflowPunct/>
              <w:topLinePunct w:val="0"/>
              <w:autoSpaceDE w:val="0"/>
              <w:autoSpaceDN w:val="0"/>
              <w:bidi w:val="0"/>
              <w:adjustRightInd w:val="0"/>
              <w:snapToGrid/>
              <w:spacing w:line="240" w:lineRule="auto"/>
              <w:ind w:firstLine="0" w:firstLineChars="0"/>
              <w:jc w:val="center"/>
              <w:textAlignment w:val="auto"/>
              <w:rPr>
                <w:color w:val="000000"/>
                <w:kern w:val="0"/>
                <w:sz w:val="18"/>
                <w:szCs w:val="18"/>
              </w:rPr>
            </w:pPr>
            <w:r>
              <w:rPr>
                <w:color w:val="000000"/>
                <w:kern w:val="0"/>
                <w:sz w:val="18"/>
                <w:szCs w:val="18"/>
              </w:rPr>
              <w:t>无监测□</w:t>
            </w:r>
          </w:p>
        </w:tc>
      </w:tr>
      <w:tr w14:paraId="3B77627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34" w:type="pct"/>
            <w:vMerge w:val="continue"/>
            <w:vAlign w:val="center"/>
          </w:tcPr>
          <w:p w14:paraId="24171B4B">
            <w:pPr>
              <w:keepNext w:val="0"/>
              <w:keepLines w:val="0"/>
              <w:pageBreakBefore w:val="0"/>
              <w:widowControl/>
              <w:kinsoku/>
              <w:wordWrap/>
              <w:overflowPunct/>
              <w:topLinePunct w:val="0"/>
              <w:bidi w:val="0"/>
              <w:snapToGrid/>
              <w:spacing w:line="240" w:lineRule="auto"/>
              <w:ind w:firstLine="0" w:firstLineChars="0"/>
              <w:jc w:val="left"/>
              <w:textAlignment w:val="auto"/>
              <w:rPr>
                <w:color w:val="000000"/>
                <w:kern w:val="0"/>
                <w:sz w:val="18"/>
                <w:szCs w:val="18"/>
              </w:rPr>
            </w:pPr>
          </w:p>
        </w:tc>
        <w:tc>
          <w:tcPr>
            <w:tcW w:w="885" w:type="pct"/>
            <w:vAlign w:val="center"/>
          </w:tcPr>
          <w:p w14:paraId="73CDDE00">
            <w:pPr>
              <w:keepNext w:val="0"/>
              <w:keepLines w:val="0"/>
              <w:pageBreakBefore w:val="0"/>
              <w:kinsoku/>
              <w:wordWrap/>
              <w:overflowPunct/>
              <w:topLinePunct w:val="0"/>
              <w:autoSpaceDE w:val="0"/>
              <w:autoSpaceDN w:val="0"/>
              <w:bidi w:val="0"/>
              <w:adjustRightInd w:val="0"/>
              <w:snapToGrid/>
              <w:spacing w:line="240" w:lineRule="auto"/>
              <w:ind w:firstLine="0" w:firstLineChars="0"/>
              <w:jc w:val="center"/>
              <w:textAlignment w:val="auto"/>
              <w:rPr>
                <w:color w:val="000000"/>
                <w:kern w:val="0"/>
                <w:sz w:val="18"/>
                <w:szCs w:val="18"/>
              </w:rPr>
            </w:pPr>
            <w:r>
              <w:rPr>
                <w:color w:val="000000"/>
                <w:kern w:val="0"/>
                <w:sz w:val="18"/>
                <w:szCs w:val="18"/>
              </w:rPr>
              <w:t>环境质量监测</w:t>
            </w:r>
          </w:p>
        </w:tc>
        <w:tc>
          <w:tcPr>
            <w:tcW w:w="1530" w:type="pct"/>
            <w:gridSpan w:val="7"/>
            <w:vAlign w:val="center"/>
          </w:tcPr>
          <w:p w14:paraId="7C320E2C">
            <w:pPr>
              <w:keepNext w:val="0"/>
              <w:keepLines w:val="0"/>
              <w:pageBreakBefore w:val="0"/>
              <w:kinsoku/>
              <w:wordWrap/>
              <w:overflowPunct/>
              <w:topLinePunct w:val="0"/>
              <w:autoSpaceDE w:val="0"/>
              <w:autoSpaceDN w:val="0"/>
              <w:bidi w:val="0"/>
              <w:adjustRightInd w:val="0"/>
              <w:snapToGrid/>
              <w:spacing w:line="240" w:lineRule="auto"/>
              <w:ind w:firstLine="0" w:firstLineChars="0"/>
              <w:jc w:val="center"/>
              <w:textAlignment w:val="auto"/>
              <w:rPr>
                <w:color w:val="000000"/>
                <w:kern w:val="0"/>
                <w:sz w:val="18"/>
                <w:szCs w:val="18"/>
              </w:rPr>
            </w:pPr>
            <w:r>
              <w:rPr>
                <w:color w:val="000000"/>
                <w:kern w:val="0"/>
                <w:sz w:val="18"/>
                <w:szCs w:val="18"/>
              </w:rPr>
              <w:t>监测因子：（</w:t>
            </w:r>
            <w:r>
              <w:rPr>
                <w:sz w:val="18"/>
                <w:szCs w:val="18"/>
              </w:rPr>
              <w:t>无</w:t>
            </w:r>
            <w:r>
              <w:rPr>
                <w:color w:val="000000"/>
                <w:kern w:val="0"/>
                <w:sz w:val="18"/>
                <w:szCs w:val="18"/>
              </w:rPr>
              <w:t>）</w:t>
            </w:r>
          </w:p>
        </w:tc>
        <w:tc>
          <w:tcPr>
            <w:tcW w:w="1584" w:type="pct"/>
            <w:gridSpan w:val="9"/>
            <w:vAlign w:val="center"/>
          </w:tcPr>
          <w:p w14:paraId="695A4240">
            <w:pPr>
              <w:keepNext w:val="0"/>
              <w:keepLines w:val="0"/>
              <w:pageBreakBefore w:val="0"/>
              <w:kinsoku/>
              <w:wordWrap/>
              <w:overflowPunct/>
              <w:topLinePunct w:val="0"/>
              <w:autoSpaceDE w:val="0"/>
              <w:autoSpaceDN w:val="0"/>
              <w:bidi w:val="0"/>
              <w:adjustRightInd w:val="0"/>
              <w:snapToGrid/>
              <w:spacing w:line="240" w:lineRule="auto"/>
              <w:ind w:firstLine="0" w:firstLineChars="0"/>
              <w:jc w:val="center"/>
              <w:textAlignment w:val="auto"/>
              <w:rPr>
                <w:color w:val="000000"/>
                <w:kern w:val="0"/>
                <w:sz w:val="18"/>
                <w:szCs w:val="18"/>
              </w:rPr>
            </w:pPr>
            <w:r>
              <w:rPr>
                <w:color w:val="000000"/>
                <w:kern w:val="0"/>
                <w:sz w:val="18"/>
                <w:szCs w:val="18"/>
              </w:rPr>
              <w:t>监测点位数（ ）</w:t>
            </w:r>
          </w:p>
        </w:tc>
        <w:tc>
          <w:tcPr>
            <w:tcW w:w="667" w:type="pct"/>
            <w:gridSpan w:val="2"/>
            <w:vAlign w:val="center"/>
          </w:tcPr>
          <w:p w14:paraId="0299A880">
            <w:pPr>
              <w:keepNext w:val="0"/>
              <w:keepLines w:val="0"/>
              <w:pageBreakBefore w:val="0"/>
              <w:kinsoku/>
              <w:wordWrap/>
              <w:overflowPunct/>
              <w:topLinePunct w:val="0"/>
              <w:autoSpaceDE w:val="0"/>
              <w:autoSpaceDN w:val="0"/>
              <w:bidi w:val="0"/>
              <w:adjustRightInd w:val="0"/>
              <w:snapToGrid/>
              <w:spacing w:line="240" w:lineRule="auto"/>
              <w:ind w:firstLine="0" w:firstLineChars="0"/>
              <w:jc w:val="center"/>
              <w:textAlignment w:val="auto"/>
              <w:rPr>
                <w:color w:val="000000"/>
                <w:kern w:val="0"/>
                <w:sz w:val="18"/>
                <w:szCs w:val="18"/>
              </w:rPr>
            </w:pPr>
            <w:r>
              <w:rPr>
                <w:color w:val="000000"/>
                <w:kern w:val="0"/>
                <w:sz w:val="18"/>
                <w:szCs w:val="18"/>
              </w:rPr>
              <w:t>无监测□</w:t>
            </w:r>
          </w:p>
        </w:tc>
      </w:tr>
      <w:tr w14:paraId="3BC8148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34" w:type="pct"/>
            <w:vMerge w:val="restart"/>
            <w:vAlign w:val="center"/>
          </w:tcPr>
          <w:p w14:paraId="7BE541D5">
            <w:pPr>
              <w:keepNext w:val="0"/>
              <w:keepLines w:val="0"/>
              <w:pageBreakBefore w:val="0"/>
              <w:kinsoku/>
              <w:wordWrap/>
              <w:overflowPunct/>
              <w:topLinePunct w:val="0"/>
              <w:autoSpaceDE w:val="0"/>
              <w:autoSpaceDN w:val="0"/>
              <w:bidi w:val="0"/>
              <w:adjustRightInd w:val="0"/>
              <w:snapToGrid/>
              <w:spacing w:line="240" w:lineRule="auto"/>
              <w:ind w:firstLine="0" w:firstLineChars="0"/>
              <w:jc w:val="center"/>
              <w:textAlignment w:val="auto"/>
              <w:rPr>
                <w:color w:val="000000"/>
                <w:kern w:val="0"/>
                <w:sz w:val="18"/>
                <w:szCs w:val="18"/>
              </w:rPr>
            </w:pPr>
            <w:r>
              <w:rPr>
                <w:color w:val="000000"/>
                <w:kern w:val="0"/>
                <w:sz w:val="18"/>
                <w:szCs w:val="18"/>
              </w:rPr>
              <w:t>评价结论</w:t>
            </w:r>
          </w:p>
        </w:tc>
        <w:tc>
          <w:tcPr>
            <w:tcW w:w="885" w:type="pct"/>
            <w:vAlign w:val="center"/>
          </w:tcPr>
          <w:p w14:paraId="342163DF">
            <w:pPr>
              <w:keepNext w:val="0"/>
              <w:keepLines w:val="0"/>
              <w:pageBreakBefore w:val="0"/>
              <w:kinsoku/>
              <w:wordWrap/>
              <w:overflowPunct/>
              <w:topLinePunct w:val="0"/>
              <w:autoSpaceDE w:val="0"/>
              <w:autoSpaceDN w:val="0"/>
              <w:bidi w:val="0"/>
              <w:adjustRightInd w:val="0"/>
              <w:snapToGrid/>
              <w:spacing w:line="240" w:lineRule="auto"/>
              <w:ind w:firstLine="0" w:firstLineChars="0"/>
              <w:jc w:val="center"/>
              <w:textAlignment w:val="auto"/>
              <w:rPr>
                <w:color w:val="000000"/>
                <w:kern w:val="0"/>
                <w:sz w:val="18"/>
                <w:szCs w:val="18"/>
              </w:rPr>
            </w:pPr>
            <w:r>
              <w:rPr>
                <w:color w:val="000000"/>
                <w:kern w:val="0"/>
                <w:sz w:val="18"/>
                <w:szCs w:val="18"/>
              </w:rPr>
              <w:t>环境影响</w:t>
            </w:r>
          </w:p>
        </w:tc>
        <w:tc>
          <w:tcPr>
            <w:tcW w:w="3781" w:type="pct"/>
            <w:gridSpan w:val="18"/>
            <w:vAlign w:val="center"/>
          </w:tcPr>
          <w:p w14:paraId="1E39D315">
            <w:pPr>
              <w:keepNext w:val="0"/>
              <w:keepLines w:val="0"/>
              <w:pageBreakBefore w:val="0"/>
              <w:kinsoku/>
              <w:wordWrap/>
              <w:overflowPunct/>
              <w:topLinePunct w:val="0"/>
              <w:autoSpaceDE w:val="0"/>
              <w:autoSpaceDN w:val="0"/>
              <w:bidi w:val="0"/>
              <w:adjustRightInd w:val="0"/>
              <w:snapToGrid/>
              <w:spacing w:line="240" w:lineRule="auto"/>
              <w:ind w:firstLine="0" w:firstLineChars="0"/>
              <w:jc w:val="center"/>
              <w:textAlignment w:val="auto"/>
              <w:rPr>
                <w:color w:val="000000"/>
                <w:kern w:val="0"/>
                <w:sz w:val="18"/>
                <w:szCs w:val="18"/>
              </w:rPr>
            </w:pPr>
            <w:r>
              <w:rPr>
                <w:color w:val="000000"/>
                <w:kern w:val="0"/>
                <w:sz w:val="18"/>
                <w:szCs w:val="18"/>
              </w:rPr>
              <w:t>可以接受</w:t>
            </w:r>
            <w:r>
              <w:rPr>
                <w:color w:val="000000"/>
                <w:kern w:val="0"/>
                <w:sz w:val="18"/>
                <w:szCs w:val="18"/>
              </w:rPr>
              <w:sym w:font="Wingdings 2" w:char="0052"/>
            </w:r>
            <w:r>
              <w:rPr>
                <w:color w:val="000000"/>
                <w:kern w:val="0"/>
                <w:sz w:val="18"/>
                <w:szCs w:val="18"/>
              </w:rPr>
              <w:t>不可以接受□</w:t>
            </w:r>
          </w:p>
        </w:tc>
      </w:tr>
      <w:tr w14:paraId="63E0360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34" w:type="pct"/>
            <w:vMerge w:val="continue"/>
            <w:vAlign w:val="center"/>
          </w:tcPr>
          <w:p w14:paraId="40E45DA2">
            <w:pPr>
              <w:keepNext w:val="0"/>
              <w:keepLines w:val="0"/>
              <w:pageBreakBefore w:val="0"/>
              <w:widowControl/>
              <w:kinsoku/>
              <w:wordWrap/>
              <w:overflowPunct/>
              <w:topLinePunct w:val="0"/>
              <w:bidi w:val="0"/>
              <w:snapToGrid/>
              <w:spacing w:line="240" w:lineRule="auto"/>
              <w:ind w:firstLine="0" w:firstLineChars="0"/>
              <w:jc w:val="left"/>
              <w:textAlignment w:val="auto"/>
              <w:rPr>
                <w:color w:val="000000"/>
                <w:kern w:val="0"/>
                <w:sz w:val="18"/>
                <w:szCs w:val="18"/>
              </w:rPr>
            </w:pPr>
          </w:p>
        </w:tc>
        <w:tc>
          <w:tcPr>
            <w:tcW w:w="885" w:type="pct"/>
            <w:vAlign w:val="center"/>
          </w:tcPr>
          <w:p w14:paraId="2AE83444">
            <w:pPr>
              <w:keepNext w:val="0"/>
              <w:keepLines w:val="0"/>
              <w:pageBreakBefore w:val="0"/>
              <w:kinsoku/>
              <w:wordWrap/>
              <w:overflowPunct/>
              <w:topLinePunct w:val="0"/>
              <w:autoSpaceDE w:val="0"/>
              <w:autoSpaceDN w:val="0"/>
              <w:bidi w:val="0"/>
              <w:adjustRightInd w:val="0"/>
              <w:snapToGrid/>
              <w:spacing w:line="240" w:lineRule="auto"/>
              <w:ind w:firstLine="0" w:firstLineChars="0"/>
              <w:jc w:val="center"/>
              <w:textAlignment w:val="auto"/>
              <w:rPr>
                <w:color w:val="000000"/>
                <w:kern w:val="0"/>
                <w:sz w:val="18"/>
                <w:szCs w:val="18"/>
              </w:rPr>
            </w:pPr>
            <w:r>
              <w:rPr>
                <w:color w:val="000000"/>
                <w:kern w:val="0"/>
                <w:sz w:val="18"/>
                <w:szCs w:val="18"/>
              </w:rPr>
              <w:t>大气环境防护距离</w:t>
            </w:r>
          </w:p>
        </w:tc>
        <w:tc>
          <w:tcPr>
            <w:tcW w:w="3781" w:type="pct"/>
            <w:gridSpan w:val="18"/>
            <w:vAlign w:val="center"/>
          </w:tcPr>
          <w:p w14:paraId="3CA735B6">
            <w:pPr>
              <w:keepNext w:val="0"/>
              <w:keepLines w:val="0"/>
              <w:pageBreakBefore w:val="0"/>
              <w:kinsoku/>
              <w:wordWrap/>
              <w:overflowPunct/>
              <w:topLinePunct w:val="0"/>
              <w:autoSpaceDE w:val="0"/>
              <w:autoSpaceDN w:val="0"/>
              <w:bidi w:val="0"/>
              <w:adjustRightInd w:val="0"/>
              <w:snapToGrid/>
              <w:spacing w:line="240" w:lineRule="auto"/>
              <w:ind w:firstLine="0" w:firstLineChars="0"/>
              <w:jc w:val="center"/>
              <w:textAlignment w:val="auto"/>
              <w:rPr>
                <w:color w:val="000000"/>
                <w:kern w:val="0"/>
                <w:sz w:val="18"/>
                <w:szCs w:val="18"/>
              </w:rPr>
            </w:pPr>
            <w:r>
              <w:rPr>
                <w:color w:val="000000"/>
                <w:kern w:val="0"/>
                <w:sz w:val="18"/>
                <w:szCs w:val="18"/>
              </w:rPr>
              <w:t>距（）厂界最远（）m</w:t>
            </w:r>
          </w:p>
        </w:tc>
      </w:tr>
      <w:tr w14:paraId="4CE4F49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34" w:type="pct"/>
            <w:vMerge w:val="continue"/>
            <w:vAlign w:val="center"/>
          </w:tcPr>
          <w:p w14:paraId="4571E35E">
            <w:pPr>
              <w:keepNext w:val="0"/>
              <w:keepLines w:val="0"/>
              <w:pageBreakBefore w:val="0"/>
              <w:widowControl/>
              <w:kinsoku/>
              <w:wordWrap/>
              <w:overflowPunct/>
              <w:topLinePunct w:val="0"/>
              <w:bidi w:val="0"/>
              <w:snapToGrid/>
              <w:spacing w:line="240" w:lineRule="auto"/>
              <w:ind w:firstLine="0" w:firstLineChars="0"/>
              <w:jc w:val="left"/>
              <w:textAlignment w:val="auto"/>
              <w:rPr>
                <w:color w:val="000000"/>
                <w:kern w:val="0"/>
                <w:sz w:val="18"/>
                <w:szCs w:val="18"/>
              </w:rPr>
            </w:pPr>
          </w:p>
        </w:tc>
        <w:tc>
          <w:tcPr>
            <w:tcW w:w="885" w:type="pct"/>
            <w:vAlign w:val="center"/>
          </w:tcPr>
          <w:p w14:paraId="4AEF5B61">
            <w:pPr>
              <w:keepNext w:val="0"/>
              <w:keepLines w:val="0"/>
              <w:pageBreakBefore w:val="0"/>
              <w:kinsoku/>
              <w:wordWrap/>
              <w:overflowPunct/>
              <w:topLinePunct w:val="0"/>
              <w:autoSpaceDE w:val="0"/>
              <w:autoSpaceDN w:val="0"/>
              <w:bidi w:val="0"/>
              <w:adjustRightInd w:val="0"/>
              <w:snapToGrid/>
              <w:spacing w:line="240" w:lineRule="auto"/>
              <w:ind w:firstLine="0" w:firstLineChars="0"/>
              <w:jc w:val="center"/>
              <w:textAlignment w:val="auto"/>
              <w:rPr>
                <w:color w:val="000000"/>
                <w:kern w:val="0"/>
                <w:sz w:val="18"/>
                <w:szCs w:val="18"/>
              </w:rPr>
            </w:pPr>
            <w:r>
              <w:rPr>
                <w:color w:val="000000"/>
                <w:kern w:val="0"/>
                <w:sz w:val="18"/>
                <w:szCs w:val="18"/>
              </w:rPr>
              <w:t>污染源年排放量</w:t>
            </w:r>
          </w:p>
        </w:tc>
        <w:tc>
          <w:tcPr>
            <w:tcW w:w="883" w:type="pct"/>
            <w:gridSpan w:val="3"/>
            <w:vAlign w:val="center"/>
          </w:tcPr>
          <w:p w14:paraId="0AD479DF">
            <w:pPr>
              <w:keepNext w:val="0"/>
              <w:keepLines w:val="0"/>
              <w:pageBreakBefore w:val="0"/>
              <w:kinsoku/>
              <w:wordWrap/>
              <w:overflowPunct/>
              <w:topLinePunct w:val="0"/>
              <w:autoSpaceDE w:val="0"/>
              <w:autoSpaceDN w:val="0"/>
              <w:bidi w:val="0"/>
              <w:adjustRightInd w:val="0"/>
              <w:snapToGrid/>
              <w:spacing w:line="240" w:lineRule="auto"/>
              <w:ind w:firstLine="0" w:firstLineChars="0"/>
              <w:jc w:val="center"/>
              <w:textAlignment w:val="auto"/>
              <w:rPr>
                <w:color w:val="000000"/>
                <w:kern w:val="0"/>
                <w:sz w:val="18"/>
                <w:szCs w:val="18"/>
              </w:rPr>
            </w:pPr>
            <w:r>
              <w:rPr>
                <w:color w:val="000000"/>
                <w:kern w:val="0"/>
                <w:sz w:val="18"/>
                <w:szCs w:val="18"/>
              </w:rPr>
              <w:t>SO</w:t>
            </w:r>
            <w:r>
              <w:rPr>
                <w:color w:val="000000"/>
                <w:kern w:val="0"/>
                <w:sz w:val="18"/>
                <w:szCs w:val="18"/>
                <w:vertAlign w:val="subscript"/>
              </w:rPr>
              <w:t>2</w:t>
            </w:r>
            <w:r>
              <w:rPr>
                <w:color w:val="000000"/>
                <w:kern w:val="0"/>
                <w:sz w:val="18"/>
                <w:szCs w:val="18"/>
              </w:rPr>
              <w:t>:（</w:t>
            </w:r>
            <w:r>
              <w:rPr>
                <w:sz w:val="18"/>
                <w:szCs w:val="18"/>
              </w:rPr>
              <w:t>0</w:t>
            </w:r>
            <w:r>
              <w:rPr>
                <w:color w:val="000000"/>
                <w:kern w:val="0"/>
                <w:sz w:val="18"/>
                <w:szCs w:val="18"/>
              </w:rPr>
              <w:t>）t/a</w:t>
            </w:r>
          </w:p>
        </w:tc>
        <w:tc>
          <w:tcPr>
            <w:tcW w:w="1192" w:type="pct"/>
            <w:gridSpan w:val="6"/>
            <w:vAlign w:val="center"/>
          </w:tcPr>
          <w:p w14:paraId="3C0D653D">
            <w:pPr>
              <w:keepNext w:val="0"/>
              <w:keepLines w:val="0"/>
              <w:pageBreakBefore w:val="0"/>
              <w:kinsoku/>
              <w:wordWrap/>
              <w:overflowPunct/>
              <w:topLinePunct w:val="0"/>
              <w:autoSpaceDE w:val="0"/>
              <w:autoSpaceDN w:val="0"/>
              <w:bidi w:val="0"/>
              <w:adjustRightInd w:val="0"/>
              <w:snapToGrid/>
              <w:spacing w:line="240" w:lineRule="auto"/>
              <w:ind w:firstLine="0" w:firstLineChars="0"/>
              <w:jc w:val="center"/>
              <w:textAlignment w:val="auto"/>
              <w:rPr>
                <w:color w:val="000000"/>
                <w:kern w:val="0"/>
                <w:sz w:val="18"/>
                <w:szCs w:val="18"/>
              </w:rPr>
            </w:pPr>
            <w:r>
              <w:rPr>
                <w:color w:val="000000"/>
                <w:kern w:val="0"/>
                <w:sz w:val="18"/>
                <w:szCs w:val="18"/>
              </w:rPr>
              <w:t>NOx:（</w:t>
            </w:r>
            <w:r>
              <w:rPr>
                <w:sz w:val="18"/>
                <w:szCs w:val="18"/>
              </w:rPr>
              <w:t>0</w:t>
            </w:r>
            <w:r>
              <w:rPr>
                <w:color w:val="000000"/>
                <w:kern w:val="0"/>
                <w:sz w:val="18"/>
                <w:szCs w:val="18"/>
              </w:rPr>
              <w:t>）t/a</w:t>
            </w:r>
          </w:p>
        </w:tc>
        <w:tc>
          <w:tcPr>
            <w:tcW w:w="1015" w:type="pct"/>
            <w:gridSpan w:val="6"/>
            <w:vAlign w:val="center"/>
          </w:tcPr>
          <w:p w14:paraId="3FE51FBC">
            <w:pPr>
              <w:keepNext w:val="0"/>
              <w:keepLines w:val="0"/>
              <w:pageBreakBefore w:val="0"/>
              <w:kinsoku/>
              <w:wordWrap/>
              <w:overflowPunct/>
              <w:topLinePunct w:val="0"/>
              <w:autoSpaceDE w:val="0"/>
              <w:autoSpaceDN w:val="0"/>
              <w:bidi w:val="0"/>
              <w:adjustRightInd w:val="0"/>
              <w:snapToGrid/>
              <w:spacing w:line="240" w:lineRule="auto"/>
              <w:ind w:firstLine="0" w:firstLineChars="0"/>
              <w:jc w:val="center"/>
              <w:textAlignment w:val="auto"/>
              <w:rPr>
                <w:color w:val="000000"/>
                <w:kern w:val="0"/>
                <w:sz w:val="18"/>
                <w:szCs w:val="18"/>
              </w:rPr>
            </w:pPr>
            <w:r>
              <w:rPr>
                <w:color w:val="000000"/>
                <w:kern w:val="0"/>
                <w:sz w:val="18"/>
                <w:szCs w:val="18"/>
              </w:rPr>
              <w:t>颗粒物:（</w:t>
            </w:r>
            <w:r>
              <w:rPr>
                <w:sz w:val="18"/>
                <w:szCs w:val="18"/>
              </w:rPr>
              <w:t>0</w:t>
            </w:r>
            <w:r>
              <w:rPr>
                <w:color w:val="000000"/>
                <w:kern w:val="0"/>
                <w:sz w:val="18"/>
                <w:szCs w:val="18"/>
              </w:rPr>
              <w:t>）t/a</w:t>
            </w:r>
          </w:p>
        </w:tc>
        <w:tc>
          <w:tcPr>
            <w:tcW w:w="691" w:type="pct"/>
            <w:gridSpan w:val="3"/>
            <w:vAlign w:val="center"/>
          </w:tcPr>
          <w:p w14:paraId="1275F8AA">
            <w:pPr>
              <w:keepNext w:val="0"/>
              <w:keepLines w:val="0"/>
              <w:pageBreakBefore w:val="0"/>
              <w:kinsoku/>
              <w:wordWrap/>
              <w:overflowPunct/>
              <w:topLinePunct w:val="0"/>
              <w:autoSpaceDE w:val="0"/>
              <w:autoSpaceDN w:val="0"/>
              <w:bidi w:val="0"/>
              <w:adjustRightInd w:val="0"/>
              <w:snapToGrid/>
              <w:spacing w:line="240" w:lineRule="auto"/>
              <w:ind w:firstLine="0" w:firstLineChars="0"/>
              <w:jc w:val="center"/>
              <w:textAlignment w:val="auto"/>
              <w:rPr>
                <w:color w:val="000000"/>
                <w:kern w:val="0"/>
                <w:sz w:val="18"/>
                <w:szCs w:val="18"/>
              </w:rPr>
            </w:pPr>
            <w:r>
              <w:rPr>
                <w:color w:val="000000"/>
                <w:kern w:val="0"/>
                <w:sz w:val="18"/>
                <w:szCs w:val="18"/>
              </w:rPr>
              <w:t>VOCs:（</w:t>
            </w:r>
            <w:r>
              <w:rPr>
                <w:rFonts w:hint="eastAsia"/>
                <w:color w:val="000000"/>
                <w:kern w:val="0"/>
                <w:sz w:val="18"/>
                <w:szCs w:val="18"/>
                <w:lang w:val="en-US" w:eastAsia="zh-CN"/>
              </w:rPr>
              <w:t>1.059</w:t>
            </w:r>
            <w:r>
              <w:rPr>
                <w:color w:val="000000"/>
                <w:kern w:val="0"/>
                <w:sz w:val="18"/>
                <w:szCs w:val="18"/>
              </w:rPr>
              <w:t>）t/a</w:t>
            </w:r>
          </w:p>
        </w:tc>
      </w:tr>
    </w:tbl>
    <w:p w14:paraId="6B5A4CEE">
      <w:pPr>
        <w:bidi w:val="0"/>
        <w:rPr>
          <w:rFonts w:hint="default"/>
        </w:rPr>
      </w:pPr>
      <w:bookmarkStart w:id="404" w:name="_Toc477422018"/>
      <w:bookmarkStart w:id="405" w:name="_Toc202324100"/>
      <w:r>
        <w:rPr>
          <w:rFonts w:hint="eastAsia"/>
          <w:lang w:val="en-US" w:eastAsia="zh-CN"/>
        </w:rPr>
        <w:t>6、</w:t>
      </w:r>
      <w:r>
        <w:rPr>
          <w:rFonts w:hint="default"/>
        </w:rPr>
        <w:t>大气环境防护距离</w:t>
      </w:r>
    </w:p>
    <w:p w14:paraId="4BB5EB6A">
      <w:pPr>
        <w:bidi w:val="0"/>
        <w:rPr>
          <w:rFonts w:hint="eastAsia" w:eastAsia="宋体"/>
          <w:lang w:val="en-US" w:eastAsia="zh-CN"/>
        </w:rPr>
      </w:pPr>
      <w:r>
        <w:rPr>
          <w:rFonts w:hint="default"/>
        </w:rPr>
        <w:t>依据</w:t>
      </w:r>
      <w:r>
        <w:rPr>
          <w:rFonts w:hint="default"/>
          <w:lang w:val="en-US" w:eastAsia="zh-CN"/>
        </w:rPr>
        <w:t>《环境影响评价技术导则-大气环境》(HJ2.2-2018)</w:t>
      </w:r>
      <w:r>
        <w:rPr>
          <w:rFonts w:hint="default"/>
        </w:rPr>
        <w:t>要求，</w:t>
      </w:r>
      <w:r>
        <w:rPr>
          <w:rFonts w:hint="eastAsia"/>
          <w:lang w:eastAsia="zh-CN"/>
        </w:rPr>
        <w:t>本项目为大气环境三级评价</w:t>
      </w:r>
      <w:r>
        <w:rPr>
          <w:rFonts w:hint="default"/>
        </w:rPr>
        <w:t>，故无需设大气环境防护距离。</w:t>
      </w:r>
    </w:p>
    <w:p w14:paraId="7E9BA162">
      <w:pPr>
        <w:pStyle w:val="5"/>
        <w:bidi w:val="0"/>
      </w:pPr>
      <w:r>
        <w:rPr>
          <w:rFonts w:hint="eastAsia"/>
          <w:lang w:val="en-US" w:eastAsia="zh-CN"/>
        </w:rPr>
        <w:t>7</w:t>
      </w:r>
      <w:r>
        <w:t>.</w:t>
      </w:r>
      <w:bookmarkEnd w:id="404"/>
      <w:bookmarkEnd w:id="405"/>
      <w:bookmarkStart w:id="406" w:name="_Toc202324101"/>
      <w:bookmarkStart w:id="407" w:name="_Toc477422019"/>
      <w:r>
        <w:t>2.2地表水环境影响预测与评价</w:t>
      </w:r>
    </w:p>
    <w:p w14:paraId="54658FA0">
      <w:pPr>
        <w:pStyle w:val="6"/>
        <w:bidi w:val="0"/>
      </w:pPr>
      <w:r>
        <w:rPr>
          <w:rFonts w:hint="eastAsia"/>
          <w:lang w:val="en-US" w:eastAsia="zh-CN"/>
        </w:rPr>
        <w:t>7</w:t>
      </w:r>
      <w:r>
        <w:t>.2.2.1</w:t>
      </w:r>
      <w:r>
        <w:rPr>
          <w:rFonts w:hint="eastAsia"/>
          <w:lang w:eastAsia="zh-CN"/>
        </w:rPr>
        <w:t>项目废水产生情况</w:t>
      </w:r>
    </w:p>
    <w:p w14:paraId="18C137E7">
      <w:pPr>
        <w:bidi w:val="0"/>
      </w:pPr>
      <w:r>
        <w:rPr>
          <w:rFonts w:hint="eastAsia"/>
        </w:rPr>
        <w:t>本项目运营期产生的废水主要为生活废水和生产废水。</w:t>
      </w:r>
    </w:p>
    <w:p w14:paraId="630B2575">
      <w:pPr>
        <w:bidi w:val="0"/>
        <w:rPr>
          <w:rFonts w:hint="eastAsia" w:eastAsia="宋体"/>
          <w:lang w:eastAsia="zh-CN"/>
        </w:rPr>
      </w:pPr>
      <w:r>
        <w:rPr>
          <w:rFonts w:hint="eastAsia"/>
          <w:lang w:eastAsia="zh-CN"/>
        </w:rPr>
        <w:t>项目生活污水排入企业现有化粪池后，定期清掏做农肥。生产废水经污水处理设施处理后全部回用不外排。</w:t>
      </w:r>
    </w:p>
    <w:p w14:paraId="11DD3933">
      <w:pPr>
        <w:pStyle w:val="6"/>
        <w:bidi w:val="0"/>
        <w:rPr>
          <w:rFonts w:hint="default"/>
          <w:lang w:val="en-US" w:eastAsia="zh-CN"/>
        </w:rPr>
      </w:pPr>
      <w:r>
        <w:rPr>
          <w:rFonts w:hint="eastAsia"/>
          <w:lang w:val="en-US" w:eastAsia="zh-CN"/>
        </w:rPr>
        <w:t>7.2.2.2废水回用及依托设施可行性分析</w:t>
      </w:r>
    </w:p>
    <w:p w14:paraId="64763537">
      <w:pPr>
        <w:bidi w:val="0"/>
        <w:rPr>
          <w:rFonts w:hint="default"/>
          <w:lang w:val="en-US" w:eastAsia="zh-CN"/>
        </w:rPr>
      </w:pPr>
      <w:r>
        <w:rPr>
          <w:rFonts w:hint="eastAsia"/>
          <w:lang w:val="en-US" w:eastAsia="zh-CN"/>
        </w:rPr>
        <w:t>（1）生活废水依托现有化粪池可行性分析</w:t>
      </w:r>
    </w:p>
    <w:p w14:paraId="0B735816">
      <w:pPr>
        <w:bidi w:val="0"/>
        <w:rPr>
          <w:rFonts w:hint="eastAsia"/>
          <w:lang w:val="en-US" w:eastAsia="zh-CN"/>
        </w:rPr>
      </w:pPr>
      <w:r>
        <w:rPr>
          <w:rFonts w:hint="eastAsia"/>
          <w:lang w:val="en-US" w:eastAsia="zh-CN"/>
        </w:rPr>
        <w:t>本项目投产后共有员工10人，生活用水量按每人每天50L计算，年工作天数300天，废水产生率已0.8计算，则项目建成运营后生活污水产生量约为120m</w:t>
      </w:r>
      <w:r>
        <w:rPr>
          <w:rFonts w:hint="eastAsia"/>
          <w:vertAlign w:val="superscript"/>
          <w:lang w:val="en-US" w:eastAsia="zh-CN"/>
        </w:rPr>
        <w:t>3</w:t>
      </w:r>
      <w:r>
        <w:rPr>
          <w:rFonts w:hint="eastAsia"/>
          <w:lang w:val="en-US" w:eastAsia="zh-CN"/>
        </w:rPr>
        <w:t>/a。生活污水主要污染物为SS、COD、BOD5和氨氮。项目产生的生活污水排入企业现有化粪池内，定期清掏，不外排。</w:t>
      </w:r>
    </w:p>
    <w:p w14:paraId="164FCB1D">
      <w:pPr>
        <w:bidi w:val="0"/>
        <w:rPr>
          <w:rFonts w:hint="default"/>
          <w:lang w:val="en-US" w:eastAsia="zh-CN"/>
        </w:rPr>
      </w:pPr>
      <w:r>
        <w:rPr>
          <w:rFonts w:hint="eastAsia" w:ascii="Times New Roman" w:hAnsi="Times New Roman"/>
          <w:lang w:val="en-US" w:eastAsia="zh-CN"/>
        </w:rPr>
        <w:t>本溪佰汇铜业有限公司现有</w:t>
      </w:r>
      <w:r>
        <w:rPr>
          <w:rFonts w:hint="eastAsia"/>
          <w:lang w:val="en-US" w:eastAsia="zh-CN"/>
        </w:rPr>
        <w:t>员工46人，生活污水产生量为239.2t/a，企业设置200m</w:t>
      </w:r>
      <w:r>
        <w:rPr>
          <w:rFonts w:hint="eastAsia"/>
          <w:vertAlign w:val="superscript"/>
          <w:lang w:val="en-US" w:eastAsia="zh-CN"/>
        </w:rPr>
        <w:t>3</w:t>
      </w:r>
      <w:r>
        <w:rPr>
          <w:rFonts w:hint="eastAsia"/>
          <w:lang w:val="en-US" w:eastAsia="zh-CN"/>
        </w:rPr>
        <w:t>化粪池一座，每半年清掏一次，化粪池内最大污水贮存量为119.6t，剩余80.4m</w:t>
      </w:r>
      <w:r>
        <w:rPr>
          <w:rFonts w:hint="eastAsia"/>
          <w:vertAlign w:val="superscript"/>
          <w:lang w:val="en-US" w:eastAsia="zh-CN"/>
        </w:rPr>
        <w:t>3</w:t>
      </w:r>
      <w:r>
        <w:rPr>
          <w:rFonts w:hint="eastAsia"/>
          <w:lang w:val="en-US" w:eastAsia="zh-CN"/>
        </w:rPr>
        <w:t>容积，本项目生活污水产生量为60m</w:t>
      </w:r>
      <w:r>
        <w:rPr>
          <w:rFonts w:hint="eastAsia"/>
          <w:vertAlign w:val="superscript"/>
          <w:lang w:val="en-US" w:eastAsia="zh-CN"/>
        </w:rPr>
        <w:t>3</w:t>
      </w:r>
      <w:r>
        <w:rPr>
          <w:rFonts w:hint="eastAsia"/>
          <w:lang w:val="en-US" w:eastAsia="zh-CN"/>
        </w:rPr>
        <w:t>/半年，企业化粪池剩余容积能够满足本项目废水贮存量要求，因此依托原有化粪池可行。</w:t>
      </w:r>
    </w:p>
    <w:p w14:paraId="19D1C5AB">
      <w:pPr>
        <w:bidi w:val="0"/>
        <w:rPr>
          <w:rFonts w:hint="default"/>
          <w:lang w:val="en-US" w:eastAsia="zh-CN"/>
        </w:rPr>
      </w:pPr>
      <w:r>
        <w:rPr>
          <w:rFonts w:hint="eastAsia"/>
          <w:lang w:val="en-US" w:eastAsia="zh-CN"/>
        </w:rPr>
        <w:t>（2）生产废水回用可行性分析</w:t>
      </w:r>
    </w:p>
    <w:p w14:paraId="7B97A88E">
      <w:pPr>
        <w:bidi w:val="0"/>
        <w:rPr>
          <w:rFonts w:hint="eastAsia"/>
          <w:lang w:val="en-US" w:eastAsia="zh-CN"/>
        </w:rPr>
      </w:pPr>
      <w:r>
        <w:rPr>
          <w:rFonts w:hint="eastAsia"/>
          <w:lang w:val="en-US" w:eastAsia="zh-CN"/>
        </w:rPr>
        <w:t>本项目投产后产生废水主要包括：前处理废水（电镀生产线前处理脱脂废槽液、脱脂后水洗废水）、含锡废水（镀锡后水洗产生的含锡废水），项目废水产生情况如下表所示。</w:t>
      </w:r>
    </w:p>
    <w:p w14:paraId="3FC40AE1">
      <w:pPr>
        <w:pStyle w:val="72"/>
        <w:jc w:val="center"/>
        <w:rPr>
          <w:rFonts w:hint="eastAsia"/>
          <w:lang w:val="en-US" w:eastAsia="zh-CN"/>
        </w:rPr>
      </w:pPr>
      <w:r>
        <w:rPr>
          <w:rFonts w:hint="eastAsia" w:ascii="黑体" w:hAnsi="黑体" w:eastAsia="黑体" w:cs="黑体"/>
          <w:sz w:val="21"/>
          <w:szCs w:val="21"/>
          <w:lang w:val="en-US" w:eastAsia="zh-CN"/>
        </w:rPr>
        <w:t>表7-12项目生产废水产生情况t/a</w:t>
      </w:r>
    </w:p>
    <w:tbl>
      <w:tblPr>
        <w:tblStyle w:val="53"/>
        <w:tblW w:w="4998"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2234"/>
        <w:gridCol w:w="2236"/>
        <w:gridCol w:w="2236"/>
        <w:gridCol w:w="2236"/>
      </w:tblGrid>
      <w:tr w14:paraId="0046441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49" w:type="pct"/>
            <w:tcBorders>
              <w:tl2br w:val="nil"/>
              <w:tr2bl w:val="nil"/>
            </w:tcBorders>
            <w:vAlign w:val="center"/>
          </w:tcPr>
          <w:p w14:paraId="0E84AD9C">
            <w:pPr>
              <w:pStyle w:val="72"/>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产生环节</w:t>
            </w:r>
          </w:p>
        </w:tc>
        <w:tc>
          <w:tcPr>
            <w:tcW w:w="1250" w:type="pct"/>
            <w:tcBorders>
              <w:tl2br w:val="nil"/>
              <w:tr2bl w:val="nil"/>
            </w:tcBorders>
            <w:vAlign w:val="center"/>
          </w:tcPr>
          <w:p w14:paraId="33C39B3E">
            <w:pPr>
              <w:pStyle w:val="72"/>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废水种类</w:t>
            </w:r>
          </w:p>
        </w:tc>
        <w:tc>
          <w:tcPr>
            <w:tcW w:w="1250" w:type="pct"/>
            <w:tcBorders>
              <w:tl2br w:val="nil"/>
              <w:tr2bl w:val="nil"/>
            </w:tcBorders>
            <w:vAlign w:val="center"/>
          </w:tcPr>
          <w:p w14:paraId="7F036C65">
            <w:pPr>
              <w:pStyle w:val="72"/>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废水量</w:t>
            </w:r>
          </w:p>
        </w:tc>
        <w:tc>
          <w:tcPr>
            <w:tcW w:w="1250" w:type="pct"/>
            <w:tcBorders>
              <w:tl2br w:val="nil"/>
              <w:tr2bl w:val="nil"/>
            </w:tcBorders>
            <w:vAlign w:val="center"/>
          </w:tcPr>
          <w:p w14:paraId="04B13EAA">
            <w:pPr>
              <w:pStyle w:val="72"/>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主要污染因子</w:t>
            </w:r>
          </w:p>
        </w:tc>
      </w:tr>
      <w:tr w14:paraId="4C268F7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49" w:type="pct"/>
            <w:tcBorders>
              <w:tl2br w:val="nil"/>
              <w:tr2bl w:val="nil"/>
            </w:tcBorders>
            <w:vAlign w:val="center"/>
          </w:tcPr>
          <w:p w14:paraId="0174144D">
            <w:pPr>
              <w:pStyle w:val="72"/>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电解脱脂</w:t>
            </w:r>
          </w:p>
        </w:tc>
        <w:tc>
          <w:tcPr>
            <w:tcW w:w="1250" w:type="pct"/>
            <w:vMerge w:val="restart"/>
            <w:tcBorders>
              <w:tl2br w:val="nil"/>
              <w:tr2bl w:val="nil"/>
            </w:tcBorders>
            <w:vAlign w:val="center"/>
          </w:tcPr>
          <w:p w14:paraId="4FCE67EA">
            <w:pPr>
              <w:pStyle w:val="72"/>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前处理废水</w:t>
            </w:r>
          </w:p>
        </w:tc>
        <w:tc>
          <w:tcPr>
            <w:tcW w:w="1250" w:type="pct"/>
            <w:tcBorders>
              <w:tl2br w:val="nil"/>
              <w:tr2bl w:val="nil"/>
            </w:tcBorders>
            <w:vAlign w:val="center"/>
          </w:tcPr>
          <w:p w14:paraId="247AFEB3">
            <w:pPr>
              <w:pStyle w:val="72"/>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6</w:t>
            </w:r>
          </w:p>
        </w:tc>
        <w:tc>
          <w:tcPr>
            <w:tcW w:w="1250" w:type="pct"/>
            <w:vMerge w:val="restart"/>
            <w:tcBorders>
              <w:tl2br w:val="nil"/>
              <w:tr2bl w:val="nil"/>
            </w:tcBorders>
            <w:vAlign w:val="center"/>
          </w:tcPr>
          <w:p w14:paraId="052B81DC">
            <w:pPr>
              <w:pStyle w:val="72"/>
              <w:jc w:val="center"/>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pH、COD、SS、石油类</w:t>
            </w:r>
          </w:p>
        </w:tc>
      </w:tr>
      <w:tr w14:paraId="109A734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49" w:type="pct"/>
            <w:tcBorders>
              <w:tl2br w:val="nil"/>
              <w:tr2bl w:val="nil"/>
            </w:tcBorders>
            <w:vAlign w:val="center"/>
          </w:tcPr>
          <w:p w14:paraId="2F5E4615">
            <w:pPr>
              <w:pStyle w:val="72"/>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电解脱脂后水洗</w:t>
            </w:r>
          </w:p>
        </w:tc>
        <w:tc>
          <w:tcPr>
            <w:tcW w:w="1250" w:type="pct"/>
            <w:vMerge w:val="continue"/>
            <w:tcBorders>
              <w:tl2br w:val="nil"/>
              <w:tr2bl w:val="nil"/>
            </w:tcBorders>
            <w:vAlign w:val="center"/>
          </w:tcPr>
          <w:p w14:paraId="0019691F">
            <w:pPr>
              <w:pStyle w:val="72"/>
              <w:jc w:val="center"/>
              <w:rPr>
                <w:rFonts w:hint="eastAsia" w:ascii="宋体" w:hAnsi="宋体" w:eastAsia="宋体" w:cs="宋体"/>
                <w:sz w:val="21"/>
                <w:szCs w:val="21"/>
                <w:vertAlign w:val="baseline"/>
                <w:lang w:val="en-US" w:eastAsia="zh-CN"/>
              </w:rPr>
            </w:pPr>
          </w:p>
        </w:tc>
        <w:tc>
          <w:tcPr>
            <w:tcW w:w="1250" w:type="pct"/>
            <w:tcBorders>
              <w:tl2br w:val="nil"/>
              <w:tr2bl w:val="nil"/>
            </w:tcBorders>
            <w:vAlign w:val="center"/>
          </w:tcPr>
          <w:p w14:paraId="08A1CB2D">
            <w:pPr>
              <w:pStyle w:val="72"/>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564</w:t>
            </w:r>
          </w:p>
        </w:tc>
        <w:tc>
          <w:tcPr>
            <w:tcW w:w="1250" w:type="pct"/>
            <w:vMerge w:val="continue"/>
            <w:tcBorders>
              <w:tl2br w:val="nil"/>
              <w:tr2bl w:val="nil"/>
            </w:tcBorders>
            <w:vAlign w:val="center"/>
          </w:tcPr>
          <w:p w14:paraId="605E6FA8">
            <w:pPr>
              <w:pStyle w:val="72"/>
              <w:jc w:val="center"/>
              <w:rPr>
                <w:rFonts w:hint="eastAsia" w:ascii="宋体" w:hAnsi="宋体" w:eastAsia="宋体" w:cs="宋体"/>
                <w:sz w:val="21"/>
                <w:szCs w:val="21"/>
                <w:vertAlign w:val="baseline"/>
                <w:lang w:val="en-US" w:eastAsia="zh-CN"/>
              </w:rPr>
            </w:pPr>
          </w:p>
        </w:tc>
      </w:tr>
      <w:tr w14:paraId="227A570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49" w:type="pct"/>
            <w:tcBorders>
              <w:tl2br w:val="nil"/>
              <w:tr2bl w:val="nil"/>
            </w:tcBorders>
            <w:vAlign w:val="center"/>
          </w:tcPr>
          <w:p w14:paraId="16C6C4FD">
            <w:pPr>
              <w:pStyle w:val="72"/>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镀锡后水洗</w:t>
            </w:r>
          </w:p>
        </w:tc>
        <w:tc>
          <w:tcPr>
            <w:tcW w:w="1250" w:type="pct"/>
            <w:tcBorders>
              <w:tl2br w:val="nil"/>
              <w:tr2bl w:val="nil"/>
            </w:tcBorders>
            <w:vAlign w:val="center"/>
          </w:tcPr>
          <w:p w14:paraId="39515DF0">
            <w:pPr>
              <w:pStyle w:val="72"/>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含锡废水</w:t>
            </w:r>
          </w:p>
        </w:tc>
        <w:tc>
          <w:tcPr>
            <w:tcW w:w="1250" w:type="pct"/>
            <w:tcBorders>
              <w:tl2br w:val="nil"/>
              <w:tr2bl w:val="nil"/>
            </w:tcBorders>
            <w:vAlign w:val="center"/>
          </w:tcPr>
          <w:p w14:paraId="6D26DD06">
            <w:pPr>
              <w:pStyle w:val="72"/>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423</w:t>
            </w:r>
          </w:p>
        </w:tc>
        <w:tc>
          <w:tcPr>
            <w:tcW w:w="1250" w:type="pct"/>
            <w:tcBorders>
              <w:tl2br w:val="nil"/>
              <w:tr2bl w:val="nil"/>
            </w:tcBorders>
            <w:vAlign w:val="center"/>
          </w:tcPr>
          <w:p w14:paraId="5A34E025">
            <w:pPr>
              <w:pStyle w:val="72"/>
              <w:jc w:val="center"/>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pH、COD、总锡</w:t>
            </w:r>
          </w:p>
        </w:tc>
      </w:tr>
    </w:tbl>
    <w:p w14:paraId="62D13411">
      <w:pPr>
        <w:bidi w:val="0"/>
        <w:rPr>
          <w:rFonts w:hint="eastAsia"/>
          <w:lang w:val="en-US" w:eastAsia="zh-CN"/>
        </w:rPr>
      </w:pPr>
      <w:r>
        <w:rPr>
          <w:rFonts w:hint="eastAsia"/>
          <w:lang w:val="en-US" w:eastAsia="zh-CN"/>
        </w:rPr>
        <w:t>项目生产废水污染物产生情况如下表所示。</w:t>
      </w:r>
    </w:p>
    <w:p w14:paraId="5F679184">
      <w:pPr>
        <w:pStyle w:val="72"/>
        <w:jc w:val="center"/>
        <w:rPr>
          <w:rFonts w:hint="eastAsia" w:ascii="黑体" w:hAnsi="黑体" w:eastAsia="黑体" w:cs="黑体"/>
          <w:sz w:val="21"/>
          <w:szCs w:val="21"/>
          <w:highlight w:val="none"/>
          <w:lang w:val="en-US" w:eastAsia="zh-CN"/>
        </w:rPr>
      </w:pPr>
      <w:r>
        <w:rPr>
          <w:rFonts w:hint="eastAsia" w:ascii="黑体" w:hAnsi="黑体" w:eastAsia="黑体" w:cs="黑体"/>
          <w:sz w:val="21"/>
          <w:szCs w:val="21"/>
          <w:highlight w:val="none"/>
          <w:lang w:val="en-US" w:eastAsia="zh-CN"/>
        </w:rPr>
        <w:t>表7-13生产废水污染物产生情况</w:t>
      </w:r>
    </w:p>
    <w:tbl>
      <w:tblPr>
        <w:tblStyle w:val="53"/>
        <w:tblW w:w="4998"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2234"/>
        <w:gridCol w:w="2236"/>
        <w:gridCol w:w="2236"/>
        <w:gridCol w:w="2236"/>
      </w:tblGrid>
      <w:tr w14:paraId="6BB5FED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49" w:type="pct"/>
            <w:tcBorders>
              <w:tl2br w:val="nil"/>
              <w:tr2bl w:val="nil"/>
            </w:tcBorders>
            <w:vAlign w:val="center"/>
          </w:tcPr>
          <w:p w14:paraId="5AF1CF78">
            <w:pPr>
              <w:pStyle w:val="72"/>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废水种类</w:t>
            </w:r>
          </w:p>
        </w:tc>
        <w:tc>
          <w:tcPr>
            <w:tcW w:w="1250" w:type="pct"/>
            <w:tcBorders>
              <w:tl2br w:val="nil"/>
              <w:tr2bl w:val="nil"/>
            </w:tcBorders>
            <w:vAlign w:val="center"/>
          </w:tcPr>
          <w:p w14:paraId="5EE54F4A">
            <w:pPr>
              <w:pStyle w:val="72"/>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前处理废水</w:t>
            </w:r>
          </w:p>
        </w:tc>
        <w:tc>
          <w:tcPr>
            <w:tcW w:w="1250" w:type="pct"/>
            <w:tcBorders>
              <w:tl2br w:val="nil"/>
              <w:tr2bl w:val="nil"/>
            </w:tcBorders>
            <w:vAlign w:val="center"/>
          </w:tcPr>
          <w:p w14:paraId="6AB9D741">
            <w:pPr>
              <w:pStyle w:val="72"/>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含锡废水</w:t>
            </w:r>
          </w:p>
        </w:tc>
        <w:tc>
          <w:tcPr>
            <w:tcW w:w="1250" w:type="pct"/>
            <w:tcBorders>
              <w:tl2br w:val="nil"/>
              <w:tr2bl w:val="nil"/>
            </w:tcBorders>
            <w:vAlign w:val="center"/>
          </w:tcPr>
          <w:p w14:paraId="45E464E2">
            <w:pPr>
              <w:pStyle w:val="72"/>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合计t/a</w:t>
            </w:r>
          </w:p>
        </w:tc>
      </w:tr>
      <w:tr w14:paraId="7D4223B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49" w:type="pct"/>
            <w:tcBorders>
              <w:tl2br w:val="nil"/>
              <w:tr2bl w:val="nil"/>
            </w:tcBorders>
            <w:vAlign w:val="center"/>
          </w:tcPr>
          <w:p w14:paraId="2BCE8A89">
            <w:pPr>
              <w:pStyle w:val="72"/>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废水量</w:t>
            </w:r>
          </w:p>
        </w:tc>
        <w:tc>
          <w:tcPr>
            <w:tcW w:w="1250" w:type="pct"/>
            <w:tcBorders>
              <w:tl2br w:val="nil"/>
              <w:tr2bl w:val="nil"/>
            </w:tcBorders>
            <w:vAlign w:val="center"/>
          </w:tcPr>
          <w:p w14:paraId="5E3D301E">
            <w:pPr>
              <w:pStyle w:val="72"/>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570t/a</w:t>
            </w:r>
          </w:p>
        </w:tc>
        <w:tc>
          <w:tcPr>
            <w:tcW w:w="1250" w:type="pct"/>
            <w:tcBorders>
              <w:tl2br w:val="nil"/>
              <w:tr2bl w:val="nil"/>
            </w:tcBorders>
            <w:vAlign w:val="center"/>
          </w:tcPr>
          <w:p w14:paraId="14A8E936">
            <w:pPr>
              <w:pStyle w:val="72"/>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423t/a</w:t>
            </w:r>
          </w:p>
        </w:tc>
        <w:tc>
          <w:tcPr>
            <w:tcW w:w="1250" w:type="pct"/>
            <w:tcBorders>
              <w:tl2br w:val="nil"/>
              <w:tr2bl w:val="nil"/>
            </w:tcBorders>
            <w:vAlign w:val="center"/>
          </w:tcPr>
          <w:p w14:paraId="783D4A4F">
            <w:pPr>
              <w:pStyle w:val="72"/>
              <w:jc w:val="center"/>
              <w:rPr>
                <w:rFonts w:hint="default"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993</w:t>
            </w:r>
          </w:p>
        </w:tc>
      </w:tr>
      <w:tr w14:paraId="3AEAA8B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49" w:type="pct"/>
            <w:tcBorders>
              <w:tl2br w:val="nil"/>
              <w:tr2bl w:val="nil"/>
            </w:tcBorders>
            <w:vAlign w:val="center"/>
          </w:tcPr>
          <w:p w14:paraId="29067AD3">
            <w:pPr>
              <w:pStyle w:val="72"/>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COD</w:t>
            </w:r>
          </w:p>
        </w:tc>
        <w:tc>
          <w:tcPr>
            <w:tcW w:w="1250" w:type="pct"/>
            <w:tcBorders>
              <w:tl2br w:val="nil"/>
              <w:tr2bl w:val="nil"/>
            </w:tcBorders>
            <w:vAlign w:val="center"/>
          </w:tcPr>
          <w:p w14:paraId="49FADD29">
            <w:pPr>
              <w:pStyle w:val="72"/>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90mg/L</w:t>
            </w:r>
          </w:p>
        </w:tc>
        <w:tc>
          <w:tcPr>
            <w:tcW w:w="1250" w:type="pct"/>
            <w:tcBorders>
              <w:tl2br w:val="nil"/>
              <w:tr2bl w:val="nil"/>
            </w:tcBorders>
            <w:vAlign w:val="center"/>
          </w:tcPr>
          <w:p w14:paraId="16040625">
            <w:pPr>
              <w:pStyle w:val="72"/>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90mg/L</w:t>
            </w:r>
          </w:p>
        </w:tc>
        <w:tc>
          <w:tcPr>
            <w:tcW w:w="1250" w:type="pct"/>
            <w:tcBorders>
              <w:tl2br w:val="nil"/>
              <w:tr2bl w:val="nil"/>
            </w:tcBorders>
            <w:vAlign w:val="center"/>
          </w:tcPr>
          <w:p w14:paraId="3169F505">
            <w:pPr>
              <w:pStyle w:val="72"/>
              <w:jc w:val="center"/>
              <w:rPr>
                <w:rFonts w:hint="default"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0.089</w:t>
            </w:r>
          </w:p>
        </w:tc>
      </w:tr>
      <w:tr w14:paraId="18237A1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49" w:type="pct"/>
            <w:tcBorders>
              <w:tl2br w:val="nil"/>
              <w:tr2bl w:val="nil"/>
            </w:tcBorders>
            <w:vAlign w:val="center"/>
          </w:tcPr>
          <w:p w14:paraId="5D675167">
            <w:pPr>
              <w:pStyle w:val="72"/>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SS</w:t>
            </w:r>
          </w:p>
        </w:tc>
        <w:tc>
          <w:tcPr>
            <w:tcW w:w="1250" w:type="pct"/>
            <w:tcBorders>
              <w:tl2br w:val="nil"/>
              <w:tr2bl w:val="nil"/>
            </w:tcBorders>
            <w:vAlign w:val="center"/>
          </w:tcPr>
          <w:p w14:paraId="1EFD53E7">
            <w:pPr>
              <w:pStyle w:val="72"/>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100mg/L</w:t>
            </w:r>
          </w:p>
        </w:tc>
        <w:tc>
          <w:tcPr>
            <w:tcW w:w="1250" w:type="pct"/>
            <w:tcBorders>
              <w:tl2br w:val="nil"/>
              <w:tr2bl w:val="nil"/>
            </w:tcBorders>
            <w:vAlign w:val="center"/>
          </w:tcPr>
          <w:p w14:paraId="6BD57E98">
            <w:pPr>
              <w:pStyle w:val="72"/>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w:t>
            </w:r>
          </w:p>
        </w:tc>
        <w:tc>
          <w:tcPr>
            <w:tcW w:w="1250" w:type="pct"/>
            <w:tcBorders>
              <w:tl2br w:val="nil"/>
              <w:tr2bl w:val="nil"/>
            </w:tcBorders>
            <w:vAlign w:val="center"/>
          </w:tcPr>
          <w:p w14:paraId="201F9029">
            <w:pPr>
              <w:pStyle w:val="72"/>
              <w:jc w:val="center"/>
              <w:rPr>
                <w:rFonts w:hint="default"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0.057</w:t>
            </w:r>
          </w:p>
        </w:tc>
      </w:tr>
      <w:tr w14:paraId="03211B6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49" w:type="pct"/>
            <w:tcBorders>
              <w:tl2br w:val="nil"/>
              <w:tr2bl w:val="nil"/>
            </w:tcBorders>
            <w:vAlign w:val="center"/>
          </w:tcPr>
          <w:p w14:paraId="5B737173">
            <w:pPr>
              <w:pStyle w:val="72"/>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石油类</w:t>
            </w:r>
          </w:p>
        </w:tc>
        <w:tc>
          <w:tcPr>
            <w:tcW w:w="1250" w:type="pct"/>
            <w:tcBorders>
              <w:tl2br w:val="nil"/>
              <w:tr2bl w:val="nil"/>
            </w:tcBorders>
            <w:vAlign w:val="center"/>
          </w:tcPr>
          <w:p w14:paraId="45067634">
            <w:pPr>
              <w:pStyle w:val="72"/>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30mg/L</w:t>
            </w:r>
          </w:p>
        </w:tc>
        <w:tc>
          <w:tcPr>
            <w:tcW w:w="1250" w:type="pct"/>
            <w:tcBorders>
              <w:tl2br w:val="nil"/>
              <w:tr2bl w:val="nil"/>
            </w:tcBorders>
            <w:vAlign w:val="center"/>
          </w:tcPr>
          <w:p w14:paraId="3AF8E3E0">
            <w:pPr>
              <w:pStyle w:val="72"/>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w:t>
            </w:r>
          </w:p>
        </w:tc>
        <w:tc>
          <w:tcPr>
            <w:tcW w:w="1250" w:type="pct"/>
            <w:tcBorders>
              <w:tl2br w:val="nil"/>
              <w:tr2bl w:val="nil"/>
            </w:tcBorders>
            <w:vAlign w:val="center"/>
          </w:tcPr>
          <w:p w14:paraId="4A15619A">
            <w:pPr>
              <w:pStyle w:val="72"/>
              <w:jc w:val="center"/>
              <w:rPr>
                <w:rFonts w:hint="default"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0.017</w:t>
            </w:r>
          </w:p>
        </w:tc>
      </w:tr>
      <w:tr w14:paraId="7BCE9FD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49" w:type="pct"/>
            <w:tcBorders>
              <w:tl2br w:val="nil"/>
              <w:tr2bl w:val="nil"/>
            </w:tcBorders>
            <w:vAlign w:val="center"/>
          </w:tcPr>
          <w:p w14:paraId="4D9026D1">
            <w:pPr>
              <w:pStyle w:val="72"/>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总锡</w:t>
            </w:r>
          </w:p>
        </w:tc>
        <w:tc>
          <w:tcPr>
            <w:tcW w:w="1250" w:type="pct"/>
            <w:tcBorders>
              <w:tl2br w:val="nil"/>
              <w:tr2bl w:val="nil"/>
            </w:tcBorders>
            <w:vAlign w:val="center"/>
          </w:tcPr>
          <w:p w14:paraId="699AF7B4">
            <w:pPr>
              <w:pStyle w:val="72"/>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w:t>
            </w:r>
          </w:p>
        </w:tc>
        <w:tc>
          <w:tcPr>
            <w:tcW w:w="1250" w:type="pct"/>
            <w:tcBorders>
              <w:tl2br w:val="nil"/>
              <w:tr2bl w:val="nil"/>
            </w:tcBorders>
            <w:vAlign w:val="center"/>
          </w:tcPr>
          <w:p w14:paraId="1CA36CBC">
            <w:pPr>
              <w:pStyle w:val="72"/>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5.0mg/L</w:t>
            </w:r>
          </w:p>
        </w:tc>
        <w:tc>
          <w:tcPr>
            <w:tcW w:w="1250" w:type="pct"/>
            <w:tcBorders>
              <w:tl2br w:val="nil"/>
              <w:tr2bl w:val="nil"/>
            </w:tcBorders>
            <w:vAlign w:val="center"/>
          </w:tcPr>
          <w:p w14:paraId="7962C6D5">
            <w:pPr>
              <w:pStyle w:val="72"/>
              <w:jc w:val="center"/>
              <w:rPr>
                <w:rFonts w:hint="default"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0.0021</w:t>
            </w:r>
          </w:p>
        </w:tc>
      </w:tr>
    </w:tbl>
    <w:p w14:paraId="4AFBDF33">
      <w:pPr>
        <w:bidi w:val="0"/>
        <w:rPr>
          <w:rFonts w:hint="eastAsia"/>
          <w:lang w:val="en-US" w:eastAsia="zh-CN"/>
        </w:rPr>
      </w:pPr>
      <w:r>
        <w:rPr>
          <w:rFonts w:hint="eastAsia"/>
          <w:highlight w:val="none"/>
          <w:lang w:val="en-US" w:eastAsia="zh-CN"/>
        </w:rPr>
        <w:t>本项目产生的废水经废水净化装置处理后，用于</w:t>
      </w:r>
      <w:r>
        <w:rPr>
          <w:rFonts w:hint="eastAsia"/>
          <w:lang w:val="en-US" w:eastAsia="zh-CN"/>
        </w:rPr>
        <w:t>水洗以及车间地面冲洗，废水循环使用，不外排。</w:t>
      </w:r>
    </w:p>
    <w:p w14:paraId="54EF591C">
      <w:pPr>
        <w:bidi w:val="0"/>
        <w:rPr>
          <w:rFonts w:hint="eastAsia"/>
          <w:lang w:val="en-US" w:eastAsia="zh-CN"/>
        </w:rPr>
      </w:pPr>
      <w:r>
        <w:rPr>
          <w:rFonts w:hint="eastAsia"/>
          <w:lang w:val="en-US" w:eastAsia="zh-CN"/>
        </w:rPr>
        <w:t>本项目设置废水处理设施，设施处理能力为10m</w:t>
      </w:r>
      <w:r>
        <w:rPr>
          <w:rFonts w:hint="eastAsia"/>
          <w:vertAlign w:val="superscript"/>
          <w:lang w:val="en-US" w:eastAsia="zh-CN"/>
        </w:rPr>
        <w:t>3</w:t>
      </w:r>
      <w:r>
        <w:rPr>
          <w:rFonts w:hint="eastAsia"/>
          <w:lang w:val="en-US" w:eastAsia="zh-CN"/>
        </w:rPr>
        <w:t>/d，废水净化采用离子交换工艺，离子交换树脂是一种在交联聚合物结构中含有离子交换基团的功能高分子材料，其功能基可与水中的离子起交换反应，废水中的锡、石油类等可采用阳离子交换树脂吸附，净化后废水回用于电镀水洗等工序，废水全部回用，不外排，对项目周围地表水体水环境影响极小。</w:t>
      </w:r>
    </w:p>
    <w:p w14:paraId="63145904">
      <w:pPr>
        <w:spacing w:line="383" w:lineRule="exact"/>
        <w:jc w:val="center"/>
        <w:rPr>
          <w:rFonts w:hint="eastAsia" w:ascii="黑体" w:hAnsi="黑体" w:eastAsia="黑体" w:cs="黑体"/>
          <w:kern w:val="2"/>
          <w:sz w:val="21"/>
          <w:szCs w:val="21"/>
          <w:highlight w:val="none"/>
          <w:lang w:val="en-US" w:eastAsia="zh-CN" w:bidi="ar-SA"/>
        </w:rPr>
      </w:pPr>
      <w:r>
        <w:rPr>
          <w:rFonts w:hint="eastAsia" w:ascii="黑体" w:hAnsi="黑体" w:eastAsia="黑体" w:cs="黑体"/>
          <w:kern w:val="2"/>
          <w:sz w:val="21"/>
          <w:szCs w:val="21"/>
          <w:highlight w:val="none"/>
          <w:lang w:val="en-US" w:eastAsia="zh-CN" w:bidi="ar-SA"/>
        </w:rPr>
        <w:t>表7-14 地表水环境影响评价自查表</w:t>
      </w:r>
    </w:p>
    <w:tbl>
      <w:tblPr>
        <w:tblStyle w:val="5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
        <w:gridCol w:w="1643"/>
        <w:gridCol w:w="1160"/>
        <w:gridCol w:w="487"/>
        <w:gridCol w:w="110"/>
        <w:gridCol w:w="194"/>
        <w:gridCol w:w="856"/>
        <w:gridCol w:w="603"/>
        <w:gridCol w:w="510"/>
        <w:gridCol w:w="345"/>
        <w:gridCol w:w="8"/>
        <w:gridCol w:w="846"/>
        <w:gridCol w:w="89"/>
        <w:gridCol w:w="744"/>
        <w:gridCol w:w="925"/>
      </w:tblGrid>
      <w:tr w14:paraId="1BCC5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1126" w:type="pct"/>
            <w:gridSpan w:val="2"/>
            <w:tcBorders>
              <w:top w:val="single" w:color="auto" w:sz="12" w:space="0"/>
              <w:left w:val="nil"/>
            </w:tcBorders>
            <w:vAlign w:val="center"/>
          </w:tcPr>
          <w:p w14:paraId="26C0642A">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工作内容</w:t>
            </w:r>
          </w:p>
        </w:tc>
        <w:tc>
          <w:tcPr>
            <w:tcW w:w="3874" w:type="pct"/>
            <w:gridSpan w:val="13"/>
            <w:tcBorders>
              <w:top w:val="single" w:color="auto" w:sz="12" w:space="0"/>
              <w:right w:val="nil"/>
            </w:tcBorders>
            <w:vAlign w:val="center"/>
          </w:tcPr>
          <w:p w14:paraId="56143DF5">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自查项目</w:t>
            </w:r>
          </w:p>
        </w:tc>
      </w:tr>
      <w:tr w14:paraId="1898F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05" w:type="pct"/>
            <w:vMerge w:val="restart"/>
            <w:tcBorders>
              <w:left w:val="nil"/>
            </w:tcBorders>
            <w:vAlign w:val="center"/>
          </w:tcPr>
          <w:p w14:paraId="734F4EC9">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影响识别</w:t>
            </w:r>
          </w:p>
        </w:tc>
        <w:tc>
          <w:tcPr>
            <w:tcW w:w="921" w:type="pct"/>
            <w:vAlign w:val="center"/>
          </w:tcPr>
          <w:p w14:paraId="49B7F0AA">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影响类型</w:t>
            </w:r>
          </w:p>
        </w:tc>
        <w:tc>
          <w:tcPr>
            <w:tcW w:w="3874" w:type="pct"/>
            <w:gridSpan w:val="13"/>
            <w:tcBorders>
              <w:right w:val="nil"/>
            </w:tcBorders>
            <w:vAlign w:val="center"/>
          </w:tcPr>
          <w:p w14:paraId="31940110">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sz w:val="21"/>
                <w:szCs w:val="21"/>
              </w:rPr>
            </w:pPr>
            <w:r>
              <w:rPr>
                <w:rFonts w:hint="eastAsia" w:ascii="宋体" w:hAnsi="宋体" w:eastAsia="宋体" w:cs="宋体"/>
                <w:sz w:val="21"/>
                <w:szCs w:val="21"/>
              </w:rPr>
              <w:t>水污染影响型</w:t>
            </w:r>
            <w:r>
              <w:rPr>
                <w:rFonts w:hint="eastAsia" w:ascii="宋体" w:hAnsi="宋体" w:eastAsia="宋体" w:cs="宋体"/>
                <w:color w:val="000000"/>
                <w:sz w:val="21"/>
                <w:szCs w:val="21"/>
              </w:rPr>
              <w:t xml:space="preserve">☑；水文要素影响型 </w:t>
            </w:r>
            <w:r>
              <w:rPr>
                <w:rFonts w:hint="eastAsia" w:ascii="宋体" w:hAnsi="宋体" w:eastAsia="宋体" w:cs="宋体"/>
                <w:color w:val="000000"/>
                <w:sz w:val="21"/>
                <w:szCs w:val="21"/>
              </w:rPr>
              <w:sym w:font="Wingdings 2" w:char="00A3"/>
            </w:r>
          </w:p>
        </w:tc>
      </w:tr>
      <w:tr w14:paraId="0468B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05" w:type="pct"/>
            <w:vMerge w:val="continue"/>
            <w:tcBorders>
              <w:left w:val="nil"/>
            </w:tcBorders>
            <w:vAlign w:val="center"/>
          </w:tcPr>
          <w:p w14:paraId="1F1BDE6A">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rPr>
            </w:pPr>
          </w:p>
        </w:tc>
        <w:tc>
          <w:tcPr>
            <w:tcW w:w="921" w:type="pct"/>
            <w:vAlign w:val="center"/>
          </w:tcPr>
          <w:p w14:paraId="6CE422E9">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水环境保护目标</w:t>
            </w:r>
          </w:p>
        </w:tc>
        <w:tc>
          <w:tcPr>
            <w:tcW w:w="3874" w:type="pct"/>
            <w:gridSpan w:val="13"/>
            <w:tcBorders>
              <w:right w:val="nil"/>
            </w:tcBorders>
            <w:vAlign w:val="center"/>
          </w:tcPr>
          <w:p w14:paraId="585D9E8C">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sz w:val="21"/>
                <w:szCs w:val="21"/>
              </w:rPr>
            </w:pPr>
            <w:r>
              <w:rPr>
                <w:rFonts w:hint="eastAsia" w:ascii="宋体" w:hAnsi="宋体" w:eastAsia="宋体" w:cs="宋体"/>
                <w:sz w:val="21"/>
                <w:szCs w:val="21"/>
              </w:rPr>
              <w:t xml:space="preserve">应用水水源保护区 </w:t>
            </w:r>
            <w:r>
              <w:rPr>
                <w:rFonts w:hint="eastAsia" w:ascii="宋体" w:hAnsi="宋体" w:eastAsia="宋体" w:cs="宋体"/>
                <w:color w:val="000000"/>
                <w:sz w:val="21"/>
                <w:szCs w:val="21"/>
              </w:rPr>
              <w:sym w:font="Wingdings 2" w:char="00A3"/>
            </w:r>
            <w:r>
              <w:rPr>
                <w:rFonts w:hint="eastAsia" w:ascii="宋体" w:hAnsi="宋体" w:eastAsia="宋体" w:cs="宋体"/>
                <w:sz w:val="21"/>
                <w:szCs w:val="21"/>
              </w:rPr>
              <w:t xml:space="preserve">；饮用水取水口 </w:t>
            </w:r>
            <w:r>
              <w:rPr>
                <w:rFonts w:hint="eastAsia" w:ascii="宋体" w:hAnsi="宋体" w:eastAsia="宋体" w:cs="宋体"/>
                <w:color w:val="000000"/>
                <w:sz w:val="21"/>
                <w:szCs w:val="21"/>
              </w:rPr>
              <w:sym w:font="Wingdings 2" w:char="00A3"/>
            </w:r>
            <w:r>
              <w:rPr>
                <w:rFonts w:hint="eastAsia" w:ascii="宋体" w:hAnsi="宋体" w:eastAsia="宋体" w:cs="宋体"/>
                <w:sz w:val="21"/>
                <w:szCs w:val="21"/>
              </w:rPr>
              <w:t xml:space="preserve">；涉水的自然保护区 </w:t>
            </w:r>
            <w:r>
              <w:rPr>
                <w:rFonts w:hint="eastAsia" w:ascii="宋体" w:hAnsi="宋体" w:eastAsia="宋体" w:cs="宋体"/>
                <w:color w:val="000000"/>
                <w:sz w:val="21"/>
                <w:szCs w:val="21"/>
              </w:rPr>
              <w:sym w:font="Wingdings 2" w:char="00A3"/>
            </w:r>
            <w:r>
              <w:rPr>
                <w:rFonts w:hint="eastAsia" w:ascii="宋体" w:hAnsi="宋体" w:eastAsia="宋体" w:cs="宋体"/>
                <w:sz w:val="21"/>
                <w:szCs w:val="21"/>
              </w:rPr>
              <w:t xml:space="preserve">；重要湿地 </w:t>
            </w:r>
            <w:r>
              <w:rPr>
                <w:rFonts w:hint="eastAsia" w:ascii="宋体" w:hAnsi="宋体" w:eastAsia="宋体" w:cs="宋体"/>
                <w:color w:val="000000"/>
                <w:sz w:val="21"/>
                <w:szCs w:val="21"/>
              </w:rPr>
              <w:sym w:font="Wingdings 2" w:char="00A3"/>
            </w:r>
            <w:r>
              <w:rPr>
                <w:rFonts w:hint="eastAsia" w:ascii="宋体" w:hAnsi="宋体" w:eastAsia="宋体" w:cs="宋体"/>
                <w:sz w:val="21"/>
                <w:szCs w:val="21"/>
              </w:rPr>
              <w:t>；</w:t>
            </w:r>
          </w:p>
          <w:p w14:paraId="6687A479">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sz w:val="21"/>
                <w:szCs w:val="21"/>
              </w:rPr>
            </w:pPr>
            <w:r>
              <w:rPr>
                <w:rFonts w:hint="eastAsia" w:ascii="宋体" w:hAnsi="宋体" w:eastAsia="宋体" w:cs="宋体"/>
                <w:sz w:val="21"/>
                <w:szCs w:val="21"/>
              </w:rPr>
              <w:t xml:space="preserve">重点保护与珍稀水生生物的栖息地 </w:t>
            </w:r>
            <w:r>
              <w:rPr>
                <w:rFonts w:hint="eastAsia" w:ascii="宋体" w:hAnsi="宋体" w:eastAsia="宋体" w:cs="宋体"/>
                <w:color w:val="000000"/>
                <w:sz w:val="21"/>
                <w:szCs w:val="21"/>
              </w:rPr>
              <w:sym w:font="Wingdings 2" w:char="00A3"/>
            </w:r>
            <w:r>
              <w:rPr>
                <w:rFonts w:hint="eastAsia" w:ascii="宋体" w:hAnsi="宋体" w:eastAsia="宋体" w:cs="宋体"/>
                <w:sz w:val="21"/>
                <w:szCs w:val="21"/>
              </w:rPr>
              <w:t xml:space="preserve">；重要水生生物的自然产卵地及索耳场、越冬场和洄游通道、天然渔场等水体；涉水的风景名胜区 </w:t>
            </w:r>
            <w:r>
              <w:rPr>
                <w:rFonts w:hint="eastAsia" w:ascii="宋体" w:hAnsi="宋体" w:eastAsia="宋体" w:cs="宋体"/>
                <w:color w:val="000000"/>
                <w:sz w:val="21"/>
                <w:szCs w:val="21"/>
              </w:rPr>
              <w:sym w:font="Wingdings 2" w:char="00A3"/>
            </w:r>
            <w:r>
              <w:rPr>
                <w:rFonts w:hint="eastAsia" w:ascii="宋体" w:hAnsi="宋体" w:eastAsia="宋体" w:cs="宋体"/>
                <w:sz w:val="21"/>
                <w:szCs w:val="21"/>
              </w:rPr>
              <w:t xml:space="preserve">；其他 </w:t>
            </w:r>
            <w:r>
              <w:rPr>
                <w:rFonts w:hint="eastAsia" w:ascii="宋体" w:hAnsi="宋体" w:eastAsia="宋体" w:cs="宋体"/>
                <w:color w:val="000000"/>
                <w:sz w:val="21"/>
                <w:szCs w:val="21"/>
              </w:rPr>
              <w:sym w:font="Wingdings 2" w:char="00A3"/>
            </w:r>
          </w:p>
        </w:tc>
      </w:tr>
      <w:tr w14:paraId="35429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05" w:type="pct"/>
            <w:vMerge w:val="continue"/>
            <w:tcBorders>
              <w:left w:val="nil"/>
            </w:tcBorders>
            <w:vAlign w:val="center"/>
          </w:tcPr>
          <w:p w14:paraId="369C44A4">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rPr>
            </w:pPr>
          </w:p>
        </w:tc>
        <w:tc>
          <w:tcPr>
            <w:tcW w:w="921" w:type="pct"/>
            <w:vMerge w:val="restart"/>
            <w:vAlign w:val="center"/>
          </w:tcPr>
          <w:p w14:paraId="6C7E9D4B">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影响途径</w:t>
            </w:r>
          </w:p>
        </w:tc>
        <w:tc>
          <w:tcPr>
            <w:tcW w:w="1921" w:type="pct"/>
            <w:gridSpan w:val="6"/>
            <w:tcBorders>
              <w:right w:val="single" w:color="auto" w:sz="4" w:space="0"/>
            </w:tcBorders>
            <w:vAlign w:val="center"/>
          </w:tcPr>
          <w:p w14:paraId="21DAF9FB">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水污染影响型</w:t>
            </w:r>
          </w:p>
        </w:tc>
        <w:tc>
          <w:tcPr>
            <w:tcW w:w="1954" w:type="pct"/>
            <w:gridSpan w:val="7"/>
            <w:tcBorders>
              <w:right w:val="nil"/>
            </w:tcBorders>
            <w:vAlign w:val="center"/>
          </w:tcPr>
          <w:p w14:paraId="0227B099">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水文要素影响型</w:t>
            </w:r>
          </w:p>
        </w:tc>
      </w:tr>
      <w:tr w14:paraId="61A9D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05" w:type="pct"/>
            <w:vMerge w:val="continue"/>
            <w:tcBorders>
              <w:left w:val="nil"/>
            </w:tcBorders>
            <w:vAlign w:val="center"/>
          </w:tcPr>
          <w:p w14:paraId="3F1E63C9">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rPr>
            </w:pPr>
          </w:p>
        </w:tc>
        <w:tc>
          <w:tcPr>
            <w:tcW w:w="921" w:type="pct"/>
            <w:vMerge w:val="continue"/>
            <w:vAlign w:val="center"/>
          </w:tcPr>
          <w:p w14:paraId="5B1A424A">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rPr>
            </w:pPr>
          </w:p>
        </w:tc>
        <w:tc>
          <w:tcPr>
            <w:tcW w:w="1921" w:type="pct"/>
            <w:gridSpan w:val="6"/>
            <w:tcBorders>
              <w:right w:val="single" w:color="auto" w:sz="4" w:space="0"/>
            </w:tcBorders>
            <w:vAlign w:val="center"/>
          </w:tcPr>
          <w:p w14:paraId="5EE2CAC8">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sz w:val="21"/>
                <w:szCs w:val="21"/>
              </w:rPr>
            </w:pPr>
            <w:r>
              <w:rPr>
                <w:rFonts w:hint="eastAsia" w:ascii="宋体" w:hAnsi="宋体" w:eastAsia="宋体" w:cs="宋体"/>
                <w:sz w:val="21"/>
                <w:szCs w:val="21"/>
              </w:rPr>
              <w:t>直接排放</w:t>
            </w:r>
            <w:r>
              <w:rPr>
                <w:rFonts w:hint="eastAsia" w:ascii="宋体" w:hAnsi="宋体" w:eastAsia="宋体" w:cs="宋体"/>
                <w:color w:val="000000"/>
                <w:sz w:val="21"/>
                <w:szCs w:val="21"/>
                <w:lang w:eastAsia="zh-CN"/>
              </w:rPr>
              <w:t>□</w:t>
            </w:r>
            <w:r>
              <w:rPr>
                <w:rFonts w:hint="eastAsia" w:ascii="宋体" w:hAnsi="宋体" w:eastAsia="宋体" w:cs="宋体"/>
                <w:sz w:val="21"/>
                <w:szCs w:val="21"/>
              </w:rPr>
              <w:t xml:space="preserve">；间接排放 </w:t>
            </w:r>
            <w:r>
              <w:rPr>
                <w:rFonts w:hint="eastAsia" w:ascii="宋体" w:hAnsi="宋体" w:eastAsia="宋体" w:cs="宋体"/>
                <w:color w:val="000000"/>
                <w:sz w:val="21"/>
                <w:szCs w:val="21"/>
              </w:rPr>
              <w:sym w:font="Wingdings 2" w:char="00A3"/>
            </w:r>
            <w:r>
              <w:rPr>
                <w:rFonts w:hint="eastAsia" w:ascii="宋体" w:hAnsi="宋体" w:eastAsia="宋体" w:cs="宋体"/>
                <w:sz w:val="21"/>
                <w:szCs w:val="21"/>
              </w:rPr>
              <w:t xml:space="preserve">；其他 </w:t>
            </w:r>
            <w:r>
              <w:rPr>
                <w:rFonts w:hint="eastAsia" w:ascii="宋体" w:hAnsi="宋体" w:eastAsia="宋体" w:cs="宋体"/>
                <w:color w:val="000000"/>
                <w:sz w:val="21"/>
                <w:szCs w:val="21"/>
              </w:rPr>
              <w:sym w:font="Wingdings 2" w:char="0052"/>
            </w:r>
          </w:p>
        </w:tc>
        <w:tc>
          <w:tcPr>
            <w:tcW w:w="1954" w:type="pct"/>
            <w:gridSpan w:val="7"/>
            <w:tcBorders>
              <w:right w:val="nil"/>
            </w:tcBorders>
            <w:vAlign w:val="center"/>
          </w:tcPr>
          <w:p w14:paraId="7FCF47D2">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sz w:val="21"/>
                <w:szCs w:val="21"/>
              </w:rPr>
            </w:pPr>
            <w:r>
              <w:rPr>
                <w:rFonts w:hint="eastAsia" w:ascii="宋体" w:hAnsi="宋体" w:eastAsia="宋体" w:cs="宋体"/>
                <w:sz w:val="21"/>
                <w:szCs w:val="21"/>
              </w:rPr>
              <w:t xml:space="preserve">水温 </w:t>
            </w:r>
            <w:r>
              <w:rPr>
                <w:rFonts w:hint="eastAsia" w:ascii="宋体" w:hAnsi="宋体" w:eastAsia="宋体" w:cs="宋体"/>
                <w:color w:val="000000"/>
                <w:sz w:val="21"/>
                <w:szCs w:val="21"/>
              </w:rPr>
              <w:sym w:font="Wingdings 2" w:char="00A3"/>
            </w:r>
            <w:r>
              <w:rPr>
                <w:rFonts w:hint="eastAsia" w:ascii="宋体" w:hAnsi="宋体" w:eastAsia="宋体" w:cs="宋体"/>
                <w:sz w:val="21"/>
                <w:szCs w:val="21"/>
              </w:rPr>
              <w:t xml:space="preserve">；径流 </w:t>
            </w:r>
            <w:r>
              <w:rPr>
                <w:rFonts w:hint="eastAsia" w:ascii="宋体" w:hAnsi="宋体" w:eastAsia="宋体" w:cs="宋体"/>
                <w:color w:val="000000"/>
                <w:sz w:val="21"/>
                <w:szCs w:val="21"/>
              </w:rPr>
              <w:sym w:font="Wingdings 2" w:char="00A3"/>
            </w:r>
            <w:r>
              <w:rPr>
                <w:rFonts w:hint="eastAsia" w:ascii="宋体" w:hAnsi="宋体" w:eastAsia="宋体" w:cs="宋体"/>
                <w:sz w:val="21"/>
                <w:szCs w:val="21"/>
              </w:rPr>
              <w:t xml:space="preserve">；水域面积 </w:t>
            </w:r>
            <w:r>
              <w:rPr>
                <w:rFonts w:hint="eastAsia" w:ascii="宋体" w:hAnsi="宋体" w:eastAsia="宋体" w:cs="宋体"/>
                <w:color w:val="000000"/>
                <w:sz w:val="21"/>
                <w:szCs w:val="21"/>
              </w:rPr>
              <w:sym w:font="Wingdings 2" w:char="00A3"/>
            </w:r>
          </w:p>
        </w:tc>
      </w:tr>
      <w:tr w14:paraId="4D3E3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05" w:type="pct"/>
            <w:vMerge w:val="continue"/>
            <w:tcBorders>
              <w:left w:val="nil"/>
            </w:tcBorders>
            <w:vAlign w:val="center"/>
          </w:tcPr>
          <w:p w14:paraId="3EFE5B48">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rPr>
            </w:pPr>
          </w:p>
        </w:tc>
        <w:tc>
          <w:tcPr>
            <w:tcW w:w="921" w:type="pct"/>
            <w:vAlign w:val="center"/>
          </w:tcPr>
          <w:p w14:paraId="799D30D8">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影响因子</w:t>
            </w:r>
          </w:p>
        </w:tc>
        <w:tc>
          <w:tcPr>
            <w:tcW w:w="1921" w:type="pct"/>
            <w:gridSpan w:val="6"/>
            <w:tcBorders>
              <w:right w:val="single" w:color="auto" w:sz="4" w:space="0"/>
            </w:tcBorders>
            <w:vAlign w:val="center"/>
          </w:tcPr>
          <w:p w14:paraId="316F6680">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sz w:val="21"/>
                <w:szCs w:val="21"/>
              </w:rPr>
            </w:pPr>
            <w:r>
              <w:rPr>
                <w:rFonts w:hint="eastAsia" w:ascii="宋体" w:hAnsi="宋体" w:eastAsia="宋体" w:cs="宋体"/>
                <w:sz w:val="21"/>
                <w:szCs w:val="21"/>
              </w:rPr>
              <w:t xml:space="preserve">持久性污染物 </w:t>
            </w:r>
            <w:r>
              <w:rPr>
                <w:rFonts w:hint="eastAsia" w:ascii="宋体" w:hAnsi="宋体" w:eastAsia="宋体" w:cs="宋体"/>
                <w:color w:val="000000"/>
                <w:sz w:val="21"/>
                <w:szCs w:val="21"/>
              </w:rPr>
              <w:sym w:font="Wingdings 2" w:char="00A3"/>
            </w:r>
            <w:r>
              <w:rPr>
                <w:rFonts w:hint="eastAsia" w:ascii="宋体" w:hAnsi="宋体" w:eastAsia="宋体" w:cs="宋体"/>
                <w:sz w:val="21"/>
                <w:szCs w:val="21"/>
              </w:rPr>
              <w:t xml:space="preserve">；有毒有害污染物 </w:t>
            </w:r>
            <w:r>
              <w:rPr>
                <w:rFonts w:hint="eastAsia" w:ascii="宋体" w:hAnsi="宋体" w:eastAsia="宋体" w:cs="宋体"/>
                <w:color w:val="000000"/>
                <w:sz w:val="21"/>
                <w:szCs w:val="21"/>
              </w:rPr>
              <w:sym w:font="Wingdings 2" w:char="00A3"/>
            </w:r>
            <w:r>
              <w:rPr>
                <w:rFonts w:hint="eastAsia" w:ascii="宋体" w:hAnsi="宋体" w:eastAsia="宋体" w:cs="宋体"/>
                <w:sz w:val="21"/>
                <w:szCs w:val="21"/>
              </w:rPr>
              <w:t>；非持久性污染物</w:t>
            </w:r>
            <w:r>
              <w:rPr>
                <w:rFonts w:hint="eastAsia" w:ascii="宋体" w:hAnsi="宋体" w:eastAsia="宋体" w:cs="宋体"/>
                <w:color w:val="000000"/>
                <w:sz w:val="21"/>
                <w:szCs w:val="21"/>
              </w:rPr>
              <w:t>☑</w:t>
            </w:r>
            <w:r>
              <w:rPr>
                <w:rFonts w:hint="eastAsia" w:ascii="宋体" w:hAnsi="宋体" w:eastAsia="宋体" w:cs="宋体"/>
                <w:sz w:val="21"/>
                <w:szCs w:val="21"/>
              </w:rPr>
              <w:t xml:space="preserve">；pH值 </w:t>
            </w:r>
            <w:r>
              <w:rPr>
                <w:rFonts w:hint="eastAsia" w:ascii="宋体" w:hAnsi="宋体" w:eastAsia="宋体" w:cs="宋体"/>
                <w:color w:val="000000"/>
                <w:sz w:val="21"/>
                <w:szCs w:val="21"/>
              </w:rPr>
              <w:sym w:font="Wingdings 2" w:char="00A3"/>
            </w:r>
            <w:r>
              <w:rPr>
                <w:rFonts w:hint="eastAsia" w:ascii="宋体" w:hAnsi="宋体" w:eastAsia="宋体" w:cs="宋体"/>
                <w:sz w:val="21"/>
                <w:szCs w:val="21"/>
              </w:rPr>
              <w:t xml:space="preserve">；热污染 </w:t>
            </w:r>
            <w:r>
              <w:rPr>
                <w:rFonts w:hint="eastAsia" w:ascii="宋体" w:hAnsi="宋体" w:eastAsia="宋体" w:cs="宋体"/>
                <w:color w:val="000000"/>
                <w:sz w:val="21"/>
                <w:szCs w:val="21"/>
              </w:rPr>
              <w:sym w:font="Wingdings 2" w:char="00A3"/>
            </w:r>
            <w:r>
              <w:rPr>
                <w:rFonts w:hint="eastAsia" w:ascii="宋体" w:hAnsi="宋体" w:eastAsia="宋体" w:cs="宋体"/>
                <w:sz w:val="21"/>
                <w:szCs w:val="21"/>
              </w:rPr>
              <w:t xml:space="preserve">；富营养化 </w:t>
            </w:r>
            <w:r>
              <w:rPr>
                <w:rFonts w:hint="eastAsia" w:ascii="宋体" w:hAnsi="宋体" w:eastAsia="宋体" w:cs="宋体"/>
                <w:color w:val="000000"/>
                <w:sz w:val="21"/>
                <w:szCs w:val="21"/>
              </w:rPr>
              <w:sym w:font="Wingdings 2" w:char="00A3"/>
            </w:r>
            <w:r>
              <w:rPr>
                <w:rFonts w:hint="eastAsia" w:ascii="宋体" w:hAnsi="宋体" w:eastAsia="宋体" w:cs="宋体"/>
                <w:sz w:val="21"/>
                <w:szCs w:val="21"/>
              </w:rPr>
              <w:t xml:space="preserve">；其他 </w:t>
            </w:r>
            <w:r>
              <w:rPr>
                <w:rFonts w:hint="eastAsia" w:ascii="宋体" w:hAnsi="宋体" w:eastAsia="宋体" w:cs="宋体"/>
                <w:color w:val="000000"/>
                <w:sz w:val="21"/>
                <w:szCs w:val="21"/>
              </w:rPr>
              <w:sym w:font="Wingdings 2" w:char="00A3"/>
            </w:r>
          </w:p>
        </w:tc>
        <w:tc>
          <w:tcPr>
            <w:tcW w:w="1954" w:type="pct"/>
            <w:gridSpan w:val="7"/>
            <w:tcBorders>
              <w:right w:val="nil"/>
            </w:tcBorders>
            <w:vAlign w:val="center"/>
          </w:tcPr>
          <w:p w14:paraId="60BE424C">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sz w:val="21"/>
                <w:szCs w:val="21"/>
              </w:rPr>
            </w:pPr>
            <w:r>
              <w:rPr>
                <w:rFonts w:hint="eastAsia" w:ascii="宋体" w:hAnsi="宋体" w:eastAsia="宋体" w:cs="宋体"/>
                <w:sz w:val="21"/>
                <w:szCs w:val="21"/>
              </w:rPr>
              <w:t xml:space="preserve">水温 </w:t>
            </w:r>
            <w:r>
              <w:rPr>
                <w:rFonts w:hint="eastAsia" w:ascii="宋体" w:hAnsi="宋体" w:eastAsia="宋体" w:cs="宋体"/>
                <w:color w:val="000000"/>
                <w:sz w:val="21"/>
                <w:szCs w:val="21"/>
              </w:rPr>
              <w:sym w:font="Wingdings 2" w:char="00A3"/>
            </w:r>
            <w:r>
              <w:rPr>
                <w:rFonts w:hint="eastAsia" w:ascii="宋体" w:hAnsi="宋体" w:eastAsia="宋体" w:cs="宋体"/>
                <w:sz w:val="21"/>
                <w:szCs w:val="21"/>
              </w:rPr>
              <w:t xml:space="preserve">；水位（水深） </w:t>
            </w:r>
            <w:r>
              <w:rPr>
                <w:rFonts w:hint="eastAsia" w:ascii="宋体" w:hAnsi="宋体" w:eastAsia="宋体" w:cs="宋体"/>
                <w:color w:val="000000"/>
                <w:sz w:val="21"/>
                <w:szCs w:val="21"/>
              </w:rPr>
              <w:sym w:font="Wingdings 2" w:char="00A3"/>
            </w:r>
            <w:r>
              <w:rPr>
                <w:rFonts w:hint="eastAsia" w:ascii="宋体" w:hAnsi="宋体" w:eastAsia="宋体" w:cs="宋体"/>
                <w:sz w:val="21"/>
                <w:szCs w:val="21"/>
              </w:rPr>
              <w:t xml:space="preserve">；流速 </w:t>
            </w:r>
            <w:r>
              <w:rPr>
                <w:rFonts w:hint="eastAsia" w:ascii="宋体" w:hAnsi="宋体" w:eastAsia="宋体" w:cs="宋体"/>
                <w:color w:val="000000"/>
                <w:sz w:val="21"/>
                <w:szCs w:val="21"/>
              </w:rPr>
              <w:sym w:font="Wingdings 2" w:char="00A3"/>
            </w:r>
            <w:r>
              <w:rPr>
                <w:rFonts w:hint="eastAsia" w:ascii="宋体" w:hAnsi="宋体" w:eastAsia="宋体" w:cs="宋体"/>
                <w:sz w:val="21"/>
                <w:szCs w:val="21"/>
              </w:rPr>
              <w:t xml:space="preserve">；流量 </w:t>
            </w:r>
            <w:r>
              <w:rPr>
                <w:rFonts w:hint="eastAsia" w:ascii="宋体" w:hAnsi="宋体" w:eastAsia="宋体" w:cs="宋体"/>
                <w:color w:val="000000"/>
                <w:sz w:val="21"/>
                <w:szCs w:val="21"/>
              </w:rPr>
              <w:sym w:font="Wingdings 2" w:char="00A3"/>
            </w:r>
            <w:r>
              <w:rPr>
                <w:rFonts w:hint="eastAsia" w:ascii="宋体" w:hAnsi="宋体" w:eastAsia="宋体" w:cs="宋体"/>
                <w:sz w:val="21"/>
                <w:szCs w:val="21"/>
              </w:rPr>
              <w:t xml:space="preserve">；其他 </w:t>
            </w:r>
            <w:r>
              <w:rPr>
                <w:rFonts w:hint="eastAsia" w:ascii="宋体" w:hAnsi="宋体" w:eastAsia="宋体" w:cs="宋体"/>
                <w:color w:val="000000"/>
                <w:sz w:val="21"/>
                <w:szCs w:val="21"/>
              </w:rPr>
              <w:sym w:font="Wingdings 2" w:char="00A3"/>
            </w:r>
          </w:p>
        </w:tc>
      </w:tr>
      <w:tr w14:paraId="4C706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6" w:type="pct"/>
            <w:gridSpan w:val="2"/>
            <w:vMerge w:val="restart"/>
            <w:tcBorders>
              <w:left w:val="nil"/>
            </w:tcBorders>
            <w:vAlign w:val="center"/>
          </w:tcPr>
          <w:p w14:paraId="0CEF4007">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评价等级</w:t>
            </w:r>
          </w:p>
        </w:tc>
        <w:tc>
          <w:tcPr>
            <w:tcW w:w="1921" w:type="pct"/>
            <w:gridSpan w:val="6"/>
            <w:tcBorders>
              <w:right w:val="single" w:color="auto" w:sz="4" w:space="0"/>
            </w:tcBorders>
            <w:vAlign w:val="center"/>
          </w:tcPr>
          <w:p w14:paraId="40E412AE">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水污染影响型</w:t>
            </w:r>
          </w:p>
        </w:tc>
        <w:tc>
          <w:tcPr>
            <w:tcW w:w="1954" w:type="pct"/>
            <w:gridSpan w:val="7"/>
            <w:tcBorders>
              <w:right w:val="nil"/>
            </w:tcBorders>
            <w:vAlign w:val="center"/>
          </w:tcPr>
          <w:p w14:paraId="7799790C">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水文要素影响型</w:t>
            </w:r>
          </w:p>
        </w:tc>
      </w:tr>
      <w:tr w14:paraId="749BF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6" w:type="pct"/>
            <w:gridSpan w:val="2"/>
            <w:vMerge w:val="continue"/>
            <w:tcBorders>
              <w:left w:val="nil"/>
            </w:tcBorders>
            <w:vAlign w:val="center"/>
          </w:tcPr>
          <w:p w14:paraId="72D8DC3D">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rPr>
            </w:pPr>
          </w:p>
        </w:tc>
        <w:tc>
          <w:tcPr>
            <w:tcW w:w="1921" w:type="pct"/>
            <w:gridSpan w:val="6"/>
            <w:tcBorders>
              <w:right w:val="single" w:color="auto" w:sz="4" w:space="0"/>
            </w:tcBorders>
            <w:vAlign w:val="center"/>
          </w:tcPr>
          <w:p w14:paraId="61FBE98B">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sz w:val="21"/>
                <w:szCs w:val="21"/>
              </w:rPr>
            </w:pPr>
            <w:r>
              <w:rPr>
                <w:rFonts w:hint="eastAsia" w:ascii="宋体" w:hAnsi="宋体" w:eastAsia="宋体" w:cs="宋体"/>
                <w:sz w:val="21"/>
                <w:szCs w:val="21"/>
              </w:rPr>
              <w:t xml:space="preserve">一级 </w:t>
            </w:r>
            <w:r>
              <w:rPr>
                <w:rFonts w:hint="eastAsia" w:ascii="宋体" w:hAnsi="宋体" w:eastAsia="宋体" w:cs="宋体"/>
                <w:color w:val="000000"/>
                <w:sz w:val="21"/>
                <w:szCs w:val="21"/>
              </w:rPr>
              <w:sym w:font="Wingdings 2" w:char="00A3"/>
            </w:r>
            <w:r>
              <w:rPr>
                <w:rFonts w:hint="eastAsia" w:ascii="宋体" w:hAnsi="宋体" w:eastAsia="宋体" w:cs="宋体"/>
                <w:sz w:val="21"/>
                <w:szCs w:val="21"/>
              </w:rPr>
              <w:t>；二级</w:t>
            </w:r>
            <w:r>
              <w:rPr>
                <w:rFonts w:hint="eastAsia" w:ascii="宋体" w:hAnsi="宋体" w:eastAsia="宋体" w:cs="宋体"/>
                <w:color w:val="000000"/>
                <w:sz w:val="21"/>
                <w:szCs w:val="21"/>
                <w:lang w:eastAsia="zh-CN"/>
              </w:rPr>
              <w:t>□</w:t>
            </w:r>
            <w:r>
              <w:rPr>
                <w:rFonts w:hint="eastAsia" w:ascii="宋体" w:hAnsi="宋体" w:eastAsia="宋体" w:cs="宋体"/>
                <w:sz w:val="21"/>
                <w:szCs w:val="21"/>
              </w:rPr>
              <w:t xml:space="preserve">；三级A </w:t>
            </w:r>
            <w:r>
              <w:rPr>
                <w:rFonts w:hint="eastAsia" w:ascii="宋体" w:hAnsi="宋体" w:eastAsia="宋体" w:cs="宋体"/>
                <w:color w:val="000000"/>
                <w:sz w:val="21"/>
                <w:szCs w:val="21"/>
              </w:rPr>
              <w:sym w:font="Wingdings 2" w:char="00A3"/>
            </w:r>
            <w:r>
              <w:rPr>
                <w:rFonts w:hint="eastAsia" w:ascii="宋体" w:hAnsi="宋体" w:eastAsia="宋体" w:cs="宋体"/>
                <w:sz w:val="21"/>
                <w:szCs w:val="21"/>
              </w:rPr>
              <w:t xml:space="preserve">；三级B </w:t>
            </w:r>
            <w:r>
              <w:rPr>
                <w:rFonts w:hint="eastAsia" w:ascii="宋体" w:hAnsi="宋体" w:eastAsia="宋体" w:cs="宋体"/>
                <w:color w:val="000000"/>
                <w:sz w:val="21"/>
                <w:szCs w:val="21"/>
              </w:rPr>
              <w:sym w:font="Wingdings 2" w:char="0052"/>
            </w:r>
          </w:p>
        </w:tc>
        <w:tc>
          <w:tcPr>
            <w:tcW w:w="1954" w:type="pct"/>
            <w:gridSpan w:val="7"/>
            <w:tcBorders>
              <w:right w:val="nil"/>
            </w:tcBorders>
            <w:vAlign w:val="center"/>
          </w:tcPr>
          <w:p w14:paraId="01567EA6">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sz w:val="21"/>
                <w:szCs w:val="21"/>
              </w:rPr>
            </w:pPr>
            <w:r>
              <w:rPr>
                <w:rFonts w:hint="eastAsia" w:ascii="宋体" w:hAnsi="宋体" w:eastAsia="宋体" w:cs="宋体"/>
                <w:sz w:val="21"/>
                <w:szCs w:val="21"/>
              </w:rPr>
              <w:t xml:space="preserve">一级 </w:t>
            </w:r>
            <w:r>
              <w:rPr>
                <w:rFonts w:hint="eastAsia" w:ascii="宋体" w:hAnsi="宋体" w:eastAsia="宋体" w:cs="宋体"/>
                <w:color w:val="000000"/>
                <w:sz w:val="21"/>
                <w:szCs w:val="21"/>
              </w:rPr>
              <w:sym w:font="Wingdings 2" w:char="00A3"/>
            </w:r>
            <w:r>
              <w:rPr>
                <w:rFonts w:hint="eastAsia" w:ascii="宋体" w:hAnsi="宋体" w:eastAsia="宋体" w:cs="宋体"/>
                <w:sz w:val="21"/>
                <w:szCs w:val="21"/>
              </w:rPr>
              <w:t xml:space="preserve">；二级 </w:t>
            </w:r>
            <w:r>
              <w:rPr>
                <w:rFonts w:hint="eastAsia" w:ascii="宋体" w:hAnsi="宋体" w:eastAsia="宋体" w:cs="宋体"/>
                <w:color w:val="000000"/>
                <w:sz w:val="21"/>
                <w:szCs w:val="21"/>
              </w:rPr>
              <w:sym w:font="Wingdings 2" w:char="00A3"/>
            </w:r>
            <w:r>
              <w:rPr>
                <w:rFonts w:hint="eastAsia" w:ascii="宋体" w:hAnsi="宋体" w:eastAsia="宋体" w:cs="宋体"/>
                <w:sz w:val="21"/>
                <w:szCs w:val="21"/>
              </w:rPr>
              <w:t xml:space="preserve">；三级 </w:t>
            </w:r>
            <w:r>
              <w:rPr>
                <w:rFonts w:hint="eastAsia" w:ascii="宋体" w:hAnsi="宋体" w:eastAsia="宋体" w:cs="宋体"/>
                <w:color w:val="000000"/>
                <w:sz w:val="21"/>
                <w:szCs w:val="21"/>
              </w:rPr>
              <w:sym w:font="Wingdings 2" w:char="00A3"/>
            </w:r>
          </w:p>
        </w:tc>
      </w:tr>
      <w:tr w14:paraId="45451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05" w:type="pct"/>
            <w:vMerge w:val="restart"/>
            <w:tcBorders>
              <w:left w:val="nil"/>
            </w:tcBorders>
            <w:vAlign w:val="center"/>
          </w:tcPr>
          <w:p w14:paraId="08EBE017">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现状调查</w:t>
            </w:r>
          </w:p>
        </w:tc>
        <w:tc>
          <w:tcPr>
            <w:tcW w:w="921" w:type="pct"/>
            <w:vMerge w:val="restart"/>
            <w:vAlign w:val="center"/>
          </w:tcPr>
          <w:p w14:paraId="1128690F">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区域污染源</w:t>
            </w:r>
          </w:p>
        </w:tc>
        <w:tc>
          <w:tcPr>
            <w:tcW w:w="1921" w:type="pct"/>
            <w:gridSpan w:val="6"/>
            <w:tcBorders>
              <w:right w:val="single" w:color="auto" w:sz="4" w:space="0"/>
            </w:tcBorders>
            <w:vAlign w:val="center"/>
          </w:tcPr>
          <w:p w14:paraId="69AA1FF2">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调查项目</w:t>
            </w:r>
          </w:p>
        </w:tc>
        <w:tc>
          <w:tcPr>
            <w:tcW w:w="1954" w:type="pct"/>
            <w:gridSpan w:val="7"/>
            <w:tcBorders>
              <w:right w:val="nil"/>
            </w:tcBorders>
            <w:vAlign w:val="center"/>
          </w:tcPr>
          <w:p w14:paraId="49E8D8EB">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数据来源</w:t>
            </w:r>
          </w:p>
        </w:tc>
      </w:tr>
      <w:tr w14:paraId="53276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05" w:type="pct"/>
            <w:vMerge w:val="continue"/>
            <w:tcBorders>
              <w:left w:val="nil"/>
            </w:tcBorders>
            <w:vAlign w:val="center"/>
          </w:tcPr>
          <w:p w14:paraId="7F3EEB6F">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rPr>
            </w:pPr>
          </w:p>
        </w:tc>
        <w:tc>
          <w:tcPr>
            <w:tcW w:w="921" w:type="pct"/>
            <w:vMerge w:val="continue"/>
            <w:vAlign w:val="center"/>
          </w:tcPr>
          <w:p w14:paraId="7C995E84">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rPr>
            </w:pPr>
          </w:p>
        </w:tc>
        <w:tc>
          <w:tcPr>
            <w:tcW w:w="1101" w:type="pct"/>
            <w:gridSpan w:val="4"/>
            <w:tcBorders>
              <w:right w:val="single" w:color="auto" w:sz="4" w:space="0"/>
            </w:tcBorders>
            <w:vAlign w:val="center"/>
          </w:tcPr>
          <w:p w14:paraId="7B478314">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sz w:val="21"/>
                <w:szCs w:val="21"/>
              </w:rPr>
            </w:pPr>
            <w:r>
              <w:rPr>
                <w:rFonts w:hint="eastAsia" w:ascii="宋体" w:hAnsi="宋体" w:eastAsia="宋体" w:cs="宋体"/>
                <w:sz w:val="21"/>
                <w:szCs w:val="21"/>
              </w:rPr>
              <w:t>已建</w:t>
            </w:r>
            <w:r>
              <w:rPr>
                <w:rFonts w:hint="eastAsia" w:ascii="宋体" w:hAnsi="宋体" w:eastAsia="宋体" w:cs="宋体"/>
                <w:color w:val="000000"/>
                <w:sz w:val="21"/>
                <w:szCs w:val="21"/>
                <w:lang w:eastAsia="zh-CN"/>
              </w:rPr>
              <w:t>□</w:t>
            </w:r>
            <w:r>
              <w:rPr>
                <w:rFonts w:hint="eastAsia" w:ascii="宋体" w:hAnsi="宋体" w:eastAsia="宋体" w:cs="宋体"/>
                <w:sz w:val="21"/>
                <w:szCs w:val="21"/>
              </w:rPr>
              <w:t xml:space="preserve">；在建 </w:t>
            </w:r>
            <w:r>
              <w:rPr>
                <w:rFonts w:hint="eastAsia" w:ascii="宋体" w:hAnsi="宋体" w:eastAsia="宋体" w:cs="宋体"/>
                <w:color w:val="000000"/>
                <w:sz w:val="21"/>
                <w:szCs w:val="21"/>
              </w:rPr>
              <w:sym w:font="Wingdings 2" w:char="00A3"/>
            </w:r>
            <w:r>
              <w:rPr>
                <w:rFonts w:hint="eastAsia" w:ascii="宋体" w:hAnsi="宋体" w:eastAsia="宋体" w:cs="宋体"/>
                <w:sz w:val="21"/>
                <w:szCs w:val="21"/>
              </w:rPr>
              <w:t xml:space="preserve">；拟建 </w:t>
            </w:r>
            <w:r>
              <w:rPr>
                <w:rFonts w:hint="eastAsia" w:ascii="宋体" w:hAnsi="宋体" w:eastAsia="宋体" w:cs="宋体"/>
                <w:color w:val="000000"/>
                <w:sz w:val="21"/>
                <w:szCs w:val="21"/>
              </w:rPr>
              <w:sym w:font="Wingdings 2" w:char="00A3"/>
            </w:r>
            <w:r>
              <w:rPr>
                <w:rFonts w:hint="eastAsia" w:ascii="宋体" w:hAnsi="宋体" w:eastAsia="宋体" w:cs="宋体"/>
                <w:sz w:val="21"/>
                <w:szCs w:val="21"/>
              </w:rPr>
              <w:t xml:space="preserve">；其他 </w:t>
            </w:r>
            <w:r>
              <w:rPr>
                <w:rFonts w:hint="eastAsia" w:ascii="宋体" w:hAnsi="宋体" w:eastAsia="宋体" w:cs="宋体"/>
                <w:color w:val="000000"/>
                <w:sz w:val="21"/>
                <w:szCs w:val="21"/>
              </w:rPr>
              <w:sym w:font="Wingdings 2" w:char="00A3"/>
            </w:r>
            <w:r>
              <w:rPr>
                <w:rFonts w:hint="eastAsia" w:ascii="宋体" w:hAnsi="宋体" w:eastAsia="宋体" w:cs="宋体"/>
                <w:sz w:val="21"/>
                <w:szCs w:val="21"/>
              </w:rPr>
              <w:t>；</w:t>
            </w:r>
          </w:p>
        </w:tc>
        <w:tc>
          <w:tcPr>
            <w:tcW w:w="819" w:type="pct"/>
            <w:gridSpan w:val="2"/>
            <w:tcBorders>
              <w:right w:val="single" w:color="auto" w:sz="4" w:space="0"/>
            </w:tcBorders>
            <w:vAlign w:val="center"/>
          </w:tcPr>
          <w:p w14:paraId="5F9EABA2">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sz w:val="21"/>
                <w:szCs w:val="21"/>
              </w:rPr>
            </w:pPr>
            <w:r>
              <w:rPr>
                <w:rFonts w:hint="eastAsia" w:ascii="宋体" w:hAnsi="宋体" w:eastAsia="宋体" w:cs="宋体"/>
                <w:sz w:val="21"/>
                <w:szCs w:val="21"/>
              </w:rPr>
              <w:t xml:space="preserve">拟替代的污染源 </w:t>
            </w:r>
            <w:r>
              <w:rPr>
                <w:rFonts w:hint="eastAsia" w:ascii="宋体" w:hAnsi="宋体" w:eastAsia="宋体" w:cs="宋体"/>
                <w:color w:val="000000"/>
                <w:sz w:val="21"/>
                <w:szCs w:val="21"/>
              </w:rPr>
              <w:sym w:font="Wingdings 2" w:char="00A3"/>
            </w:r>
          </w:p>
        </w:tc>
        <w:tc>
          <w:tcPr>
            <w:tcW w:w="1954" w:type="pct"/>
            <w:gridSpan w:val="7"/>
            <w:tcBorders>
              <w:right w:val="nil"/>
            </w:tcBorders>
            <w:vAlign w:val="center"/>
          </w:tcPr>
          <w:p w14:paraId="56C3AFED">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sz w:val="21"/>
                <w:szCs w:val="21"/>
                <w:lang w:eastAsia="zh-CN"/>
              </w:rPr>
            </w:pPr>
            <w:r>
              <w:rPr>
                <w:rFonts w:hint="eastAsia" w:ascii="宋体" w:hAnsi="宋体" w:eastAsia="宋体" w:cs="宋体"/>
                <w:sz w:val="21"/>
                <w:szCs w:val="21"/>
              </w:rPr>
              <w:t xml:space="preserve">排污许可证 </w:t>
            </w:r>
            <w:r>
              <w:rPr>
                <w:rFonts w:hint="eastAsia" w:ascii="宋体" w:hAnsi="宋体" w:eastAsia="宋体" w:cs="宋体"/>
                <w:color w:val="000000"/>
                <w:sz w:val="21"/>
                <w:szCs w:val="21"/>
              </w:rPr>
              <w:sym w:font="Wingdings 2" w:char="00A3"/>
            </w:r>
            <w:r>
              <w:rPr>
                <w:rFonts w:hint="eastAsia" w:ascii="宋体" w:hAnsi="宋体" w:eastAsia="宋体" w:cs="宋体"/>
                <w:sz w:val="21"/>
                <w:szCs w:val="21"/>
              </w:rPr>
              <w:t>；环评</w:t>
            </w:r>
            <w:r>
              <w:rPr>
                <w:rFonts w:hint="eastAsia" w:ascii="宋体" w:hAnsi="宋体" w:eastAsia="宋体" w:cs="宋体"/>
                <w:color w:val="000000"/>
                <w:sz w:val="21"/>
                <w:szCs w:val="21"/>
                <w:lang w:eastAsia="zh-CN"/>
              </w:rPr>
              <w:t>□</w:t>
            </w:r>
            <w:r>
              <w:rPr>
                <w:rFonts w:hint="eastAsia" w:ascii="宋体" w:hAnsi="宋体" w:eastAsia="宋体" w:cs="宋体"/>
                <w:sz w:val="21"/>
                <w:szCs w:val="21"/>
              </w:rPr>
              <w:t xml:space="preserve">；环保验收 </w:t>
            </w:r>
            <w:r>
              <w:rPr>
                <w:rFonts w:hint="eastAsia" w:ascii="宋体" w:hAnsi="宋体" w:eastAsia="宋体" w:cs="宋体"/>
                <w:color w:val="000000"/>
                <w:sz w:val="21"/>
                <w:szCs w:val="21"/>
              </w:rPr>
              <w:sym w:font="Wingdings 2" w:char="00A3"/>
            </w:r>
            <w:r>
              <w:rPr>
                <w:rFonts w:hint="eastAsia" w:ascii="宋体" w:hAnsi="宋体" w:eastAsia="宋体" w:cs="宋体"/>
                <w:sz w:val="21"/>
                <w:szCs w:val="21"/>
              </w:rPr>
              <w:t xml:space="preserve">；即有实测 </w:t>
            </w:r>
            <w:r>
              <w:rPr>
                <w:rFonts w:hint="eastAsia" w:ascii="宋体" w:hAnsi="宋体" w:eastAsia="宋体" w:cs="宋体"/>
                <w:color w:val="000000"/>
                <w:sz w:val="21"/>
                <w:szCs w:val="21"/>
              </w:rPr>
              <w:sym w:font="Wingdings 2" w:char="00A3"/>
            </w:r>
            <w:r>
              <w:rPr>
                <w:rFonts w:hint="eastAsia" w:ascii="宋体" w:hAnsi="宋体" w:eastAsia="宋体" w:cs="宋体"/>
                <w:sz w:val="21"/>
                <w:szCs w:val="21"/>
              </w:rPr>
              <w:t xml:space="preserve">；现场监测 </w:t>
            </w:r>
            <w:r>
              <w:rPr>
                <w:rFonts w:hint="eastAsia" w:ascii="宋体" w:hAnsi="宋体" w:eastAsia="宋体" w:cs="宋体"/>
                <w:color w:val="000000"/>
                <w:sz w:val="21"/>
                <w:szCs w:val="21"/>
              </w:rPr>
              <w:sym w:font="Wingdings 2" w:char="00A3"/>
            </w:r>
            <w:r>
              <w:rPr>
                <w:rFonts w:hint="eastAsia" w:ascii="宋体" w:hAnsi="宋体" w:eastAsia="宋体" w:cs="宋体"/>
                <w:sz w:val="21"/>
                <w:szCs w:val="21"/>
              </w:rPr>
              <w:t xml:space="preserve">；入河排放口数据 </w:t>
            </w:r>
            <w:r>
              <w:rPr>
                <w:rFonts w:hint="eastAsia" w:ascii="宋体" w:hAnsi="宋体" w:eastAsia="宋体" w:cs="宋体"/>
                <w:color w:val="000000"/>
                <w:sz w:val="21"/>
                <w:szCs w:val="21"/>
              </w:rPr>
              <w:sym w:font="Wingdings 2" w:char="00A3"/>
            </w:r>
            <w:r>
              <w:rPr>
                <w:rFonts w:hint="eastAsia" w:ascii="宋体" w:hAnsi="宋体" w:eastAsia="宋体" w:cs="宋体"/>
                <w:sz w:val="21"/>
                <w:szCs w:val="21"/>
              </w:rPr>
              <w:t>；其他</w:t>
            </w:r>
            <w:r>
              <w:rPr>
                <w:rFonts w:hint="eastAsia" w:ascii="宋体" w:hAnsi="宋体" w:eastAsia="宋体" w:cs="宋体"/>
                <w:color w:val="000000"/>
                <w:sz w:val="21"/>
                <w:szCs w:val="21"/>
                <w:lang w:eastAsia="zh-CN"/>
              </w:rPr>
              <w:t>□</w:t>
            </w:r>
          </w:p>
        </w:tc>
      </w:tr>
      <w:tr w14:paraId="5F2BE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05" w:type="pct"/>
            <w:vMerge w:val="continue"/>
            <w:tcBorders>
              <w:left w:val="nil"/>
            </w:tcBorders>
            <w:vAlign w:val="center"/>
          </w:tcPr>
          <w:p w14:paraId="437CF354">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rPr>
            </w:pPr>
          </w:p>
        </w:tc>
        <w:tc>
          <w:tcPr>
            <w:tcW w:w="921" w:type="pct"/>
            <w:vMerge w:val="restart"/>
            <w:vAlign w:val="center"/>
          </w:tcPr>
          <w:p w14:paraId="6314CEB6">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受影响水体水环境质量</w:t>
            </w:r>
          </w:p>
        </w:tc>
        <w:tc>
          <w:tcPr>
            <w:tcW w:w="1921" w:type="pct"/>
            <w:gridSpan w:val="6"/>
            <w:tcBorders>
              <w:right w:val="single" w:color="auto" w:sz="4" w:space="0"/>
            </w:tcBorders>
            <w:vAlign w:val="center"/>
          </w:tcPr>
          <w:p w14:paraId="1D6B80B4">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调查时期</w:t>
            </w:r>
          </w:p>
        </w:tc>
        <w:tc>
          <w:tcPr>
            <w:tcW w:w="1954" w:type="pct"/>
            <w:gridSpan w:val="7"/>
            <w:tcBorders>
              <w:right w:val="nil"/>
            </w:tcBorders>
            <w:vAlign w:val="center"/>
          </w:tcPr>
          <w:p w14:paraId="293AF2C3">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数据来源</w:t>
            </w:r>
          </w:p>
        </w:tc>
      </w:tr>
      <w:tr w14:paraId="46384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05" w:type="pct"/>
            <w:vMerge w:val="continue"/>
            <w:tcBorders>
              <w:left w:val="nil"/>
            </w:tcBorders>
            <w:vAlign w:val="center"/>
          </w:tcPr>
          <w:p w14:paraId="57D1D290">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rPr>
            </w:pPr>
          </w:p>
        </w:tc>
        <w:tc>
          <w:tcPr>
            <w:tcW w:w="921" w:type="pct"/>
            <w:vMerge w:val="continue"/>
            <w:vAlign w:val="center"/>
          </w:tcPr>
          <w:p w14:paraId="33017986">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rPr>
            </w:pPr>
          </w:p>
        </w:tc>
        <w:tc>
          <w:tcPr>
            <w:tcW w:w="1921" w:type="pct"/>
            <w:gridSpan w:val="6"/>
            <w:tcBorders>
              <w:right w:val="single" w:color="auto" w:sz="4" w:space="0"/>
            </w:tcBorders>
            <w:vAlign w:val="center"/>
          </w:tcPr>
          <w:p w14:paraId="28985DBB">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sz w:val="21"/>
                <w:szCs w:val="21"/>
              </w:rPr>
            </w:pPr>
            <w:r>
              <w:rPr>
                <w:rFonts w:hint="eastAsia" w:ascii="宋体" w:hAnsi="宋体" w:eastAsia="宋体" w:cs="宋体"/>
                <w:sz w:val="21"/>
                <w:szCs w:val="21"/>
              </w:rPr>
              <w:t>丰水期</w:t>
            </w:r>
            <w:r>
              <w:rPr>
                <w:rFonts w:hint="eastAsia" w:ascii="宋体" w:hAnsi="宋体" w:eastAsia="宋体" w:cs="宋体"/>
                <w:color w:val="000000"/>
                <w:sz w:val="21"/>
                <w:szCs w:val="21"/>
                <w:lang w:eastAsia="zh-CN"/>
              </w:rPr>
              <w:t>□</w:t>
            </w:r>
            <w:r>
              <w:rPr>
                <w:rFonts w:hint="eastAsia" w:ascii="宋体" w:hAnsi="宋体" w:eastAsia="宋体" w:cs="宋体"/>
                <w:sz w:val="21"/>
                <w:szCs w:val="21"/>
              </w:rPr>
              <w:t>；平水期</w:t>
            </w:r>
            <w:r>
              <w:rPr>
                <w:rFonts w:hint="eastAsia" w:ascii="宋体" w:hAnsi="宋体" w:eastAsia="宋体" w:cs="宋体"/>
                <w:color w:val="000000"/>
                <w:sz w:val="21"/>
                <w:szCs w:val="21"/>
                <w:lang w:eastAsia="zh-CN"/>
              </w:rPr>
              <w:t>□</w:t>
            </w:r>
            <w:r>
              <w:rPr>
                <w:rFonts w:hint="eastAsia" w:ascii="宋体" w:hAnsi="宋体" w:eastAsia="宋体" w:cs="宋体"/>
                <w:sz w:val="21"/>
                <w:szCs w:val="21"/>
              </w:rPr>
              <w:t>；枯水期</w:t>
            </w:r>
            <w:r>
              <w:rPr>
                <w:rFonts w:hint="eastAsia" w:ascii="宋体" w:hAnsi="宋体" w:eastAsia="宋体" w:cs="宋体"/>
                <w:color w:val="000000"/>
                <w:sz w:val="21"/>
                <w:szCs w:val="21"/>
                <w:lang w:eastAsia="zh-CN"/>
              </w:rPr>
              <w:t>□</w:t>
            </w:r>
            <w:r>
              <w:rPr>
                <w:rFonts w:hint="eastAsia" w:ascii="宋体" w:hAnsi="宋体" w:eastAsia="宋体" w:cs="宋体"/>
                <w:sz w:val="21"/>
                <w:szCs w:val="21"/>
              </w:rPr>
              <w:t xml:space="preserve">；冰封期 </w:t>
            </w:r>
            <w:r>
              <w:rPr>
                <w:rFonts w:hint="eastAsia" w:ascii="宋体" w:hAnsi="宋体" w:eastAsia="宋体" w:cs="宋体"/>
                <w:color w:val="000000"/>
                <w:sz w:val="21"/>
                <w:szCs w:val="21"/>
              </w:rPr>
              <w:sym w:font="Wingdings 2" w:char="00A3"/>
            </w:r>
            <w:r>
              <w:rPr>
                <w:rFonts w:hint="eastAsia" w:ascii="宋体" w:hAnsi="宋体" w:eastAsia="宋体" w:cs="宋体"/>
                <w:sz w:val="21"/>
                <w:szCs w:val="21"/>
              </w:rPr>
              <w:t>；</w:t>
            </w:r>
          </w:p>
          <w:p w14:paraId="2ACFBEA8">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sz w:val="21"/>
                <w:szCs w:val="21"/>
                <w:lang w:eastAsia="zh-CN"/>
              </w:rPr>
            </w:pPr>
            <w:r>
              <w:rPr>
                <w:rFonts w:hint="eastAsia" w:ascii="宋体" w:hAnsi="宋体" w:eastAsia="宋体" w:cs="宋体"/>
                <w:sz w:val="21"/>
                <w:szCs w:val="21"/>
              </w:rPr>
              <w:t>春季</w:t>
            </w:r>
            <w:r>
              <w:rPr>
                <w:rFonts w:hint="eastAsia" w:ascii="宋体" w:hAnsi="宋体" w:eastAsia="宋体" w:cs="宋体"/>
                <w:color w:val="000000"/>
                <w:sz w:val="21"/>
                <w:szCs w:val="21"/>
                <w:lang w:eastAsia="zh-CN"/>
              </w:rPr>
              <w:t>□</w:t>
            </w:r>
            <w:r>
              <w:rPr>
                <w:rFonts w:hint="eastAsia" w:ascii="宋体" w:hAnsi="宋体" w:eastAsia="宋体" w:cs="宋体"/>
                <w:sz w:val="21"/>
                <w:szCs w:val="21"/>
              </w:rPr>
              <w:t>；夏季</w:t>
            </w:r>
            <w:r>
              <w:rPr>
                <w:rFonts w:hint="eastAsia" w:ascii="宋体" w:hAnsi="宋体" w:eastAsia="宋体" w:cs="宋体"/>
                <w:color w:val="000000"/>
                <w:sz w:val="21"/>
                <w:szCs w:val="21"/>
                <w:lang w:eastAsia="zh-CN"/>
              </w:rPr>
              <w:t>□</w:t>
            </w:r>
            <w:r>
              <w:rPr>
                <w:rFonts w:hint="eastAsia" w:ascii="宋体" w:hAnsi="宋体" w:eastAsia="宋体" w:cs="宋体"/>
                <w:sz w:val="21"/>
                <w:szCs w:val="21"/>
              </w:rPr>
              <w:t>；秋季</w:t>
            </w:r>
            <w:r>
              <w:rPr>
                <w:rFonts w:hint="eastAsia" w:ascii="宋体" w:hAnsi="宋体" w:eastAsia="宋体" w:cs="宋体"/>
                <w:color w:val="000000"/>
                <w:sz w:val="21"/>
                <w:szCs w:val="21"/>
                <w:lang w:eastAsia="zh-CN"/>
              </w:rPr>
              <w:t>□</w:t>
            </w:r>
            <w:r>
              <w:rPr>
                <w:rFonts w:hint="eastAsia" w:ascii="宋体" w:hAnsi="宋体" w:eastAsia="宋体" w:cs="宋体"/>
                <w:sz w:val="21"/>
                <w:szCs w:val="21"/>
              </w:rPr>
              <w:t>；冬季</w:t>
            </w:r>
            <w:r>
              <w:rPr>
                <w:rFonts w:hint="eastAsia" w:ascii="宋体" w:hAnsi="宋体" w:eastAsia="宋体" w:cs="宋体"/>
                <w:color w:val="000000"/>
                <w:sz w:val="21"/>
                <w:szCs w:val="21"/>
                <w:lang w:eastAsia="zh-CN"/>
              </w:rPr>
              <w:t>□</w:t>
            </w:r>
          </w:p>
        </w:tc>
        <w:tc>
          <w:tcPr>
            <w:tcW w:w="1954" w:type="pct"/>
            <w:gridSpan w:val="7"/>
            <w:tcBorders>
              <w:right w:val="nil"/>
            </w:tcBorders>
            <w:vAlign w:val="center"/>
          </w:tcPr>
          <w:p w14:paraId="5C0EA55E">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sz w:val="21"/>
                <w:szCs w:val="21"/>
              </w:rPr>
            </w:pPr>
            <w:r>
              <w:rPr>
                <w:rFonts w:hint="eastAsia" w:ascii="宋体" w:hAnsi="宋体" w:eastAsia="宋体" w:cs="宋体"/>
                <w:sz w:val="21"/>
                <w:szCs w:val="21"/>
              </w:rPr>
              <w:t>生态环境保护主管部门</w:t>
            </w:r>
            <w:r>
              <w:rPr>
                <w:rFonts w:hint="eastAsia" w:ascii="宋体" w:hAnsi="宋体" w:eastAsia="宋体" w:cs="宋体"/>
                <w:color w:val="000000"/>
                <w:sz w:val="21"/>
                <w:szCs w:val="21"/>
                <w:lang w:eastAsia="zh-CN"/>
              </w:rPr>
              <w:t>□</w:t>
            </w:r>
            <w:r>
              <w:rPr>
                <w:rFonts w:hint="eastAsia" w:ascii="宋体" w:hAnsi="宋体" w:eastAsia="宋体" w:cs="宋体"/>
                <w:sz w:val="21"/>
                <w:szCs w:val="21"/>
              </w:rPr>
              <w:t>；补充监测</w:t>
            </w:r>
            <w:r>
              <w:rPr>
                <w:rFonts w:hint="eastAsia" w:ascii="宋体" w:hAnsi="宋体" w:eastAsia="宋体" w:cs="宋体"/>
                <w:color w:val="000000"/>
                <w:sz w:val="21"/>
                <w:szCs w:val="21"/>
              </w:rPr>
              <w:t>☑</w:t>
            </w:r>
            <w:r>
              <w:rPr>
                <w:rFonts w:hint="eastAsia" w:ascii="宋体" w:hAnsi="宋体" w:eastAsia="宋体" w:cs="宋体"/>
                <w:sz w:val="21"/>
                <w:szCs w:val="21"/>
              </w:rPr>
              <w:t xml:space="preserve">；其他 </w:t>
            </w:r>
            <w:r>
              <w:rPr>
                <w:rFonts w:hint="eastAsia" w:ascii="宋体" w:hAnsi="宋体" w:eastAsia="宋体" w:cs="宋体"/>
                <w:color w:val="000000"/>
                <w:sz w:val="21"/>
                <w:szCs w:val="21"/>
              </w:rPr>
              <w:sym w:font="Wingdings 2" w:char="00A3"/>
            </w:r>
          </w:p>
        </w:tc>
      </w:tr>
      <w:tr w14:paraId="35D8F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05" w:type="pct"/>
            <w:vMerge w:val="continue"/>
            <w:tcBorders>
              <w:left w:val="nil"/>
            </w:tcBorders>
            <w:vAlign w:val="center"/>
          </w:tcPr>
          <w:p w14:paraId="1E39B2F5">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rPr>
            </w:pPr>
          </w:p>
        </w:tc>
        <w:tc>
          <w:tcPr>
            <w:tcW w:w="921" w:type="pct"/>
            <w:vAlign w:val="center"/>
          </w:tcPr>
          <w:p w14:paraId="542DE265">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区域水资源开发利用状况</w:t>
            </w:r>
          </w:p>
        </w:tc>
        <w:tc>
          <w:tcPr>
            <w:tcW w:w="3874" w:type="pct"/>
            <w:gridSpan w:val="13"/>
            <w:tcBorders>
              <w:right w:val="nil"/>
            </w:tcBorders>
            <w:vAlign w:val="center"/>
          </w:tcPr>
          <w:p w14:paraId="5FCB0329">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sz w:val="21"/>
                <w:szCs w:val="21"/>
              </w:rPr>
            </w:pPr>
            <w:r>
              <w:rPr>
                <w:rFonts w:hint="eastAsia" w:ascii="宋体" w:hAnsi="宋体" w:eastAsia="宋体" w:cs="宋体"/>
                <w:sz w:val="21"/>
                <w:szCs w:val="21"/>
              </w:rPr>
              <w:t xml:space="preserve">未开发 </w:t>
            </w:r>
            <w:r>
              <w:rPr>
                <w:rFonts w:hint="eastAsia" w:ascii="宋体" w:hAnsi="宋体" w:eastAsia="宋体" w:cs="宋体"/>
                <w:color w:val="000000"/>
                <w:sz w:val="21"/>
                <w:szCs w:val="21"/>
              </w:rPr>
              <w:sym w:font="Wingdings 2" w:char="00A3"/>
            </w:r>
            <w:r>
              <w:rPr>
                <w:rFonts w:hint="eastAsia" w:ascii="宋体" w:hAnsi="宋体" w:eastAsia="宋体" w:cs="宋体"/>
                <w:sz w:val="21"/>
                <w:szCs w:val="21"/>
              </w:rPr>
              <w:t xml:space="preserve">；开发量40%以下 </w:t>
            </w:r>
            <w:r>
              <w:rPr>
                <w:rFonts w:hint="eastAsia" w:ascii="宋体" w:hAnsi="宋体" w:eastAsia="宋体" w:cs="宋体"/>
                <w:color w:val="000000"/>
                <w:sz w:val="21"/>
                <w:szCs w:val="21"/>
              </w:rPr>
              <w:sym w:font="Wingdings 2" w:char="00A3"/>
            </w:r>
            <w:r>
              <w:rPr>
                <w:rFonts w:hint="eastAsia" w:ascii="宋体" w:hAnsi="宋体" w:eastAsia="宋体" w:cs="宋体"/>
                <w:sz w:val="21"/>
                <w:szCs w:val="21"/>
              </w:rPr>
              <w:t xml:space="preserve">；发量40%以上 </w:t>
            </w:r>
            <w:r>
              <w:rPr>
                <w:rFonts w:hint="eastAsia" w:ascii="宋体" w:hAnsi="宋体" w:eastAsia="宋体" w:cs="宋体"/>
                <w:color w:val="000000"/>
                <w:sz w:val="21"/>
                <w:szCs w:val="21"/>
              </w:rPr>
              <w:sym w:font="Wingdings 2" w:char="00A3"/>
            </w:r>
          </w:p>
        </w:tc>
      </w:tr>
      <w:tr w14:paraId="67FE9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05" w:type="pct"/>
            <w:vMerge w:val="continue"/>
            <w:tcBorders>
              <w:left w:val="nil"/>
            </w:tcBorders>
            <w:vAlign w:val="center"/>
          </w:tcPr>
          <w:p w14:paraId="5C7067C9">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rPr>
            </w:pPr>
          </w:p>
        </w:tc>
        <w:tc>
          <w:tcPr>
            <w:tcW w:w="921" w:type="pct"/>
            <w:vMerge w:val="restart"/>
            <w:vAlign w:val="center"/>
          </w:tcPr>
          <w:p w14:paraId="20581C30">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水文情势调查</w:t>
            </w:r>
          </w:p>
        </w:tc>
        <w:tc>
          <w:tcPr>
            <w:tcW w:w="1921" w:type="pct"/>
            <w:gridSpan w:val="6"/>
            <w:tcBorders>
              <w:right w:val="single" w:color="auto" w:sz="4" w:space="0"/>
            </w:tcBorders>
            <w:vAlign w:val="center"/>
          </w:tcPr>
          <w:p w14:paraId="6B7E393E">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调查时期</w:t>
            </w:r>
          </w:p>
        </w:tc>
        <w:tc>
          <w:tcPr>
            <w:tcW w:w="1954" w:type="pct"/>
            <w:gridSpan w:val="7"/>
            <w:tcBorders>
              <w:right w:val="nil"/>
            </w:tcBorders>
            <w:vAlign w:val="center"/>
          </w:tcPr>
          <w:p w14:paraId="2CA90BC5">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数据来源</w:t>
            </w:r>
          </w:p>
        </w:tc>
      </w:tr>
      <w:tr w14:paraId="77392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05" w:type="pct"/>
            <w:vMerge w:val="continue"/>
            <w:tcBorders>
              <w:left w:val="nil"/>
            </w:tcBorders>
            <w:vAlign w:val="center"/>
          </w:tcPr>
          <w:p w14:paraId="6DF18E31">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rPr>
            </w:pPr>
          </w:p>
        </w:tc>
        <w:tc>
          <w:tcPr>
            <w:tcW w:w="921" w:type="pct"/>
            <w:vMerge w:val="continue"/>
            <w:vAlign w:val="center"/>
          </w:tcPr>
          <w:p w14:paraId="6B73FE48">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rPr>
            </w:pPr>
          </w:p>
        </w:tc>
        <w:tc>
          <w:tcPr>
            <w:tcW w:w="1921" w:type="pct"/>
            <w:gridSpan w:val="6"/>
            <w:tcBorders>
              <w:right w:val="single" w:color="auto" w:sz="4" w:space="0"/>
            </w:tcBorders>
            <w:vAlign w:val="center"/>
          </w:tcPr>
          <w:p w14:paraId="50B9A0E4">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sz w:val="21"/>
                <w:szCs w:val="21"/>
              </w:rPr>
            </w:pPr>
            <w:r>
              <w:rPr>
                <w:rFonts w:hint="eastAsia" w:ascii="宋体" w:hAnsi="宋体" w:eastAsia="宋体" w:cs="宋体"/>
                <w:sz w:val="21"/>
                <w:szCs w:val="21"/>
              </w:rPr>
              <w:t xml:space="preserve">丰水期 </w:t>
            </w:r>
            <w:r>
              <w:rPr>
                <w:rFonts w:hint="eastAsia" w:ascii="宋体" w:hAnsi="宋体" w:eastAsia="宋体" w:cs="宋体"/>
                <w:color w:val="000000"/>
                <w:sz w:val="21"/>
                <w:szCs w:val="21"/>
              </w:rPr>
              <w:sym w:font="Wingdings 2" w:char="00A3"/>
            </w:r>
            <w:r>
              <w:rPr>
                <w:rFonts w:hint="eastAsia" w:ascii="宋体" w:hAnsi="宋体" w:eastAsia="宋体" w:cs="宋体"/>
                <w:sz w:val="21"/>
                <w:szCs w:val="21"/>
              </w:rPr>
              <w:t xml:space="preserve">；平水期 </w:t>
            </w:r>
            <w:r>
              <w:rPr>
                <w:rFonts w:hint="eastAsia" w:ascii="宋体" w:hAnsi="宋体" w:eastAsia="宋体" w:cs="宋体"/>
                <w:color w:val="000000"/>
                <w:sz w:val="21"/>
                <w:szCs w:val="21"/>
              </w:rPr>
              <w:sym w:font="Wingdings 2" w:char="00A3"/>
            </w:r>
            <w:r>
              <w:rPr>
                <w:rFonts w:hint="eastAsia" w:ascii="宋体" w:hAnsi="宋体" w:eastAsia="宋体" w:cs="宋体"/>
                <w:sz w:val="21"/>
                <w:szCs w:val="21"/>
              </w:rPr>
              <w:t xml:space="preserve">；枯水期 </w:t>
            </w:r>
            <w:r>
              <w:rPr>
                <w:rFonts w:hint="eastAsia" w:ascii="宋体" w:hAnsi="宋体" w:eastAsia="宋体" w:cs="宋体"/>
                <w:color w:val="000000"/>
                <w:sz w:val="21"/>
                <w:szCs w:val="21"/>
              </w:rPr>
              <w:sym w:font="Wingdings 2" w:char="00A3"/>
            </w:r>
            <w:r>
              <w:rPr>
                <w:rFonts w:hint="eastAsia" w:ascii="宋体" w:hAnsi="宋体" w:eastAsia="宋体" w:cs="宋体"/>
                <w:sz w:val="21"/>
                <w:szCs w:val="21"/>
              </w:rPr>
              <w:t xml:space="preserve">；冰封期 </w:t>
            </w:r>
            <w:r>
              <w:rPr>
                <w:rFonts w:hint="eastAsia" w:ascii="宋体" w:hAnsi="宋体" w:eastAsia="宋体" w:cs="宋体"/>
                <w:color w:val="000000"/>
                <w:sz w:val="21"/>
                <w:szCs w:val="21"/>
              </w:rPr>
              <w:sym w:font="Wingdings 2" w:char="00A3"/>
            </w:r>
            <w:r>
              <w:rPr>
                <w:rFonts w:hint="eastAsia" w:ascii="宋体" w:hAnsi="宋体" w:eastAsia="宋体" w:cs="宋体"/>
                <w:sz w:val="21"/>
                <w:szCs w:val="21"/>
              </w:rPr>
              <w:t>；</w:t>
            </w:r>
          </w:p>
          <w:p w14:paraId="7E15118B">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sz w:val="21"/>
                <w:szCs w:val="21"/>
              </w:rPr>
            </w:pPr>
            <w:r>
              <w:rPr>
                <w:rFonts w:hint="eastAsia" w:ascii="宋体" w:hAnsi="宋体" w:eastAsia="宋体" w:cs="宋体"/>
                <w:sz w:val="21"/>
                <w:szCs w:val="21"/>
              </w:rPr>
              <w:t xml:space="preserve">春季 </w:t>
            </w:r>
            <w:r>
              <w:rPr>
                <w:rFonts w:hint="eastAsia" w:ascii="宋体" w:hAnsi="宋体" w:eastAsia="宋体" w:cs="宋体"/>
                <w:color w:val="000000"/>
                <w:sz w:val="21"/>
                <w:szCs w:val="21"/>
              </w:rPr>
              <w:sym w:font="Wingdings 2" w:char="00A3"/>
            </w:r>
            <w:r>
              <w:rPr>
                <w:rFonts w:hint="eastAsia" w:ascii="宋体" w:hAnsi="宋体" w:eastAsia="宋体" w:cs="宋体"/>
                <w:sz w:val="21"/>
                <w:szCs w:val="21"/>
              </w:rPr>
              <w:t xml:space="preserve">；夏季 </w:t>
            </w:r>
            <w:r>
              <w:rPr>
                <w:rFonts w:hint="eastAsia" w:ascii="宋体" w:hAnsi="宋体" w:eastAsia="宋体" w:cs="宋体"/>
                <w:color w:val="000000"/>
                <w:sz w:val="21"/>
                <w:szCs w:val="21"/>
              </w:rPr>
              <w:sym w:font="Wingdings 2" w:char="00A3"/>
            </w:r>
            <w:r>
              <w:rPr>
                <w:rFonts w:hint="eastAsia" w:ascii="宋体" w:hAnsi="宋体" w:eastAsia="宋体" w:cs="宋体"/>
                <w:sz w:val="21"/>
                <w:szCs w:val="21"/>
              </w:rPr>
              <w:t xml:space="preserve">；秋季 </w:t>
            </w:r>
            <w:r>
              <w:rPr>
                <w:rFonts w:hint="eastAsia" w:ascii="宋体" w:hAnsi="宋体" w:eastAsia="宋体" w:cs="宋体"/>
                <w:color w:val="000000"/>
                <w:sz w:val="21"/>
                <w:szCs w:val="21"/>
              </w:rPr>
              <w:sym w:font="Wingdings 2" w:char="00A3"/>
            </w:r>
            <w:r>
              <w:rPr>
                <w:rFonts w:hint="eastAsia" w:ascii="宋体" w:hAnsi="宋体" w:eastAsia="宋体" w:cs="宋体"/>
                <w:sz w:val="21"/>
                <w:szCs w:val="21"/>
              </w:rPr>
              <w:t xml:space="preserve">；冬季 </w:t>
            </w:r>
            <w:r>
              <w:rPr>
                <w:rFonts w:hint="eastAsia" w:ascii="宋体" w:hAnsi="宋体" w:eastAsia="宋体" w:cs="宋体"/>
                <w:color w:val="000000"/>
                <w:sz w:val="21"/>
                <w:szCs w:val="21"/>
              </w:rPr>
              <w:sym w:font="Wingdings 2" w:char="00A3"/>
            </w:r>
          </w:p>
        </w:tc>
        <w:tc>
          <w:tcPr>
            <w:tcW w:w="1954" w:type="pct"/>
            <w:gridSpan w:val="7"/>
            <w:tcBorders>
              <w:right w:val="nil"/>
            </w:tcBorders>
            <w:vAlign w:val="center"/>
          </w:tcPr>
          <w:p w14:paraId="78273085">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sz w:val="21"/>
                <w:szCs w:val="21"/>
              </w:rPr>
            </w:pPr>
            <w:r>
              <w:rPr>
                <w:rFonts w:hint="eastAsia" w:ascii="宋体" w:hAnsi="宋体" w:eastAsia="宋体" w:cs="宋体"/>
                <w:sz w:val="21"/>
                <w:szCs w:val="21"/>
              </w:rPr>
              <w:t xml:space="preserve">水行政主管部门 </w:t>
            </w:r>
            <w:r>
              <w:rPr>
                <w:rFonts w:hint="eastAsia" w:ascii="宋体" w:hAnsi="宋体" w:eastAsia="宋体" w:cs="宋体"/>
                <w:color w:val="000000"/>
                <w:sz w:val="21"/>
                <w:szCs w:val="21"/>
              </w:rPr>
              <w:sym w:font="Wingdings 2" w:char="00A3"/>
            </w:r>
            <w:r>
              <w:rPr>
                <w:rFonts w:hint="eastAsia" w:ascii="宋体" w:hAnsi="宋体" w:eastAsia="宋体" w:cs="宋体"/>
                <w:sz w:val="21"/>
                <w:szCs w:val="21"/>
              </w:rPr>
              <w:t xml:space="preserve">；补充监测 </w:t>
            </w:r>
            <w:r>
              <w:rPr>
                <w:rFonts w:hint="eastAsia" w:ascii="宋体" w:hAnsi="宋体" w:eastAsia="宋体" w:cs="宋体"/>
                <w:color w:val="000000"/>
                <w:sz w:val="21"/>
                <w:szCs w:val="21"/>
              </w:rPr>
              <w:sym w:font="Wingdings 2" w:char="00A3"/>
            </w:r>
            <w:r>
              <w:rPr>
                <w:rFonts w:hint="eastAsia" w:ascii="宋体" w:hAnsi="宋体" w:eastAsia="宋体" w:cs="宋体"/>
                <w:sz w:val="21"/>
                <w:szCs w:val="21"/>
              </w:rPr>
              <w:t xml:space="preserve">；其他 </w:t>
            </w:r>
            <w:r>
              <w:rPr>
                <w:rFonts w:hint="eastAsia" w:ascii="宋体" w:hAnsi="宋体" w:eastAsia="宋体" w:cs="宋体"/>
                <w:color w:val="000000"/>
                <w:sz w:val="21"/>
                <w:szCs w:val="21"/>
              </w:rPr>
              <w:sym w:font="Wingdings 2" w:char="00A3"/>
            </w:r>
          </w:p>
        </w:tc>
      </w:tr>
      <w:tr w14:paraId="47BC4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05" w:type="pct"/>
            <w:vMerge w:val="continue"/>
            <w:tcBorders>
              <w:left w:val="nil"/>
            </w:tcBorders>
            <w:vAlign w:val="center"/>
          </w:tcPr>
          <w:p w14:paraId="1AFBB46E">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rPr>
            </w:pPr>
          </w:p>
        </w:tc>
        <w:tc>
          <w:tcPr>
            <w:tcW w:w="921" w:type="pct"/>
            <w:vMerge w:val="restart"/>
            <w:tcBorders>
              <w:left w:val="single" w:color="auto" w:sz="4" w:space="0"/>
            </w:tcBorders>
            <w:vAlign w:val="center"/>
          </w:tcPr>
          <w:p w14:paraId="2F8857CB">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补充监测</w:t>
            </w:r>
          </w:p>
        </w:tc>
        <w:tc>
          <w:tcPr>
            <w:tcW w:w="1921" w:type="pct"/>
            <w:gridSpan w:val="6"/>
            <w:tcBorders>
              <w:right w:val="single" w:color="auto" w:sz="4" w:space="0"/>
            </w:tcBorders>
            <w:vAlign w:val="center"/>
          </w:tcPr>
          <w:p w14:paraId="34254191">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监测时期</w:t>
            </w:r>
          </w:p>
        </w:tc>
        <w:tc>
          <w:tcPr>
            <w:tcW w:w="1016" w:type="pct"/>
            <w:gridSpan w:val="5"/>
            <w:tcBorders>
              <w:right w:val="single" w:color="auto" w:sz="4" w:space="0"/>
            </w:tcBorders>
            <w:vAlign w:val="center"/>
          </w:tcPr>
          <w:p w14:paraId="5CE10ABB">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监测因子</w:t>
            </w:r>
          </w:p>
        </w:tc>
        <w:tc>
          <w:tcPr>
            <w:tcW w:w="937" w:type="pct"/>
            <w:gridSpan w:val="2"/>
            <w:tcBorders>
              <w:right w:val="nil"/>
            </w:tcBorders>
            <w:vAlign w:val="center"/>
          </w:tcPr>
          <w:p w14:paraId="2FD58925">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监测断面或点位</w:t>
            </w:r>
          </w:p>
        </w:tc>
      </w:tr>
      <w:tr w14:paraId="372EC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05" w:type="pct"/>
            <w:vMerge w:val="continue"/>
            <w:tcBorders>
              <w:left w:val="nil"/>
            </w:tcBorders>
            <w:vAlign w:val="center"/>
          </w:tcPr>
          <w:p w14:paraId="24DE88FB">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rPr>
            </w:pPr>
          </w:p>
        </w:tc>
        <w:tc>
          <w:tcPr>
            <w:tcW w:w="921" w:type="pct"/>
            <w:vMerge w:val="continue"/>
            <w:tcBorders>
              <w:left w:val="single" w:color="auto" w:sz="4" w:space="0"/>
            </w:tcBorders>
            <w:vAlign w:val="center"/>
          </w:tcPr>
          <w:p w14:paraId="5B6F9927">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rPr>
            </w:pPr>
          </w:p>
        </w:tc>
        <w:tc>
          <w:tcPr>
            <w:tcW w:w="1921" w:type="pct"/>
            <w:gridSpan w:val="6"/>
            <w:tcBorders>
              <w:right w:val="single" w:color="auto" w:sz="4" w:space="0"/>
            </w:tcBorders>
            <w:vAlign w:val="center"/>
          </w:tcPr>
          <w:p w14:paraId="70CF346C">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sz w:val="21"/>
                <w:szCs w:val="21"/>
              </w:rPr>
            </w:pPr>
            <w:r>
              <w:rPr>
                <w:rFonts w:hint="eastAsia" w:ascii="宋体" w:hAnsi="宋体" w:eastAsia="宋体" w:cs="宋体"/>
                <w:sz w:val="21"/>
                <w:szCs w:val="21"/>
              </w:rPr>
              <w:t xml:space="preserve">丰水期 </w:t>
            </w:r>
            <w:r>
              <w:rPr>
                <w:rFonts w:hint="eastAsia" w:ascii="宋体" w:hAnsi="宋体" w:eastAsia="宋体" w:cs="宋体"/>
                <w:color w:val="000000"/>
                <w:sz w:val="21"/>
                <w:szCs w:val="21"/>
              </w:rPr>
              <w:sym w:font="Wingdings 2" w:char="00A3"/>
            </w:r>
            <w:r>
              <w:rPr>
                <w:rFonts w:hint="eastAsia" w:ascii="宋体" w:hAnsi="宋体" w:eastAsia="宋体" w:cs="宋体"/>
                <w:sz w:val="21"/>
                <w:szCs w:val="21"/>
              </w:rPr>
              <w:t>；平水期</w:t>
            </w:r>
            <w:r>
              <w:rPr>
                <w:rFonts w:hint="eastAsia" w:ascii="宋体" w:hAnsi="宋体" w:eastAsia="宋体" w:cs="宋体"/>
                <w:color w:val="000000"/>
                <w:sz w:val="21"/>
                <w:szCs w:val="21"/>
                <w:lang w:eastAsia="zh-CN"/>
              </w:rPr>
              <w:t>□</w:t>
            </w:r>
            <w:r>
              <w:rPr>
                <w:rFonts w:hint="eastAsia" w:ascii="宋体" w:hAnsi="宋体" w:eastAsia="宋体" w:cs="宋体"/>
                <w:sz w:val="21"/>
                <w:szCs w:val="21"/>
              </w:rPr>
              <w:t xml:space="preserve">；枯水期 </w:t>
            </w:r>
            <w:r>
              <w:rPr>
                <w:rFonts w:hint="eastAsia" w:ascii="宋体" w:hAnsi="宋体" w:eastAsia="宋体" w:cs="宋体"/>
                <w:color w:val="000000"/>
                <w:sz w:val="21"/>
                <w:szCs w:val="21"/>
              </w:rPr>
              <w:sym w:font="Wingdings 2" w:char="00A3"/>
            </w:r>
            <w:r>
              <w:rPr>
                <w:rFonts w:hint="eastAsia" w:ascii="宋体" w:hAnsi="宋体" w:eastAsia="宋体" w:cs="宋体"/>
                <w:sz w:val="21"/>
                <w:szCs w:val="21"/>
              </w:rPr>
              <w:t xml:space="preserve">；冰封期 </w:t>
            </w:r>
            <w:r>
              <w:rPr>
                <w:rFonts w:hint="eastAsia" w:ascii="宋体" w:hAnsi="宋体" w:eastAsia="宋体" w:cs="宋体"/>
                <w:color w:val="000000"/>
                <w:sz w:val="21"/>
                <w:szCs w:val="21"/>
              </w:rPr>
              <w:sym w:font="Wingdings 2" w:char="00A3"/>
            </w:r>
            <w:r>
              <w:rPr>
                <w:rFonts w:hint="eastAsia" w:ascii="宋体" w:hAnsi="宋体" w:eastAsia="宋体" w:cs="宋体"/>
                <w:sz w:val="21"/>
                <w:szCs w:val="21"/>
              </w:rPr>
              <w:t>；</w:t>
            </w:r>
          </w:p>
          <w:p w14:paraId="69C2A635">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sz w:val="21"/>
                <w:szCs w:val="21"/>
              </w:rPr>
            </w:pPr>
            <w:r>
              <w:rPr>
                <w:rFonts w:hint="eastAsia" w:ascii="宋体" w:hAnsi="宋体" w:eastAsia="宋体" w:cs="宋体"/>
                <w:sz w:val="21"/>
                <w:szCs w:val="21"/>
              </w:rPr>
              <w:t>春季</w:t>
            </w:r>
            <w:r>
              <w:rPr>
                <w:rFonts w:hint="eastAsia" w:ascii="宋体" w:hAnsi="宋体" w:eastAsia="宋体" w:cs="宋体"/>
                <w:color w:val="000000"/>
                <w:sz w:val="21"/>
                <w:szCs w:val="21"/>
                <w:lang w:eastAsia="zh-CN"/>
              </w:rPr>
              <w:t>□</w:t>
            </w:r>
            <w:r>
              <w:rPr>
                <w:rFonts w:hint="eastAsia" w:ascii="宋体" w:hAnsi="宋体" w:eastAsia="宋体" w:cs="宋体"/>
                <w:sz w:val="21"/>
                <w:szCs w:val="21"/>
              </w:rPr>
              <w:t xml:space="preserve">；夏季 </w:t>
            </w:r>
            <w:r>
              <w:rPr>
                <w:rFonts w:hint="eastAsia" w:ascii="宋体" w:hAnsi="宋体" w:eastAsia="宋体" w:cs="宋体"/>
                <w:color w:val="000000"/>
                <w:sz w:val="21"/>
                <w:szCs w:val="21"/>
              </w:rPr>
              <w:sym w:font="Wingdings 2" w:char="00A3"/>
            </w:r>
            <w:r>
              <w:rPr>
                <w:rFonts w:hint="eastAsia" w:ascii="宋体" w:hAnsi="宋体" w:eastAsia="宋体" w:cs="宋体"/>
                <w:sz w:val="21"/>
                <w:szCs w:val="21"/>
              </w:rPr>
              <w:t xml:space="preserve">；秋季 </w:t>
            </w:r>
            <w:r>
              <w:rPr>
                <w:rFonts w:hint="eastAsia" w:ascii="宋体" w:hAnsi="宋体" w:eastAsia="宋体" w:cs="宋体"/>
                <w:color w:val="000000"/>
                <w:sz w:val="21"/>
                <w:szCs w:val="21"/>
              </w:rPr>
              <w:sym w:font="Wingdings 2" w:char="00A3"/>
            </w:r>
            <w:r>
              <w:rPr>
                <w:rFonts w:hint="eastAsia" w:ascii="宋体" w:hAnsi="宋体" w:eastAsia="宋体" w:cs="宋体"/>
                <w:sz w:val="21"/>
                <w:szCs w:val="21"/>
              </w:rPr>
              <w:t xml:space="preserve">；冬季 </w:t>
            </w:r>
            <w:r>
              <w:rPr>
                <w:rFonts w:hint="eastAsia" w:ascii="宋体" w:hAnsi="宋体" w:eastAsia="宋体" w:cs="宋体"/>
                <w:color w:val="000000"/>
                <w:sz w:val="21"/>
                <w:szCs w:val="21"/>
              </w:rPr>
              <w:sym w:font="Wingdings 2" w:char="00A3"/>
            </w:r>
          </w:p>
        </w:tc>
        <w:tc>
          <w:tcPr>
            <w:tcW w:w="1016" w:type="pct"/>
            <w:gridSpan w:val="5"/>
            <w:tcBorders>
              <w:right w:val="single" w:color="auto" w:sz="4" w:space="0"/>
            </w:tcBorders>
            <w:vAlign w:val="center"/>
          </w:tcPr>
          <w:p w14:paraId="300F7FE8">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sz w:val="21"/>
                <w:szCs w:val="21"/>
              </w:rPr>
            </w:pPr>
            <w:r>
              <w:rPr>
                <w:rFonts w:hint="eastAsia" w:ascii="宋体" w:hAnsi="宋体" w:eastAsia="宋体" w:cs="宋体"/>
                <w:sz w:val="21"/>
                <w:szCs w:val="21"/>
              </w:rPr>
              <w:t>（）</w:t>
            </w:r>
          </w:p>
        </w:tc>
        <w:tc>
          <w:tcPr>
            <w:tcW w:w="937" w:type="pct"/>
            <w:gridSpan w:val="2"/>
            <w:tcBorders>
              <w:right w:val="nil"/>
            </w:tcBorders>
            <w:vAlign w:val="center"/>
          </w:tcPr>
          <w:p w14:paraId="60BB4F56">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sz w:val="21"/>
                <w:szCs w:val="21"/>
              </w:rPr>
            </w:pPr>
            <w:r>
              <w:rPr>
                <w:rFonts w:hint="eastAsia" w:ascii="宋体" w:hAnsi="宋体" w:eastAsia="宋体" w:cs="宋体"/>
                <w:sz w:val="21"/>
                <w:szCs w:val="21"/>
              </w:rPr>
              <w:t>监测断面或点位个数</w:t>
            </w:r>
          </w:p>
          <w:p w14:paraId="2F3365C8">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sz w:val="21"/>
                <w:szCs w:val="21"/>
              </w:rPr>
            </w:pPr>
            <w:r>
              <w:rPr>
                <w:rFonts w:hint="eastAsia" w:ascii="宋体" w:hAnsi="宋体" w:eastAsia="宋体" w:cs="宋体"/>
                <w:sz w:val="21"/>
                <w:szCs w:val="21"/>
              </w:rPr>
              <w:t>（）个</w:t>
            </w:r>
          </w:p>
        </w:tc>
      </w:tr>
      <w:tr w14:paraId="72FAE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05" w:type="pct"/>
            <w:vMerge w:val="restart"/>
            <w:tcBorders>
              <w:left w:val="nil"/>
            </w:tcBorders>
            <w:vAlign w:val="center"/>
          </w:tcPr>
          <w:p w14:paraId="7458B5FD">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现状评价</w:t>
            </w:r>
          </w:p>
        </w:tc>
        <w:tc>
          <w:tcPr>
            <w:tcW w:w="921" w:type="pct"/>
            <w:tcBorders>
              <w:left w:val="single" w:color="auto" w:sz="4" w:space="0"/>
            </w:tcBorders>
            <w:vAlign w:val="center"/>
          </w:tcPr>
          <w:p w14:paraId="25104D49">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评价范围</w:t>
            </w:r>
          </w:p>
        </w:tc>
        <w:tc>
          <w:tcPr>
            <w:tcW w:w="3874" w:type="pct"/>
            <w:gridSpan w:val="13"/>
            <w:tcBorders>
              <w:right w:val="nil"/>
            </w:tcBorders>
            <w:vAlign w:val="center"/>
          </w:tcPr>
          <w:p w14:paraId="4C7EC24C">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sz w:val="21"/>
                <w:szCs w:val="21"/>
              </w:rPr>
            </w:pPr>
            <w:r>
              <w:rPr>
                <w:rFonts w:hint="eastAsia" w:ascii="宋体" w:hAnsi="宋体" w:eastAsia="宋体" w:cs="宋体"/>
                <w:sz w:val="21"/>
                <w:szCs w:val="21"/>
              </w:rPr>
              <w:t>河流：长度（）km；湖库、河口及近岸海域：面积（    ）km</w:t>
            </w:r>
            <w:r>
              <w:rPr>
                <w:rFonts w:hint="eastAsia" w:ascii="宋体" w:hAnsi="宋体" w:eastAsia="宋体" w:cs="宋体"/>
                <w:sz w:val="21"/>
                <w:szCs w:val="21"/>
                <w:vertAlign w:val="superscript"/>
              </w:rPr>
              <w:t>2</w:t>
            </w:r>
          </w:p>
        </w:tc>
      </w:tr>
      <w:tr w14:paraId="7A4D6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05" w:type="pct"/>
            <w:vMerge w:val="continue"/>
            <w:tcBorders>
              <w:left w:val="nil"/>
            </w:tcBorders>
            <w:vAlign w:val="center"/>
          </w:tcPr>
          <w:p w14:paraId="1E759057">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rPr>
            </w:pPr>
          </w:p>
        </w:tc>
        <w:tc>
          <w:tcPr>
            <w:tcW w:w="921" w:type="pct"/>
            <w:tcBorders>
              <w:left w:val="single" w:color="auto" w:sz="4" w:space="0"/>
            </w:tcBorders>
            <w:vAlign w:val="center"/>
          </w:tcPr>
          <w:p w14:paraId="1CE9E33B">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评价因子</w:t>
            </w:r>
          </w:p>
        </w:tc>
        <w:tc>
          <w:tcPr>
            <w:tcW w:w="3874" w:type="pct"/>
            <w:gridSpan w:val="13"/>
            <w:tcBorders>
              <w:right w:val="nil"/>
            </w:tcBorders>
            <w:vAlign w:val="center"/>
          </w:tcPr>
          <w:p w14:paraId="1B726296">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sz w:val="21"/>
                <w:szCs w:val="21"/>
              </w:rPr>
            </w:pPr>
            <w:r>
              <w:rPr>
                <w:rFonts w:hint="eastAsia" w:ascii="宋体" w:hAnsi="宋体" w:eastAsia="宋体" w:cs="宋体"/>
                <w:sz w:val="21"/>
                <w:szCs w:val="21"/>
              </w:rPr>
              <w:t>（）</w:t>
            </w:r>
          </w:p>
        </w:tc>
      </w:tr>
      <w:tr w14:paraId="23EC1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05" w:type="pct"/>
            <w:vMerge w:val="continue"/>
            <w:tcBorders>
              <w:left w:val="nil"/>
            </w:tcBorders>
            <w:vAlign w:val="center"/>
          </w:tcPr>
          <w:p w14:paraId="4E84CAEB">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rPr>
            </w:pPr>
          </w:p>
        </w:tc>
        <w:tc>
          <w:tcPr>
            <w:tcW w:w="921" w:type="pct"/>
            <w:tcBorders>
              <w:left w:val="single" w:color="auto" w:sz="4" w:space="0"/>
            </w:tcBorders>
            <w:vAlign w:val="center"/>
          </w:tcPr>
          <w:p w14:paraId="2897CB2D">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评价标准</w:t>
            </w:r>
          </w:p>
        </w:tc>
        <w:tc>
          <w:tcPr>
            <w:tcW w:w="3874" w:type="pct"/>
            <w:gridSpan w:val="13"/>
            <w:tcBorders>
              <w:right w:val="nil"/>
            </w:tcBorders>
            <w:vAlign w:val="center"/>
          </w:tcPr>
          <w:p w14:paraId="50007063">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sz w:val="21"/>
                <w:szCs w:val="21"/>
              </w:rPr>
            </w:pPr>
            <w:r>
              <w:rPr>
                <w:rFonts w:hint="eastAsia" w:ascii="宋体" w:hAnsi="宋体" w:eastAsia="宋体" w:cs="宋体"/>
                <w:sz w:val="21"/>
                <w:szCs w:val="21"/>
              </w:rPr>
              <w:t xml:space="preserve">河流、湖库、河口：Ⅰ类 </w:t>
            </w:r>
            <w:r>
              <w:rPr>
                <w:rFonts w:hint="eastAsia" w:ascii="宋体" w:hAnsi="宋体" w:eastAsia="宋体" w:cs="宋体"/>
                <w:color w:val="000000"/>
                <w:sz w:val="21"/>
                <w:szCs w:val="21"/>
              </w:rPr>
              <w:sym w:font="Wingdings 2" w:char="00A3"/>
            </w:r>
            <w:r>
              <w:rPr>
                <w:rFonts w:hint="eastAsia" w:ascii="宋体" w:hAnsi="宋体" w:eastAsia="宋体" w:cs="宋体"/>
                <w:sz w:val="21"/>
                <w:szCs w:val="21"/>
              </w:rPr>
              <w:t xml:space="preserve">；Ⅱ类 </w:t>
            </w:r>
            <w:r>
              <w:rPr>
                <w:rFonts w:hint="eastAsia" w:ascii="宋体" w:hAnsi="宋体" w:eastAsia="宋体" w:cs="宋体"/>
                <w:color w:val="000000"/>
                <w:sz w:val="21"/>
                <w:szCs w:val="21"/>
              </w:rPr>
              <w:sym w:font="Wingdings 2" w:char="00A3"/>
            </w:r>
            <w:r>
              <w:rPr>
                <w:rFonts w:hint="eastAsia" w:ascii="宋体" w:hAnsi="宋体" w:eastAsia="宋体" w:cs="宋体"/>
                <w:sz w:val="21"/>
                <w:szCs w:val="21"/>
              </w:rPr>
              <w:t xml:space="preserve">；Ⅲ类 </w:t>
            </w:r>
            <w:r>
              <w:rPr>
                <w:rFonts w:hint="eastAsia" w:ascii="宋体" w:hAnsi="宋体" w:eastAsia="宋体" w:cs="宋体"/>
                <w:color w:val="000000"/>
                <w:sz w:val="21"/>
                <w:szCs w:val="21"/>
              </w:rPr>
              <w:sym w:font="Wingdings 2" w:char="00A3"/>
            </w:r>
            <w:r>
              <w:rPr>
                <w:rFonts w:hint="eastAsia" w:ascii="宋体" w:hAnsi="宋体" w:eastAsia="宋体" w:cs="宋体"/>
                <w:sz w:val="21"/>
                <w:szCs w:val="21"/>
              </w:rPr>
              <w:t>；Ⅳ类</w:t>
            </w:r>
            <w:r>
              <w:rPr>
                <w:rFonts w:hint="eastAsia" w:ascii="宋体" w:hAnsi="宋体" w:eastAsia="宋体" w:cs="宋体"/>
                <w:color w:val="000000"/>
                <w:sz w:val="21"/>
                <w:szCs w:val="21"/>
                <w:lang w:eastAsia="zh-CN"/>
              </w:rPr>
              <w:t>□</w:t>
            </w:r>
            <w:r>
              <w:rPr>
                <w:rFonts w:hint="eastAsia" w:ascii="宋体" w:hAnsi="宋体" w:eastAsia="宋体" w:cs="宋体"/>
                <w:sz w:val="21"/>
                <w:szCs w:val="21"/>
              </w:rPr>
              <w:t xml:space="preserve">；Ⅴ类 </w:t>
            </w:r>
            <w:r>
              <w:rPr>
                <w:rFonts w:hint="eastAsia" w:ascii="宋体" w:hAnsi="宋体" w:eastAsia="宋体" w:cs="宋体"/>
                <w:color w:val="000000"/>
                <w:sz w:val="21"/>
                <w:szCs w:val="21"/>
              </w:rPr>
              <w:sym w:font="Wingdings 2" w:char="00A3"/>
            </w:r>
            <w:r>
              <w:rPr>
                <w:rFonts w:hint="eastAsia" w:ascii="宋体" w:hAnsi="宋体" w:eastAsia="宋体" w:cs="宋体"/>
                <w:sz w:val="21"/>
                <w:szCs w:val="21"/>
              </w:rPr>
              <w:t>；</w:t>
            </w:r>
          </w:p>
          <w:p w14:paraId="63154D31">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sz w:val="21"/>
                <w:szCs w:val="21"/>
              </w:rPr>
            </w:pPr>
            <w:r>
              <w:rPr>
                <w:rFonts w:hint="eastAsia" w:ascii="宋体" w:hAnsi="宋体" w:eastAsia="宋体" w:cs="宋体"/>
                <w:sz w:val="21"/>
                <w:szCs w:val="21"/>
              </w:rPr>
              <w:t xml:space="preserve">近岸海域：第一类 </w:t>
            </w:r>
            <w:r>
              <w:rPr>
                <w:rFonts w:hint="eastAsia" w:ascii="宋体" w:hAnsi="宋体" w:eastAsia="宋体" w:cs="宋体"/>
                <w:color w:val="000000"/>
                <w:sz w:val="21"/>
                <w:szCs w:val="21"/>
              </w:rPr>
              <w:sym w:font="Wingdings 2" w:char="00A3"/>
            </w:r>
            <w:r>
              <w:rPr>
                <w:rFonts w:hint="eastAsia" w:ascii="宋体" w:hAnsi="宋体" w:eastAsia="宋体" w:cs="宋体"/>
                <w:sz w:val="21"/>
                <w:szCs w:val="21"/>
              </w:rPr>
              <w:t xml:space="preserve">；第二类 </w:t>
            </w:r>
            <w:r>
              <w:rPr>
                <w:rFonts w:hint="eastAsia" w:ascii="宋体" w:hAnsi="宋体" w:eastAsia="宋体" w:cs="宋体"/>
                <w:color w:val="000000"/>
                <w:sz w:val="21"/>
                <w:szCs w:val="21"/>
              </w:rPr>
              <w:sym w:font="Wingdings 2" w:char="00A3"/>
            </w:r>
            <w:r>
              <w:rPr>
                <w:rFonts w:hint="eastAsia" w:ascii="宋体" w:hAnsi="宋体" w:eastAsia="宋体" w:cs="宋体"/>
                <w:sz w:val="21"/>
                <w:szCs w:val="21"/>
              </w:rPr>
              <w:t xml:space="preserve">；第三类 </w:t>
            </w:r>
            <w:r>
              <w:rPr>
                <w:rFonts w:hint="eastAsia" w:ascii="宋体" w:hAnsi="宋体" w:eastAsia="宋体" w:cs="宋体"/>
                <w:color w:val="000000"/>
                <w:sz w:val="21"/>
                <w:szCs w:val="21"/>
              </w:rPr>
              <w:sym w:font="Wingdings 2" w:char="00A3"/>
            </w:r>
            <w:r>
              <w:rPr>
                <w:rFonts w:hint="eastAsia" w:ascii="宋体" w:hAnsi="宋体" w:eastAsia="宋体" w:cs="宋体"/>
                <w:sz w:val="21"/>
                <w:szCs w:val="21"/>
              </w:rPr>
              <w:t xml:space="preserve">；第四类 </w:t>
            </w:r>
            <w:r>
              <w:rPr>
                <w:rFonts w:hint="eastAsia" w:ascii="宋体" w:hAnsi="宋体" w:eastAsia="宋体" w:cs="宋体"/>
                <w:color w:val="000000"/>
                <w:sz w:val="21"/>
                <w:szCs w:val="21"/>
              </w:rPr>
              <w:sym w:font="Wingdings 2" w:char="00A3"/>
            </w:r>
          </w:p>
          <w:p w14:paraId="3BE63DEC">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规划年评价标准（</w:t>
            </w:r>
            <w:r>
              <w:rPr>
                <w:rFonts w:hint="eastAsia" w:ascii="宋体" w:hAnsi="宋体" w:eastAsia="宋体" w:cs="宋体"/>
                <w:sz w:val="21"/>
                <w:szCs w:val="21"/>
              </w:rPr>
              <w:t>Ⅴ类</w:t>
            </w:r>
            <w:r>
              <w:rPr>
                <w:rFonts w:hint="eastAsia" w:ascii="宋体" w:hAnsi="宋体" w:eastAsia="宋体" w:cs="宋体"/>
                <w:color w:val="000000"/>
                <w:sz w:val="21"/>
                <w:szCs w:val="21"/>
              </w:rPr>
              <w:t>）</w:t>
            </w:r>
          </w:p>
        </w:tc>
      </w:tr>
      <w:tr w14:paraId="15647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05" w:type="pct"/>
            <w:vMerge w:val="continue"/>
            <w:tcBorders>
              <w:left w:val="nil"/>
            </w:tcBorders>
            <w:vAlign w:val="center"/>
          </w:tcPr>
          <w:p w14:paraId="653F98F1">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rPr>
            </w:pPr>
          </w:p>
        </w:tc>
        <w:tc>
          <w:tcPr>
            <w:tcW w:w="921" w:type="pct"/>
            <w:tcBorders>
              <w:left w:val="single" w:color="auto" w:sz="4" w:space="0"/>
            </w:tcBorders>
            <w:vAlign w:val="center"/>
          </w:tcPr>
          <w:p w14:paraId="0AA7FD08">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评价时期</w:t>
            </w:r>
          </w:p>
        </w:tc>
        <w:tc>
          <w:tcPr>
            <w:tcW w:w="3874" w:type="pct"/>
            <w:gridSpan w:val="13"/>
            <w:tcBorders>
              <w:right w:val="nil"/>
            </w:tcBorders>
            <w:vAlign w:val="center"/>
          </w:tcPr>
          <w:p w14:paraId="52064940">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sz w:val="21"/>
                <w:szCs w:val="21"/>
              </w:rPr>
            </w:pPr>
            <w:r>
              <w:rPr>
                <w:rFonts w:hint="eastAsia" w:ascii="宋体" w:hAnsi="宋体" w:eastAsia="宋体" w:cs="宋体"/>
                <w:sz w:val="21"/>
                <w:szCs w:val="21"/>
              </w:rPr>
              <w:t xml:space="preserve">丰水期 </w:t>
            </w:r>
            <w:r>
              <w:rPr>
                <w:rFonts w:hint="eastAsia" w:ascii="宋体" w:hAnsi="宋体" w:eastAsia="宋体" w:cs="宋体"/>
                <w:color w:val="000000"/>
                <w:sz w:val="21"/>
                <w:szCs w:val="21"/>
              </w:rPr>
              <w:sym w:font="Wingdings 2" w:char="00A3"/>
            </w:r>
            <w:r>
              <w:rPr>
                <w:rFonts w:hint="eastAsia" w:ascii="宋体" w:hAnsi="宋体" w:eastAsia="宋体" w:cs="宋体"/>
                <w:sz w:val="21"/>
                <w:szCs w:val="21"/>
              </w:rPr>
              <w:t>；平水期</w:t>
            </w:r>
            <w:r>
              <w:rPr>
                <w:rFonts w:hint="eastAsia" w:ascii="宋体" w:hAnsi="宋体" w:eastAsia="宋体" w:cs="宋体"/>
                <w:color w:val="000000"/>
                <w:sz w:val="21"/>
                <w:szCs w:val="21"/>
                <w:lang w:eastAsia="zh-CN"/>
              </w:rPr>
              <w:t>□</w:t>
            </w:r>
            <w:r>
              <w:rPr>
                <w:rFonts w:hint="eastAsia" w:ascii="宋体" w:hAnsi="宋体" w:eastAsia="宋体" w:cs="宋体"/>
                <w:sz w:val="21"/>
                <w:szCs w:val="21"/>
              </w:rPr>
              <w:t xml:space="preserve">；枯水期 </w:t>
            </w:r>
            <w:r>
              <w:rPr>
                <w:rFonts w:hint="eastAsia" w:ascii="宋体" w:hAnsi="宋体" w:eastAsia="宋体" w:cs="宋体"/>
                <w:color w:val="000000"/>
                <w:sz w:val="21"/>
                <w:szCs w:val="21"/>
              </w:rPr>
              <w:sym w:font="Wingdings 2" w:char="00A3"/>
            </w:r>
            <w:r>
              <w:rPr>
                <w:rFonts w:hint="eastAsia" w:ascii="宋体" w:hAnsi="宋体" w:eastAsia="宋体" w:cs="宋体"/>
                <w:sz w:val="21"/>
                <w:szCs w:val="21"/>
              </w:rPr>
              <w:t xml:space="preserve">；冰封期 </w:t>
            </w:r>
            <w:r>
              <w:rPr>
                <w:rFonts w:hint="eastAsia" w:ascii="宋体" w:hAnsi="宋体" w:eastAsia="宋体" w:cs="宋体"/>
                <w:color w:val="000000"/>
                <w:sz w:val="21"/>
                <w:szCs w:val="21"/>
              </w:rPr>
              <w:sym w:font="Wingdings 2" w:char="00A3"/>
            </w:r>
            <w:r>
              <w:rPr>
                <w:rFonts w:hint="eastAsia" w:ascii="宋体" w:hAnsi="宋体" w:eastAsia="宋体" w:cs="宋体"/>
                <w:sz w:val="21"/>
                <w:szCs w:val="21"/>
              </w:rPr>
              <w:t>；</w:t>
            </w:r>
          </w:p>
          <w:p w14:paraId="1030D90B">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sz w:val="21"/>
                <w:szCs w:val="21"/>
              </w:rPr>
            </w:pPr>
            <w:r>
              <w:rPr>
                <w:rFonts w:hint="eastAsia" w:ascii="宋体" w:hAnsi="宋体" w:eastAsia="宋体" w:cs="宋体"/>
                <w:sz w:val="21"/>
                <w:szCs w:val="21"/>
              </w:rPr>
              <w:t>春季</w:t>
            </w:r>
            <w:r>
              <w:rPr>
                <w:rFonts w:hint="eastAsia" w:ascii="宋体" w:hAnsi="宋体" w:eastAsia="宋体" w:cs="宋体"/>
                <w:color w:val="000000"/>
                <w:sz w:val="21"/>
                <w:szCs w:val="21"/>
                <w:lang w:eastAsia="zh-CN"/>
              </w:rPr>
              <w:t>□</w:t>
            </w:r>
            <w:r>
              <w:rPr>
                <w:rFonts w:hint="eastAsia" w:ascii="宋体" w:hAnsi="宋体" w:eastAsia="宋体" w:cs="宋体"/>
                <w:sz w:val="21"/>
                <w:szCs w:val="21"/>
              </w:rPr>
              <w:t xml:space="preserve">；夏季 </w:t>
            </w:r>
            <w:r>
              <w:rPr>
                <w:rFonts w:hint="eastAsia" w:ascii="宋体" w:hAnsi="宋体" w:eastAsia="宋体" w:cs="宋体"/>
                <w:color w:val="000000"/>
                <w:sz w:val="21"/>
                <w:szCs w:val="21"/>
              </w:rPr>
              <w:sym w:font="Wingdings 2" w:char="00A3"/>
            </w:r>
            <w:r>
              <w:rPr>
                <w:rFonts w:hint="eastAsia" w:ascii="宋体" w:hAnsi="宋体" w:eastAsia="宋体" w:cs="宋体"/>
                <w:sz w:val="21"/>
                <w:szCs w:val="21"/>
              </w:rPr>
              <w:t xml:space="preserve">；秋季 </w:t>
            </w:r>
            <w:r>
              <w:rPr>
                <w:rFonts w:hint="eastAsia" w:ascii="宋体" w:hAnsi="宋体" w:eastAsia="宋体" w:cs="宋体"/>
                <w:color w:val="000000"/>
                <w:sz w:val="21"/>
                <w:szCs w:val="21"/>
              </w:rPr>
              <w:sym w:font="Wingdings 2" w:char="00A3"/>
            </w:r>
            <w:r>
              <w:rPr>
                <w:rFonts w:hint="eastAsia" w:ascii="宋体" w:hAnsi="宋体" w:eastAsia="宋体" w:cs="宋体"/>
                <w:sz w:val="21"/>
                <w:szCs w:val="21"/>
              </w:rPr>
              <w:t xml:space="preserve">；冬季 </w:t>
            </w:r>
            <w:r>
              <w:rPr>
                <w:rFonts w:hint="eastAsia" w:ascii="宋体" w:hAnsi="宋体" w:eastAsia="宋体" w:cs="宋体"/>
                <w:color w:val="000000"/>
                <w:sz w:val="21"/>
                <w:szCs w:val="21"/>
              </w:rPr>
              <w:sym w:font="Wingdings 2" w:char="00A3"/>
            </w:r>
          </w:p>
        </w:tc>
      </w:tr>
      <w:tr w14:paraId="0A802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05" w:type="pct"/>
            <w:vMerge w:val="continue"/>
            <w:tcBorders>
              <w:left w:val="nil"/>
            </w:tcBorders>
            <w:vAlign w:val="center"/>
          </w:tcPr>
          <w:p w14:paraId="46E5D1A7">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rPr>
            </w:pPr>
          </w:p>
        </w:tc>
        <w:tc>
          <w:tcPr>
            <w:tcW w:w="921" w:type="pct"/>
            <w:tcBorders>
              <w:left w:val="single" w:color="auto" w:sz="4" w:space="0"/>
            </w:tcBorders>
            <w:vAlign w:val="center"/>
          </w:tcPr>
          <w:p w14:paraId="16128141">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评价结论</w:t>
            </w:r>
          </w:p>
        </w:tc>
        <w:tc>
          <w:tcPr>
            <w:tcW w:w="3355" w:type="pct"/>
            <w:gridSpan w:val="12"/>
            <w:tcBorders>
              <w:right w:val="single" w:color="auto" w:sz="4" w:space="0"/>
            </w:tcBorders>
            <w:vAlign w:val="center"/>
          </w:tcPr>
          <w:p w14:paraId="6A880135">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sz w:val="21"/>
                <w:szCs w:val="21"/>
                <w:lang w:eastAsia="zh-CN"/>
              </w:rPr>
            </w:pPr>
            <w:r>
              <w:rPr>
                <w:rFonts w:hint="eastAsia" w:ascii="宋体" w:hAnsi="宋体" w:eastAsia="宋体" w:cs="宋体"/>
                <w:sz w:val="21"/>
                <w:szCs w:val="21"/>
              </w:rPr>
              <w:t xml:space="preserve">水环境功能区或水功能区、近岸海域环境功能区水质达标状况：达标 </w:t>
            </w:r>
            <w:r>
              <w:rPr>
                <w:rFonts w:hint="eastAsia" w:ascii="宋体" w:hAnsi="宋体" w:eastAsia="宋体" w:cs="宋体"/>
                <w:color w:val="000000"/>
                <w:sz w:val="21"/>
                <w:szCs w:val="21"/>
              </w:rPr>
              <w:sym w:font="Wingdings 2" w:char="00A3"/>
            </w:r>
            <w:r>
              <w:rPr>
                <w:rFonts w:hint="eastAsia" w:ascii="宋体" w:hAnsi="宋体" w:eastAsia="宋体" w:cs="宋体"/>
                <w:sz w:val="21"/>
                <w:szCs w:val="21"/>
              </w:rPr>
              <w:t>；不达标</w:t>
            </w:r>
            <w:r>
              <w:rPr>
                <w:rFonts w:hint="eastAsia" w:ascii="宋体" w:hAnsi="宋体" w:eastAsia="宋体" w:cs="宋体"/>
                <w:color w:val="000000"/>
                <w:sz w:val="21"/>
                <w:szCs w:val="21"/>
                <w:lang w:eastAsia="zh-CN"/>
              </w:rPr>
              <w:t>□</w:t>
            </w:r>
          </w:p>
          <w:p w14:paraId="6F457717">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sz w:val="21"/>
                <w:szCs w:val="21"/>
                <w:lang w:eastAsia="zh-CN"/>
              </w:rPr>
            </w:pPr>
            <w:r>
              <w:rPr>
                <w:rFonts w:hint="eastAsia" w:ascii="宋体" w:hAnsi="宋体" w:eastAsia="宋体" w:cs="宋体"/>
                <w:sz w:val="21"/>
                <w:szCs w:val="21"/>
              </w:rPr>
              <w:t xml:space="preserve">水环境控制单元或断面水质达标状况 </w:t>
            </w:r>
            <w:r>
              <w:rPr>
                <w:rFonts w:hint="eastAsia" w:ascii="宋体" w:hAnsi="宋体" w:eastAsia="宋体" w:cs="宋体"/>
                <w:color w:val="000000"/>
                <w:sz w:val="21"/>
                <w:szCs w:val="21"/>
              </w:rPr>
              <w:sym w:font="Wingdings 2" w:char="00A3"/>
            </w:r>
            <w:r>
              <w:rPr>
                <w:rFonts w:hint="eastAsia" w:ascii="宋体" w:hAnsi="宋体" w:eastAsia="宋体" w:cs="宋体"/>
                <w:sz w:val="21"/>
                <w:szCs w:val="21"/>
              </w:rPr>
              <w:t xml:space="preserve">：达标 </w:t>
            </w:r>
            <w:r>
              <w:rPr>
                <w:rFonts w:hint="eastAsia" w:ascii="宋体" w:hAnsi="宋体" w:eastAsia="宋体" w:cs="宋体"/>
                <w:color w:val="000000"/>
                <w:sz w:val="21"/>
                <w:szCs w:val="21"/>
              </w:rPr>
              <w:sym w:font="Wingdings 2" w:char="00A3"/>
            </w:r>
            <w:r>
              <w:rPr>
                <w:rFonts w:hint="eastAsia" w:ascii="宋体" w:hAnsi="宋体" w:eastAsia="宋体" w:cs="宋体"/>
                <w:sz w:val="21"/>
                <w:szCs w:val="21"/>
              </w:rPr>
              <w:t>；不达标</w:t>
            </w:r>
            <w:r>
              <w:rPr>
                <w:rFonts w:hint="eastAsia" w:ascii="宋体" w:hAnsi="宋体" w:eastAsia="宋体" w:cs="宋体"/>
                <w:color w:val="000000"/>
                <w:sz w:val="21"/>
                <w:szCs w:val="21"/>
                <w:lang w:eastAsia="zh-CN"/>
              </w:rPr>
              <w:t>□</w:t>
            </w:r>
          </w:p>
          <w:p w14:paraId="449CC6F7">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sz w:val="21"/>
                <w:szCs w:val="21"/>
              </w:rPr>
            </w:pPr>
            <w:r>
              <w:rPr>
                <w:rFonts w:hint="eastAsia" w:ascii="宋体" w:hAnsi="宋体" w:eastAsia="宋体" w:cs="宋体"/>
                <w:sz w:val="21"/>
                <w:szCs w:val="21"/>
              </w:rPr>
              <w:t xml:space="preserve">水环境保护目标质量状况 </w:t>
            </w:r>
            <w:r>
              <w:rPr>
                <w:rFonts w:hint="eastAsia" w:ascii="宋体" w:hAnsi="宋体" w:eastAsia="宋体" w:cs="宋体"/>
                <w:color w:val="000000"/>
                <w:sz w:val="21"/>
                <w:szCs w:val="21"/>
              </w:rPr>
              <w:sym w:font="Wingdings 2" w:char="00A3"/>
            </w:r>
            <w:r>
              <w:rPr>
                <w:rFonts w:hint="eastAsia" w:ascii="宋体" w:hAnsi="宋体" w:eastAsia="宋体" w:cs="宋体"/>
                <w:sz w:val="21"/>
                <w:szCs w:val="21"/>
              </w:rPr>
              <w:t xml:space="preserve">：达标 </w:t>
            </w:r>
            <w:r>
              <w:rPr>
                <w:rFonts w:hint="eastAsia" w:ascii="宋体" w:hAnsi="宋体" w:eastAsia="宋体" w:cs="宋体"/>
                <w:color w:val="000000"/>
                <w:sz w:val="21"/>
                <w:szCs w:val="21"/>
              </w:rPr>
              <w:sym w:font="Wingdings 2" w:char="00A3"/>
            </w:r>
            <w:r>
              <w:rPr>
                <w:rFonts w:hint="eastAsia" w:ascii="宋体" w:hAnsi="宋体" w:eastAsia="宋体" w:cs="宋体"/>
                <w:sz w:val="21"/>
                <w:szCs w:val="21"/>
              </w:rPr>
              <w:t xml:space="preserve">；不达标 </w:t>
            </w:r>
            <w:r>
              <w:rPr>
                <w:rFonts w:hint="eastAsia" w:ascii="宋体" w:hAnsi="宋体" w:eastAsia="宋体" w:cs="宋体"/>
                <w:color w:val="000000"/>
                <w:sz w:val="21"/>
                <w:szCs w:val="21"/>
              </w:rPr>
              <w:sym w:font="Wingdings 2" w:char="00A3"/>
            </w:r>
          </w:p>
          <w:p w14:paraId="7C7E18F1">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sz w:val="21"/>
                <w:szCs w:val="21"/>
                <w:lang w:eastAsia="zh-CN"/>
              </w:rPr>
            </w:pPr>
            <w:r>
              <w:rPr>
                <w:rFonts w:hint="eastAsia" w:ascii="宋体" w:hAnsi="宋体" w:eastAsia="宋体" w:cs="宋体"/>
                <w:sz w:val="21"/>
                <w:szCs w:val="21"/>
              </w:rPr>
              <w:t xml:space="preserve">对照断面、控制断面等代表性断面的水质状况 </w:t>
            </w:r>
            <w:r>
              <w:rPr>
                <w:rFonts w:hint="eastAsia" w:ascii="宋体" w:hAnsi="宋体" w:eastAsia="宋体" w:cs="宋体"/>
                <w:color w:val="000000"/>
                <w:sz w:val="21"/>
                <w:szCs w:val="21"/>
              </w:rPr>
              <w:sym w:font="Wingdings 2" w:char="00A3"/>
            </w:r>
            <w:r>
              <w:rPr>
                <w:rFonts w:hint="eastAsia" w:ascii="宋体" w:hAnsi="宋体" w:eastAsia="宋体" w:cs="宋体"/>
                <w:sz w:val="21"/>
                <w:szCs w:val="21"/>
              </w:rPr>
              <w:t xml:space="preserve">：达标 </w:t>
            </w:r>
            <w:r>
              <w:rPr>
                <w:rFonts w:hint="eastAsia" w:ascii="宋体" w:hAnsi="宋体" w:eastAsia="宋体" w:cs="宋体"/>
                <w:color w:val="000000"/>
                <w:sz w:val="21"/>
                <w:szCs w:val="21"/>
              </w:rPr>
              <w:sym w:font="Wingdings 2" w:char="00A3"/>
            </w:r>
            <w:r>
              <w:rPr>
                <w:rFonts w:hint="eastAsia" w:ascii="宋体" w:hAnsi="宋体" w:eastAsia="宋体" w:cs="宋体"/>
                <w:sz w:val="21"/>
                <w:szCs w:val="21"/>
              </w:rPr>
              <w:t>；不达标</w:t>
            </w:r>
            <w:r>
              <w:rPr>
                <w:rFonts w:hint="eastAsia" w:ascii="宋体" w:hAnsi="宋体" w:eastAsia="宋体" w:cs="宋体"/>
                <w:color w:val="000000"/>
                <w:sz w:val="21"/>
                <w:szCs w:val="21"/>
                <w:lang w:eastAsia="zh-CN"/>
              </w:rPr>
              <w:t>□</w:t>
            </w:r>
          </w:p>
          <w:p w14:paraId="313B442F">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sz w:val="21"/>
                <w:szCs w:val="21"/>
              </w:rPr>
            </w:pPr>
            <w:r>
              <w:rPr>
                <w:rFonts w:hint="eastAsia" w:ascii="宋体" w:hAnsi="宋体" w:eastAsia="宋体" w:cs="宋体"/>
                <w:sz w:val="21"/>
                <w:szCs w:val="21"/>
              </w:rPr>
              <w:t xml:space="preserve">底泥污染评价 </w:t>
            </w:r>
            <w:r>
              <w:rPr>
                <w:rFonts w:hint="eastAsia" w:ascii="宋体" w:hAnsi="宋体" w:eastAsia="宋体" w:cs="宋体"/>
                <w:color w:val="000000"/>
                <w:sz w:val="21"/>
                <w:szCs w:val="21"/>
              </w:rPr>
              <w:sym w:font="Wingdings 2" w:char="00A3"/>
            </w:r>
          </w:p>
          <w:p w14:paraId="458B1F8D">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sz w:val="21"/>
                <w:szCs w:val="21"/>
              </w:rPr>
            </w:pPr>
            <w:r>
              <w:rPr>
                <w:rFonts w:hint="eastAsia" w:ascii="宋体" w:hAnsi="宋体" w:eastAsia="宋体" w:cs="宋体"/>
                <w:sz w:val="21"/>
                <w:szCs w:val="21"/>
              </w:rPr>
              <w:t xml:space="preserve">水资源与开发利用程度及其水文情势评价 </w:t>
            </w:r>
            <w:r>
              <w:rPr>
                <w:rFonts w:hint="eastAsia" w:ascii="宋体" w:hAnsi="宋体" w:eastAsia="宋体" w:cs="宋体"/>
                <w:color w:val="000000"/>
                <w:sz w:val="21"/>
                <w:szCs w:val="21"/>
              </w:rPr>
              <w:sym w:font="Wingdings 2" w:char="00A3"/>
            </w:r>
          </w:p>
          <w:p w14:paraId="05AF0D98">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sz w:val="21"/>
                <w:szCs w:val="21"/>
                <w:lang w:eastAsia="zh-CN"/>
              </w:rPr>
            </w:pPr>
            <w:r>
              <w:rPr>
                <w:rFonts w:hint="eastAsia" w:ascii="宋体" w:hAnsi="宋体" w:eastAsia="宋体" w:cs="宋体"/>
                <w:sz w:val="21"/>
                <w:szCs w:val="21"/>
              </w:rPr>
              <w:t>水环境质量回顾评价</w:t>
            </w:r>
            <w:r>
              <w:rPr>
                <w:rFonts w:hint="eastAsia" w:ascii="宋体" w:hAnsi="宋体" w:eastAsia="宋体" w:cs="宋体"/>
                <w:color w:val="000000"/>
                <w:sz w:val="21"/>
                <w:szCs w:val="21"/>
                <w:lang w:eastAsia="zh-CN"/>
              </w:rPr>
              <w:t>□</w:t>
            </w:r>
          </w:p>
          <w:p w14:paraId="6E22B4DE">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sz w:val="21"/>
                <w:szCs w:val="21"/>
              </w:rPr>
            </w:pPr>
            <w:r>
              <w:rPr>
                <w:rFonts w:hint="eastAsia" w:ascii="宋体" w:hAnsi="宋体" w:eastAsia="宋体" w:cs="宋体"/>
                <w:sz w:val="21"/>
                <w:szCs w:val="21"/>
              </w:rPr>
              <w:t xml:space="preserve">流域（区域）水资源（包括水能资源）与开发利用总体状况、生态流量管理要求与现状满足程度、建设项目占用水域空间的水流状况与河湖演变状况 </w:t>
            </w:r>
            <w:r>
              <w:rPr>
                <w:rFonts w:hint="eastAsia" w:ascii="宋体" w:hAnsi="宋体" w:eastAsia="宋体" w:cs="宋体"/>
                <w:color w:val="000000"/>
                <w:sz w:val="21"/>
                <w:szCs w:val="21"/>
              </w:rPr>
              <w:sym w:font="Wingdings 2" w:char="00A3"/>
            </w:r>
          </w:p>
        </w:tc>
        <w:tc>
          <w:tcPr>
            <w:tcW w:w="520" w:type="pct"/>
            <w:tcBorders>
              <w:right w:val="nil"/>
            </w:tcBorders>
            <w:vAlign w:val="center"/>
          </w:tcPr>
          <w:p w14:paraId="0A6E10A3">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sz w:val="21"/>
                <w:szCs w:val="21"/>
              </w:rPr>
            </w:pPr>
            <w:r>
              <w:rPr>
                <w:rFonts w:hint="eastAsia" w:ascii="宋体" w:hAnsi="宋体" w:eastAsia="宋体" w:cs="宋体"/>
                <w:sz w:val="21"/>
                <w:szCs w:val="21"/>
              </w:rPr>
              <w:t xml:space="preserve">达标区 </w:t>
            </w:r>
            <w:r>
              <w:rPr>
                <w:rFonts w:hint="eastAsia" w:ascii="宋体" w:hAnsi="宋体" w:eastAsia="宋体" w:cs="宋体"/>
                <w:color w:val="000000"/>
                <w:sz w:val="21"/>
                <w:szCs w:val="21"/>
              </w:rPr>
              <w:sym w:font="Wingdings 2" w:char="00A3"/>
            </w:r>
          </w:p>
          <w:p w14:paraId="6EA312A3">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sz w:val="21"/>
                <w:szCs w:val="21"/>
                <w:lang w:eastAsia="zh-CN"/>
              </w:rPr>
            </w:pPr>
            <w:r>
              <w:rPr>
                <w:rFonts w:hint="eastAsia" w:ascii="宋体" w:hAnsi="宋体" w:eastAsia="宋体" w:cs="宋体"/>
                <w:sz w:val="21"/>
                <w:szCs w:val="21"/>
              </w:rPr>
              <w:t>不达标区</w:t>
            </w:r>
            <w:r>
              <w:rPr>
                <w:rFonts w:hint="eastAsia" w:ascii="宋体" w:hAnsi="宋体" w:eastAsia="宋体" w:cs="宋体"/>
                <w:color w:val="000000"/>
                <w:sz w:val="21"/>
                <w:szCs w:val="21"/>
                <w:lang w:eastAsia="zh-CN"/>
              </w:rPr>
              <w:t>□</w:t>
            </w:r>
          </w:p>
        </w:tc>
      </w:tr>
      <w:tr w14:paraId="5779C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05" w:type="pct"/>
            <w:vMerge w:val="restart"/>
            <w:tcBorders>
              <w:left w:val="nil"/>
            </w:tcBorders>
            <w:vAlign w:val="center"/>
          </w:tcPr>
          <w:p w14:paraId="119C84D6">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影响预测</w:t>
            </w:r>
          </w:p>
        </w:tc>
        <w:tc>
          <w:tcPr>
            <w:tcW w:w="921" w:type="pct"/>
            <w:tcBorders>
              <w:left w:val="single" w:color="auto" w:sz="4" w:space="0"/>
            </w:tcBorders>
            <w:vAlign w:val="center"/>
          </w:tcPr>
          <w:p w14:paraId="7C6B3C0E">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预测范围</w:t>
            </w:r>
          </w:p>
        </w:tc>
        <w:tc>
          <w:tcPr>
            <w:tcW w:w="3874" w:type="pct"/>
            <w:gridSpan w:val="13"/>
            <w:tcBorders>
              <w:right w:val="nil"/>
            </w:tcBorders>
            <w:vAlign w:val="center"/>
          </w:tcPr>
          <w:p w14:paraId="64053ECA">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sz w:val="21"/>
                <w:szCs w:val="21"/>
              </w:rPr>
            </w:pPr>
            <w:r>
              <w:rPr>
                <w:rFonts w:hint="eastAsia" w:ascii="宋体" w:hAnsi="宋体" w:eastAsia="宋体" w:cs="宋体"/>
                <w:sz w:val="21"/>
                <w:szCs w:val="21"/>
              </w:rPr>
              <w:t>河流：长度（1.2）km；湖库、河口及近岸海域：面积（    ）km</w:t>
            </w:r>
            <w:r>
              <w:rPr>
                <w:rFonts w:hint="eastAsia" w:ascii="宋体" w:hAnsi="宋体" w:eastAsia="宋体" w:cs="宋体"/>
                <w:sz w:val="21"/>
                <w:szCs w:val="21"/>
                <w:vertAlign w:val="superscript"/>
              </w:rPr>
              <w:t>2</w:t>
            </w:r>
          </w:p>
        </w:tc>
      </w:tr>
      <w:tr w14:paraId="6E297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05" w:type="pct"/>
            <w:vMerge w:val="continue"/>
            <w:tcBorders>
              <w:left w:val="nil"/>
            </w:tcBorders>
            <w:vAlign w:val="center"/>
          </w:tcPr>
          <w:p w14:paraId="45F2A3CD">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rPr>
            </w:pPr>
          </w:p>
        </w:tc>
        <w:tc>
          <w:tcPr>
            <w:tcW w:w="921" w:type="pct"/>
            <w:tcBorders>
              <w:left w:val="single" w:color="auto" w:sz="4" w:space="0"/>
            </w:tcBorders>
            <w:vAlign w:val="center"/>
          </w:tcPr>
          <w:p w14:paraId="51C2DCDF">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预测因子</w:t>
            </w:r>
          </w:p>
        </w:tc>
        <w:tc>
          <w:tcPr>
            <w:tcW w:w="3874" w:type="pct"/>
            <w:gridSpan w:val="13"/>
            <w:tcBorders>
              <w:right w:val="nil"/>
            </w:tcBorders>
            <w:vAlign w:val="center"/>
          </w:tcPr>
          <w:p w14:paraId="035FCFCB">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sz w:val="21"/>
                <w:szCs w:val="21"/>
              </w:rPr>
            </w:pPr>
            <w:r>
              <w:rPr>
                <w:rFonts w:hint="eastAsia" w:ascii="宋体" w:hAnsi="宋体" w:eastAsia="宋体" w:cs="宋体"/>
                <w:sz w:val="21"/>
                <w:szCs w:val="21"/>
              </w:rPr>
              <w:t>（COD、BOD</w:t>
            </w:r>
            <w:r>
              <w:rPr>
                <w:rFonts w:hint="eastAsia" w:ascii="宋体" w:hAnsi="宋体" w:eastAsia="宋体" w:cs="宋体"/>
                <w:sz w:val="21"/>
                <w:szCs w:val="21"/>
                <w:vertAlign w:val="subscript"/>
              </w:rPr>
              <w:t>5</w:t>
            </w:r>
            <w:r>
              <w:rPr>
                <w:rFonts w:hint="eastAsia" w:ascii="宋体" w:hAnsi="宋体" w:eastAsia="宋体" w:cs="宋体"/>
                <w:sz w:val="21"/>
                <w:szCs w:val="21"/>
              </w:rPr>
              <w:t>、氨氮、总氮、总磷）</w:t>
            </w:r>
          </w:p>
        </w:tc>
      </w:tr>
      <w:tr w14:paraId="29975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05" w:type="pct"/>
            <w:vMerge w:val="continue"/>
            <w:tcBorders>
              <w:left w:val="nil"/>
            </w:tcBorders>
            <w:vAlign w:val="center"/>
          </w:tcPr>
          <w:p w14:paraId="18226A7C">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rPr>
            </w:pPr>
          </w:p>
        </w:tc>
        <w:tc>
          <w:tcPr>
            <w:tcW w:w="921" w:type="pct"/>
            <w:tcBorders>
              <w:left w:val="single" w:color="auto" w:sz="4" w:space="0"/>
            </w:tcBorders>
            <w:vAlign w:val="center"/>
          </w:tcPr>
          <w:p w14:paraId="15A44C46">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预测时期</w:t>
            </w:r>
          </w:p>
        </w:tc>
        <w:tc>
          <w:tcPr>
            <w:tcW w:w="3874" w:type="pct"/>
            <w:gridSpan w:val="13"/>
            <w:tcBorders>
              <w:right w:val="nil"/>
            </w:tcBorders>
            <w:vAlign w:val="center"/>
          </w:tcPr>
          <w:p w14:paraId="10233A1C">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sz w:val="21"/>
                <w:szCs w:val="21"/>
              </w:rPr>
            </w:pPr>
            <w:r>
              <w:rPr>
                <w:rFonts w:hint="eastAsia" w:ascii="宋体" w:hAnsi="宋体" w:eastAsia="宋体" w:cs="宋体"/>
                <w:sz w:val="21"/>
                <w:szCs w:val="21"/>
              </w:rPr>
              <w:t xml:space="preserve">丰水期 </w:t>
            </w:r>
            <w:r>
              <w:rPr>
                <w:rFonts w:hint="eastAsia" w:ascii="宋体" w:hAnsi="宋体" w:eastAsia="宋体" w:cs="宋体"/>
                <w:color w:val="000000"/>
                <w:sz w:val="21"/>
                <w:szCs w:val="21"/>
              </w:rPr>
              <w:sym w:font="Wingdings 2" w:char="00A3"/>
            </w:r>
            <w:r>
              <w:rPr>
                <w:rFonts w:hint="eastAsia" w:ascii="宋体" w:hAnsi="宋体" w:eastAsia="宋体" w:cs="宋体"/>
                <w:sz w:val="21"/>
                <w:szCs w:val="21"/>
              </w:rPr>
              <w:t xml:space="preserve">；平水期 </w:t>
            </w:r>
            <w:r>
              <w:rPr>
                <w:rFonts w:hint="eastAsia" w:ascii="宋体" w:hAnsi="宋体" w:eastAsia="宋体" w:cs="宋体"/>
                <w:color w:val="000000"/>
                <w:sz w:val="21"/>
                <w:szCs w:val="21"/>
              </w:rPr>
              <w:sym w:font="Wingdings 2" w:char="00A3"/>
            </w:r>
            <w:r>
              <w:rPr>
                <w:rFonts w:hint="eastAsia" w:ascii="宋体" w:hAnsi="宋体" w:eastAsia="宋体" w:cs="宋体"/>
                <w:sz w:val="21"/>
                <w:szCs w:val="21"/>
              </w:rPr>
              <w:t>；枯水期</w:t>
            </w:r>
            <w:r>
              <w:rPr>
                <w:rFonts w:hint="eastAsia" w:ascii="宋体" w:hAnsi="宋体" w:eastAsia="宋体" w:cs="宋体"/>
                <w:color w:val="000000"/>
                <w:sz w:val="21"/>
                <w:szCs w:val="21"/>
                <w:lang w:eastAsia="zh-CN"/>
              </w:rPr>
              <w:t>□</w:t>
            </w:r>
            <w:r>
              <w:rPr>
                <w:rFonts w:hint="eastAsia" w:ascii="宋体" w:hAnsi="宋体" w:eastAsia="宋体" w:cs="宋体"/>
                <w:sz w:val="21"/>
                <w:szCs w:val="21"/>
              </w:rPr>
              <w:t xml:space="preserve">；冰封期 </w:t>
            </w:r>
            <w:r>
              <w:rPr>
                <w:rFonts w:hint="eastAsia" w:ascii="宋体" w:hAnsi="宋体" w:eastAsia="宋体" w:cs="宋体"/>
                <w:color w:val="000000"/>
                <w:sz w:val="21"/>
                <w:szCs w:val="21"/>
              </w:rPr>
              <w:sym w:font="Wingdings 2" w:char="00A3"/>
            </w:r>
            <w:r>
              <w:rPr>
                <w:rFonts w:hint="eastAsia" w:ascii="宋体" w:hAnsi="宋体" w:eastAsia="宋体" w:cs="宋体"/>
                <w:sz w:val="21"/>
                <w:szCs w:val="21"/>
              </w:rPr>
              <w:t>；</w:t>
            </w:r>
          </w:p>
          <w:p w14:paraId="05E4C357">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sz w:val="21"/>
                <w:szCs w:val="21"/>
                <w:lang w:eastAsia="zh-CN"/>
              </w:rPr>
            </w:pPr>
            <w:r>
              <w:rPr>
                <w:rFonts w:hint="eastAsia" w:ascii="宋体" w:hAnsi="宋体" w:eastAsia="宋体" w:cs="宋体"/>
                <w:sz w:val="21"/>
                <w:szCs w:val="21"/>
              </w:rPr>
              <w:t xml:space="preserve">春季 </w:t>
            </w:r>
            <w:r>
              <w:rPr>
                <w:rFonts w:hint="eastAsia" w:ascii="宋体" w:hAnsi="宋体" w:eastAsia="宋体" w:cs="宋体"/>
                <w:color w:val="000000"/>
                <w:sz w:val="21"/>
                <w:szCs w:val="21"/>
              </w:rPr>
              <w:sym w:font="Wingdings 2" w:char="00A3"/>
            </w:r>
            <w:r>
              <w:rPr>
                <w:rFonts w:hint="eastAsia" w:ascii="宋体" w:hAnsi="宋体" w:eastAsia="宋体" w:cs="宋体"/>
                <w:sz w:val="21"/>
                <w:szCs w:val="21"/>
              </w:rPr>
              <w:t xml:space="preserve">；夏季 </w:t>
            </w:r>
            <w:r>
              <w:rPr>
                <w:rFonts w:hint="eastAsia" w:ascii="宋体" w:hAnsi="宋体" w:eastAsia="宋体" w:cs="宋体"/>
                <w:color w:val="000000"/>
                <w:sz w:val="21"/>
                <w:szCs w:val="21"/>
              </w:rPr>
              <w:sym w:font="Wingdings 2" w:char="00A3"/>
            </w:r>
            <w:r>
              <w:rPr>
                <w:rFonts w:hint="eastAsia" w:ascii="宋体" w:hAnsi="宋体" w:eastAsia="宋体" w:cs="宋体"/>
                <w:sz w:val="21"/>
                <w:szCs w:val="21"/>
              </w:rPr>
              <w:t xml:space="preserve">；秋季 </w:t>
            </w:r>
            <w:r>
              <w:rPr>
                <w:rFonts w:hint="eastAsia" w:ascii="宋体" w:hAnsi="宋体" w:eastAsia="宋体" w:cs="宋体"/>
                <w:color w:val="000000"/>
                <w:sz w:val="21"/>
                <w:szCs w:val="21"/>
              </w:rPr>
              <w:sym w:font="Wingdings 2" w:char="00A3"/>
            </w:r>
            <w:r>
              <w:rPr>
                <w:rFonts w:hint="eastAsia" w:ascii="宋体" w:hAnsi="宋体" w:eastAsia="宋体" w:cs="宋体"/>
                <w:sz w:val="21"/>
                <w:szCs w:val="21"/>
              </w:rPr>
              <w:t>；冬季</w:t>
            </w:r>
            <w:r>
              <w:rPr>
                <w:rFonts w:hint="eastAsia" w:ascii="宋体" w:hAnsi="宋体" w:eastAsia="宋体" w:cs="宋体"/>
                <w:color w:val="000000"/>
                <w:sz w:val="21"/>
                <w:szCs w:val="21"/>
                <w:lang w:eastAsia="zh-CN"/>
              </w:rPr>
              <w:t>□</w:t>
            </w:r>
          </w:p>
          <w:p w14:paraId="7ADDFE82">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设计水文条件</w:t>
            </w:r>
            <w:r>
              <w:rPr>
                <w:rFonts w:hint="eastAsia" w:ascii="宋体" w:hAnsi="宋体" w:eastAsia="宋体" w:cs="宋体"/>
                <w:color w:val="000000"/>
                <w:sz w:val="21"/>
                <w:szCs w:val="21"/>
              </w:rPr>
              <w:sym w:font="Wingdings 2" w:char="00A3"/>
            </w:r>
          </w:p>
        </w:tc>
      </w:tr>
      <w:tr w14:paraId="5E332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05" w:type="pct"/>
            <w:vMerge w:val="continue"/>
            <w:tcBorders>
              <w:left w:val="nil"/>
            </w:tcBorders>
            <w:vAlign w:val="center"/>
          </w:tcPr>
          <w:p w14:paraId="74F03643">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rPr>
            </w:pPr>
          </w:p>
        </w:tc>
        <w:tc>
          <w:tcPr>
            <w:tcW w:w="921" w:type="pct"/>
            <w:tcBorders>
              <w:left w:val="single" w:color="auto" w:sz="4" w:space="0"/>
            </w:tcBorders>
            <w:vAlign w:val="center"/>
          </w:tcPr>
          <w:p w14:paraId="3D042EA1">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预测情景</w:t>
            </w:r>
          </w:p>
        </w:tc>
        <w:tc>
          <w:tcPr>
            <w:tcW w:w="3874" w:type="pct"/>
            <w:gridSpan w:val="13"/>
            <w:tcBorders>
              <w:right w:val="nil"/>
            </w:tcBorders>
            <w:vAlign w:val="center"/>
          </w:tcPr>
          <w:p w14:paraId="48458DA5">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sz w:val="21"/>
                <w:szCs w:val="21"/>
              </w:rPr>
            </w:pPr>
            <w:r>
              <w:rPr>
                <w:rFonts w:hint="eastAsia" w:ascii="宋体" w:hAnsi="宋体" w:eastAsia="宋体" w:cs="宋体"/>
                <w:sz w:val="21"/>
                <w:szCs w:val="21"/>
              </w:rPr>
              <w:t xml:space="preserve">建设期 </w:t>
            </w:r>
            <w:r>
              <w:rPr>
                <w:rFonts w:hint="eastAsia" w:ascii="宋体" w:hAnsi="宋体" w:eastAsia="宋体" w:cs="宋体"/>
                <w:color w:val="000000"/>
                <w:sz w:val="21"/>
                <w:szCs w:val="21"/>
              </w:rPr>
              <w:sym w:font="Wingdings 2" w:char="00A3"/>
            </w:r>
            <w:r>
              <w:rPr>
                <w:rFonts w:hint="eastAsia" w:ascii="宋体" w:hAnsi="宋体" w:eastAsia="宋体" w:cs="宋体"/>
                <w:sz w:val="21"/>
                <w:szCs w:val="21"/>
              </w:rPr>
              <w:t>；生产运行期</w:t>
            </w:r>
            <w:r>
              <w:rPr>
                <w:rFonts w:hint="eastAsia" w:ascii="宋体" w:hAnsi="宋体" w:eastAsia="宋体" w:cs="宋体"/>
                <w:color w:val="000000"/>
                <w:sz w:val="21"/>
                <w:szCs w:val="21"/>
                <w:lang w:eastAsia="zh-CN"/>
              </w:rPr>
              <w:t>□</w:t>
            </w:r>
            <w:r>
              <w:rPr>
                <w:rFonts w:hint="eastAsia" w:ascii="宋体" w:hAnsi="宋体" w:eastAsia="宋体" w:cs="宋体"/>
                <w:sz w:val="21"/>
                <w:szCs w:val="21"/>
              </w:rPr>
              <w:t xml:space="preserve">；服务期满后 </w:t>
            </w:r>
            <w:r>
              <w:rPr>
                <w:rFonts w:hint="eastAsia" w:ascii="宋体" w:hAnsi="宋体" w:eastAsia="宋体" w:cs="宋体"/>
                <w:color w:val="000000"/>
                <w:sz w:val="21"/>
                <w:szCs w:val="21"/>
              </w:rPr>
              <w:sym w:font="Wingdings 2" w:char="00A3"/>
            </w:r>
          </w:p>
          <w:p w14:paraId="6A98BC2F">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sz w:val="21"/>
                <w:szCs w:val="21"/>
                <w:lang w:eastAsia="zh-CN"/>
              </w:rPr>
            </w:pPr>
            <w:r>
              <w:rPr>
                <w:rFonts w:hint="eastAsia" w:ascii="宋体" w:hAnsi="宋体" w:eastAsia="宋体" w:cs="宋体"/>
                <w:sz w:val="21"/>
                <w:szCs w:val="21"/>
              </w:rPr>
              <w:t>正常工况</w:t>
            </w:r>
            <w:r>
              <w:rPr>
                <w:rFonts w:hint="eastAsia" w:ascii="宋体" w:hAnsi="宋体" w:eastAsia="宋体" w:cs="宋体"/>
                <w:color w:val="000000"/>
                <w:sz w:val="21"/>
                <w:szCs w:val="21"/>
                <w:lang w:eastAsia="zh-CN"/>
              </w:rPr>
              <w:t>□</w:t>
            </w:r>
            <w:r>
              <w:rPr>
                <w:rFonts w:hint="eastAsia" w:ascii="宋体" w:hAnsi="宋体" w:eastAsia="宋体" w:cs="宋体"/>
                <w:sz w:val="21"/>
                <w:szCs w:val="21"/>
              </w:rPr>
              <w:t>；非正常工况</w:t>
            </w:r>
            <w:r>
              <w:rPr>
                <w:rFonts w:hint="eastAsia" w:ascii="宋体" w:hAnsi="宋体" w:eastAsia="宋体" w:cs="宋体"/>
                <w:color w:val="000000"/>
                <w:sz w:val="21"/>
                <w:szCs w:val="21"/>
                <w:lang w:eastAsia="zh-CN"/>
              </w:rPr>
              <w:t>□</w:t>
            </w:r>
          </w:p>
          <w:p w14:paraId="73C6B90E">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sz w:val="21"/>
                <w:szCs w:val="21"/>
              </w:rPr>
            </w:pPr>
            <w:r>
              <w:rPr>
                <w:rFonts w:hint="eastAsia" w:ascii="宋体" w:hAnsi="宋体" w:eastAsia="宋体" w:cs="宋体"/>
                <w:sz w:val="21"/>
                <w:szCs w:val="21"/>
              </w:rPr>
              <w:t xml:space="preserve">污染控制可减缓措施方案 </w:t>
            </w:r>
            <w:r>
              <w:rPr>
                <w:rFonts w:hint="eastAsia" w:ascii="宋体" w:hAnsi="宋体" w:eastAsia="宋体" w:cs="宋体"/>
                <w:color w:val="000000"/>
                <w:sz w:val="21"/>
                <w:szCs w:val="21"/>
              </w:rPr>
              <w:sym w:font="Wingdings 2" w:char="00A3"/>
            </w:r>
          </w:p>
          <w:p w14:paraId="126323F8">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sz w:val="21"/>
                <w:szCs w:val="21"/>
                <w:lang w:eastAsia="zh-CN"/>
              </w:rPr>
            </w:pPr>
            <w:r>
              <w:rPr>
                <w:rFonts w:hint="eastAsia" w:ascii="宋体" w:hAnsi="宋体" w:eastAsia="宋体" w:cs="宋体"/>
                <w:sz w:val="21"/>
                <w:szCs w:val="21"/>
              </w:rPr>
              <w:t>区（流）域环境质量改善目标要求情景</w:t>
            </w:r>
            <w:r>
              <w:rPr>
                <w:rFonts w:hint="eastAsia" w:ascii="宋体" w:hAnsi="宋体" w:eastAsia="宋体" w:cs="宋体"/>
                <w:color w:val="000000"/>
                <w:sz w:val="21"/>
                <w:szCs w:val="21"/>
                <w:lang w:eastAsia="zh-CN"/>
              </w:rPr>
              <w:t>□</w:t>
            </w:r>
          </w:p>
        </w:tc>
      </w:tr>
      <w:tr w14:paraId="11A18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05" w:type="pct"/>
            <w:vMerge w:val="continue"/>
            <w:tcBorders>
              <w:left w:val="nil"/>
            </w:tcBorders>
            <w:vAlign w:val="center"/>
          </w:tcPr>
          <w:p w14:paraId="718A9EC0">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rPr>
            </w:pPr>
          </w:p>
        </w:tc>
        <w:tc>
          <w:tcPr>
            <w:tcW w:w="921" w:type="pct"/>
            <w:tcBorders>
              <w:left w:val="single" w:color="auto" w:sz="4" w:space="0"/>
            </w:tcBorders>
            <w:vAlign w:val="center"/>
          </w:tcPr>
          <w:p w14:paraId="59FB430B">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预测方法</w:t>
            </w:r>
          </w:p>
        </w:tc>
        <w:tc>
          <w:tcPr>
            <w:tcW w:w="3874" w:type="pct"/>
            <w:gridSpan w:val="13"/>
            <w:tcBorders>
              <w:right w:val="nil"/>
            </w:tcBorders>
            <w:vAlign w:val="center"/>
          </w:tcPr>
          <w:p w14:paraId="07986184">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sz w:val="21"/>
                <w:szCs w:val="21"/>
              </w:rPr>
            </w:pPr>
            <w:r>
              <w:rPr>
                <w:rFonts w:hint="eastAsia" w:ascii="宋体" w:hAnsi="宋体" w:eastAsia="宋体" w:cs="宋体"/>
                <w:sz w:val="21"/>
                <w:szCs w:val="21"/>
              </w:rPr>
              <w:t xml:space="preserve">数值解 </w:t>
            </w:r>
            <w:r>
              <w:rPr>
                <w:rFonts w:hint="eastAsia" w:ascii="宋体" w:hAnsi="宋体" w:eastAsia="宋体" w:cs="宋体"/>
                <w:color w:val="000000"/>
                <w:sz w:val="21"/>
                <w:szCs w:val="21"/>
              </w:rPr>
              <w:sym w:font="Wingdings 2" w:char="00A3"/>
            </w:r>
            <w:r>
              <w:rPr>
                <w:rFonts w:hint="eastAsia" w:ascii="宋体" w:hAnsi="宋体" w:eastAsia="宋体" w:cs="宋体"/>
                <w:sz w:val="21"/>
                <w:szCs w:val="21"/>
              </w:rPr>
              <w:t>；解析解</w:t>
            </w:r>
            <w:r>
              <w:rPr>
                <w:rFonts w:hint="eastAsia" w:ascii="宋体" w:hAnsi="宋体" w:eastAsia="宋体" w:cs="宋体"/>
                <w:color w:val="000000"/>
                <w:sz w:val="21"/>
                <w:szCs w:val="21"/>
                <w:lang w:eastAsia="zh-CN"/>
              </w:rPr>
              <w:t>□</w:t>
            </w:r>
            <w:r>
              <w:rPr>
                <w:rFonts w:hint="eastAsia" w:ascii="宋体" w:hAnsi="宋体" w:eastAsia="宋体" w:cs="宋体"/>
                <w:sz w:val="21"/>
                <w:szCs w:val="21"/>
              </w:rPr>
              <w:t xml:space="preserve">；其他 </w:t>
            </w:r>
            <w:r>
              <w:rPr>
                <w:rFonts w:hint="eastAsia" w:ascii="宋体" w:hAnsi="宋体" w:eastAsia="宋体" w:cs="宋体"/>
                <w:color w:val="000000"/>
                <w:sz w:val="21"/>
                <w:szCs w:val="21"/>
              </w:rPr>
              <w:sym w:font="Wingdings 2" w:char="00A3"/>
            </w:r>
          </w:p>
          <w:p w14:paraId="41622F5C">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sz w:val="21"/>
                <w:szCs w:val="21"/>
              </w:rPr>
            </w:pPr>
            <w:r>
              <w:rPr>
                <w:rFonts w:hint="eastAsia" w:ascii="宋体" w:hAnsi="宋体" w:eastAsia="宋体" w:cs="宋体"/>
                <w:sz w:val="21"/>
                <w:szCs w:val="21"/>
              </w:rPr>
              <w:t>导则推荐模式</w:t>
            </w:r>
            <w:r>
              <w:rPr>
                <w:rFonts w:hint="eastAsia" w:ascii="宋体" w:hAnsi="宋体" w:eastAsia="宋体" w:cs="宋体"/>
                <w:color w:val="000000"/>
                <w:sz w:val="21"/>
                <w:szCs w:val="21"/>
                <w:lang w:eastAsia="zh-CN"/>
              </w:rPr>
              <w:t>□</w:t>
            </w:r>
            <w:r>
              <w:rPr>
                <w:rFonts w:hint="eastAsia" w:ascii="宋体" w:hAnsi="宋体" w:eastAsia="宋体" w:cs="宋体"/>
                <w:sz w:val="21"/>
                <w:szCs w:val="21"/>
              </w:rPr>
              <w:t xml:space="preserve">；其他 </w:t>
            </w:r>
            <w:r>
              <w:rPr>
                <w:rFonts w:hint="eastAsia" w:ascii="宋体" w:hAnsi="宋体" w:eastAsia="宋体" w:cs="宋体"/>
                <w:color w:val="000000"/>
                <w:sz w:val="21"/>
                <w:szCs w:val="21"/>
              </w:rPr>
              <w:sym w:font="Wingdings 2" w:char="00A3"/>
            </w:r>
          </w:p>
        </w:tc>
      </w:tr>
      <w:tr w14:paraId="6A9C9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05" w:type="pct"/>
            <w:vMerge w:val="restart"/>
            <w:tcBorders>
              <w:left w:val="nil"/>
            </w:tcBorders>
            <w:vAlign w:val="center"/>
          </w:tcPr>
          <w:p w14:paraId="50F03328">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影响评价</w:t>
            </w:r>
          </w:p>
        </w:tc>
        <w:tc>
          <w:tcPr>
            <w:tcW w:w="921" w:type="pct"/>
            <w:tcBorders>
              <w:left w:val="single" w:color="auto" w:sz="4" w:space="0"/>
            </w:tcBorders>
            <w:vAlign w:val="center"/>
          </w:tcPr>
          <w:p w14:paraId="12898F17">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水污染控制和水环境影响减缓措施有效性评价</w:t>
            </w:r>
          </w:p>
        </w:tc>
        <w:tc>
          <w:tcPr>
            <w:tcW w:w="3874" w:type="pct"/>
            <w:gridSpan w:val="13"/>
            <w:tcBorders>
              <w:right w:val="nil"/>
            </w:tcBorders>
            <w:vAlign w:val="center"/>
          </w:tcPr>
          <w:p w14:paraId="486AA1C8">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sz w:val="21"/>
                <w:szCs w:val="21"/>
              </w:rPr>
            </w:pPr>
            <w:r>
              <w:rPr>
                <w:rFonts w:hint="eastAsia" w:ascii="宋体" w:hAnsi="宋体" w:eastAsia="宋体" w:cs="宋体"/>
                <w:sz w:val="21"/>
                <w:szCs w:val="21"/>
              </w:rPr>
              <w:t>区（流）域环境质量改善目标</w:t>
            </w:r>
            <w:r>
              <w:rPr>
                <w:rFonts w:hint="eastAsia" w:ascii="宋体" w:hAnsi="宋体" w:eastAsia="宋体" w:cs="宋体"/>
                <w:color w:val="000000"/>
                <w:sz w:val="21"/>
                <w:szCs w:val="21"/>
                <w:lang w:eastAsia="zh-CN"/>
              </w:rPr>
              <w:t>□</w:t>
            </w:r>
            <w:r>
              <w:rPr>
                <w:rFonts w:hint="eastAsia" w:ascii="宋体" w:hAnsi="宋体" w:eastAsia="宋体" w:cs="宋体"/>
                <w:sz w:val="21"/>
                <w:szCs w:val="21"/>
              </w:rPr>
              <w:t xml:space="preserve">； 替代消减源 </w:t>
            </w:r>
            <w:r>
              <w:rPr>
                <w:rFonts w:hint="eastAsia" w:ascii="宋体" w:hAnsi="宋体" w:eastAsia="宋体" w:cs="宋体"/>
                <w:color w:val="000000"/>
                <w:sz w:val="21"/>
                <w:szCs w:val="21"/>
              </w:rPr>
              <w:sym w:font="Wingdings 2" w:char="00A3"/>
            </w:r>
          </w:p>
        </w:tc>
      </w:tr>
      <w:tr w14:paraId="6CCB1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05" w:type="pct"/>
            <w:vMerge w:val="continue"/>
            <w:tcBorders>
              <w:left w:val="nil"/>
            </w:tcBorders>
            <w:vAlign w:val="center"/>
          </w:tcPr>
          <w:p w14:paraId="733C9B05">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rPr>
            </w:pPr>
          </w:p>
        </w:tc>
        <w:tc>
          <w:tcPr>
            <w:tcW w:w="921" w:type="pct"/>
            <w:tcBorders>
              <w:left w:val="single" w:color="auto" w:sz="4" w:space="0"/>
            </w:tcBorders>
            <w:vAlign w:val="center"/>
          </w:tcPr>
          <w:p w14:paraId="19FB4B8A">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水环境影响评价</w:t>
            </w:r>
          </w:p>
        </w:tc>
        <w:tc>
          <w:tcPr>
            <w:tcW w:w="3874" w:type="pct"/>
            <w:gridSpan w:val="13"/>
            <w:tcBorders>
              <w:right w:val="nil"/>
            </w:tcBorders>
            <w:vAlign w:val="center"/>
          </w:tcPr>
          <w:p w14:paraId="7A6FE869">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sz w:val="21"/>
                <w:szCs w:val="21"/>
                <w:lang w:eastAsia="zh-CN"/>
              </w:rPr>
            </w:pPr>
            <w:r>
              <w:rPr>
                <w:rFonts w:hint="eastAsia" w:ascii="宋体" w:hAnsi="宋体" w:eastAsia="宋体" w:cs="宋体"/>
                <w:sz w:val="21"/>
                <w:szCs w:val="21"/>
              </w:rPr>
              <w:t>排放口混合区外满足水环境保护要求</w:t>
            </w:r>
            <w:r>
              <w:rPr>
                <w:rFonts w:hint="eastAsia" w:ascii="宋体" w:hAnsi="宋体" w:eastAsia="宋体" w:cs="宋体"/>
                <w:color w:val="000000"/>
                <w:sz w:val="21"/>
                <w:szCs w:val="21"/>
                <w:lang w:eastAsia="zh-CN"/>
              </w:rPr>
              <w:t>□</w:t>
            </w:r>
          </w:p>
          <w:p w14:paraId="7A503D4C">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sz w:val="21"/>
                <w:szCs w:val="21"/>
              </w:rPr>
            </w:pPr>
            <w:r>
              <w:rPr>
                <w:rFonts w:hint="eastAsia" w:ascii="宋体" w:hAnsi="宋体" w:eastAsia="宋体" w:cs="宋体"/>
                <w:sz w:val="21"/>
                <w:szCs w:val="21"/>
              </w:rPr>
              <w:t xml:space="preserve">水环境功能区或水功能区、近岸海域环境功能区水质达标 </w:t>
            </w:r>
            <w:r>
              <w:rPr>
                <w:rFonts w:hint="eastAsia" w:ascii="宋体" w:hAnsi="宋体" w:eastAsia="宋体" w:cs="宋体"/>
                <w:color w:val="000000"/>
                <w:sz w:val="21"/>
                <w:szCs w:val="21"/>
              </w:rPr>
              <w:sym w:font="Wingdings 2" w:char="00A3"/>
            </w:r>
          </w:p>
          <w:p w14:paraId="4A0AA83F">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sz w:val="21"/>
                <w:szCs w:val="21"/>
              </w:rPr>
            </w:pPr>
            <w:r>
              <w:rPr>
                <w:rFonts w:hint="eastAsia" w:ascii="宋体" w:hAnsi="宋体" w:eastAsia="宋体" w:cs="宋体"/>
                <w:sz w:val="21"/>
                <w:szCs w:val="21"/>
              </w:rPr>
              <w:t xml:space="preserve">满足水环境保护目标水域水环境质量要求 </w:t>
            </w:r>
            <w:r>
              <w:rPr>
                <w:rFonts w:hint="eastAsia" w:ascii="宋体" w:hAnsi="宋体" w:eastAsia="宋体" w:cs="宋体"/>
                <w:color w:val="000000"/>
                <w:sz w:val="21"/>
                <w:szCs w:val="21"/>
              </w:rPr>
              <w:sym w:font="Wingdings 2" w:char="00A3"/>
            </w:r>
          </w:p>
          <w:p w14:paraId="0B8A17EF">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sz w:val="21"/>
                <w:szCs w:val="21"/>
              </w:rPr>
            </w:pPr>
            <w:r>
              <w:rPr>
                <w:rFonts w:hint="eastAsia" w:ascii="宋体" w:hAnsi="宋体" w:eastAsia="宋体" w:cs="宋体"/>
                <w:sz w:val="21"/>
                <w:szCs w:val="21"/>
              </w:rPr>
              <w:t xml:space="preserve">水环境控制单元或断面水质达标 </w:t>
            </w:r>
            <w:r>
              <w:rPr>
                <w:rFonts w:hint="eastAsia" w:ascii="宋体" w:hAnsi="宋体" w:eastAsia="宋体" w:cs="宋体"/>
                <w:color w:val="000000"/>
                <w:sz w:val="21"/>
                <w:szCs w:val="21"/>
              </w:rPr>
              <w:sym w:font="Wingdings 2" w:char="00A3"/>
            </w:r>
          </w:p>
          <w:p w14:paraId="253C9089">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sz w:val="21"/>
                <w:szCs w:val="21"/>
              </w:rPr>
            </w:pPr>
            <w:r>
              <w:rPr>
                <w:rFonts w:hint="eastAsia" w:ascii="宋体" w:hAnsi="宋体" w:eastAsia="宋体" w:cs="宋体"/>
                <w:sz w:val="21"/>
                <w:szCs w:val="21"/>
              </w:rPr>
              <w:t xml:space="preserve">满足重点水污染物排放总量控制指标要求，重点行业建设项目，主要污染物排放满足等量或减量替代要求 </w:t>
            </w:r>
            <w:r>
              <w:rPr>
                <w:rFonts w:hint="eastAsia" w:ascii="宋体" w:hAnsi="宋体" w:eastAsia="宋体" w:cs="宋体"/>
                <w:color w:val="000000"/>
                <w:sz w:val="21"/>
                <w:szCs w:val="21"/>
              </w:rPr>
              <w:sym w:font="Wingdings 2" w:char="00A3"/>
            </w:r>
          </w:p>
          <w:p w14:paraId="00A99559">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sz w:val="21"/>
                <w:szCs w:val="21"/>
                <w:lang w:eastAsia="zh-CN"/>
              </w:rPr>
            </w:pPr>
            <w:r>
              <w:rPr>
                <w:rFonts w:hint="eastAsia" w:ascii="宋体" w:hAnsi="宋体" w:eastAsia="宋体" w:cs="宋体"/>
                <w:sz w:val="21"/>
                <w:szCs w:val="21"/>
              </w:rPr>
              <w:t>满足区（流）域环境质量改善目标要求</w:t>
            </w:r>
            <w:r>
              <w:rPr>
                <w:rFonts w:hint="eastAsia" w:ascii="宋体" w:hAnsi="宋体" w:eastAsia="宋体" w:cs="宋体"/>
                <w:color w:val="000000"/>
                <w:sz w:val="21"/>
                <w:szCs w:val="21"/>
                <w:lang w:eastAsia="zh-CN"/>
              </w:rPr>
              <w:t>□</w:t>
            </w:r>
          </w:p>
          <w:p w14:paraId="7204DAD2">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sz w:val="21"/>
                <w:szCs w:val="21"/>
              </w:rPr>
            </w:pPr>
            <w:r>
              <w:rPr>
                <w:rFonts w:hint="eastAsia" w:ascii="宋体" w:hAnsi="宋体" w:eastAsia="宋体" w:cs="宋体"/>
                <w:sz w:val="21"/>
                <w:szCs w:val="21"/>
              </w:rPr>
              <w:t xml:space="preserve">水文要素影响型建设项目同时应包括水文情势变化评价、主要水文特征值影响评价、生态流量符合性评价 </w:t>
            </w:r>
            <w:r>
              <w:rPr>
                <w:rFonts w:hint="eastAsia" w:ascii="宋体" w:hAnsi="宋体" w:eastAsia="宋体" w:cs="宋体"/>
                <w:color w:val="000000"/>
                <w:sz w:val="21"/>
                <w:szCs w:val="21"/>
              </w:rPr>
              <w:sym w:font="Wingdings 2" w:char="00A3"/>
            </w:r>
          </w:p>
          <w:p w14:paraId="62EBFEFD">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sz w:val="21"/>
                <w:szCs w:val="21"/>
                <w:lang w:eastAsia="zh-CN"/>
              </w:rPr>
            </w:pPr>
            <w:r>
              <w:rPr>
                <w:rFonts w:hint="eastAsia" w:ascii="宋体" w:hAnsi="宋体" w:eastAsia="宋体" w:cs="宋体"/>
                <w:sz w:val="21"/>
                <w:szCs w:val="21"/>
              </w:rPr>
              <w:t>对于新设或调整入河（湖库、近岸海域）排放口的建设项目，应包括排放口设置的环境合理性评价</w:t>
            </w:r>
            <w:r>
              <w:rPr>
                <w:rFonts w:hint="eastAsia" w:ascii="宋体" w:hAnsi="宋体" w:eastAsia="宋体" w:cs="宋体"/>
                <w:color w:val="000000"/>
                <w:sz w:val="21"/>
                <w:szCs w:val="21"/>
                <w:lang w:eastAsia="zh-CN"/>
              </w:rPr>
              <w:t>□</w:t>
            </w:r>
          </w:p>
          <w:p w14:paraId="09D9E0F1">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sz w:val="21"/>
                <w:szCs w:val="21"/>
              </w:rPr>
            </w:pPr>
            <w:r>
              <w:rPr>
                <w:rFonts w:hint="eastAsia" w:ascii="宋体" w:hAnsi="宋体" w:eastAsia="宋体" w:cs="宋体"/>
                <w:sz w:val="21"/>
                <w:szCs w:val="21"/>
              </w:rPr>
              <w:t xml:space="preserve">满足生态保护红线、水环境质量底线、资源利用上线和环境准入清单管理要求 </w:t>
            </w:r>
            <w:r>
              <w:rPr>
                <w:rFonts w:hint="eastAsia" w:ascii="宋体" w:hAnsi="宋体" w:eastAsia="宋体" w:cs="宋体"/>
                <w:color w:val="000000"/>
                <w:sz w:val="21"/>
                <w:szCs w:val="21"/>
              </w:rPr>
              <w:sym w:font="Wingdings 2" w:char="00A3"/>
            </w:r>
          </w:p>
        </w:tc>
      </w:tr>
      <w:tr w14:paraId="2A40D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05" w:type="pct"/>
            <w:vMerge w:val="continue"/>
            <w:tcBorders>
              <w:left w:val="nil"/>
            </w:tcBorders>
            <w:vAlign w:val="center"/>
          </w:tcPr>
          <w:p w14:paraId="55B4774A">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rPr>
            </w:pPr>
          </w:p>
        </w:tc>
        <w:tc>
          <w:tcPr>
            <w:tcW w:w="921" w:type="pct"/>
            <w:vMerge w:val="restart"/>
            <w:tcBorders>
              <w:left w:val="single" w:color="auto" w:sz="4" w:space="0"/>
            </w:tcBorders>
            <w:vAlign w:val="center"/>
          </w:tcPr>
          <w:p w14:paraId="31568CD2">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污染源排放量核算</w:t>
            </w:r>
          </w:p>
        </w:tc>
        <w:tc>
          <w:tcPr>
            <w:tcW w:w="990" w:type="pct"/>
            <w:gridSpan w:val="3"/>
            <w:tcBorders>
              <w:right w:val="single" w:color="auto" w:sz="4" w:space="0"/>
            </w:tcBorders>
            <w:vAlign w:val="center"/>
          </w:tcPr>
          <w:p w14:paraId="6B085E52">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污染物名称</w:t>
            </w:r>
          </w:p>
        </w:tc>
        <w:tc>
          <w:tcPr>
            <w:tcW w:w="1413" w:type="pct"/>
            <w:gridSpan w:val="5"/>
            <w:tcBorders>
              <w:right w:val="single" w:color="auto" w:sz="4" w:space="0"/>
            </w:tcBorders>
            <w:vAlign w:val="center"/>
          </w:tcPr>
          <w:p w14:paraId="12286879">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排放量/（t/a）</w:t>
            </w:r>
          </w:p>
        </w:tc>
        <w:tc>
          <w:tcPr>
            <w:tcW w:w="1472" w:type="pct"/>
            <w:gridSpan w:val="5"/>
            <w:tcBorders>
              <w:right w:val="nil"/>
            </w:tcBorders>
            <w:vAlign w:val="center"/>
          </w:tcPr>
          <w:p w14:paraId="6F0281CF">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排放浓度/（mg/L）</w:t>
            </w:r>
          </w:p>
        </w:tc>
      </w:tr>
      <w:tr w14:paraId="0E100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05" w:type="pct"/>
            <w:vMerge w:val="continue"/>
            <w:tcBorders>
              <w:left w:val="nil"/>
            </w:tcBorders>
            <w:vAlign w:val="center"/>
          </w:tcPr>
          <w:p w14:paraId="1325868E">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rPr>
            </w:pPr>
          </w:p>
        </w:tc>
        <w:tc>
          <w:tcPr>
            <w:tcW w:w="921" w:type="pct"/>
            <w:vMerge w:val="continue"/>
            <w:tcBorders>
              <w:left w:val="single" w:color="auto" w:sz="4" w:space="0"/>
            </w:tcBorders>
            <w:vAlign w:val="center"/>
          </w:tcPr>
          <w:p w14:paraId="48C5071C">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rPr>
            </w:pPr>
          </w:p>
        </w:tc>
        <w:tc>
          <w:tcPr>
            <w:tcW w:w="990" w:type="pct"/>
            <w:gridSpan w:val="3"/>
            <w:tcBorders>
              <w:right w:val="single" w:color="auto" w:sz="4" w:space="0"/>
            </w:tcBorders>
            <w:vAlign w:val="center"/>
          </w:tcPr>
          <w:p w14:paraId="02C605D8">
            <w:pPr>
              <w:pStyle w:val="31"/>
              <w:keepNext w:val="0"/>
              <w:keepLines w:val="0"/>
              <w:pageBreakBefore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rPr>
            </w:pPr>
          </w:p>
        </w:tc>
        <w:tc>
          <w:tcPr>
            <w:tcW w:w="1413" w:type="pct"/>
            <w:gridSpan w:val="5"/>
            <w:tcBorders>
              <w:right w:val="single" w:color="auto" w:sz="4" w:space="0"/>
            </w:tcBorders>
            <w:vAlign w:val="center"/>
          </w:tcPr>
          <w:p w14:paraId="44003F54">
            <w:pPr>
              <w:pStyle w:val="31"/>
              <w:keepNext w:val="0"/>
              <w:keepLines w:val="0"/>
              <w:pageBreakBefore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rPr>
            </w:pPr>
          </w:p>
        </w:tc>
        <w:tc>
          <w:tcPr>
            <w:tcW w:w="1472" w:type="pct"/>
            <w:gridSpan w:val="5"/>
            <w:tcBorders>
              <w:right w:val="nil"/>
            </w:tcBorders>
            <w:vAlign w:val="center"/>
          </w:tcPr>
          <w:p w14:paraId="09425296">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rPr>
            </w:pPr>
          </w:p>
        </w:tc>
      </w:tr>
      <w:tr w14:paraId="210D8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05" w:type="pct"/>
            <w:vMerge w:val="continue"/>
            <w:tcBorders>
              <w:left w:val="nil"/>
            </w:tcBorders>
            <w:vAlign w:val="center"/>
          </w:tcPr>
          <w:p w14:paraId="7E06412C">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rPr>
            </w:pPr>
          </w:p>
        </w:tc>
        <w:tc>
          <w:tcPr>
            <w:tcW w:w="921" w:type="pct"/>
            <w:vMerge w:val="restart"/>
            <w:tcBorders>
              <w:left w:val="single" w:color="auto" w:sz="4" w:space="0"/>
            </w:tcBorders>
            <w:vAlign w:val="center"/>
          </w:tcPr>
          <w:p w14:paraId="5F6B6CDF">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替代源排放量情况</w:t>
            </w:r>
          </w:p>
        </w:tc>
        <w:tc>
          <w:tcPr>
            <w:tcW w:w="651" w:type="pct"/>
            <w:tcBorders>
              <w:right w:val="single" w:color="auto" w:sz="4" w:space="0"/>
            </w:tcBorders>
            <w:vAlign w:val="center"/>
          </w:tcPr>
          <w:p w14:paraId="36653F36">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污染源名称</w:t>
            </w:r>
          </w:p>
        </w:tc>
        <w:tc>
          <w:tcPr>
            <w:tcW w:w="931" w:type="pct"/>
            <w:gridSpan w:val="4"/>
            <w:tcBorders>
              <w:right w:val="single" w:color="auto" w:sz="4" w:space="0"/>
            </w:tcBorders>
            <w:vAlign w:val="center"/>
          </w:tcPr>
          <w:p w14:paraId="101235E4">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排污许可证编号</w:t>
            </w:r>
          </w:p>
        </w:tc>
        <w:tc>
          <w:tcPr>
            <w:tcW w:w="625" w:type="pct"/>
            <w:gridSpan w:val="2"/>
            <w:tcBorders>
              <w:right w:val="single" w:color="auto" w:sz="4" w:space="0"/>
            </w:tcBorders>
            <w:vAlign w:val="center"/>
          </w:tcPr>
          <w:p w14:paraId="3FF2096F">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污染物名称</w:t>
            </w:r>
          </w:p>
        </w:tc>
        <w:tc>
          <w:tcPr>
            <w:tcW w:w="677" w:type="pct"/>
            <w:gridSpan w:val="3"/>
            <w:tcBorders>
              <w:right w:val="single" w:color="auto" w:sz="4" w:space="0"/>
            </w:tcBorders>
            <w:vAlign w:val="center"/>
          </w:tcPr>
          <w:p w14:paraId="59FDD0B6">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排放量</w:t>
            </w:r>
          </w:p>
        </w:tc>
        <w:tc>
          <w:tcPr>
            <w:tcW w:w="990" w:type="pct"/>
            <w:gridSpan w:val="3"/>
            <w:tcBorders>
              <w:right w:val="nil"/>
            </w:tcBorders>
            <w:vAlign w:val="center"/>
          </w:tcPr>
          <w:p w14:paraId="02AD561D">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排放浓度/（mg/L）</w:t>
            </w:r>
          </w:p>
        </w:tc>
      </w:tr>
      <w:tr w14:paraId="5F754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05" w:type="pct"/>
            <w:vMerge w:val="continue"/>
            <w:tcBorders>
              <w:left w:val="nil"/>
            </w:tcBorders>
            <w:vAlign w:val="center"/>
          </w:tcPr>
          <w:p w14:paraId="42A4B19A">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rPr>
            </w:pPr>
          </w:p>
        </w:tc>
        <w:tc>
          <w:tcPr>
            <w:tcW w:w="921" w:type="pct"/>
            <w:vMerge w:val="continue"/>
            <w:tcBorders>
              <w:left w:val="single" w:color="auto" w:sz="4" w:space="0"/>
            </w:tcBorders>
            <w:vAlign w:val="center"/>
          </w:tcPr>
          <w:p w14:paraId="789FBEB2">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rPr>
            </w:pPr>
          </w:p>
        </w:tc>
        <w:tc>
          <w:tcPr>
            <w:tcW w:w="651" w:type="pct"/>
            <w:tcBorders>
              <w:right w:val="single" w:color="auto" w:sz="4" w:space="0"/>
            </w:tcBorders>
            <w:vAlign w:val="center"/>
          </w:tcPr>
          <w:p w14:paraId="18313B4D">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    ）</w:t>
            </w:r>
          </w:p>
        </w:tc>
        <w:tc>
          <w:tcPr>
            <w:tcW w:w="931" w:type="pct"/>
            <w:gridSpan w:val="4"/>
            <w:tcBorders>
              <w:right w:val="single" w:color="auto" w:sz="4" w:space="0"/>
            </w:tcBorders>
            <w:vAlign w:val="center"/>
          </w:tcPr>
          <w:p w14:paraId="431A3253">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    ）</w:t>
            </w:r>
          </w:p>
        </w:tc>
        <w:tc>
          <w:tcPr>
            <w:tcW w:w="625" w:type="pct"/>
            <w:gridSpan w:val="2"/>
            <w:tcBorders>
              <w:right w:val="single" w:color="auto" w:sz="4" w:space="0"/>
            </w:tcBorders>
            <w:vAlign w:val="center"/>
          </w:tcPr>
          <w:p w14:paraId="45CAA98F">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    ）</w:t>
            </w:r>
          </w:p>
        </w:tc>
        <w:tc>
          <w:tcPr>
            <w:tcW w:w="677" w:type="pct"/>
            <w:gridSpan w:val="3"/>
            <w:tcBorders>
              <w:right w:val="single" w:color="auto" w:sz="4" w:space="0"/>
            </w:tcBorders>
            <w:vAlign w:val="center"/>
          </w:tcPr>
          <w:p w14:paraId="73AC5574">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    ）</w:t>
            </w:r>
          </w:p>
        </w:tc>
        <w:tc>
          <w:tcPr>
            <w:tcW w:w="990" w:type="pct"/>
            <w:gridSpan w:val="3"/>
            <w:tcBorders>
              <w:right w:val="nil"/>
            </w:tcBorders>
            <w:vAlign w:val="center"/>
          </w:tcPr>
          <w:p w14:paraId="6B9C705C">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    ）</w:t>
            </w:r>
          </w:p>
        </w:tc>
      </w:tr>
      <w:tr w14:paraId="78795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05" w:type="pct"/>
            <w:vMerge w:val="continue"/>
            <w:tcBorders>
              <w:left w:val="nil"/>
            </w:tcBorders>
            <w:vAlign w:val="center"/>
          </w:tcPr>
          <w:p w14:paraId="50B2D15A">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rPr>
            </w:pPr>
          </w:p>
        </w:tc>
        <w:tc>
          <w:tcPr>
            <w:tcW w:w="921" w:type="pct"/>
            <w:tcBorders>
              <w:left w:val="single" w:color="auto" w:sz="4" w:space="0"/>
            </w:tcBorders>
            <w:vAlign w:val="center"/>
          </w:tcPr>
          <w:p w14:paraId="46D21B4C">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生态流量确定</w:t>
            </w:r>
          </w:p>
        </w:tc>
        <w:tc>
          <w:tcPr>
            <w:tcW w:w="3874" w:type="pct"/>
            <w:gridSpan w:val="13"/>
            <w:tcBorders>
              <w:right w:val="nil"/>
            </w:tcBorders>
            <w:vAlign w:val="center"/>
          </w:tcPr>
          <w:p w14:paraId="72F3C423">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sz w:val="21"/>
                <w:szCs w:val="21"/>
              </w:rPr>
            </w:pPr>
            <w:r>
              <w:rPr>
                <w:rFonts w:hint="eastAsia" w:ascii="宋体" w:hAnsi="宋体" w:eastAsia="宋体" w:cs="宋体"/>
                <w:sz w:val="21"/>
                <w:szCs w:val="21"/>
              </w:rPr>
              <w:t>生态流量：一般水期（  ）m</w:t>
            </w:r>
            <w:r>
              <w:rPr>
                <w:rFonts w:hint="eastAsia" w:ascii="宋体" w:hAnsi="宋体" w:eastAsia="宋体" w:cs="宋体"/>
                <w:sz w:val="21"/>
                <w:szCs w:val="21"/>
                <w:vertAlign w:val="superscript"/>
              </w:rPr>
              <w:t>3</w:t>
            </w:r>
            <w:r>
              <w:rPr>
                <w:rFonts w:hint="eastAsia" w:ascii="宋体" w:hAnsi="宋体" w:eastAsia="宋体" w:cs="宋体"/>
                <w:sz w:val="21"/>
                <w:szCs w:val="21"/>
              </w:rPr>
              <w:t>/s；鱼类繁殖期（  ）m</w:t>
            </w:r>
            <w:r>
              <w:rPr>
                <w:rFonts w:hint="eastAsia" w:ascii="宋体" w:hAnsi="宋体" w:eastAsia="宋体" w:cs="宋体"/>
                <w:sz w:val="21"/>
                <w:szCs w:val="21"/>
                <w:vertAlign w:val="superscript"/>
              </w:rPr>
              <w:t>3</w:t>
            </w:r>
            <w:r>
              <w:rPr>
                <w:rFonts w:hint="eastAsia" w:ascii="宋体" w:hAnsi="宋体" w:eastAsia="宋体" w:cs="宋体"/>
                <w:sz w:val="21"/>
                <w:szCs w:val="21"/>
              </w:rPr>
              <w:t>/s；其他（  ）m</w:t>
            </w:r>
            <w:r>
              <w:rPr>
                <w:rFonts w:hint="eastAsia" w:ascii="宋体" w:hAnsi="宋体" w:eastAsia="宋体" w:cs="宋体"/>
                <w:sz w:val="21"/>
                <w:szCs w:val="21"/>
                <w:vertAlign w:val="superscript"/>
              </w:rPr>
              <w:t>3</w:t>
            </w:r>
            <w:r>
              <w:rPr>
                <w:rFonts w:hint="eastAsia" w:ascii="宋体" w:hAnsi="宋体" w:eastAsia="宋体" w:cs="宋体"/>
                <w:sz w:val="21"/>
                <w:szCs w:val="21"/>
              </w:rPr>
              <w:t>/s</w:t>
            </w:r>
          </w:p>
          <w:p w14:paraId="2B8E14EF">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sz w:val="21"/>
                <w:szCs w:val="21"/>
              </w:rPr>
            </w:pPr>
            <w:r>
              <w:rPr>
                <w:rFonts w:hint="eastAsia" w:ascii="宋体" w:hAnsi="宋体" w:eastAsia="宋体" w:cs="宋体"/>
                <w:sz w:val="21"/>
                <w:szCs w:val="21"/>
              </w:rPr>
              <w:t>生态水位：一般水期（  ）m</w:t>
            </w:r>
            <w:r>
              <w:rPr>
                <w:rFonts w:hint="eastAsia" w:ascii="宋体" w:hAnsi="宋体" w:eastAsia="宋体" w:cs="宋体"/>
                <w:sz w:val="21"/>
                <w:szCs w:val="21"/>
                <w:vertAlign w:val="superscript"/>
              </w:rPr>
              <w:t>3</w:t>
            </w:r>
            <w:r>
              <w:rPr>
                <w:rFonts w:hint="eastAsia" w:ascii="宋体" w:hAnsi="宋体" w:eastAsia="宋体" w:cs="宋体"/>
                <w:sz w:val="21"/>
                <w:szCs w:val="21"/>
              </w:rPr>
              <w:t>/s；鱼类繁殖期（  ）m</w:t>
            </w:r>
            <w:r>
              <w:rPr>
                <w:rFonts w:hint="eastAsia" w:ascii="宋体" w:hAnsi="宋体" w:eastAsia="宋体" w:cs="宋体"/>
                <w:sz w:val="21"/>
                <w:szCs w:val="21"/>
                <w:vertAlign w:val="superscript"/>
              </w:rPr>
              <w:t>3</w:t>
            </w:r>
            <w:r>
              <w:rPr>
                <w:rFonts w:hint="eastAsia" w:ascii="宋体" w:hAnsi="宋体" w:eastAsia="宋体" w:cs="宋体"/>
                <w:sz w:val="21"/>
                <w:szCs w:val="21"/>
              </w:rPr>
              <w:t>/s；其他（  ）m</w:t>
            </w:r>
            <w:r>
              <w:rPr>
                <w:rFonts w:hint="eastAsia" w:ascii="宋体" w:hAnsi="宋体" w:eastAsia="宋体" w:cs="宋体"/>
                <w:sz w:val="21"/>
                <w:szCs w:val="21"/>
                <w:vertAlign w:val="superscript"/>
              </w:rPr>
              <w:t>3</w:t>
            </w:r>
            <w:r>
              <w:rPr>
                <w:rFonts w:hint="eastAsia" w:ascii="宋体" w:hAnsi="宋体" w:eastAsia="宋体" w:cs="宋体"/>
                <w:sz w:val="21"/>
                <w:szCs w:val="21"/>
              </w:rPr>
              <w:t>/s</w:t>
            </w:r>
          </w:p>
        </w:tc>
      </w:tr>
      <w:tr w14:paraId="13E12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05" w:type="pct"/>
            <w:vMerge w:val="restart"/>
            <w:tcBorders>
              <w:left w:val="nil"/>
            </w:tcBorders>
            <w:vAlign w:val="center"/>
          </w:tcPr>
          <w:p w14:paraId="5452E991">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防治措施</w:t>
            </w:r>
          </w:p>
        </w:tc>
        <w:tc>
          <w:tcPr>
            <w:tcW w:w="921" w:type="pct"/>
            <w:tcBorders>
              <w:left w:val="single" w:color="auto" w:sz="4" w:space="0"/>
            </w:tcBorders>
            <w:vAlign w:val="center"/>
          </w:tcPr>
          <w:p w14:paraId="45F0A0A5">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环保措施</w:t>
            </w:r>
          </w:p>
        </w:tc>
        <w:tc>
          <w:tcPr>
            <w:tcW w:w="3874" w:type="pct"/>
            <w:gridSpan w:val="13"/>
            <w:tcBorders>
              <w:right w:val="nil"/>
            </w:tcBorders>
            <w:vAlign w:val="center"/>
          </w:tcPr>
          <w:p w14:paraId="737FF9C1">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sz w:val="21"/>
                <w:szCs w:val="21"/>
              </w:rPr>
            </w:pPr>
            <w:r>
              <w:rPr>
                <w:rFonts w:hint="eastAsia" w:ascii="宋体" w:hAnsi="宋体" w:eastAsia="宋体" w:cs="宋体"/>
                <w:sz w:val="21"/>
                <w:szCs w:val="21"/>
              </w:rPr>
              <w:t>污水处理设施</w:t>
            </w:r>
            <w:r>
              <w:rPr>
                <w:rFonts w:hint="eastAsia" w:ascii="宋体" w:hAnsi="宋体" w:eastAsia="宋体" w:cs="宋体"/>
                <w:color w:val="000000"/>
                <w:sz w:val="21"/>
                <w:szCs w:val="21"/>
                <w:lang w:eastAsia="zh-CN"/>
              </w:rPr>
              <w:sym w:font="Wingdings 2" w:char="0052"/>
            </w:r>
            <w:r>
              <w:rPr>
                <w:rFonts w:hint="eastAsia" w:ascii="宋体" w:hAnsi="宋体" w:eastAsia="宋体" w:cs="宋体"/>
                <w:sz w:val="21"/>
                <w:szCs w:val="21"/>
              </w:rPr>
              <w:t xml:space="preserve">；水文减缓设施 </w:t>
            </w:r>
            <w:r>
              <w:rPr>
                <w:rFonts w:hint="eastAsia" w:ascii="宋体" w:hAnsi="宋体" w:eastAsia="宋体" w:cs="宋体"/>
                <w:color w:val="000000"/>
                <w:sz w:val="21"/>
                <w:szCs w:val="21"/>
              </w:rPr>
              <w:sym w:font="Wingdings 2" w:char="00A3"/>
            </w:r>
            <w:r>
              <w:rPr>
                <w:rFonts w:hint="eastAsia" w:ascii="宋体" w:hAnsi="宋体" w:eastAsia="宋体" w:cs="宋体"/>
                <w:sz w:val="21"/>
                <w:szCs w:val="21"/>
              </w:rPr>
              <w:t xml:space="preserve">；生态流量保障设施 </w:t>
            </w:r>
            <w:r>
              <w:rPr>
                <w:rFonts w:hint="eastAsia" w:ascii="宋体" w:hAnsi="宋体" w:eastAsia="宋体" w:cs="宋体"/>
                <w:color w:val="000000"/>
                <w:sz w:val="21"/>
                <w:szCs w:val="21"/>
              </w:rPr>
              <w:sym w:font="Wingdings 2" w:char="00A3"/>
            </w:r>
            <w:r>
              <w:rPr>
                <w:rFonts w:hint="eastAsia" w:ascii="宋体" w:hAnsi="宋体" w:eastAsia="宋体" w:cs="宋体"/>
                <w:sz w:val="21"/>
                <w:szCs w:val="21"/>
              </w:rPr>
              <w:t xml:space="preserve">；区域消减依托其他工程措施 </w:t>
            </w:r>
            <w:r>
              <w:rPr>
                <w:rFonts w:hint="eastAsia" w:ascii="宋体" w:hAnsi="宋体" w:eastAsia="宋体" w:cs="宋体"/>
                <w:color w:val="000000"/>
                <w:sz w:val="21"/>
                <w:szCs w:val="21"/>
              </w:rPr>
              <w:sym w:font="Wingdings 2" w:char="00A3"/>
            </w:r>
            <w:r>
              <w:rPr>
                <w:rFonts w:hint="eastAsia" w:ascii="宋体" w:hAnsi="宋体" w:eastAsia="宋体" w:cs="宋体"/>
                <w:sz w:val="21"/>
                <w:szCs w:val="21"/>
              </w:rPr>
              <w:t xml:space="preserve">；其他 </w:t>
            </w:r>
            <w:r>
              <w:rPr>
                <w:rFonts w:hint="eastAsia" w:ascii="宋体" w:hAnsi="宋体" w:eastAsia="宋体" w:cs="宋体"/>
                <w:color w:val="000000"/>
                <w:sz w:val="21"/>
                <w:szCs w:val="21"/>
              </w:rPr>
              <w:sym w:font="Wingdings 2" w:char="00A3"/>
            </w:r>
          </w:p>
        </w:tc>
      </w:tr>
      <w:tr w14:paraId="5F137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05" w:type="pct"/>
            <w:vMerge w:val="continue"/>
            <w:tcBorders>
              <w:left w:val="nil"/>
            </w:tcBorders>
            <w:vAlign w:val="center"/>
          </w:tcPr>
          <w:p w14:paraId="1E0604DD">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rPr>
            </w:pPr>
          </w:p>
        </w:tc>
        <w:tc>
          <w:tcPr>
            <w:tcW w:w="921" w:type="pct"/>
            <w:vMerge w:val="restart"/>
            <w:tcBorders>
              <w:left w:val="single" w:color="auto" w:sz="4" w:space="0"/>
            </w:tcBorders>
            <w:vAlign w:val="center"/>
          </w:tcPr>
          <w:p w14:paraId="63327BA1">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监测计划</w:t>
            </w:r>
          </w:p>
        </w:tc>
        <w:tc>
          <w:tcPr>
            <w:tcW w:w="926" w:type="pct"/>
            <w:gridSpan w:val="2"/>
            <w:tcBorders>
              <w:right w:val="single" w:color="auto" w:sz="4" w:space="0"/>
            </w:tcBorders>
            <w:vAlign w:val="center"/>
          </w:tcPr>
          <w:p w14:paraId="0424FCFD">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rPr>
            </w:pPr>
          </w:p>
        </w:tc>
        <w:tc>
          <w:tcPr>
            <w:tcW w:w="1482" w:type="pct"/>
            <w:gridSpan w:val="7"/>
            <w:tcBorders>
              <w:right w:val="single" w:color="auto" w:sz="4" w:space="0"/>
            </w:tcBorders>
            <w:vAlign w:val="center"/>
          </w:tcPr>
          <w:p w14:paraId="7E75D4A8">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环境质量</w:t>
            </w:r>
          </w:p>
        </w:tc>
        <w:tc>
          <w:tcPr>
            <w:tcW w:w="1467" w:type="pct"/>
            <w:gridSpan w:val="4"/>
            <w:tcBorders>
              <w:right w:val="nil"/>
            </w:tcBorders>
            <w:vAlign w:val="center"/>
          </w:tcPr>
          <w:p w14:paraId="65DFD672">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污染源</w:t>
            </w:r>
          </w:p>
        </w:tc>
      </w:tr>
      <w:tr w14:paraId="02E31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05" w:type="pct"/>
            <w:vMerge w:val="continue"/>
            <w:tcBorders>
              <w:left w:val="nil"/>
            </w:tcBorders>
            <w:vAlign w:val="center"/>
          </w:tcPr>
          <w:p w14:paraId="3871D6B1">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rPr>
            </w:pPr>
          </w:p>
        </w:tc>
        <w:tc>
          <w:tcPr>
            <w:tcW w:w="921" w:type="pct"/>
            <w:vMerge w:val="continue"/>
            <w:tcBorders>
              <w:left w:val="single" w:color="auto" w:sz="4" w:space="0"/>
            </w:tcBorders>
            <w:vAlign w:val="center"/>
          </w:tcPr>
          <w:p w14:paraId="1BF21EFB">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rPr>
            </w:pPr>
          </w:p>
        </w:tc>
        <w:tc>
          <w:tcPr>
            <w:tcW w:w="926" w:type="pct"/>
            <w:gridSpan w:val="2"/>
            <w:tcBorders>
              <w:right w:val="single" w:color="auto" w:sz="4" w:space="0"/>
            </w:tcBorders>
            <w:vAlign w:val="center"/>
          </w:tcPr>
          <w:p w14:paraId="6E9BEE00">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监测方法</w:t>
            </w:r>
          </w:p>
        </w:tc>
        <w:tc>
          <w:tcPr>
            <w:tcW w:w="1482" w:type="pct"/>
            <w:gridSpan w:val="7"/>
            <w:tcBorders>
              <w:right w:val="single" w:color="auto" w:sz="4" w:space="0"/>
            </w:tcBorders>
            <w:vAlign w:val="center"/>
          </w:tcPr>
          <w:p w14:paraId="4692A960">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lang w:eastAsia="zh-CN"/>
              </w:rPr>
            </w:pPr>
            <w:r>
              <w:rPr>
                <w:rFonts w:hint="eastAsia" w:ascii="宋体" w:hAnsi="宋体" w:eastAsia="宋体" w:cs="宋体"/>
                <w:sz w:val="21"/>
                <w:szCs w:val="21"/>
              </w:rPr>
              <w:t xml:space="preserve">手动 </w:t>
            </w:r>
            <w:r>
              <w:rPr>
                <w:rFonts w:hint="eastAsia" w:ascii="宋体" w:hAnsi="宋体" w:eastAsia="宋体" w:cs="宋体"/>
                <w:color w:val="000000"/>
                <w:sz w:val="21"/>
                <w:szCs w:val="21"/>
              </w:rPr>
              <w:sym w:font="Wingdings 2" w:char="00A3"/>
            </w:r>
            <w:r>
              <w:rPr>
                <w:rFonts w:hint="eastAsia" w:ascii="宋体" w:hAnsi="宋体" w:eastAsia="宋体" w:cs="宋体"/>
                <w:sz w:val="21"/>
                <w:szCs w:val="21"/>
              </w:rPr>
              <w:t xml:space="preserve">；自动 </w:t>
            </w:r>
            <w:r>
              <w:rPr>
                <w:rFonts w:hint="eastAsia" w:ascii="宋体" w:hAnsi="宋体" w:eastAsia="宋体" w:cs="宋体"/>
                <w:color w:val="000000"/>
                <w:sz w:val="21"/>
                <w:szCs w:val="21"/>
              </w:rPr>
              <w:sym w:font="Wingdings 2" w:char="00A3"/>
            </w:r>
            <w:r>
              <w:rPr>
                <w:rFonts w:hint="eastAsia" w:ascii="宋体" w:hAnsi="宋体" w:eastAsia="宋体" w:cs="宋体"/>
                <w:sz w:val="21"/>
                <w:szCs w:val="21"/>
              </w:rPr>
              <w:t>；无检测</w:t>
            </w:r>
            <w:r>
              <w:rPr>
                <w:rFonts w:hint="eastAsia" w:ascii="宋体" w:hAnsi="宋体" w:eastAsia="宋体" w:cs="宋体"/>
                <w:color w:val="000000"/>
                <w:sz w:val="21"/>
                <w:szCs w:val="21"/>
                <w:lang w:eastAsia="zh-CN"/>
              </w:rPr>
              <w:t>□</w:t>
            </w:r>
          </w:p>
        </w:tc>
        <w:tc>
          <w:tcPr>
            <w:tcW w:w="1467" w:type="pct"/>
            <w:gridSpan w:val="4"/>
            <w:tcBorders>
              <w:right w:val="nil"/>
            </w:tcBorders>
            <w:vAlign w:val="center"/>
          </w:tcPr>
          <w:p w14:paraId="75D5B5D8">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手动</w:t>
            </w:r>
            <w:r>
              <w:rPr>
                <w:rFonts w:hint="eastAsia" w:ascii="宋体" w:hAnsi="宋体" w:eastAsia="宋体" w:cs="宋体"/>
                <w:color w:val="000000"/>
                <w:sz w:val="21"/>
                <w:szCs w:val="21"/>
                <w:lang w:eastAsia="zh-CN"/>
              </w:rPr>
              <w:sym w:font="Wingdings 2" w:char="00A3"/>
            </w:r>
            <w:r>
              <w:rPr>
                <w:rFonts w:hint="eastAsia" w:ascii="宋体" w:hAnsi="宋体" w:eastAsia="宋体" w:cs="宋体"/>
                <w:sz w:val="21"/>
                <w:szCs w:val="21"/>
              </w:rPr>
              <w:t>；自动</w:t>
            </w:r>
            <w:r>
              <w:rPr>
                <w:rFonts w:hint="eastAsia" w:ascii="宋体" w:hAnsi="宋体" w:eastAsia="宋体" w:cs="宋体"/>
                <w:color w:val="000000"/>
                <w:sz w:val="21"/>
                <w:szCs w:val="21"/>
                <w:lang w:eastAsia="zh-CN"/>
              </w:rPr>
              <w:t>□</w:t>
            </w:r>
            <w:r>
              <w:rPr>
                <w:rFonts w:hint="eastAsia" w:ascii="宋体" w:hAnsi="宋体" w:eastAsia="宋体" w:cs="宋体"/>
                <w:sz w:val="21"/>
                <w:szCs w:val="21"/>
              </w:rPr>
              <w:t xml:space="preserve">；无检测 </w:t>
            </w:r>
            <w:r>
              <w:rPr>
                <w:rFonts w:hint="eastAsia" w:ascii="宋体" w:hAnsi="宋体" w:eastAsia="宋体" w:cs="宋体"/>
                <w:color w:val="000000"/>
                <w:sz w:val="21"/>
                <w:szCs w:val="21"/>
              </w:rPr>
              <w:sym w:font="Wingdings 2" w:char="00A3"/>
            </w:r>
          </w:p>
        </w:tc>
      </w:tr>
      <w:tr w14:paraId="44BF1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05" w:type="pct"/>
            <w:vMerge w:val="continue"/>
            <w:tcBorders>
              <w:left w:val="nil"/>
            </w:tcBorders>
            <w:vAlign w:val="center"/>
          </w:tcPr>
          <w:p w14:paraId="4F149642">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rPr>
            </w:pPr>
          </w:p>
        </w:tc>
        <w:tc>
          <w:tcPr>
            <w:tcW w:w="921" w:type="pct"/>
            <w:vMerge w:val="continue"/>
            <w:tcBorders>
              <w:left w:val="single" w:color="auto" w:sz="4" w:space="0"/>
            </w:tcBorders>
            <w:vAlign w:val="center"/>
          </w:tcPr>
          <w:p w14:paraId="5ADCE074">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rPr>
            </w:pPr>
          </w:p>
        </w:tc>
        <w:tc>
          <w:tcPr>
            <w:tcW w:w="926" w:type="pct"/>
            <w:gridSpan w:val="2"/>
            <w:tcBorders>
              <w:right w:val="single" w:color="auto" w:sz="4" w:space="0"/>
            </w:tcBorders>
            <w:vAlign w:val="center"/>
          </w:tcPr>
          <w:p w14:paraId="5BF86CAF">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监测点位</w:t>
            </w:r>
          </w:p>
        </w:tc>
        <w:tc>
          <w:tcPr>
            <w:tcW w:w="1482" w:type="pct"/>
            <w:gridSpan w:val="7"/>
            <w:tcBorders>
              <w:right w:val="single" w:color="auto" w:sz="4" w:space="0"/>
            </w:tcBorders>
            <w:vAlign w:val="center"/>
          </w:tcPr>
          <w:p w14:paraId="2922C18D">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      ）</w:t>
            </w:r>
          </w:p>
        </w:tc>
        <w:tc>
          <w:tcPr>
            <w:tcW w:w="1467" w:type="pct"/>
            <w:gridSpan w:val="4"/>
            <w:tcBorders>
              <w:right w:val="nil"/>
            </w:tcBorders>
            <w:vAlign w:val="center"/>
          </w:tcPr>
          <w:p w14:paraId="3583761C">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（污水处理站总排口）</w:t>
            </w:r>
          </w:p>
        </w:tc>
      </w:tr>
      <w:tr w14:paraId="0794E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05" w:type="pct"/>
            <w:vMerge w:val="continue"/>
            <w:tcBorders>
              <w:left w:val="nil"/>
            </w:tcBorders>
            <w:vAlign w:val="center"/>
          </w:tcPr>
          <w:p w14:paraId="23A44A96">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rPr>
            </w:pPr>
          </w:p>
        </w:tc>
        <w:tc>
          <w:tcPr>
            <w:tcW w:w="921" w:type="pct"/>
            <w:vMerge w:val="continue"/>
            <w:tcBorders>
              <w:left w:val="single" w:color="auto" w:sz="4" w:space="0"/>
            </w:tcBorders>
            <w:vAlign w:val="center"/>
          </w:tcPr>
          <w:p w14:paraId="26B3772F">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rPr>
            </w:pPr>
          </w:p>
        </w:tc>
        <w:tc>
          <w:tcPr>
            <w:tcW w:w="926" w:type="pct"/>
            <w:gridSpan w:val="2"/>
            <w:tcBorders>
              <w:right w:val="single" w:color="auto" w:sz="4" w:space="0"/>
            </w:tcBorders>
            <w:vAlign w:val="center"/>
          </w:tcPr>
          <w:p w14:paraId="54C412B7">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监测因子</w:t>
            </w:r>
          </w:p>
        </w:tc>
        <w:tc>
          <w:tcPr>
            <w:tcW w:w="1482" w:type="pct"/>
            <w:gridSpan w:val="7"/>
            <w:tcBorders>
              <w:right w:val="single" w:color="auto" w:sz="4" w:space="0"/>
            </w:tcBorders>
            <w:vAlign w:val="center"/>
          </w:tcPr>
          <w:p w14:paraId="550CE943">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      ）</w:t>
            </w:r>
          </w:p>
        </w:tc>
        <w:tc>
          <w:tcPr>
            <w:tcW w:w="1467" w:type="pct"/>
            <w:gridSpan w:val="4"/>
            <w:tcBorders>
              <w:right w:val="nil"/>
            </w:tcBorders>
            <w:vAlign w:val="center"/>
          </w:tcPr>
          <w:p w14:paraId="5A329FD3">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（流量、水温、pH、COD、BOD、氨氮、总氮、总磷、汞、总镉、六价铬、总砷、总铅、阴离子表面活性剂、粪大肠菌群）</w:t>
            </w:r>
          </w:p>
        </w:tc>
      </w:tr>
      <w:tr w14:paraId="629BF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05" w:type="pct"/>
            <w:vMerge w:val="continue"/>
            <w:tcBorders>
              <w:left w:val="nil"/>
            </w:tcBorders>
            <w:vAlign w:val="center"/>
          </w:tcPr>
          <w:p w14:paraId="15EE452F">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rPr>
            </w:pPr>
          </w:p>
        </w:tc>
        <w:tc>
          <w:tcPr>
            <w:tcW w:w="921" w:type="pct"/>
            <w:tcBorders>
              <w:left w:val="single" w:color="auto" w:sz="4" w:space="0"/>
            </w:tcBorders>
            <w:vAlign w:val="center"/>
          </w:tcPr>
          <w:p w14:paraId="25A61B85">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污染物排放清单</w:t>
            </w:r>
          </w:p>
        </w:tc>
        <w:tc>
          <w:tcPr>
            <w:tcW w:w="3874" w:type="pct"/>
            <w:gridSpan w:val="13"/>
            <w:tcBorders>
              <w:right w:val="nil"/>
            </w:tcBorders>
            <w:vAlign w:val="center"/>
          </w:tcPr>
          <w:p w14:paraId="0ECB5D16">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sz w:val="21"/>
                <w:szCs w:val="21"/>
                <w:lang w:eastAsia="zh-CN"/>
              </w:rPr>
            </w:pPr>
            <w:r>
              <w:rPr>
                <w:rFonts w:hint="eastAsia" w:ascii="宋体" w:hAnsi="宋体" w:eastAsia="宋体" w:cs="宋体"/>
                <w:color w:val="000000"/>
                <w:sz w:val="21"/>
                <w:szCs w:val="21"/>
                <w:lang w:eastAsia="zh-CN"/>
              </w:rPr>
              <w:t>□</w:t>
            </w:r>
          </w:p>
        </w:tc>
      </w:tr>
      <w:tr w14:paraId="0594A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6" w:type="pct"/>
            <w:gridSpan w:val="2"/>
            <w:tcBorders>
              <w:left w:val="nil"/>
            </w:tcBorders>
            <w:vAlign w:val="center"/>
          </w:tcPr>
          <w:p w14:paraId="00CE3143">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评价结论</w:t>
            </w:r>
          </w:p>
        </w:tc>
        <w:tc>
          <w:tcPr>
            <w:tcW w:w="3874" w:type="pct"/>
            <w:gridSpan w:val="13"/>
            <w:tcBorders>
              <w:right w:val="nil"/>
            </w:tcBorders>
            <w:vAlign w:val="center"/>
          </w:tcPr>
          <w:p w14:paraId="0C430145">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sz w:val="21"/>
                <w:szCs w:val="21"/>
              </w:rPr>
            </w:pPr>
            <w:r>
              <w:rPr>
                <w:rFonts w:hint="eastAsia" w:ascii="宋体" w:hAnsi="宋体" w:eastAsia="宋体" w:cs="宋体"/>
                <w:sz w:val="21"/>
                <w:szCs w:val="21"/>
              </w:rPr>
              <w:t>可以接受</w:t>
            </w:r>
            <w:r>
              <w:rPr>
                <w:rFonts w:hint="eastAsia" w:ascii="宋体" w:hAnsi="宋体" w:eastAsia="宋体" w:cs="宋体"/>
                <w:color w:val="000000"/>
                <w:sz w:val="21"/>
                <w:szCs w:val="21"/>
              </w:rPr>
              <w:t>☑</w:t>
            </w:r>
            <w:r>
              <w:rPr>
                <w:rFonts w:hint="eastAsia" w:ascii="宋体" w:hAnsi="宋体" w:eastAsia="宋体" w:cs="宋体"/>
                <w:sz w:val="21"/>
                <w:szCs w:val="21"/>
              </w:rPr>
              <w:t xml:space="preserve">；不可以接受 </w:t>
            </w:r>
            <w:r>
              <w:rPr>
                <w:rFonts w:hint="eastAsia" w:ascii="宋体" w:hAnsi="宋体" w:eastAsia="宋体" w:cs="宋体"/>
                <w:color w:val="000000"/>
                <w:sz w:val="21"/>
                <w:szCs w:val="21"/>
              </w:rPr>
              <w:sym w:font="Wingdings 2" w:char="00A3"/>
            </w:r>
            <w:r>
              <w:rPr>
                <w:rFonts w:hint="eastAsia" w:ascii="宋体" w:hAnsi="宋体" w:eastAsia="宋体" w:cs="宋体"/>
                <w:sz w:val="21"/>
                <w:szCs w:val="21"/>
              </w:rPr>
              <w:t>；</w:t>
            </w:r>
          </w:p>
        </w:tc>
      </w:tr>
      <w:tr w14:paraId="4CC57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000" w:type="pct"/>
            <w:gridSpan w:val="15"/>
            <w:tcBorders>
              <w:left w:val="nil"/>
              <w:bottom w:val="single" w:color="auto" w:sz="12" w:space="0"/>
              <w:right w:val="nil"/>
            </w:tcBorders>
            <w:vAlign w:val="center"/>
          </w:tcPr>
          <w:p w14:paraId="364D447B">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sz w:val="21"/>
                <w:szCs w:val="21"/>
              </w:rPr>
            </w:pPr>
            <w:r>
              <w:rPr>
                <w:rFonts w:hint="eastAsia" w:ascii="宋体" w:hAnsi="宋体" w:eastAsia="宋体" w:cs="宋体"/>
                <w:sz w:val="21"/>
                <w:szCs w:val="21"/>
              </w:rPr>
              <w:t>注：“</w:t>
            </w:r>
            <w:r>
              <w:rPr>
                <w:rFonts w:hint="eastAsia" w:ascii="宋体" w:hAnsi="宋体" w:eastAsia="宋体" w:cs="宋体"/>
                <w:color w:val="000000"/>
                <w:sz w:val="21"/>
                <w:szCs w:val="21"/>
              </w:rPr>
              <w:sym w:font="Wingdings 2" w:char="00A3"/>
            </w:r>
            <w:r>
              <w:rPr>
                <w:rFonts w:hint="eastAsia" w:ascii="宋体" w:hAnsi="宋体" w:eastAsia="宋体" w:cs="宋体"/>
                <w:sz w:val="21"/>
                <w:szCs w:val="21"/>
              </w:rPr>
              <w:t>”为勾选项，可√；“（  ）”为内容填写项：“备注”为其他补充内容。</w:t>
            </w:r>
          </w:p>
        </w:tc>
      </w:tr>
      <w:bookmarkEnd w:id="406"/>
      <w:bookmarkEnd w:id="407"/>
    </w:tbl>
    <w:p w14:paraId="2353788E">
      <w:pPr>
        <w:pStyle w:val="5"/>
        <w:bidi w:val="0"/>
      </w:pPr>
      <w:r>
        <w:rPr>
          <w:rFonts w:hint="eastAsia"/>
          <w:lang w:val="en-US" w:eastAsia="zh-CN"/>
        </w:rPr>
        <w:t>7</w:t>
      </w:r>
      <w:r>
        <w:t>.2.3地下水环境影响评价</w:t>
      </w:r>
    </w:p>
    <w:p w14:paraId="4861FDA0">
      <w:pPr>
        <w:pStyle w:val="6"/>
        <w:bidi w:val="0"/>
      </w:pPr>
      <w:r>
        <w:rPr>
          <w:rFonts w:hint="eastAsia"/>
          <w:lang w:val="en-US" w:eastAsia="zh-CN"/>
        </w:rPr>
        <w:t>7</w:t>
      </w:r>
      <w:r>
        <w:t>.2.3.1水文地质条件</w:t>
      </w:r>
    </w:p>
    <w:p w14:paraId="5E4A0403">
      <w:pPr>
        <w:widowControl/>
        <w:autoSpaceDE w:val="0"/>
        <w:autoSpaceDN w:val="0"/>
        <w:adjustRightInd w:val="0"/>
        <w:spacing w:line="360" w:lineRule="auto"/>
        <w:ind w:firstLine="480"/>
        <w:jc w:val="left"/>
        <w:rPr>
          <w:rFonts w:hint="default" w:ascii="Times New Roman" w:hAnsi="Times New Roman" w:cs="Times New Roman"/>
          <w:color w:val="auto"/>
        </w:rPr>
      </w:pPr>
      <w:r>
        <w:rPr>
          <w:rFonts w:hint="eastAsia" w:ascii="Times New Roman" w:hAnsi="Times New Roman" w:cs="Times New Roman"/>
          <w:color w:val="auto"/>
          <w:kern w:val="0"/>
          <w:sz w:val="24"/>
          <w:lang w:eastAsia="zh-CN" w:bidi="ar"/>
        </w:rPr>
        <w:t>项目所在</w:t>
      </w:r>
      <w:r>
        <w:rPr>
          <w:rFonts w:hint="default" w:ascii="Times New Roman" w:hAnsi="Times New Roman" w:cs="Times New Roman"/>
          <w:color w:val="auto"/>
          <w:kern w:val="0"/>
          <w:sz w:val="24"/>
          <w:lang w:bidi="ar"/>
        </w:rPr>
        <w:t>区域上属于辽河流域浑太子水系，</w:t>
      </w:r>
      <w:r>
        <w:rPr>
          <w:rFonts w:hint="eastAsia" w:ascii="Times New Roman" w:hAnsi="Times New Roman" w:cs="Times New Roman"/>
          <w:color w:val="auto"/>
          <w:kern w:val="0"/>
          <w:sz w:val="24"/>
          <w:lang w:eastAsia="zh-CN" w:bidi="ar"/>
        </w:rPr>
        <w:t>项目南</w:t>
      </w:r>
      <w:r>
        <w:rPr>
          <w:rFonts w:hint="default" w:ascii="Times New Roman" w:hAnsi="Times New Roman" w:cs="Times New Roman"/>
          <w:color w:val="auto"/>
          <w:kern w:val="0"/>
          <w:sz w:val="24"/>
          <w:lang w:bidi="ar"/>
        </w:rPr>
        <w:t>侧河流为</w:t>
      </w:r>
      <w:bookmarkStart w:id="408" w:name="OLE_LINK134"/>
      <w:bookmarkStart w:id="409" w:name="OLE_LINK135"/>
      <w:r>
        <w:rPr>
          <w:rFonts w:hint="default" w:ascii="Times New Roman" w:hAnsi="Times New Roman" w:cs="Times New Roman"/>
          <w:color w:val="auto"/>
          <w:kern w:val="0"/>
          <w:sz w:val="24"/>
          <w:lang w:bidi="ar"/>
        </w:rPr>
        <w:t>太子河</w:t>
      </w:r>
      <w:bookmarkEnd w:id="408"/>
      <w:bookmarkEnd w:id="409"/>
      <w:r>
        <w:rPr>
          <w:rFonts w:hint="default" w:ascii="Times New Roman" w:hAnsi="Times New Roman" w:cs="Times New Roman"/>
          <w:color w:val="auto"/>
          <w:kern w:val="0"/>
          <w:sz w:val="24"/>
          <w:lang w:bidi="ar"/>
        </w:rPr>
        <w:t>，</w:t>
      </w:r>
      <w:r>
        <w:rPr>
          <w:rFonts w:hint="eastAsia" w:ascii="Times New Roman" w:hAnsi="Times New Roman" w:cs="Times New Roman"/>
          <w:color w:val="auto"/>
          <w:kern w:val="0"/>
          <w:sz w:val="24"/>
          <w:lang w:eastAsia="zh-CN" w:bidi="ar"/>
        </w:rPr>
        <w:t>厂区</w:t>
      </w:r>
      <w:r>
        <w:rPr>
          <w:rFonts w:hint="default" w:ascii="Times New Roman" w:hAnsi="Times New Roman" w:cs="Times New Roman"/>
          <w:color w:val="auto"/>
          <w:kern w:val="0"/>
          <w:sz w:val="24"/>
          <w:lang w:bidi="ar"/>
        </w:rPr>
        <w:t>距离太子河约</w:t>
      </w:r>
      <w:r>
        <w:rPr>
          <w:rFonts w:hint="eastAsia" w:ascii="Times New Roman" w:hAnsi="Times New Roman" w:cs="Times New Roman"/>
          <w:color w:val="auto"/>
          <w:kern w:val="0"/>
          <w:sz w:val="24"/>
          <w:lang w:val="en-US" w:eastAsia="zh-CN" w:bidi="ar"/>
        </w:rPr>
        <w:t>3.6</w:t>
      </w:r>
      <w:r>
        <w:rPr>
          <w:rFonts w:hint="default" w:ascii="Times New Roman" w:hAnsi="Times New Roman" w:cs="Times New Roman"/>
          <w:color w:val="auto"/>
          <w:kern w:val="0"/>
          <w:sz w:val="24"/>
          <w:lang w:bidi="ar"/>
        </w:rPr>
        <w:t>km，</w:t>
      </w:r>
      <w:r>
        <w:rPr>
          <w:rFonts w:hint="eastAsia" w:ascii="Times New Roman" w:hAnsi="Times New Roman" w:cs="Times New Roman"/>
          <w:color w:val="auto"/>
          <w:kern w:val="0"/>
          <w:sz w:val="24"/>
          <w:lang w:eastAsia="zh-CN" w:bidi="ar"/>
        </w:rPr>
        <w:t>项目所在区域</w:t>
      </w:r>
      <w:r>
        <w:rPr>
          <w:rFonts w:hint="default" w:ascii="Times New Roman" w:hAnsi="Times New Roman" w:cs="Times New Roman"/>
          <w:color w:val="auto"/>
          <w:kern w:val="0"/>
          <w:sz w:val="24"/>
          <w:lang w:bidi="ar"/>
        </w:rPr>
        <w:t>水系图见图2.1，</w:t>
      </w:r>
      <w:r>
        <w:rPr>
          <w:rFonts w:hint="eastAsia" w:ascii="Times New Roman" w:hAnsi="Times New Roman" w:cs="Times New Roman"/>
          <w:color w:val="auto"/>
          <w:kern w:val="0"/>
          <w:sz w:val="24"/>
          <w:lang w:eastAsia="zh-CN" w:bidi="ar"/>
        </w:rPr>
        <w:t>厂区</w:t>
      </w:r>
      <w:r>
        <w:rPr>
          <w:rFonts w:hint="default" w:ascii="Times New Roman" w:hAnsi="Times New Roman" w:cs="Times New Roman"/>
          <w:color w:val="auto"/>
          <w:kern w:val="0"/>
          <w:sz w:val="24"/>
          <w:lang w:bidi="ar"/>
        </w:rPr>
        <w:t>附近无地表水系。</w:t>
      </w:r>
    </w:p>
    <w:p w14:paraId="2AEC5A64">
      <w:pPr>
        <w:widowControl/>
        <w:autoSpaceDE w:val="0"/>
        <w:autoSpaceDN w:val="0"/>
        <w:adjustRightInd w:val="0"/>
        <w:spacing w:line="360" w:lineRule="auto"/>
        <w:ind w:firstLine="480"/>
        <w:jc w:val="left"/>
        <w:rPr>
          <w:rFonts w:hint="default" w:ascii="Times New Roman" w:hAnsi="Times New Roman" w:cs="Times New Roman"/>
          <w:color w:val="auto"/>
          <w:kern w:val="0"/>
          <w:sz w:val="24"/>
          <w:lang w:bidi="ar"/>
        </w:rPr>
      </w:pPr>
      <w:r>
        <w:rPr>
          <w:rFonts w:hint="default" w:ascii="Times New Roman" w:hAnsi="Times New Roman" w:cs="Times New Roman"/>
          <w:color w:val="auto"/>
          <w:kern w:val="0"/>
          <w:sz w:val="24"/>
          <w:lang w:bidi="ar"/>
        </w:rPr>
        <w:t>太子河其上游有二源：北太子河源出新宾县平顶山镇鸿雁沟，南太子河源出本溪县东营坊乡羊湖沟草帽顶子山麓，在南甸子镇马城子村附近汇合后，西流本溪市、辽阳市，至海城县三岔河附近注入浑河，长413km，流域面积13883km</w:t>
      </w:r>
      <w:r>
        <w:rPr>
          <w:rFonts w:hint="default" w:ascii="Times New Roman" w:hAnsi="Times New Roman" w:cs="Times New Roman"/>
          <w:color w:val="auto"/>
          <w:kern w:val="0"/>
          <w:sz w:val="24"/>
          <w:vertAlign w:val="superscript"/>
          <w:lang w:bidi="ar"/>
        </w:rPr>
        <w:t>2</w:t>
      </w:r>
      <w:r>
        <w:rPr>
          <w:rFonts w:hint="default" w:ascii="Times New Roman" w:hAnsi="Times New Roman" w:cs="Times New Roman"/>
          <w:color w:val="auto"/>
          <w:kern w:val="0"/>
          <w:sz w:val="24"/>
          <w:lang w:bidi="ar"/>
        </w:rPr>
        <w:t>，年平均径流量41.0亿立方米。</w:t>
      </w:r>
    </w:p>
    <w:p w14:paraId="72364075">
      <w:pPr>
        <w:pStyle w:val="22"/>
        <w:rPr>
          <w:rFonts w:hint="eastAsia" w:ascii="Times New Roman" w:hAnsi="Times New Roman" w:eastAsia="宋体" w:cs="Times New Roman"/>
          <w:color w:val="auto"/>
          <w:sz w:val="24"/>
          <w:lang w:eastAsia="zh-CN" w:bidi="ar"/>
        </w:rPr>
      </w:pPr>
      <w:r>
        <w:rPr>
          <w:sz w:val="24"/>
        </w:rPr>
        <mc:AlternateContent>
          <mc:Choice Requires="wps">
            <w:drawing>
              <wp:anchor distT="0" distB="0" distL="114300" distR="114300" simplePos="0" relativeHeight="251668480" behindDoc="0" locked="0" layoutInCell="1" allowOverlap="1">
                <wp:simplePos x="0" y="0"/>
                <wp:positionH relativeFrom="column">
                  <wp:posOffset>1759585</wp:posOffset>
                </wp:positionH>
                <wp:positionV relativeFrom="paragraph">
                  <wp:posOffset>834390</wp:posOffset>
                </wp:positionV>
                <wp:extent cx="1182370" cy="365125"/>
                <wp:effectExtent l="500380" t="7620" r="12700" b="370205"/>
                <wp:wrapNone/>
                <wp:docPr id="25" name="矩形标注 25"/>
                <wp:cNvGraphicFramePr/>
                <a:graphic xmlns:a="http://schemas.openxmlformats.org/drawingml/2006/main">
                  <a:graphicData uri="http://schemas.microsoft.com/office/word/2010/wordprocessingShape">
                    <wps:wsp>
                      <wps:cNvSpPr/>
                      <wps:spPr>
                        <a:xfrm>
                          <a:off x="2487930" y="3029585"/>
                          <a:ext cx="1182370" cy="365125"/>
                        </a:xfrm>
                        <a:prstGeom prst="wedgeRectCallout">
                          <a:avLst>
                            <a:gd name="adj1" fmla="val -91675"/>
                            <a:gd name="adj2" fmla="val 147846"/>
                          </a:avLst>
                        </a:prstGeom>
                        <a:no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6C9A51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eastAsia="宋体"/>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项目所在位置</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1" type="#_x0000_t61" style="position:absolute;left:0pt;margin-left:138.55pt;margin-top:65.7pt;height:28.75pt;width:93.1pt;z-index:251668480;v-text-anchor:middle;mso-width-relative:page;mso-height-relative:page;" filled="f" stroked="t" coordsize="21600,21600" o:gfxdata="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" adj="-9002,42735">
                <v:fill on="f" focussize="0,0"/>
                <v:stroke weight="1.25pt" color="#000000 [3213]" joinstyle="round"/>
                <v:imagedata o:title=""/>
                <o:lock v:ext="edit" aspectratio="f"/>
                <v:textbox>
                  <w:txbxContent>
                    <w:p w14:paraId="06C9A51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eastAsia="宋体"/>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项目所在位置</w:t>
                      </w:r>
                    </w:p>
                  </w:txbxContent>
                </v:textbox>
              </v:shape>
            </w:pict>
          </mc:Fallback>
        </mc:AlternateContent>
      </w:r>
      <w:r>
        <w:rPr>
          <w:sz w:val="24"/>
        </w:rPr>
        <mc:AlternateContent>
          <mc:Choice Requires="wps">
            <w:drawing>
              <wp:anchor distT="0" distB="0" distL="114300" distR="114300" simplePos="0" relativeHeight="251667456" behindDoc="0" locked="0" layoutInCell="1" allowOverlap="1">
                <wp:simplePos x="0" y="0"/>
                <wp:positionH relativeFrom="column">
                  <wp:posOffset>1195705</wp:posOffset>
                </wp:positionH>
                <wp:positionV relativeFrom="paragraph">
                  <wp:posOffset>1492885</wp:posOffset>
                </wp:positionV>
                <wp:extent cx="75565" cy="75565"/>
                <wp:effectExtent l="12700" t="12700" r="26035" b="26035"/>
                <wp:wrapNone/>
                <wp:docPr id="24" name="等腰三角形 24"/>
                <wp:cNvGraphicFramePr/>
                <a:graphic xmlns:a="http://schemas.openxmlformats.org/drawingml/2006/main">
                  <a:graphicData uri="http://schemas.microsoft.com/office/word/2010/wordprocessingShape">
                    <wps:wsp>
                      <wps:cNvSpPr/>
                      <wps:spPr>
                        <a:xfrm>
                          <a:off x="2336800" y="3592830"/>
                          <a:ext cx="75565" cy="75565"/>
                        </a:xfrm>
                        <a:prstGeom prst="triangl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5" type="#_x0000_t5" style="position:absolute;left:0pt;margin-left:94.15pt;margin-top:117.55pt;height:5.95pt;width:5.95pt;z-index:251667456;v-text-anchor:middle;mso-width-relative:page;mso-height-relative:page;" fillcolor="#4F81BD [3204]" filled="t" stroked="t" coordsize="21600,21600" o:gfxdata="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" adj="10800">
                <v:fill on="t" focussize="0,0"/>
                <v:stroke weight="2pt" color="#385D8A [3204]" joinstyle="round"/>
                <v:imagedata o:title=""/>
                <o:lock v:ext="edit" aspectratio="f"/>
              </v:shape>
            </w:pict>
          </mc:Fallback>
        </mc:AlternateContent>
      </w:r>
      <w:r>
        <w:rPr>
          <w:sz w:val="24"/>
        </w:rPr>
        <mc:AlternateContent>
          <mc:Choice Requires="wps">
            <w:drawing>
              <wp:anchor distT="0" distB="0" distL="114300" distR="114300" simplePos="0" relativeHeight="251666432" behindDoc="0" locked="0" layoutInCell="1" allowOverlap="1">
                <wp:simplePos x="0" y="0"/>
                <wp:positionH relativeFrom="column">
                  <wp:posOffset>3445510</wp:posOffset>
                </wp:positionH>
                <wp:positionV relativeFrom="paragraph">
                  <wp:posOffset>2009140</wp:posOffset>
                </wp:positionV>
                <wp:extent cx="396875" cy="150495"/>
                <wp:effectExtent l="12700" t="0" r="28575" b="27940"/>
                <wp:wrapNone/>
                <wp:docPr id="23" name="矩形 23"/>
                <wp:cNvGraphicFramePr/>
                <a:graphic xmlns:a="http://schemas.openxmlformats.org/drawingml/2006/main">
                  <a:graphicData uri="http://schemas.microsoft.com/office/word/2010/wordprocessingShape">
                    <wps:wsp>
                      <wps:cNvSpPr/>
                      <wps:spPr>
                        <a:xfrm>
                          <a:off x="4586605" y="4109085"/>
                          <a:ext cx="396875" cy="15049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71.3pt;margin-top:158.2pt;height:11.85pt;width:31.25pt;z-index:251666432;v-text-anchor:middle;mso-width-relative:page;mso-height-relative:page;" fillcolor="#FFFFFF [3212]" filled="t" stroked="t" coordsize="21600,21600" o:gfxdata="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">
                <v:fill on="t" focussize="0,0"/>
                <v:stroke weight="2pt" color="#FFFFFF [3212]" joinstyle="round"/>
                <v:imagedata o:title=""/>
                <o:lock v:ext="edit" aspectratio="f"/>
              </v:rect>
            </w:pict>
          </mc:Fallback>
        </mc:AlternateContent>
      </w:r>
      <w:r>
        <w:rPr>
          <w:rFonts w:hint="eastAsia" w:ascii="Times New Roman" w:hAnsi="Times New Roman" w:eastAsia="宋体" w:cs="Times New Roman"/>
          <w:color w:val="auto"/>
          <w:sz w:val="24"/>
          <w:lang w:eastAsia="zh-CN" w:bidi="ar"/>
        </w:rPr>
        <w:drawing>
          <wp:inline distT="0" distB="0" distL="114300" distR="114300">
            <wp:extent cx="5271770" cy="3947160"/>
            <wp:effectExtent l="0" t="0" r="5080" b="15240"/>
            <wp:docPr id="22" name="图片 22" descr="360截图20200409134455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360截图20200409134455063"/>
                    <pic:cNvPicPr>
                      <a:picLocks noChangeAspect="1"/>
                    </pic:cNvPicPr>
                  </pic:nvPicPr>
                  <pic:blipFill>
                    <a:blip r:embed="rId37"/>
                    <a:stretch>
                      <a:fillRect/>
                    </a:stretch>
                  </pic:blipFill>
                  <pic:spPr>
                    <a:xfrm>
                      <a:off x="0" y="0"/>
                      <a:ext cx="5271770" cy="3947160"/>
                    </a:xfrm>
                    <a:prstGeom prst="rect">
                      <a:avLst/>
                    </a:prstGeom>
                  </pic:spPr>
                </pic:pic>
              </a:graphicData>
            </a:graphic>
          </wp:inline>
        </w:drawing>
      </w:r>
    </w:p>
    <w:p w14:paraId="12CF6E66">
      <w:pPr>
        <w:widowControl/>
        <w:autoSpaceDE w:val="0"/>
        <w:autoSpaceDN w:val="0"/>
        <w:adjustRightInd w:val="0"/>
        <w:spacing w:line="360" w:lineRule="auto"/>
        <w:jc w:val="center"/>
        <w:rPr>
          <w:rFonts w:hint="default" w:ascii="Times New Roman" w:hAnsi="Times New Roman" w:cs="Times New Roman"/>
          <w:b/>
          <w:bCs/>
          <w:color w:val="auto"/>
        </w:rPr>
      </w:pPr>
      <w:r>
        <w:rPr>
          <w:rFonts w:hint="eastAsia" w:ascii="黑体" w:hAnsi="黑体" w:eastAsia="黑体" w:cs="黑体"/>
          <w:b w:val="0"/>
          <w:bCs w:val="0"/>
          <w:color w:val="auto"/>
          <w:kern w:val="0"/>
          <w:sz w:val="21"/>
          <w:szCs w:val="21"/>
          <w:lang w:bidi="ar"/>
        </w:rPr>
        <w:t>图</w:t>
      </w:r>
      <w:r>
        <w:rPr>
          <w:rFonts w:hint="eastAsia" w:ascii="黑体" w:hAnsi="黑体" w:eastAsia="黑体" w:cs="黑体"/>
          <w:b w:val="0"/>
          <w:bCs w:val="0"/>
          <w:color w:val="auto"/>
          <w:kern w:val="0"/>
          <w:sz w:val="21"/>
          <w:szCs w:val="21"/>
          <w:lang w:val="en-US" w:eastAsia="zh-CN" w:bidi="ar"/>
        </w:rPr>
        <w:t>7-3</w:t>
      </w:r>
      <w:r>
        <w:rPr>
          <w:rFonts w:hint="eastAsia" w:ascii="黑体" w:hAnsi="黑体" w:eastAsia="黑体" w:cs="黑体"/>
          <w:b w:val="0"/>
          <w:bCs w:val="0"/>
          <w:color w:val="auto"/>
          <w:kern w:val="0"/>
          <w:sz w:val="21"/>
          <w:szCs w:val="21"/>
          <w:lang w:eastAsia="zh-CN" w:bidi="ar"/>
        </w:rPr>
        <w:t>项目所在区域</w:t>
      </w:r>
      <w:r>
        <w:rPr>
          <w:rFonts w:hint="eastAsia" w:ascii="黑体" w:hAnsi="黑体" w:eastAsia="黑体" w:cs="黑体"/>
          <w:b w:val="0"/>
          <w:bCs w:val="0"/>
          <w:color w:val="auto"/>
          <w:kern w:val="0"/>
          <w:sz w:val="21"/>
          <w:szCs w:val="21"/>
          <w:lang w:bidi="ar"/>
        </w:rPr>
        <w:t>地表水系图</w:t>
      </w:r>
    </w:p>
    <w:p w14:paraId="42C3DEED">
      <w:pPr>
        <w:widowControl/>
        <w:spacing w:line="360" w:lineRule="auto"/>
        <w:ind w:firstLine="482"/>
        <w:jc w:val="left"/>
        <w:rPr>
          <w:rFonts w:hint="default" w:ascii="Times New Roman" w:hAnsi="Times New Roman" w:cs="Times New Roman"/>
          <w:bCs/>
          <w:color w:val="auto"/>
        </w:rPr>
      </w:pPr>
      <w:r>
        <w:rPr>
          <w:rFonts w:hint="default" w:ascii="Times New Roman" w:hAnsi="Times New Roman" w:cs="Times New Roman"/>
          <w:bCs/>
          <w:color w:val="auto"/>
          <w:kern w:val="0"/>
          <w:sz w:val="24"/>
          <w:lang w:bidi="ar"/>
        </w:rPr>
        <w:t>1）、含水层分布及富水性</w:t>
      </w:r>
    </w:p>
    <w:p w14:paraId="6608A522">
      <w:pPr>
        <w:widowControl/>
        <w:spacing w:line="360" w:lineRule="auto"/>
        <w:ind w:firstLine="480"/>
        <w:jc w:val="left"/>
        <w:rPr>
          <w:rFonts w:hint="default" w:ascii="Times New Roman" w:hAnsi="Times New Roman" w:cs="Times New Roman"/>
          <w:color w:val="auto"/>
        </w:rPr>
      </w:pPr>
      <w:r>
        <w:rPr>
          <w:rFonts w:hint="eastAsia" w:ascii="Times New Roman" w:hAnsi="Times New Roman" w:cs="Times New Roman"/>
          <w:color w:val="auto"/>
          <w:kern w:val="0"/>
          <w:sz w:val="24"/>
          <w:lang w:eastAsia="zh-CN" w:bidi="ar"/>
        </w:rPr>
        <w:t>项目所在区域</w:t>
      </w:r>
      <w:r>
        <w:rPr>
          <w:rFonts w:hint="default" w:ascii="Times New Roman" w:hAnsi="Times New Roman" w:cs="Times New Roman"/>
          <w:color w:val="auto"/>
          <w:kern w:val="0"/>
          <w:sz w:val="24"/>
          <w:lang w:bidi="ar"/>
        </w:rPr>
        <w:t>含水层为古生界奥陶系下统冶里组（O</w:t>
      </w:r>
      <w:r>
        <w:rPr>
          <w:rFonts w:hint="default" w:ascii="Times New Roman" w:hAnsi="Times New Roman" w:cs="Times New Roman"/>
          <w:color w:val="auto"/>
          <w:kern w:val="0"/>
          <w:sz w:val="24"/>
          <w:vertAlign w:val="subscript"/>
          <w:lang w:bidi="ar"/>
        </w:rPr>
        <w:t>1</w:t>
      </w:r>
      <w:r>
        <w:rPr>
          <w:rFonts w:hint="default" w:ascii="Times New Roman" w:hAnsi="Times New Roman" w:cs="Times New Roman"/>
          <w:i/>
          <w:color w:val="auto"/>
          <w:kern w:val="0"/>
          <w:sz w:val="24"/>
          <w:lang w:bidi="ar"/>
        </w:rPr>
        <w:t>y</w:t>
      </w:r>
      <w:r>
        <w:rPr>
          <w:rFonts w:hint="default" w:ascii="Times New Roman" w:hAnsi="Times New Roman" w:cs="Times New Roman"/>
          <w:color w:val="auto"/>
          <w:kern w:val="0"/>
          <w:sz w:val="24"/>
          <w:lang w:bidi="ar"/>
        </w:rPr>
        <w:t>）、亮甲山组（O</w:t>
      </w:r>
      <w:r>
        <w:rPr>
          <w:rFonts w:hint="default" w:ascii="Times New Roman" w:hAnsi="Times New Roman" w:cs="Times New Roman"/>
          <w:color w:val="auto"/>
          <w:kern w:val="0"/>
          <w:sz w:val="24"/>
          <w:vertAlign w:val="subscript"/>
          <w:lang w:bidi="ar"/>
        </w:rPr>
        <w:t>1</w:t>
      </w:r>
      <w:r>
        <w:rPr>
          <w:rFonts w:hint="default" w:ascii="Times New Roman" w:hAnsi="Times New Roman" w:cs="Times New Roman"/>
          <w:i/>
          <w:color w:val="auto"/>
          <w:kern w:val="0"/>
          <w:sz w:val="24"/>
          <w:lang w:bidi="ar"/>
        </w:rPr>
        <w:t>l</w:t>
      </w:r>
      <w:r>
        <w:rPr>
          <w:rFonts w:hint="default" w:ascii="Times New Roman" w:hAnsi="Times New Roman" w:cs="Times New Roman"/>
          <w:color w:val="auto"/>
          <w:kern w:val="0"/>
          <w:sz w:val="24"/>
          <w:lang w:bidi="ar"/>
        </w:rPr>
        <w:t>）岩溶裂隙，全区分布，岩溶裂隙发育，富水性较强，富水性变化大，极不均匀，含水性差，矿区周边自然泉水流量为0.05l/s，单井涌水量一般小于100m</w:t>
      </w:r>
      <w:r>
        <w:rPr>
          <w:rFonts w:hint="default" w:ascii="Times New Roman" w:hAnsi="Times New Roman" w:cs="Times New Roman"/>
          <w:color w:val="auto"/>
          <w:kern w:val="0"/>
          <w:sz w:val="24"/>
          <w:vertAlign w:val="superscript"/>
          <w:lang w:bidi="ar"/>
        </w:rPr>
        <w:t>3</w:t>
      </w:r>
      <w:r>
        <w:rPr>
          <w:rFonts w:hint="default" w:ascii="Times New Roman" w:hAnsi="Times New Roman" w:cs="Times New Roman"/>
          <w:color w:val="auto"/>
          <w:kern w:val="0"/>
          <w:sz w:val="24"/>
          <w:lang w:bidi="ar"/>
        </w:rPr>
        <w:t>/d。</w:t>
      </w:r>
    </w:p>
    <w:p w14:paraId="78A1B10D">
      <w:pPr>
        <w:widowControl/>
        <w:spacing w:line="360" w:lineRule="auto"/>
        <w:ind w:firstLine="482"/>
        <w:jc w:val="left"/>
        <w:rPr>
          <w:rFonts w:hint="default" w:ascii="Times New Roman" w:hAnsi="Times New Roman" w:cs="Times New Roman"/>
          <w:bCs/>
          <w:color w:val="auto"/>
        </w:rPr>
      </w:pPr>
      <w:r>
        <w:rPr>
          <w:rFonts w:hint="default" w:ascii="Times New Roman" w:hAnsi="Times New Roman" w:cs="Times New Roman"/>
          <w:bCs/>
          <w:color w:val="auto"/>
          <w:kern w:val="0"/>
          <w:sz w:val="24"/>
          <w:lang w:bidi="ar"/>
        </w:rPr>
        <w:t>2）、地下水类型与动态特征</w:t>
      </w:r>
    </w:p>
    <w:p w14:paraId="1D8AA59D">
      <w:pPr>
        <w:widowControl/>
        <w:spacing w:line="360" w:lineRule="auto"/>
        <w:ind w:firstLine="480"/>
        <w:jc w:val="left"/>
        <w:rPr>
          <w:rFonts w:hint="default" w:ascii="Times New Roman" w:hAnsi="Times New Roman" w:cs="Times New Roman"/>
          <w:color w:val="auto"/>
        </w:rPr>
      </w:pPr>
      <w:r>
        <w:rPr>
          <w:rFonts w:hint="eastAsia" w:ascii="Times New Roman" w:hAnsi="Times New Roman" w:cs="Times New Roman"/>
          <w:color w:val="auto"/>
          <w:kern w:val="0"/>
          <w:sz w:val="24"/>
          <w:lang w:eastAsia="zh-CN" w:bidi="ar"/>
        </w:rPr>
        <w:t>项目所在区域</w:t>
      </w:r>
      <w:r>
        <w:rPr>
          <w:rFonts w:hint="default" w:ascii="Times New Roman" w:hAnsi="Times New Roman" w:cs="Times New Roman"/>
          <w:color w:val="auto"/>
          <w:kern w:val="0"/>
          <w:sz w:val="24"/>
          <w:lang w:bidi="ar"/>
        </w:rPr>
        <w:t>地下水类型为裸露型岩溶裂隙水，地下水化学类型为NaHCO3型水，地下水动态变化主要随气象变化周期而变化，年内水位变化多具一峰一谷特征，7～9月份为高水位期，1～4月份为低水位期</w:t>
      </w:r>
    </w:p>
    <w:p w14:paraId="610052ED">
      <w:pPr>
        <w:widowControl/>
        <w:spacing w:line="360" w:lineRule="auto"/>
        <w:ind w:firstLine="482"/>
        <w:jc w:val="left"/>
        <w:rPr>
          <w:rFonts w:hint="default" w:ascii="Times New Roman" w:hAnsi="Times New Roman" w:cs="Times New Roman"/>
          <w:bCs/>
          <w:color w:val="auto"/>
        </w:rPr>
      </w:pPr>
      <w:r>
        <w:rPr>
          <w:rFonts w:hint="default" w:ascii="Times New Roman" w:hAnsi="Times New Roman" w:cs="Times New Roman"/>
          <w:bCs/>
          <w:color w:val="auto"/>
          <w:kern w:val="0"/>
          <w:sz w:val="24"/>
          <w:lang w:bidi="ar"/>
        </w:rPr>
        <w:t>3）、地下水开采与补给、径流、排泄条件</w:t>
      </w:r>
    </w:p>
    <w:p w14:paraId="681A2793">
      <w:pPr>
        <w:widowControl/>
        <w:spacing w:line="360" w:lineRule="auto"/>
        <w:ind w:firstLine="480"/>
        <w:jc w:val="left"/>
        <w:rPr>
          <w:rFonts w:hint="default" w:ascii="Times New Roman" w:hAnsi="Times New Roman" w:cs="Times New Roman"/>
          <w:color w:val="auto"/>
        </w:rPr>
      </w:pPr>
      <w:r>
        <w:rPr>
          <w:rFonts w:hint="eastAsia" w:ascii="Times New Roman" w:hAnsi="Times New Roman" w:cs="Times New Roman"/>
          <w:color w:val="auto"/>
          <w:kern w:val="0"/>
          <w:sz w:val="24"/>
          <w:lang w:eastAsia="zh-CN" w:bidi="ar"/>
        </w:rPr>
        <w:t>项目所在区域</w:t>
      </w:r>
      <w:r>
        <w:rPr>
          <w:rFonts w:hint="default" w:ascii="Times New Roman" w:hAnsi="Times New Roman" w:cs="Times New Roman"/>
          <w:color w:val="auto"/>
          <w:kern w:val="0"/>
          <w:sz w:val="24"/>
          <w:lang w:bidi="ar"/>
        </w:rPr>
        <w:t>地下水主要接受大气降水入渗补给，排泄方式主要是蒸发、侧向排泄。</w:t>
      </w:r>
    </w:p>
    <w:p w14:paraId="3A3DB4DD">
      <w:pPr>
        <w:widowControl/>
        <w:spacing w:line="360" w:lineRule="auto"/>
        <w:ind w:firstLine="480"/>
        <w:jc w:val="left"/>
        <w:rPr>
          <w:rFonts w:hint="default" w:ascii="Times New Roman" w:hAnsi="Times New Roman" w:cs="Times New Roman"/>
          <w:color w:val="auto"/>
        </w:rPr>
      </w:pPr>
      <w:r>
        <w:rPr>
          <w:rFonts w:hint="default" w:ascii="Times New Roman" w:hAnsi="Times New Roman" w:cs="Times New Roman"/>
          <w:color w:val="auto"/>
          <w:kern w:val="0"/>
          <w:sz w:val="24"/>
          <w:lang w:bidi="ar"/>
        </w:rPr>
        <w:t>综上，</w:t>
      </w:r>
      <w:r>
        <w:rPr>
          <w:rFonts w:hint="eastAsia" w:ascii="Times New Roman" w:hAnsi="Times New Roman" w:cs="Times New Roman"/>
          <w:color w:val="auto"/>
          <w:kern w:val="0"/>
          <w:sz w:val="24"/>
          <w:lang w:eastAsia="zh-CN" w:bidi="ar"/>
        </w:rPr>
        <w:t>项目</w:t>
      </w:r>
      <w:r>
        <w:rPr>
          <w:rFonts w:hint="default" w:ascii="Times New Roman" w:hAnsi="Times New Roman" w:cs="Times New Roman"/>
          <w:color w:val="auto"/>
          <w:kern w:val="0"/>
          <w:sz w:val="24"/>
          <w:lang w:bidi="ar"/>
        </w:rPr>
        <w:t>与区域含水层联系不密切，水文地质条件复杂程度为简单。</w:t>
      </w:r>
    </w:p>
    <w:p w14:paraId="21C15E8F">
      <w:pPr>
        <w:pStyle w:val="6"/>
        <w:bidi w:val="0"/>
      </w:pPr>
      <w:r>
        <w:rPr>
          <w:rFonts w:hint="eastAsia"/>
          <w:lang w:val="en-US" w:eastAsia="zh-CN"/>
        </w:rPr>
        <w:t>7</w:t>
      </w:r>
      <w:r>
        <w:t>.2.3.</w:t>
      </w:r>
      <w:r>
        <w:rPr>
          <w:rFonts w:hint="eastAsia"/>
          <w:lang w:val="en-US" w:eastAsia="zh-CN"/>
        </w:rPr>
        <w:t>2</w:t>
      </w:r>
      <w:r>
        <w:t>地下水环境影响分析</w:t>
      </w:r>
    </w:p>
    <w:p w14:paraId="4DC9EA79">
      <w:pPr>
        <w:bidi w:val="0"/>
        <w:rPr>
          <w:rFonts w:hint="eastAsia"/>
        </w:rPr>
      </w:pPr>
      <w:r>
        <w:rPr>
          <w:rFonts w:hint="eastAsia"/>
        </w:rPr>
        <w:t>项目建设对地下水的影响主要是以下几个方面：</w:t>
      </w:r>
    </w:p>
    <w:p w14:paraId="63F2EC8E">
      <w:pPr>
        <w:numPr>
          <w:ilvl w:val="0"/>
          <w:numId w:val="9"/>
        </w:numPr>
        <w:bidi w:val="0"/>
        <w:rPr>
          <w:rFonts w:hint="eastAsia"/>
        </w:rPr>
      </w:pPr>
      <w:r>
        <w:rPr>
          <w:rFonts w:hint="eastAsia"/>
        </w:rPr>
        <w:t>项目建设对地下水补给和地下水水量平衡的影响</w:t>
      </w:r>
    </w:p>
    <w:p w14:paraId="624B78CD">
      <w:pPr>
        <w:bidi w:val="0"/>
        <w:rPr>
          <w:rFonts w:hint="eastAsia"/>
        </w:rPr>
      </w:pPr>
      <w:r>
        <w:rPr>
          <w:rFonts w:hint="eastAsia"/>
        </w:rPr>
        <w:t>项目所在地区域地表水的渗透是地下水补给的重要来源之一，而地表水的补给与地表的渗透性和降雨量等有关。项目建设最直接的影响是场址内地表渗透性的改变。项目建设开发后，场址内的大部分地表会被改造成为不透的硬化地表，使补给地下水的途径受到一定的影响。</w:t>
      </w:r>
    </w:p>
    <w:p w14:paraId="15A674CC">
      <w:pPr>
        <w:bidi w:val="0"/>
        <w:rPr>
          <w:rFonts w:hint="eastAsia"/>
          <w:lang w:val="en-US" w:eastAsia="zh-CN"/>
        </w:rPr>
      </w:pPr>
      <w:r>
        <w:rPr>
          <w:rFonts w:hint="eastAsia"/>
          <w:lang w:eastAsia="zh-CN"/>
        </w:rPr>
        <w:t>项目厂房占地面积</w:t>
      </w:r>
      <w:r>
        <w:rPr>
          <w:rFonts w:hint="eastAsia"/>
          <w:lang w:val="en-US" w:eastAsia="zh-CN"/>
        </w:rPr>
        <w:t>4700m2，占地范围内土地会被硬化，即至少有4700m2的面积的土地因为项目建设而使得透水性能下降，即透水和可蓄水的透性地表面积将减少4700m2。由于这些硬化的地表不能再正常地向其所覆盖的地下补给水量，导致区域地下水补给能力下降。根据推荐的硬化地表的径流系数和其它地表的径流系数，两个系数分别为0.8和0.18。由此可以估算项目建设减少的地下水补给量或者是项目场址内水源涵养能力损失量，即：</w:t>
      </w:r>
    </w:p>
    <w:p w14:paraId="3615DC42">
      <w:pPr>
        <w:bidi w:val="0"/>
        <w:rPr>
          <w:rFonts w:hint="eastAsia"/>
          <w:lang w:val="en-US" w:eastAsia="zh-CN"/>
        </w:rPr>
      </w:pPr>
      <w:r>
        <w:rPr>
          <w:rFonts w:hint="eastAsia"/>
          <w:lang w:val="en-US" w:eastAsia="zh-CN"/>
        </w:rPr>
        <w:t>水源涵养能力损失量＝减少的透水面积×多年平均降雨量×产流率变化</w:t>
      </w:r>
    </w:p>
    <w:p w14:paraId="585388EC">
      <w:pPr>
        <w:bidi w:val="0"/>
        <w:rPr>
          <w:rFonts w:hint="eastAsia"/>
          <w:lang w:val="en-US" w:eastAsia="zh-CN"/>
        </w:rPr>
      </w:pPr>
      <w:r>
        <w:rPr>
          <w:rFonts w:hint="eastAsia"/>
          <w:lang w:val="en-US" w:eastAsia="zh-CN"/>
        </w:rPr>
        <w:t>＝4700m</w:t>
      </w:r>
      <w:r>
        <w:rPr>
          <w:rFonts w:hint="eastAsia"/>
          <w:vertAlign w:val="superscript"/>
          <w:lang w:val="en-US" w:eastAsia="zh-CN"/>
        </w:rPr>
        <w:t>2</w:t>
      </w:r>
      <w:r>
        <w:rPr>
          <w:rFonts w:hint="eastAsia"/>
          <w:lang w:val="en-US" w:eastAsia="zh-CN"/>
        </w:rPr>
        <w:t>×500mm×(0.8-0.18)＝1457m</w:t>
      </w:r>
      <w:r>
        <w:rPr>
          <w:rFonts w:hint="eastAsia"/>
          <w:vertAlign w:val="superscript"/>
          <w:lang w:val="en-US" w:eastAsia="zh-CN"/>
        </w:rPr>
        <w:t>3</w:t>
      </w:r>
      <w:r>
        <w:rPr>
          <w:rFonts w:hint="eastAsia"/>
          <w:lang w:val="en-US" w:eastAsia="zh-CN"/>
        </w:rPr>
        <w:t>/a。</w:t>
      </w:r>
    </w:p>
    <w:p w14:paraId="77B93FEF">
      <w:pPr>
        <w:bidi w:val="0"/>
        <w:rPr>
          <w:rFonts w:hint="eastAsia"/>
          <w:lang w:val="en-US" w:eastAsia="zh-CN"/>
        </w:rPr>
      </w:pPr>
      <w:r>
        <w:rPr>
          <w:rFonts w:hint="eastAsia"/>
          <w:lang w:val="en-US" w:eastAsia="zh-CN"/>
        </w:rPr>
        <w:t>计算所得的是补给的损失，而硬化地面还有一个影响的作用是对地表蒸发的减少，所以实际的水源涵养能力的变化比该计算值要小很多。根据计算结果，可以预见本项目建设对于区域的地下水资源的影响是很小的。</w:t>
      </w:r>
    </w:p>
    <w:p w14:paraId="344E688A">
      <w:pPr>
        <w:bidi w:val="0"/>
        <w:rPr>
          <w:rFonts w:hint="eastAsia"/>
          <w:lang w:val="en-US" w:eastAsia="zh-CN"/>
        </w:rPr>
      </w:pPr>
      <w:r>
        <w:rPr>
          <w:rFonts w:hint="eastAsia"/>
          <w:lang w:val="en-US" w:eastAsia="zh-CN"/>
        </w:rPr>
        <w:t>地下水在土壤中形成一个系统，在饱水带具有较好的连通性，因此，当局部的地下水补给出现变化时，周边的补给会及时补偿，小范围的地表渗透性变化不会对区域地下水水量和地下水平衡产生明显的影响。</w:t>
      </w:r>
    </w:p>
    <w:p w14:paraId="77296C61">
      <w:pPr>
        <w:bidi w:val="0"/>
        <w:rPr>
          <w:rFonts w:hint="eastAsia"/>
          <w:lang w:val="en-US" w:eastAsia="zh-CN"/>
        </w:rPr>
      </w:pPr>
      <w:r>
        <w:rPr>
          <w:rFonts w:hint="eastAsia"/>
          <w:lang w:val="en-US" w:eastAsia="zh-CN"/>
        </w:rPr>
        <w:t>（2）项目建设对地下水水质的影响</w:t>
      </w:r>
    </w:p>
    <w:p w14:paraId="47B31CE0">
      <w:pPr>
        <w:bidi w:val="0"/>
        <w:rPr>
          <w:rFonts w:hint="eastAsia"/>
        </w:rPr>
      </w:pPr>
      <w:bookmarkStart w:id="410" w:name="_Toc492637650"/>
      <w:r>
        <w:rPr>
          <w:rFonts w:hint="eastAsia"/>
        </w:rPr>
        <w:t>①污染途径分析</w:t>
      </w:r>
    </w:p>
    <w:p w14:paraId="69394D98">
      <w:pPr>
        <w:pStyle w:val="1068"/>
        <w:rPr>
          <w:rFonts w:hint="eastAsia"/>
          <w:lang w:eastAsia="zh-CN"/>
        </w:rPr>
      </w:pPr>
      <w:r>
        <w:rPr>
          <w:rFonts w:hint="eastAsia"/>
        </w:rPr>
        <w:t>项目场地地下水的补给来源有两部分：一是大气降水补给为主要来源。二是地表水的下渗。</w:t>
      </w:r>
      <w:r>
        <w:rPr>
          <w:rFonts w:hint="eastAsia"/>
          <w:lang w:eastAsia="zh-CN"/>
        </w:rPr>
        <w:t>项目废水经污水处理设施处理后达标回用，不外排。正常情况下不会对项目所在区域地下水水质产生影响。</w:t>
      </w:r>
    </w:p>
    <w:p w14:paraId="2EED5A1F">
      <w:pPr>
        <w:pStyle w:val="1068"/>
        <w:rPr>
          <w:rFonts w:hint="eastAsia"/>
          <w:lang w:eastAsia="zh-CN"/>
        </w:rPr>
      </w:pPr>
      <w:r>
        <w:rPr>
          <w:rFonts w:hint="eastAsia"/>
          <w:lang w:eastAsia="zh-CN"/>
        </w:rPr>
        <w:t>由此可见，本项目影响地下水水质的途径主要为大气降水补给和地表废水入渗。污染物主要通过包气带入渗进入地下水。污染物渗入地下水的快慢和入渗量，与包气带介质岩性、厚度和物质成分密切相关。</w:t>
      </w:r>
    </w:p>
    <w:p w14:paraId="59EBDEA3">
      <w:pPr>
        <w:bidi w:val="0"/>
        <w:rPr>
          <w:rFonts w:hint="eastAsia"/>
          <w:lang w:eastAsia="zh-CN"/>
        </w:rPr>
      </w:pPr>
      <w:r>
        <w:rPr>
          <w:rFonts w:hint="eastAsia"/>
          <w:lang w:eastAsia="zh-CN"/>
        </w:rPr>
        <w:t>电镀类项目可能对地下水造成污染的主要途径有几个方面：</w:t>
      </w:r>
    </w:p>
    <w:p w14:paraId="5B7D5869">
      <w:pPr>
        <w:bidi w:val="0"/>
        <w:rPr>
          <w:rFonts w:hint="eastAsia"/>
          <w:lang w:eastAsia="zh-CN"/>
        </w:rPr>
      </w:pPr>
      <w:r>
        <w:rPr>
          <w:rFonts w:hint="eastAsia"/>
          <w:lang w:eastAsia="zh-CN"/>
        </w:rPr>
        <w:t>一是生产车间，由于车间少量的跑冒滴漏需进行地面冲洗，冲洗水下渗造成的地下水污染；</w:t>
      </w:r>
    </w:p>
    <w:p w14:paraId="0A1C98F6">
      <w:pPr>
        <w:bidi w:val="0"/>
        <w:rPr>
          <w:rFonts w:hint="eastAsia"/>
          <w:lang w:eastAsia="zh-CN"/>
        </w:rPr>
      </w:pPr>
      <w:r>
        <w:rPr>
          <w:rFonts w:hint="eastAsia"/>
          <w:lang w:eastAsia="zh-CN"/>
        </w:rPr>
        <w:t>二是危险固废暂存过程，由于废液容器发生泄漏导致废液下渗造成的地下水污染；</w:t>
      </w:r>
    </w:p>
    <w:p w14:paraId="0694024C">
      <w:pPr>
        <w:bidi w:val="0"/>
        <w:rPr>
          <w:rFonts w:hint="eastAsia"/>
          <w:lang w:eastAsia="zh-CN"/>
        </w:rPr>
      </w:pPr>
      <w:r>
        <w:rPr>
          <w:rFonts w:hint="eastAsia"/>
          <w:lang w:eastAsia="zh-CN"/>
        </w:rPr>
        <w:t>三是污水收集处理过程，由于废水收集处理设施可能产生泄漏从而污水下渗污染地下水。</w:t>
      </w:r>
    </w:p>
    <w:p w14:paraId="68034BB5">
      <w:pPr>
        <w:bidi w:val="0"/>
        <w:rPr>
          <w:rFonts w:hint="eastAsia"/>
        </w:rPr>
      </w:pPr>
      <w:r>
        <w:rPr>
          <w:rFonts w:hint="eastAsia"/>
        </w:rPr>
        <w:t>②地下水污染防治措施</w:t>
      </w:r>
    </w:p>
    <w:p w14:paraId="263C0E67">
      <w:pPr>
        <w:bidi w:val="0"/>
        <w:rPr>
          <w:rFonts w:hint="eastAsia"/>
        </w:rPr>
      </w:pPr>
      <w:r>
        <w:rPr>
          <w:rFonts w:hint="eastAsia"/>
        </w:rPr>
        <w:t>（1）源头控制</w:t>
      </w:r>
    </w:p>
    <w:p w14:paraId="34A3A795">
      <w:pPr>
        <w:bidi w:val="0"/>
        <w:rPr>
          <w:rFonts w:hint="eastAsia"/>
        </w:rPr>
      </w:pPr>
      <w:r>
        <w:rPr>
          <w:rFonts w:hint="eastAsia"/>
        </w:rPr>
        <w:t>为保护地下水环境，企业应该采取措施从源头上控制地下水污染物和污染途径的产生。具体而言，企业应实施清洁生产和循环经济，减少污染物的产生和排放量。在设计、管理、生产工艺、设备和物料输送等过程采取措施防止和减少污染物的产生。生产车间应合理布局，减少污染物的泄漏途径。</w:t>
      </w:r>
    </w:p>
    <w:p w14:paraId="2DD7EB0D">
      <w:pPr>
        <w:pStyle w:val="1068"/>
        <w:rPr>
          <w:rFonts w:hint="eastAsia"/>
        </w:rPr>
      </w:pPr>
      <w:r>
        <w:rPr>
          <w:rFonts w:hint="eastAsia"/>
        </w:rPr>
        <w:t>（2）项目车间不同区域实施分区防治</w:t>
      </w:r>
    </w:p>
    <w:p w14:paraId="0CF6F59A">
      <w:pPr>
        <w:pStyle w:val="1068"/>
        <w:rPr>
          <w:rStyle w:val="959"/>
          <w:rFonts w:hint="eastAsia"/>
          <w:lang w:eastAsia="zh-CN"/>
        </w:rPr>
      </w:pPr>
      <w:r>
        <w:rPr>
          <w:rFonts w:hint="eastAsia"/>
        </w:rPr>
        <w:t>本项目生产车间生产区域全部按照重点防渗区进行防渗处理</w:t>
      </w:r>
      <w:r>
        <w:rPr>
          <w:rFonts w:hint="eastAsia"/>
          <w:lang w:eastAsia="zh-CN"/>
        </w:rPr>
        <w:t>，危险废物暂存区按特殊防渗区进行防渗处理。</w:t>
      </w:r>
      <w:r>
        <w:rPr>
          <w:rFonts w:hint="eastAsia"/>
        </w:rPr>
        <w:t>车间地面采用抗渗钢筋混凝土浇筑地面底板，地面上采用三布五油工艺进行防渗和防腐，然后在上面铺设花岗岩瓷砖，瓷砖之间的缝隙用环氧树脂填充，车间内侧从地面约高1m的墙体表面也做防渗防腐处理。车间地面和车间内侧从地面约高1m的墙体表面防渗系数不大于10</w:t>
      </w:r>
      <w:r>
        <w:rPr>
          <w:rFonts w:hint="eastAsia"/>
          <w:vertAlign w:val="superscript"/>
        </w:rPr>
        <w:t>−10</w:t>
      </w:r>
      <w:r>
        <w:rPr>
          <w:rFonts w:hint="eastAsia"/>
        </w:rPr>
        <w:t>cm/s，防渗层厚度不小于2mm。车间废水收集池采用相应强度的抗渗钢筋混凝土浇筑，内衬环氧树脂玻璃钢进行防腐和防渗处理，防渗系数不大于10</w:t>
      </w:r>
      <w:r>
        <w:rPr>
          <w:rFonts w:hint="eastAsia"/>
          <w:vertAlign w:val="superscript"/>
        </w:rPr>
        <w:t>−12</w:t>
      </w:r>
      <w:r>
        <w:rPr>
          <w:rFonts w:hint="eastAsia"/>
        </w:rPr>
        <w:t>cm/s，防渗层</w:t>
      </w:r>
      <w:r>
        <w:rPr>
          <w:rStyle w:val="959"/>
          <w:rFonts w:hint="eastAsia"/>
        </w:rPr>
        <w:t>厚度不小于2mm。电镀生产废水均采用PVC等防腐性塑料管道收集至废水处理站相关处理单元</w:t>
      </w:r>
      <w:r>
        <w:rPr>
          <w:rStyle w:val="959"/>
          <w:rFonts w:hint="eastAsia"/>
          <w:lang w:eastAsia="zh-CN"/>
        </w:rPr>
        <w:t>。</w:t>
      </w:r>
    </w:p>
    <w:p w14:paraId="6FB90107">
      <w:pPr>
        <w:pStyle w:val="1068"/>
        <w:rPr>
          <w:rStyle w:val="959"/>
          <w:rFonts w:hint="eastAsia"/>
          <w:lang w:eastAsia="zh-CN"/>
        </w:rPr>
      </w:pPr>
      <w:r>
        <w:rPr>
          <w:rStyle w:val="959"/>
          <w:rFonts w:hint="eastAsia"/>
          <w:lang w:eastAsia="zh-CN"/>
        </w:rPr>
        <w:t>（3）运行期管理</w:t>
      </w:r>
    </w:p>
    <w:p w14:paraId="52572518">
      <w:pPr>
        <w:pStyle w:val="1068"/>
        <w:pageBreakBefore w:val="0"/>
        <w:kinsoku/>
        <w:wordWrap/>
        <w:overflowPunct/>
        <w:topLinePunct w:val="0"/>
        <w:autoSpaceDE/>
        <w:autoSpaceDN/>
        <w:bidi w:val="0"/>
        <w:textAlignment w:val="auto"/>
        <w:rPr>
          <w:rStyle w:val="959"/>
          <w:rFonts w:hint="eastAsia"/>
          <w:lang w:eastAsia="zh-CN"/>
        </w:rPr>
      </w:pPr>
      <w:r>
        <w:rPr>
          <w:rStyle w:val="959"/>
          <w:rFonts w:hint="eastAsia"/>
          <w:lang w:eastAsia="zh-CN"/>
        </w:rPr>
        <w:t>企业应严格管理，加强巡检，定期对设备和管线进行检修维护，一旦发现泄漏应该及时处理，将污染物泄漏的环境风险事故降到最低；企业应制定并落实相应环境风险事故应急预案，一旦发生环境污染事故，应立即启动相应的风险应急预案。</w:t>
      </w:r>
    </w:p>
    <w:bookmarkEnd w:id="410"/>
    <w:p w14:paraId="1C616336">
      <w:pPr>
        <w:pStyle w:val="5"/>
        <w:pageBreakBefore w:val="0"/>
        <w:kinsoku/>
        <w:wordWrap/>
        <w:overflowPunct/>
        <w:topLinePunct w:val="0"/>
        <w:autoSpaceDE/>
        <w:autoSpaceDN/>
        <w:bidi w:val="0"/>
        <w:spacing w:before="0" w:after="0"/>
        <w:textAlignment w:val="auto"/>
      </w:pPr>
      <w:r>
        <w:rPr>
          <w:rFonts w:hint="eastAsia"/>
          <w:lang w:val="en-US" w:eastAsia="zh-CN"/>
        </w:rPr>
        <w:t>7</w:t>
      </w:r>
      <w:r>
        <w:t>.2.4声环境影响预测与评价</w:t>
      </w:r>
    </w:p>
    <w:p w14:paraId="67FFCD2F">
      <w:pPr>
        <w:pStyle w:val="6"/>
        <w:pageBreakBefore w:val="0"/>
        <w:kinsoku/>
        <w:wordWrap/>
        <w:overflowPunct/>
        <w:topLinePunct w:val="0"/>
        <w:autoSpaceDE/>
        <w:autoSpaceDN/>
        <w:bidi w:val="0"/>
        <w:textAlignment w:val="auto"/>
        <w:rPr>
          <w:rFonts w:hint="default"/>
          <w:lang w:val="en-US" w:eastAsia="zh-CN"/>
        </w:rPr>
      </w:pPr>
      <w:r>
        <w:rPr>
          <w:rFonts w:hint="eastAsia"/>
          <w:lang w:val="en-US" w:eastAsia="zh-CN"/>
        </w:rPr>
        <w:t>7.2.4.1噪声源强</w:t>
      </w:r>
    </w:p>
    <w:p w14:paraId="7D3CA99D">
      <w:pPr>
        <w:pageBreakBefore w:val="0"/>
        <w:kinsoku/>
        <w:wordWrap/>
        <w:overflowPunct/>
        <w:topLinePunct w:val="0"/>
        <w:autoSpaceDE/>
        <w:autoSpaceDN/>
        <w:bidi w:val="0"/>
        <w:textAlignment w:val="auto"/>
        <w:rPr>
          <w:rFonts w:hint="eastAsia"/>
          <w:lang w:val="en-US" w:eastAsia="zh-CN"/>
        </w:rPr>
      </w:pPr>
      <w:r>
        <w:rPr>
          <w:rFonts w:hint="eastAsia"/>
          <w:lang w:val="en-US" w:eastAsia="zh-CN"/>
        </w:rPr>
        <w:t>拟建项目主要噪声源强如下表所示。</w:t>
      </w:r>
    </w:p>
    <w:p w14:paraId="4A2936FE">
      <w:pPr>
        <w:bidi w:val="0"/>
        <w:ind w:left="0" w:leftChars="0" w:firstLine="0" w:firstLineChars="0"/>
        <w:jc w:val="center"/>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表7-14项目噪声源强一览表</w:t>
      </w:r>
    </w:p>
    <w:tbl>
      <w:tblPr>
        <w:tblStyle w:val="53"/>
        <w:tblW w:w="4998"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601"/>
        <w:gridCol w:w="1077"/>
        <w:gridCol w:w="1192"/>
        <w:gridCol w:w="2535"/>
        <w:gridCol w:w="710"/>
        <w:gridCol w:w="628"/>
        <w:gridCol w:w="603"/>
        <w:gridCol w:w="596"/>
      </w:tblGrid>
      <w:tr w14:paraId="7D3FBB2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895" w:type="pct"/>
            <w:vMerge w:val="restart"/>
            <w:tcBorders>
              <w:tl2br w:val="nil"/>
              <w:tr2bl w:val="nil"/>
            </w:tcBorders>
            <w:vAlign w:val="center"/>
          </w:tcPr>
          <w:p w14:paraId="110B8C7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噪声源</w:t>
            </w:r>
          </w:p>
        </w:tc>
        <w:tc>
          <w:tcPr>
            <w:tcW w:w="602" w:type="pct"/>
            <w:vMerge w:val="restart"/>
            <w:tcBorders>
              <w:tl2br w:val="nil"/>
              <w:tr2bl w:val="nil"/>
            </w:tcBorders>
            <w:vAlign w:val="center"/>
          </w:tcPr>
          <w:p w14:paraId="5627D3F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数量</w:t>
            </w:r>
          </w:p>
        </w:tc>
        <w:tc>
          <w:tcPr>
            <w:tcW w:w="666" w:type="pct"/>
            <w:vMerge w:val="restart"/>
            <w:tcBorders>
              <w:tl2br w:val="nil"/>
              <w:tr2bl w:val="nil"/>
            </w:tcBorders>
            <w:vAlign w:val="center"/>
          </w:tcPr>
          <w:p w14:paraId="2B34BE4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噪声级</w:t>
            </w:r>
          </w:p>
        </w:tc>
        <w:tc>
          <w:tcPr>
            <w:tcW w:w="1417" w:type="pct"/>
            <w:vMerge w:val="restart"/>
            <w:tcBorders>
              <w:tl2br w:val="nil"/>
              <w:tr2bl w:val="nil"/>
            </w:tcBorders>
            <w:vAlign w:val="center"/>
          </w:tcPr>
          <w:p w14:paraId="3E802AC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降噪方式</w:t>
            </w:r>
          </w:p>
        </w:tc>
        <w:tc>
          <w:tcPr>
            <w:tcW w:w="1418" w:type="pct"/>
            <w:gridSpan w:val="4"/>
            <w:tcBorders>
              <w:bottom w:val="single" w:color="000000" w:sz="4" w:space="0"/>
              <w:tl2br w:val="nil"/>
              <w:tr2bl w:val="nil"/>
            </w:tcBorders>
            <w:vAlign w:val="center"/>
          </w:tcPr>
          <w:p w14:paraId="7670255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sz w:val="21"/>
                <w:szCs w:val="21"/>
                <w:vertAlign w:val="baseline"/>
                <w:lang w:val="en-US" w:eastAsia="zh-CN"/>
              </w:rPr>
            </w:pPr>
            <w:r>
              <w:rPr>
                <w:rFonts w:hint="eastAsia"/>
                <w:sz w:val="21"/>
                <w:szCs w:val="21"/>
                <w:vertAlign w:val="baseline"/>
                <w:lang w:val="en-US" w:eastAsia="zh-CN"/>
              </w:rPr>
              <w:t>项目车间距厂界位置（m）</w:t>
            </w:r>
          </w:p>
        </w:tc>
      </w:tr>
      <w:tr w14:paraId="3492604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65" w:hRule="atLeast"/>
        </w:trPr>
        <w:tc>
          <w:tcPr>
            <w:tcW w:w="895" w:type="pct"/>
            <w:vMerge w:val="continue"/>
            <w:tcBorders>
              <w:tl2br w:val="nil"/>
              <w:tr2bl w:val="nil"/>
            </w:tcBorders>
            <w:vAlign w:val="center"/>
          </w:tcPr>
          <w:p w14:paraId="01950D1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sz w:val="21"/>
                <w:szCs w:val="21"/>
                <w:vertAlign w:val="baseline"/>
                <w:lang w:val="en-US" w:eastAsia="zh-CN"/>
              </w:rPr>
            </w:pPr>
          </w:p>
        </w:tc>
        <w:tc>
          <w:tcPr>
            <w:tcW w:w="602" w:type="pct"/>
            <w:vMerge w:val="continue"/>
            <w:tcBorders>
              <w:tl2br w:val="nil"/>
              <w:tr2bl w:val="nil"/>
            </w:tcBorders>
            <w:vAlign w:val="center"/>
          </w:tcPr>
          <w:p w14:paraId="0698AD7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sz w:val="21"/>
                <w:szCs w:val="21"/>
                <w:vertAlign w:val="baseline"/>
                <w:lang w:val="en-US" w:eastAsia="zh-CN"/>
              </w:rPr>
            </w:pPr>
          </w:p>
        </w:tc>
        <w:tc>
          <w:tcPr>
            <w:tcW w:w="666" w:type="pct"/>
            <w:vMerge w:val="continue"/>
            <w:tcBorders>
              <w:tl2br w:val="nil"/>
              <w:tr2bl w:val="nil"/>
            </w:tcBorders>
            <w:vAlign w:val="center"/>
          </w:tcPr>
          <w:p w14:paraId="650105C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sz w:val="21"/>
                <w:szCs w:val="21"/>
                <w:vertAlign w:val="baseline"/>
                <w:lang w:val="en-US" w:eastAsia="zh-CN"/>
              </w:rPr>
            </w:pPr>
          </w:p>
        </w:tc>
        <w:tc>
          <w:tcPr>
            <w:tcW w:w="1417" w:type="pct"/>
            <w:vMerge w:val="continue"/>
            <w:tcBorders>
              <w:tl2br w:val="nil"/>
              <w:tr2bl w:val="nil"/>
            </w:tcBorders>
            <w:vAlign w:val="center"/>
          </w:tcPr>
          <w:p w14:paraId="2BB8BBD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sz w:val="21"/>
                <w:szCs w:val="21"/>
                <w:vertAlign w:val="baseline"/>
                <w:lang w:val="en-US" w:eastAsia="zh-CN"/>
              </w:rPr>
            </w:pPr>
          </w:p>
        </w:tc>
        <w:tc>
          <w:tcPr>
            <w:tcW w:w="397" w:type="pct"/>
            <w:tcBorders>
              <w:top w:val="single" w:color="000000" w:sz="4" w:space="0"/>
              <w:right w:val="single" w:color="000000" w:sz="4" w:space="0"/>
              <w:tl2br w:val="nil"/>
              <w:tr2bl w:val="nil"/>
            </w:tcBorders>
            <w:vAlign w:val="center"/>
          </w:tcPr>
          <w:p w14:paraId="608C898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sz w:val="21"/>
                <w:szCs w:val="21"/>
                <w:vertAlign w:val="baseline"/>
                <w:lang w:val="en-US" w:eastAsia="zh-CN"/>
              </w:rPr>
            </w:pPr>
            <w:r>
              <w:rPr>
                <w:rFonts w:hint="eastAsia"/>
                <w:sz w:val="21"/>
                <w:szCs w:val="21"/>
                <w:vertAlign w:val="baseline"/>
                <w:lang w:val="en-US" w:eastAsia="zh-CN"/>
              </w:rPr>
              <w:t>东</w:t>
            </w:r>
          </w:p>
        </w:tc>
        <w:tc>
          <w:tcPr>
            <w:tcW w:w="351" w:type="pct"/>
            <w:tcBorders>
              <w:top w:val="single" w:color="000000" w:sz="4" w:space="0"/>
              <w:left w:val="single" w:color="000000" w:sz="4" w:space="0"/>
              <w:right w:val="single" w:color="000000" w:sz="4" w:space="0"/>
              <w:tl2br w:val="nil"/>
              <w:tr2bl w:val="nil"/>
            </w:tcBorders>
            <w:vAlign w:val="center"/>
          </w:tcPr>
          <w:p w14:paraId="5AA231D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sz w:val="21"/>
                <w:szCs w:val="21"/>
                <w:vertAlign w:val="baseline"/>
                <w:lang w:val="en-US" w:eastAsia="zh-CN"/>
              </w:rPr>
            </w:pPr>
            <w:r>
              <w:rPr>
                <w:rFonts w:hint="eastAsia"/>
                <w:sz w:val="21"/>
                <w:szCs w:val="21"/>
                <w:vertAlign w:val="baseline"/>
                <w:lang w:val="en-US" w:eastAsia="zh-CN"/>
              </w:rPr>
              <w:t>南</w:t>
            </w:r>
          </w:p>
        </w:tc>
        <w:tc>
          <w:tcPr>
            <w:tcW w:w="337" w:type="pct"/>
            <w:tcBorders>
              <w:top w:val="single" w:color="000000" w:sz="4" w:space="0"/>
              <w:left w:val="single" w:color="000000" w:sz="4" w:space="0"/>
              <w:right w:val="single" w:color="000000" w:sz="4" w:space="0"/>
              <w:tl2br w:val="nil"/>
              <w:tr2bl w:val="nil"/>
            </w:tcBorders>
            <w:vAlign w:val="center"/>
          </w:tcPr>
          <w:p w14:paraId="23EF0F5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sz w:val="21"/>
                <w:szCs w:val="21"/>
                <w:vertAlign w:val="baseline"/>
                <w:lang w:val="en-US" w:eastAsia="zh-CN"/>
              </w:rPr>
            </w:pPr>
            <w:r>
              <w:rPr>
                <w:rFonts w:hint="eastAsia"/>
                <w:sz w:val="21"/>
                <w:szCs w:val="21"/>
                <w:vertAlign w:val="baseline"/>
                <w:lang w:val="en-US" w:eastAsia="zh-CN"/>
              </w:rPr>
              <w:t>西</w:t>
            </w:r>
          </w:p>
        </w:tc>
        <w:tc>
          <w:tcPr>
            <w:tcW w:w="333" w:type="pct"/>
            <w:tcBorders>
              <w:top w:val="single" w:color="000000" w:sz="4" w:space="0"/>
              <w:left w:val="single" w:color="000000" w:sz="4" w:space="0"/>
              <w:tl2br w:val="nil"/>
              <w:tr2bl w:val="nil"/>
            </w:tcBorders>
            <w:vAlign w:val="center"/>
          </w:tcPr>
          <w:p w14:paraId="4B50F31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sz w:val="21"/>
                <w:szCs w:val="21"/>
                <w:vertAlign w:val="baseline"/>
                <w:lang w:val="en-US" w:eastAsia="zh-CN"/>
              </w:rPr>
            </w:pPr>
            <w:r>
              <w:rPr>
                <w:rFonts w:hint="eastAsia"/>
                <w:sz w:val="21"/>
                <w:szCs w:val="21"/>
                <w:vertAlign w:val="baseline"/>
                <w:lang w:val="en-US" w:eastAsia="zh-CN"/>
              </w:rPr>
              <w:t>北</w:t>
            </w:r>
          </w:p>
        </w:tc>
      </w:tr>
      <w:tr w14:paraId="13BD427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895" w:type="pct"/>
            <w:tcBorders>
              <w:tl2br w:val="nil"/>
              <w:tr2bl w:val="nil"/>
            </w:tcBorders>
            <w:vAlign w:val="center"/>
          </w:tcPr>
          <w:p w14:paraId="6ABD276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引风机</w:t>
            </w:r>
          </w:p>
        </w:tc>
        <w:tc>
          <w:tcPr>
            <w:tcW w:w="602" w:type="pct"/>
            <w:tcBorders>
              <w:tl2br w:val="nil"/>
              <w:tr2bl w:val="nil"/>
            </w:tcBorders>
            <w:vAlign w:val="center"/>
          </w:tcPr>
          <w:p w14:paraId="308E4ED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1</w:t>
            </w:r>
          </w:p>
        </w:tc>
        <w:tc>
          <w:tcPr>
            <w:tcW w:w="666" w:type="pct"/>
            <w:tcBorders>
              <w:tl2br w:val="nil"/>
              <w:tr2bl w:val="nil"/>
            </w:tcBorders>
            <w:vAlign w:val="center"/>
          </w:tcPr>
          <w:p w14:paraId="6A38923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85</w:t>
            </w:r>
          </w:p>
        </w:tc>
        <w:tc>
          <w:tcPr>
            <w:tcW w:w="1417" w:type="pct"/>
            <w:tcBorders>
              <w:tl2br w:val="nil"/>
              <w:tr2bl w:val="nil"/>
            </w:tcBorders>
            <w:vAlign w:val="center"/>
          </w:tcPr>
          <w:p w14:paraId="10F2F9E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隔声罩、消声器、车间隔声</w:t>
            </w:r>
          </w:p>
        </w:tc>
        <w:tc>
          <w:tcPr>
            <w:tcW w:w="397" w:type="pct"/>
            <w:vMerge w:val="restart"/>
            <w:tcBorders>
              <w:right w:val="single" w:color="000000" w:sz="4" w:space="0"/>
              <w:tl2br w:val="nil"/>
              <w:tr2bl w:val="nil"/>
            </w:tcBorders>
            <w:vAlign w:val="center"/>
          </w:tcPr>
          <w:p w14:paraId="00809B1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110</w:t>
            </w:r>
          </w:p>
        </w:tc>
        <w:tc>
          <w:tcPr>
            <w:tcW w:w="351" w:type="pct"/>
            <w:vMerge w:val="restart"/>
            <w:tcBorders>
              <w:left w:val="single" w:color="000000" w:sz="4" w:space="0"/>
              <w:right w:val="single" w:color="000000" w:sz="4" w:space="0"/>
              <w:tl2br w:val="nil"/>
              <w:tr2bl w:val="nil"/>
            </w:tcBorders>
            <w:vAlign w:val="center"/>
          </w:tcPr>
          <w:p w14:paraId="639E900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108</w:t>
            </w:r>
          </w:p>
        </w:tc>
        <w:tc>
          <w:tcPr>
            <w:tcW w:w="337" w:type="pct"/>
            <w:vMerge w:val="restart"/>
            <w:tcBorders>
              <w:left w:val="single" w:color="000000" w:sz="4" w:space="0"/>
              <w:right w:val="single" w:color="000000" w:sz="4" w:space="0"/>
              <w:tl2br w:val="nil"/>
              <w:tr2bl w:val="nil"/>
            </w:tcBorders>
            <w:vAlign w:val="center"/>
          </w:tcPr>
          <w:p w14:paraId="0AA497D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120</w:t>
            </w:r>
          </w:p>
        </w:tc>
        <w:tc>
          <w:tcPr>
            <w:tcW w:w="333" w:type="pct"/>
            <w:vMerge w:val="restart"/>
            <w:tcBorders>
              <w:left w:val="single" w:color="000000" w:sz="4" w:space="0"/>
              <w:tl2br w:val="nil"/>
              <w:tr2bl w:val="nil"/>
            </w:tcBorders>
            <w:vAlign w:val="center"/>
          </w:tcPr>
          <w:p w14:paraId="68D272C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80</w:t>
            </w:r>
          </w:p>
        </w:tc>
      </w:tr>
      <w:tr w14:paraId="4DB4D42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895" w:type="pct"/>
            <w:tcBorders>
              <w:tl2br w:val="nil"/>
              <w:tr2bl w:val="nil"/>
            </w:tcBorders>
            <w:vAlign w:val="center"/>
          </w:tcPr>
          <w:p w14:paraId="663735F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水泵</w:t>
            </w:r>
          </w:p>
        </w:tc>
        <w:tc>
          <w:tcPr>
            <w:tcW w:w="602" w:type="pct"/>
            <w:tcBorders>
              <w:tl2br w:val="nil"/>
              <w:tr2bl w:val="nil"/>
            </w:tcBorders>
            <w:vAlign w:val="center"/>
          </w:tcPr>
          <w:p w14:paraId="189BA6D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3</w:t>
            </w:r>
          </w:p>
        </w:tc>
        <w:tc>
          <w:tcPr>
            <w:tcW w:w="666" w:type="pct"/>
            <w:tcBorders>
              <w:tl2br w:val="nil"/>
              <w:tr2bl w:val="nil"/>
            </w:tcBorders>
            <w:vAlign w:val="center"/>
          </w:tcPr>
          <w:p w14:paraId="3403527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60</w:t>
            </w:r>
          </w:p>
        </w:tc>
        <w:tc>
          <w:tcPr>
            <w:tcW w:w="1417" w:type="pct"/>
            <w:tcBorders>
              <w:tl2br w:val="nil"/>
              <w:tr2bl w:val="nil"/>
            </w:tcBorders>
            <w:vAlign w:val="center"/>
          </w:tcPr>
          <w:p w14:paraId="5389F97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车间隔声</w:t>
            </w:r>
          </w:p>
        </w:tc>
        <w:tc>
          <w:tcPr>
            <w:tcW w:w="397" w:type="pct"/>
            <w:vMerge w:val="continue"/>
            <w:tcBorders>
              <w:right w:val="single" w:color="000000" w:sz="4" w:space="0"/>
              <w:tl2br w:val="nil"/>
              <w:tr2bl w:val="nil"/>
            </w:tcBorders>
            <w:vAlign w:val="center"/>
          </w:tcPr>
          <w:p w14:paraId="32EB3AC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sz w:val="21"/>
                <w:szCs w:val="21"/>
                <w:vertAlign w:val="baseline"/>
                <w:lang w:val="en-US" w:eastAsia="zh-CN"/>
              </w:rPr>
            </w:pPr>
          </w:p>
        </w:tc>
        <w:tc>
          <w:tcPr>
            <w:tcW w:w="351" w:type="pct"/>
            <w:vMerge w:val="continue"/>
            <w:tcBorders>
              <w:left w:val="single" w:color="000000" w:sz="4" w:space="0"/>
              <w:right w:val="single" w:color="000000" w:sz="4" w:space="0"/>
              <w:tl2br w:val="nil"/>
              <w:tr2bl w:val="nil"/>
            </w:tcBorders>
            <w:vAlign w:val="center"/>
          </w:tcPr>
          <w:p w14:paraId="2247877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sz w:val="21"/>
                <w:szCs w:val="21"/>
                <w:vertAlign w:val="baseline"/>
                <w:lang w:val="en-US" w:eastAsia="zh-CN"/>
              </w:rPr>
            </w:pPr>
          </w:p>
        </w:tc>
        <w:tc>
          <w:tcPr>
            <w:tcW w:w="337" w:type="pct"/>
            <w:vMerge w:val="continue"/>
            <w:tcBorders>
              <w:left w:val="single" w:color="000000" w:sz="4" w:space="0"/>
              <w:right w:val="single" w:color="000000" w:sz="4" w:space="0"/>
              <w:tl2br w:val="nil"/>
              <w:tr2bl w:val="nil"/>
            </w:tcBorders>
            <w:vAlign w:val="center"/>
          </w:tcPr>
          <w:p w14:paraId="726D450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sz w:val="21"/>
                <w:szCs w:val="21"/>
                <w:vertAlign w:val="baseline"/>
                <w:lang w:val="en-US" w:eastAsia="zh-CN"/>
              </w:rPr>
            </w:pPr>
          </w:p>
        </w:tc>
        <w:tc>
          <w:tcPr>
            <w:tcW w:w="333" w:type="pct"/>
            <w:vMerge w:val="continue"/>
            <w:tcBorders>
              <w:left w:val="single" w:color="000000" w:sz="4" w:space="0"/>
              <w:tl2br w:val="nil"/>
              <w:tr2bl w:val="nil"/>
            </w:tcBorders>
            <w:vAlign w:val="center"/>
          </w:tcPr>
          <w:p w14:paraId="2695D98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sz w:val="21"/>
                <w:szCs w:val="21"/>
                <w:vertAlign w:val="baseline"/>
                <w:lang w:val="en-US" w:eastAsia="zh-CN"/>
              </w:rPr>
            </w:pPr>
          </w:p>
        </w:tc>
      </w:tr>
      <w:tr w14:paraId="0EA3693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895" w:type="pct"/>
            <w:tcBorders>
              <w:tl2br w:val="nil"/>
              <w:tr2bl w:val="nil"/>
            </w:tcBorders>
            <w:vAlign w:val="center"/>
          </w:tcPr>
          <w:p w14:paraId="4E3AF7F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龙门行车</w:t>
            </w:r>
          </w:p>
        </w:tc>
        <w:tc>
          <w:tcPr>
            <w:tcW w:w="602" w:type="pct"/>
            <w:tcBorders>
              <w:tl2br w:val="nil"/>
              <w:tr2bl w:val="nil"/>
            </w:tcBorders>
            <w:vAlign w:val="center"/>
          </w:tcPr>
          <w:p w14:paraId="5073F2F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2</w:t>
            </w:r>
          </w:p>
        </w:tc>
        <w:tc>
          <w:tcPr>
            <w:tcW w:w="666" w:type="pct"/>
            <w:tcBorders>
              <w:tl2br w:val="nil"/>
              <w:tr2bl w:val="nil"/>
            </w:tcBorders>
            <w:vAlign w:val="center"/>
          </w:tcPr>
          <w:p w14:paraId="0A9AE62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75</w:t>
            </w:r>
          </w:p>
        </w:tc>
        <w:tc>
          <w:tcPr>
            <w:tcW w:w="1417" w:type="pct"/>
            <w:tcBorders>
              <w:tl2br w:val="nil"/>
              <w:tr2bl w:val="nil"/>
            </w:tcBorders>
            <w:vAlign w:val="center"/>
          </w:tcPr>
          <w:p w14:paraId="4F8E937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车间隔声</w:t>
            </w:r>
          </w:p>
        </w:tc>
        <w:tc>
          <w:tcPr>
            <w:tcW w:w="397" w:type="pct"/>
            <w:vMerge w:val="continue"/>
            <w:tcBorders>
              <w:right w:val="single" w:color="000000" w:sz="4" w:space="0"/>
              <w:tl2br w:val="nil"/>
              <w:tr2bl w:val="nil"/>
            </w:tcBorders>
            <w:vAlign w:val="center"/>
          </w:tcPr>
          <w:p w14:paraId="6181822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sz w:val="21"/>
                <w:szCs w:val="21"/>
                <w:vertAlign w:val="baseline"/>
                <w:lang w:val="en-US" w:eastAsia="zh-CN"/>
              </w:rPr>
            </w:pPr>
          </w:p>
        </w:tc>
        <w:tc>
          <w:tcPr>
            <w:tcW w:w="351" w:type="pct"/>
            <w:vMerge w:val="continue"/>
            <w:tcBorders>
              <w:left w:val="single" w:color="000000" w:sz="4" w:space="0"/>
              <w:right w:val="single" w:color="000000" w:sz="4" w:space="0"/>
              <w:tl2br w:val="nil"/>
              <w:tr2bl w:val="nil"/>
            </w:tcBorders>
            <w:vAlign w:val="center"/>
          </w:tcPr>
          <w:p w14:paraId="4CC59DD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sz w:val="21"/>
                <w:szCs w:val="21"/>
                <w:vertAlign w:val="baseline"/>
                <w:lang w:val="en-US" w:eastAsia="zh-CN"/>
              </w:rPr>
            </w:pPr>
          </w:p>
        </w:tc>
        <w:tc>
          <w:tcPr>
            <w:tcW w:w="337" w:type="pct"/>
            <w:vMerge w:val="continue"/>
            <w:tcBorders>
              <w:left w:val="single" w:color="000000" w:sz="4" w:space="0"/>
              <w:right w:val="single" w:color="000000" w:sz="4" w:space="0"/>
              <w:tl2br w:val="nil"/>
              <w:tr2bl w:val="nil"/>
            </w:tcBorders>
            <w:vAlign w:val="center"/>
          </w:tcPr>
          <w:p w14:paraId="3653F46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sz w:val="21"/>
                <w:szCs w:val="21"/>
                <w:vertAlign w:val="baseline"/>
                <w:lang w:val="en-US" w:eastAsia="zh-CN"/>
              </w:rPr>
            </w:pPr>
          </w:p>
        </w:tc>
        <w:tc>
          <w:tcPr>
            <w:tcW w:w="333" w:type="pct"/>
            <w:vMerge w:val="continue"/>
            <w:tcBorders>
              <w:left w:val="single" w:color="000000" w:sz="4" w:space="0"/>
              <w:tl2br w:val="nil"/>
              <w:tr2bl w:val="nil"/>
            </w:tcBorders>
            <w:vAlign w:val="center"/>
          </w:tcPr>
          <w:p w14:paraId="4AD0D0A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sz w:val="21"/>
                <w:szCs w:val="21"/>
                <w:vertAlign w:val="baseline"/>
                <w:lang w:val="en-US" w:eastAsia="zh-CN"/>
              </w:rPr>
            </w:pPr>
          </w:p>
        </w:tc>
      </w:tr>
    </w:tbl>
    <w:p w14:paraId="451877AA">
      <w:pPr>
        <w:pStyle w:val="1068"/>
        <w:rPr>
          <w:rFonts w:hint="default"/>
          <w:lang w:val="en-US" w:eastAsia="zh-CN"/>
        </w:rPr>
      </w:pPr>
      <w:r>
        <w:rPr>
          <w:rFonts w:hint="eastAsia"/>
          <w:sz w:val="21"/>
          <w:szCs w:val="21"/>
          <w:lang w:val="en-US" w:eastAsia="zh-CN"/>
        </w:rPr>
        <w:t>注：噪声级指距离噪声源1m处噪声值。降噪量取10dB（A）</w:t>
      </w:r>
    </w:p>
    <w:p w14:paraId="52C22A7B">
      <w:pPr>
        <w:pStyle w:val="6"/>
        <w:bidi w:val="0"/>
        <w:rPr>
          <w:rFonts w:hint="default"/>
          <w:lang w:val="en-US" w:eastAsia="zh-CN"/>
        </w:rPr>
      </w:pPr>
      <w:r>
        <w:rPr>
          <w:rFonts w:hint="eastAsia"/>
          <w:lang w:val="en-US" w:eastAsia="zh-CN"/>
        </w:rPr>
        <w:t>7.2.4.2预测模式</w:t>
      </w:r>
    </w:p>
    <w:p w14:paraId="5B63CEC2">
      <w:pPr>
        <w:bidi w:val="0"/>
        <w:rPr>
          <w:rFonts w:hint="default"/>
          <w:lang w:val="en-US" w:eastAsia="zh-CN"/>
        </w:rPr>
      </w:pPr>
      <w:r>
        <w:rPr>
          <w:rFonts w:hint="default"/>
          <w:lang w:val="en-US" w:eastAsia="zh-CN"/>
        </w:rPr>
        <w:t>本项目夜间不生产，因此仅作昼间的声环境影响分析。声环境影响预测采用《环境影响评价技术导则 声环境》（HJ2.4-2009）中的工业噪声预测计算模式。声环境影响预测时，一般采用声源的倍频带声功率级，A声功率级或靠近声源某一位置的倍频带声压级，A声级来预测计算距声源不同距离的声级。</w:t>
      </w:r>
    </w:p>
    <w:p w14:paraId="7A518E63">
      <w:pPr>
        <w:bidi w:val="0"/>
        <w:rPr>
          <w:rFonts w:hint="default"/>
          <w:lang w:val="en-US" w:eastAsia="zh-CN"/>
        </w:rPr>
      </w:pPr>
      <w:r>
        <w:rPr>
          <w:rFonts w:hint="eastAsia"/>
          <w:lang w:val="en-US" w:eastAsia="zh-CN"/>
        </w:rPr>
        <w:t>（1）</w:t>
      </w:r>
      <w:r>
        <w:rPr>
          <w:rFonts w:hint="default"/>
          <w:lang w:val="en-US" w:eastAsia="zh-CN"/>
        </w:rPr>
        <w:t>室内声源等效室外声源声功率级计算</w:t>
      </w:r>
    </w:p>
    <w:p w14:paraId="0667F0B6">
      <w:pPr>
        <w:pStyle w:val="1068"/>
        <w:numPr>
          <w:ilvl w:val="0"/>
          <w:numId w:val="0"/>
        </w:numPr>
        <w:jc w:val="center"/>
      </w:pPr>
      <w:r>
        <w:drawing>
          <wp:inline distT="0" distB="0" distL="114300" distR="114300">
            <wp:extent cx="3448050" cy="1809750"/>
            <wp:effectExtent l="0" t="0" r="0" b="0"/>
            <wp:docPr id="26"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8"/>
                    <pic:cNvPicPr>
                      <a:picLocks noChangeAspect="1"/>
                    </pic:cNvPicPr>
                  </pic:nvPicPr>
                  <pic:blipFill>
                    <a:blip r:embed="rId38"/>
                    <a:stretch>
                      <a:fillRect/>
                    </a:stretch>
                  </pic:blipFill>
                  <pic:spPr>
                    <a:xfrm>
                      <a:off x="0" y="0"/>
                      <a:ext cx="3448050" cy="1809750"/>
                    </a:xfrm>
                    <a:prstGeom prst="rect">
                      <a:avLst/>
                    </a:prstGeom>
                    <a:noFill/>
                    <a:ln>
                      <a:noFill/>
                    </a:ln>
                  </pic:spPr>
                </pic:pic>
              </a:graphicData>
            </a:graphic>
          </wp:inline>
        </w:drawing>
      </w:r>
    </w:p>
    <w:p w14:paraId="440B4F10">
      <w:pPr>
        <w:pStyle w:val="1068"/>
        <w:numPr>
          <w:ilvl w:val="0"/>
          <w:numId w:val="0"/>
        </w:numPr>
        <w:jc w:val="center"/>
        <w:rPr>
          <w:rFonts w:hint="eastAsia" w:ascii="黑体" w:hAnsi="黑体" w:eastAsia="黑体" w:cs="黑体"/>
          <w:sz w:val="21"/>
          <w:szCs w:val="21"/>
          <w:lang w:val="en-US" w:eastAsia="zh-CN"/>
        </w:rPr>
      </w:pPr>
      <w:r>
        <w:rPr>
          <w:rFonts w:hint="eastAsia" w:ascii="黑体" w:hAnsi="黑体" w:eastAsia="黑体" w:cs="黑体"/>
          <w:sz w:val="21"/>
          <w:szCs w:val="21"/>
          <w:lang w:eastAsia="zh-CN"/>
        </w:rPr>
        <w:t>图</w:t>
      </w:r>
      <w:r>
        <w:rPr>
          <w:rFonts w:hint="eastAsia" w:ascii="黑体" w:hAnsi="黑体" w:eastAsia="黑体" w:cs="黑体"/>
          <w:sz w:val="21"/>
          <w:szCs w:val="21"/>
          <w:lang w:val="en-US" w:eastAsia="zh-CN"/>
        </w:rPr>
        <w:t>7-5室内声源等效为室外声源图例</w:t>
      </w:r>
    </w:p>
    <w:p w14:paraId="53D01275">
      <w:pPr>
        <w:ind w:firstLine="480" w:firstLineChars="200"/>
        <w:rPr>
          <w:rFonts w:hint="eastAsia"/>
        </w:rPr>
      </w:pPr>
      <w:r>
        <w:rPr>
          <w:rFonts w:hint="eastAsia"/>
        </w:rPr>
        <w:t>声源位于室内，室内声源可采用等效室外声源声功率级法进行计算。设靠近开口处（或窗户）室内、室外某倍频带的声压级分别为</w:t>
      </w:r>
      <w:r>
        <w:rPr>
          <w:rFonts w:hint="eastAsia"/>
          <w:lang w:val="en-US" w:eastAsia="zh-CN"/>
        </w:rPr>
        <w:t>Lp1</w:t>
      </w:r>
      <w:r>
        <w:rPr>
          <w:rFonts w:hint="eastAsia"/>
        </w:rPr>
        <w:t>和</w:t>
      </w:r>
      <w:r>
        <w:rPr>
          <w:rFonts w:hint="eastAsia"/>
          <w:lang w:val="en-US" w:eastAsia="zh-CN"/>
        </w:rPr>
        <w:t>Lp2</w:t>
      </w:r>
      <w:r>
        <w:rPr>
          <w:rFonts w:hint="eastAsia"/>
        </w:rPr>
        <w:t>。若声源所在室内声场为近似扩散声场，则可按</w:t>
      </w:r>
      <w:r>
        <w:rPr>
          <w:rFonts w:hint="eastAsia"/>
          <w:lang w:eastAsia="zh-CN"/>
        </w:rPr>
        <w:t>下公式</w:t>
      </w:r>
      <w:r>
        <w:rPr>
          <w:rFonts w:hint="eastAsia"/>
        </w:rPr>
        <w:t>计算某一室内声源靠近围护结构处产生的倍频带声压级：</w:t>
      </w:r>
    </w:p>
    <w:p w14:paraId="09B349B9">
      <w:pPr>
        <w:pStyle w:val="1068"/>
        <w:jc w:val="center"/>
      </w:pPr>
      <w:r>
        <w:drawing>
          <wp:inline distT="0" distB="0" distL="114300" distR="114300">
            <wp:extent cx="2228850" cy="457200"/>
            <wp:effectExtent l="0" t="0" r="0" b="0"/>
            <wp:docPr id="27"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9"/>
                    <pic:cNvPicPr>
                      <a:picLocks noChangeAspect="1"/>
                    </pic:cNvPicPr>
                  </pic:nvPicPr>
                  <pic:blipFill>
                    <a:blip r:embed="rId39"/>
                    <a:stretch>
                      <a:fillRect/>
                    </a:stretch>
                  </pic:blipFill>
                  <pic:spPr>
                    <a:xfrm>
                      <a:off x="0" y="0"/>
                      <a:ext cx="2228850" cy="457200"/>
                    </a:xfrm>
                    <a:prstGeom prst="rect">
                      <a:avLst/>
                    </a:prstGeom>
                    <a:noFill/>
                    <a:ln>
                      <a:noFill/>
                    </a:ln>
                  </pic:spPr>
                </pic:pic>
              </a:graphicData>
            </a:graphic>
          </wp:inline>
        </w:drawing>
      </w:r>
    </w:p>
    <w:p w14:paraId="301455A0">
      <w:pPr>
        <w:pStyle w:val="1068"/>
        <w:jc w:val="center"/>
      </w:pPr>
      <w:r>
        <w:drawing>
          <wp:inline distT="0" distB="0" distL="114300" distR="114300">
            <wp:extent cx="5274945" cy="1581150"/>
            <wp:effectExtent l="0" t="0" r="1905" b="0"/>
            <wp:docPr id="31"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23"/>
                    <pic:cNvPicPr>
                      <a:picLocks noChangeAspect="1"/>
                    </pic:cNvPicPr>
                  </pic:nvPicPr>
                  <pic:blipFill>
                    <a:blip r:embed="rId40"/>
                    <a:stretch>
                      <a:fillRect/>
                    </a:stretch>
                  </pic:blipFill>
                  <pic:spPr>
                    <a:xfrm>
                      <a:off x="0" y="0"/>
                      <a:ext cx="5274945" cy="1581150"/>
                    </a:xfrm>
                    <a:prstGeom prst="rect">
                      <a:avLst/>
                    </a:prstGeom>
                    <a:noFill/>
                    <a:ln>
                      <a:noFill/>
                    </a:ln>
                  </pic:spPr>
                </pic:pic>
              </a:graphicData>
            </a:graphic>
          </wp:inline>
        </w:drawing>
      </w:r>
    </w:p>
    <w:p w14:paraId="5CC187CC">
      <w:pPr>
        <w:pStyle w:val="22"/>
        <w:spacing w:line="360" w:lineRule="auto"/>
        <w:ind w:firstLine="480" w:firstLineChars="200"/>
        <w:jc w:val="left"/>
        <w:rPr>
          <w:rFonts w:hint="default" w:ascii="Times New Roman" w:hAnsi="Times New Roman" w:eastAsia="宋体" w:cs="Times New Roman"/>
          <w:kern w:val="2"/>
          <w:szCs w:val="24"/>
        </w:rPr>
      </w:pPr>
      <w:r>
        <w:rPr>
          <w:rFonts w:hint="default" w:ascii="Times New Roman" w:hAnsi="Times New Roman" w:eastAsia="宋体" w:cs="Times New Roman"/>
          <w:kern w:val="2"/>
          <w:szCs w:val="24"/>
        </w:rPr>
        <w:t>各声源在预测点产生的合成声级采用以下计算公式：</w:t>
      </w:r>
    </w:p>
    <w:p w14:paraId="6B2A20C3">
      <w:pPr>
        <w:pStyle w:val="22"/>
        <w:ind w:firstLine="240" w:firstLineChars="100"/>
        <w:jc w:val="left"/>
        <w:rPr>
          <w:rFonts w:hint="default" w:ascii="Times New Roman" w:hAnsi="Times New Roman" w:cs="Times New Roman"/>
        </w:rPr>
      </w:pPr>
      <w:r>
        <w:rPr>
          <w:rFonts w:hint="default" w:ascii="Times New Roman" w:hAnsi="Times New Roman" w:cs="Times New Roman"/>
        </w:rPr>
        <w:drawing>
          <wp:inline distT="0" distB="0" distL="114300" distR="114300">
            <wp:extent cx="3440430" cy="949325"/>
            <wp:effectExtent l="0" t="0" r="7620" b="3175"/>
            <wp:docPr id="28" name="图片 20"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0" descr="2"/>
                    <pic:cNvPicPr>
                      <a:picLocks noChangeAspect="1"/>
                    </pic:cNvPicPr>
                  </pic:nvPicPr>
                  <pic:blipFill>
                    <a:blip r:embed="rId41"/>
                    <a:stretch>
                      <a:fillRect/>
                    </a:stretch>
                  </pic:blipFill>
                  <pic:spPr>
                    <a:xfrm>
                      <a:off x="0" y="0"/>
                      <a:ext cx="3440430" cy="949325"/>
                    </a:xfrm>
                    <a:prstGeom prst="rect">
                      <a:avLst/>
                    </a:prstGeom>
                    <a:noFill/>
                    <a:ln>
                      <a:noFill/>
                    </a:ln>
                  </pic:spPr>
                </pic:pic>
              </a:graphicData>
            </a:graphic>
          </wp:inline>
        </w:drawing>
      </w:r>
    </w:p>
    <w:p w14:paraId="4DAFDDDD">
      <w:pPr>
        <w:pStyle w:val="22"/>
        <w:ind w:firstLine="240" w:firstLineChars="100"/>
        <w:jc w:val="left"/>
        <w:rPr>
          <w:rFonts w:hint="default" w:ascii="Times New Roman" w:hAnsi="Times New Roman" w:cs="Times New Roman"/>
        </w:rPr>
      </w:pPr>
      <w:r>
        <w:rPr>
          <w:rFonts w:hint="default" w:ascii="Times New Roman" w:hAnsi="Times New Roman" w:cs="Times New Roman"/>
        </w:rPr>
        <w:drawing>
          <wp:inline distT="0" distB="0" distL="114300" distR="114300">
            <wp:extent cx="3624580" cy="358140"/>
            <wp:effectExtent l="0" t="0" r="13970" b="3810"/>
            <wp:docPr id="29" name="图片 21"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1" descr="3"/>
                    <pic:cNvPicPr>
                      <a:picLocks noChangeAspect="1"/>
                    </pic:cNvPicPr>
                  </pic:nvPicPr>
                  <pic:blipFill>
                    <a:blip r:embed="rId42"/>
                    <a:stretch>
                      <a:fillRect/>
                    </a:stretch>
                  </pic:blipFill>
                  <pic:spPr>
                    <a:xfrm>
                      <a:off x="0" y="0"/>
                      <a:ext cx="3624580" cy="358140"/>
                    </a:xfrm>
                    <a:prstGeom prst="rect">
                      <a:avLst/>
                    </a:prstGeom>
                    <a:noFill/>
                    <a:ln>
                      <a:noFill/>
                    </a:ln>
                  </pic:spPr>
                </pic:pic>
              </a:graphicData>
            </a:graphic>
          </wp:inline>
        </w:drawing>
      </w:r>
    </w:p>
    <w:p w14:paraId="2EA2E352">
      <w:pPr>
        <w:pStyle w:val="22"/>
        <w:spacing w:line="360" w:lineRule="auto"/>
        <w:ind w:firstLine="480" w:firstLineChars="200"/>
        <w:jc w:val="left"/>
        <w:rPr>
          <w:rFonts w:hint="default" w:ascii="Times New Roman" w:hAnsi="Times New Roman" w:eastAsia="宋体" w:cs="Times New Roman"/>
          <w:kern w:val="2"/>
          <w:szCs w:val="24"/>
        </w:rPr>
      </w:pPr>
      <w:r>
        <w:rPr>
          <w:rFonts w:hint="default" w:ascii="Times New Roman" w:hAnsi="Times New Roman" w:eastAsia="宋体" w:cs="Times New Roman"/>
          <w:kern w:val="2"/>
          <w:szCs w:val="24"/>
        </w:rPr>
        <w:t>③预测点的预测等效声级（Leq）计算公式：</w:t>
      </w:r>
    </w:p>
    <w:p w14:paraId="027FAE90">
      <w:pPr>
        <w:bidi w:val="0"/>
      </w:pPr>
      <w:r>
        <w:rPr>
          <w:rFonts w:hint="default" w:ascii="Times New Roman" w:hAnsi="Times New Roman" w:cs="Times New Roman"/>
        </w:rPr>
        <w:drawing>
          <wp:inline distT="0" distB="0" distL="114300" distR="114300">
            <wp:extent cx="4264025" cy="1023620"/>
            <wp:effectExtent l="0" t="0" r="3175" b="5080"/>
            <wp:docPr id="30" name="图片 22"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22" descr="4"/>
                    <pic:cNvPicPr>
                      <a:picLocks noChangeAspect="1"/>
                    </pic:cNvPicPr>
                  </pic:nvPicPr>
                  <pic:blipFill>
                    <a:blip r:embed="rId43"/>
                    <a:stretch>
                      <a:fillRect/>
                    </a:stretch>
                  </pic:blipFill>
                  <pic:spPr>
                    <a:xfrm>
                      <a:off x="0" y="0"/>
                      <a:ext cx="4264025" cy="1023620"/>
                    </a:xfrm>
                    <a:prstGeom prst="rect">
                      <a:avLst/>
                    </a:prstGeom>
                    <a:noFill/>
                    <a:ln>
                      <a:noFill/>
                    </a:ln>
                  </pic:spPr>
                </pic:pic>
              </a:graphicData>
            </a:graphic>
          </wp:inline>
        </w:drawing>
      </w:r>
    </w:p>
    <w:p w14:paraId="0478C504">
      <w:pPr>
        <w:ind w:firstLine="480" w:firstLineChars="200"/>
      </w:pPr>
      <w:r>
        <w:t>（1）噪声防治</w:t>
      </w:r>
    </w:p>
    <w:p w14:paraId="43660B49">
      <w:pPr>
        <w:ind w:firstLine="480" w:firstLineChars="200"/>
      </w:pPr>
      <w:r>
        <w:rPr>
          <w:rFonts w:hint="eastAsia" w:ascii="宋体" w:hAnsi="宋体" w:cs="宋体"/>
        </w:rPr>
        <w:t>①</w:t>
      </w:r>
      <w:r>
        <w:t>机泵、风机选用低噪声设备。</w:t>
      </w:r>
    </w:p>
    <w:p w14:paraId="78D7E806">
      <w:pPr>
        <w:ind w:firstLine="480" w:firstLineChars="200"/>
      </w:pPr>
      <w:r>
        <w:rPr>
          <w:rFonts w:hint="eastAsia" w:ascii="宋体" w:hAnsi="宋体" w:cs="宋体"/>
        </w:rPr>
        <w:t>②</w:t>
      </w:r>
      <w:r>
        <w:t>在风机的进出口处安装消声器或消声弯头，以减少风机噪音传出室外。</w:t>
      </w:r>
    </w:p>
    <w:p w14:paraId="1748B283">
      <w:pPr>
        <w:ind w:firstLine="480" w:firstLineChars="200"/>
      </w:pPr>
      <w:r>
        <w:rPr>
          <w:rFonts w:hint="eastAsia" w:ascii="宋体" w:hAnsi="宋体" w:cs="宋体"/>
        </w:rPr>
        <w:t>③</w:t>
      </w:r>
      <w:r>
        <w:t>设备与管道连接处采取隔震措施。在风机的进出口采用150mm的夹不锈钢丝石棉帆布软接连接，水泵进出水管上采用可曲挠接头（避震喉），使设备震动与管道隔离。</w:t>
      </w:r>
    </w:p>
    <w:p w14:paraId="39465786">
      <w:pPr>
        <w:ind w:firstLine="480" w:firstLineChars="200"/>
      </w:pPr>
      <w:r>
        <w:rPr>
          <w:rFonts w:hint="eastAsia" w:ascii="宋体" w:hAnsi="宋体" w:cs="宋体"/>
        </w:rPr>
        <w:t>④</w:t>
      </w:r>
      <w:r>
        <w:t>设备安装采取减震，隔震措施。设备均采用减震台座，通过弹簧减震器或橡胶减震垫减震和降低噪音。</w:t>
      </w:r>
    </w:p>
    <w:p w14:paraId="5CE9137E">
      <w:pPr>
        <w:ind w:firstLine="480" w:firstLineChars="200"/>
      </w:pPr>
      <w:r>
        <w:rPr>
          <w:rFonts w:hint="eastAsia" w:ascii="宋体" w:hAnsi="宋体" w:cs="宋体"/>
        </w:rPr>
        <w:t>⑤</w:t>
      </w:r>
      <w:r>
        <w:t>邻近室内环境要求较高的设备机房采用隔声门窗，机房内贴消声材料。冷却塔出口冲上。</w:t>
      </w:r>
    </w:p>
    <w:p w14:paraId="06DAEA16">
      <w:pPr>
        <w:ind w:firstLine="480" w:firstLineChars="200"/>
      </w:pPr>
      <w:r>
        <w:rPr>
          <w:rFonts w:hint="eastAsia" w:ascii="宋体" w:hAnsi="宋体" w:cs="宋体"/>
        </w:rPr>
        <w:t>⑥</w:t>
      </w:r>
      <w:r>
        <w:t>强化工作人员规范操作控制，保证在厂界处的噪声强度能满足标准要求。</w:t>
      </w:r>
    </w:p>
    <w:p w14:paraId="09110FB2">
      <w:pPr>
        <w:ind w:firstLine="480" w:firstLineChars="200"/>
      </w:pPr>
      <w:bookmarkStart w:id="411" w:name="_Toc477422015"/>
      <w:r>
        <w:t>（2）预测模式</w:t>
      </w:r>
    </w:p>
    <w:p w14:paraId="15A177EE">
      <w:pPr>
        <w:spacing w:line="480" w:lineRule="exact"/>
        <w:ind w:firstLine="480" w:firstLineChars="200"/>
      </w:pPr>
      <w:r>
        <w:t>本项目运营期噪声源主要为各类机泵、风机运行时产生的噪声，营运期声源均位于封闭建筑物内，且距离较近，源强为70~85dB。根据导则中有关规定，工业设备噪声源都按点声源处理。项目采取低噪设备、风机加装消声器、基础减震措施后，降噪量取15dB，最终声源源强为72dB。</w:t>
      </w:r>
    </w:p>
    <w:p w14:paraId="00067D3F">
      <w:pPr>
        <w:ind w:firstLine="480" w:firstLineChars="200"/>
      </w:pPr>
      <w:r>
        <w:t>采用噪声数学模式，计算预测敏感点噪声级，其预测模式如下：</w:t>
      </w:r>
    </w:p>
    <w:p w14:paraId="3C4E33BE">
      <w:pPr>
        <w:ind w:firstLine="480" w:firstLineChars="200"/>
      </w:pPr>
      <w:r>
        <w:t>Lp=Lp</w:t>
      </w:r>
      <w:r>
        <w:rPr>
          <w:vertAlign w:val="subscript"/>
        </w:rPr>
        <w:t>o</w:t>
      </w:r>
      <w:r>
        <w:t>-20lg（r/r</w:t>
      </w:r>
      <w:r>
        <w:rPr>
          <w:vertAlign w:val="subscript"/>
        </w:rPr>
        <w:t>0</w:t>
      </w:r>
      <w:r>
        <w:t>）-ΔL</w:t>
      </w:r>
    </w:p>
    <w:p w14:paraId="304887AC">
      <w:pPr>
        <w:ind w:firstLine="480" w:firstLineChars="200"/>
      </w:pPr>
      <w:r>
        <w:t>式中: Lp—距声源r（m）处声压级，dB(A)；</w:t>
      </w:r>
    </w:p>
    <w:p w14:paraId="55CED392">
      <w:pPr>
        <w:ind w:firstLine="480" w:firstLineChars="200"/>
      </w:pPr>
      <w:r>
        <w:t>Lp</w:t>
      </w:r>
      <w:r>
        <w:rPr>
          <w:vertAlign w:val="subscript"/>
        </w:rPr>
        <w:t>o</w:t>
      </w:r>
      <w:r>
        <w:t>—距声源r</w:t>
      </w:r>
      <w:r>
        <w:rPr>
          <w:vertAlign w:val="subscript"/>
        </w:rPr>
        <w:t>0</w:t>
      </w:r>
      <w:r>
        <w:t>（m）处的声压级，dB(A)；</w:t>
      </w:r>
    </w:p>
    <w:p w14:paraId="016E806C">
      <w:pPr>
        <w:ind w:firstLine="480" w:firstLineChars="200"/>
      </w:pPr>
      <w:r>
        <w:t>r—距声源的距离，m；</w:t>
      </w:r>
    </w:p>
    <w:p w14:paraId="792E8F66">
      <w:pPr>
        <w:ind w:firstLine="480" w:firstLineChars="200"/>
      </w:pPr>
      <w:r>
        <w:t>r</w:t>
      </w:r>
      <w:r>
        <w:rPr>
          <w:vertAlign w:val="subscript"/>
        </w:rPr>
        <w:t>0</w:t>
      </w:r>
      <w:r>
        <w:t>—距声源1 m；</w:t>
      </w:r>
    </w:p>
    <w:p w14:paraId="2B2DE656">
      <w:pPr>
        <w:ind w:firstLine="480" w:firstLineChars="200"/>
      </w:pPr>
      <w:r>
        <w:t>ΔL—各种衰减量（除发散衰减外），dB(A)。室外无阻挡、阻碍设施，噪声源ΔL取零。</w:t>
      </w:r>
    </w:p>
    <w:p w14:paraId="27B196F7">
      <w:pPr>
        <w:ind w:firstLine="480" w:firstLineChars="200"/>
      </w:pPr>
      <w:r>
        <w:t>噪声值的叠加公式为：</w:t>
      </w:r>
    </w:p>
    <w:p w14:paraId="43A68165">
      <w:pPr>
        <w:spacing w:line="360" w:lineRule="auto"/>
        <w:jc w:val="center"/>
      </w:pPr>
      <w:r>
        <w:rPr>
          <w:rFonts w:hint="default" w:ascii="Times New Roman" w:hAnsi="Times New Roman" w:cs="Times New Roman"/>
        </w:rPr>
        <w:drawing>
          <wp:inline distT="0" distB="0" distL="114300" distR="114300">
            <wp:extent cx="4264025" cy="1023620"/>
            <wp:effectExtent l="0" t="0" r="3175" b="5080"/>
            <wp:docPr id="32" name="图片 24"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24" descr="4"/>
                    <pic:cNvPicPr>
                      <a:picLocks noChangeAspect="1"/>
                    </pic:cNvPicPr>
                  </pic:nvPicPr>
                  <pic:blipFill>
                    <a:blip r:embed="rId43"/>
                    <a:stretch>
                      <a:fillRect/>
                    </a:stretch>
                  </pic:blipFill>
                  <pic:spPr>
                    <a:xfrm>
                      <a:off x="0" y="0"/>
                      <a:ext cx="4264025" cy="1023620"/>
                    </a:xfrm>
                    <a:prstGeom prst="rect">
                      <a:avLst/>
                    </a:prstGeom>
                    <a:noFill/>
                    <a:ln>
                      <a:noFill/>
                    </a:ln>
                  </pic:spPr>
                </pic:pic>
              </a:graphicData>
            </a:graphic>
          </wp:inline>
        </w:drawing>
      </w:r>
    </w:p>
    <w:p w14:paraId="0EE5925F">
      <w:pPr>
        <w:pStyle w:val="6"/>
        <w:bidi w:val="0"/>
        <w:rPr>
          <w:rFonts w:hint="default"/>
          <w:lang w:val="en-US" w:eastAsia="zh-CN"/>
        </w:rPr>
      </w:pPr>
      <w:r>
        <w:rPr>
          <w:rFonts w:hint="eastAsia"/>
          <w:lang w:val="en-US" w:eastAsia="zh-CN"/>
        </w:rPr>
        <w:t>7.2.4.3预测结果</w:t>
      </w:r>
    </w:p>
    <w:p w14:paraId="1FE90741">
      <w:pPr>
        <w:rPr>
          <w:rFonts w:hint="default"/>
          <w:lang w:val="en-US" w:eastAsia="zh-CN"/>
        </w:rPr>
      </w:pPr>
      <w:r>
        <w:rPr>
          <w:rFonts w:hint="default"/>
          <w:lang w:val="en-US" w:eastAsia="zh-CN"/>
        </w:rPr>
        <w:t>本项目噪声主要是生产时废气引风机、水泵、行车等运行时发出的噪音，采取治理措施和厂房隔声后可以使得噪声值减少约 10dB(A)。项目运行期只在白天生产，夜间不进行生产。因此只对拟建项目昼间噪声排放情况进行预测。预测拟建项目运行时昼间噪声排放预测结果见</w:t>
      </w:r>
      <w:r>
        <w:rPr>
          <w:rFonts w:hint="eastAsia"/>
          <w:lang w:val="en-US" w:eastAsia="zh-CN"/>
        </w:rPr>
        <w:t>下表</w:t>
      </w:r>
      <w:r>
        <w:rPr>
          <w:rFonts w:hint="default"/>
          <w:lang w:val="en-US" w:eastAsia="zh-CN"/>
        </w:rPr>
        <w:t>。根据预测结果，拟建项目正常运营时，项目厂界噪声贡献值和预测值均能够达到《工业企业厂界环境噪声排放标准》（GB12348-2008）</w:t>
      </w:r>
      <w:r>
        <w:rPr>
          <w:rFonts w:hint="eastAsia"/>
          <w:lang w:val="en-US" w:eastAsia="zh-CN"/>
        </w:rPr>
        <w:t>2</w:t>
      </w:r>
      <w:r>
        <w:rPr>
          <w:rFonts w:hint="default"/>
          <w:lang w:val="en-US" w:eastAsia="zh-CN"/>
        </w:rPr>
        <w:t>类标准要求，厂界环境噪声能做到达标排放。项目运行后对项目所在区域的声环境现状影响很小，项目位于工业区，周围无居民集中区、学校等声环境敏感点，不会出现噪声扰民现象。</w:t>
      </w:r>
    </w:p>
    <w:p w14:paraId="4E65C26E">
      <w:pPr>
        <w:pStyle w:val="73"/>
        <w:spacing w:line="240" w:lineRule="auto"/>
        <w:ind w:left="0" w:leftChars="0" w:firstLine="0" w:firstLineChars="0"/>
        <w:jc w:val="center"/>
        <w:rPr>
          <w:rFonts w:hint="eastAsia"/>
          <w:lang w:val="en-US" w:eastAsia="zh-CN"/>
        </w:rPr>
      </w:pPr>
      <w:r>
        <w:rPr>
          <w:rFonts w:hint="eastAsia" w:ascii="黑体" w:hAnsi="黑体" w:eastAsia="黑体" w:cs="黑体"/>
          <w:sz w:val="21"/>
          <w:szCs w:val="21"/>
          <w:lang w:val="en-US" w:eastAsia="zh-CN"/>
        </w:rPr>
        <w:t>表7-15建设项目噪声排放预测结果dB（A）</w:t>
      </w:r>
    </w:p>
    <w:tbl>
      <w:tblPr>
        <w:tblStyle w:val="53"/>
        <w:tblW w:w="0" w:type="auto"/>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398"/>
        <w:gridCol w:w="1399"/>
        <w:gridCol w:w="1403"/>
        <w:gridCol w:w="1403"/>
        <w:gridCol w:w="1943"/>
        <w:gridCol w:w="1400"/>
      </w:tblGrid>
      <w:tr w14:paraId="2CA52FD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420" w:type="dxa"/>
            <w:tcBorders>
              <w:tl2br w:val="nil"/>
              <w:tr2bl w:val="nil"/>
            </w:tcBorders>
            <w:vAlign w:val="center"/>
          </w:tcPr>
          <w:p w14:paraId="48A22B8D">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预测点</w:t>
            </w:r>
          </w:p>
        </w:tc>
        <w:tc>
          <w:tcPr>
            <w:tcW w:w="1420" w:type="dxa"/>
            <w:tcBorders>
              <w:tl2br w:val="nil"/>
              <w:tr2bl w:val="nil"/>
            </w:tcBorders>
            <w:vAlign w:val="center"/>
          </w:tcPr>
          <w:p w14:paraId="0C92FA97">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背景值</w:t>
            </w:r>
          </w:p>
        </w:tc>
        <w:tc>
          <w:tcPr>
            <w:tcW w:w="1421" w:type="dxa"/>
            <w:tcBorders>
              <w:tl2br w:val="nil"/>
              <w:tr2bl w:val="nil"/>
            </w:tcBorders>
            <w:vAlign w:val="center"/>
          </w:tcPr>
          <w:p w14:paraId="5D9F1A57">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贡献值</w:t>
            </w:r>
          </w:p>
        </w:tc>
        <w:tc>
          <w:tcPr>
            <w:tcW w:w="1421" w:type="dxa"/>
            <w:tcBorders>
              <w:tl2br w:val="nil"/>
              <w:tr2bl w:val="nil"/>
            </w:tcBorders>
            <w:vAlign w:val="center"/>
          </w:tcPr>
          <w:p w14:paraId="08F84A30">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预测值</w:t>
            </w:r>
          </w:p>
        </w:tc>
        <w:tc>
          <w:tcPr>
            <w:tcW w:w="1421" w:type="dxa"/>
            <w:tcBorders>
              <w:tl2br w:val="nil"/>
              <w:tr2bl w:val="nil"/>
            </w:tcBorders>
            <w:vAlign w:val="center"/>
          </w:tcPr>
          <w:p w14:paraId="0430CF3D">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标准要求</w:t>
            </w:r>
          </w:p>
        </w:tc>
        <w:tc>
          <w:tcPr>
            <w:tcW w:w="1421" w:type="dxa"/>
            <w:tcBorders>
              <w:tl2br w:val="nil"/>
              <w:tr2bl w:val="nil"/>
            </w:tcBorders>
            <w:vAlign w:val="center"/>
          </w:tcPr>
          <w:p w14:paraId="12C4053B">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sz w:val="21"/>
                <w:szCs w:val="21"/>
                <w:vertAlign w:val="baseline"/>
                <w:lang w:val="en-US" w:eastAsia="zh-CN"/>
              </w:rPr>
            </w:pPr>
            <w:r>
              <w:rPr>
                <w:rFonts w:hint="eastAsia"/>
                <w:sz w:val="21"/>
                <w:szCs w:val="21"/>
                <w:vertAlign w:val="baseline"/>
                <w:lang w:val="en-US" w:eastAsia="zh-CN"/>
              </w:rPr>
              <w:t>达标分析</w:t>
            </w:r>
          </w:p>
        </w:tc>
      </w:tr>
      <w:tr w14:paraId="3588D45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420" w:type="dxa"/>
            <w:tcBorders>
              <w:tl2br w:val="nil"/>
              <w:tr2bl w:val="nil"/>
            </w:tcBorders>
            <w:vAlign w:val="center"/>
          </w:tcPr>
          <w:p w14:paraId="51C4B92D">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厂界东</w:t>
            </w:r>
          </w:p>
        </w:tc>
        <w:tc>
          <w:tcPr>
            <w:tcW w:w="1420" w:type="dxa"/>
            <w:tcBorders>
              <w:tl2br w:val="nil"/>
              <w:tr2bl w:val="nil"/>
            </w:tcBorders>
            <w:vAlign w:val="center"/>
          </w:tcPr>
          <w:p w14:paraId="7F6DFEBD">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51</w:t>
            </w:r>
          </w:p>
        </w:tc>
        <w:tc>
          <w:tcPr>
            <w:tcW w:w="1421" w:type="dxa"/>
            <w:tcBorders>
              <w:tl2br w:val="nil"/>
              <w:tr2bl w:val="nil"/>
            </w:tcBorders>
            <w:vAlign w:val="center"/>
          </w:tcPr>
          <w:p w14:paraId="34E497EB">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53</w:t>
            </w:r>
          </w:p>
        </w:tc>
        <w:tc>
          <w:tcPr>
            <w:tcW w:w="1421" w:type="dxa"/>
            <w:tcBorders>
              <w:tl2br w:val="nil"/>
              <w:tr2bl w:val="nil"/>
            </w:tcBorders>
            <w:vAlign w:val="center"/>
          </w:tcPr>
          <w:p w14:paraId="6100FBCB">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55</w:t>
            </w:r>
          </w:p>
        </w:tc>
        <w:tc>
          <w:tcPr>
            <w:tcW w:w="1421" w:type="dxa"/>
            <w:vMerge w:val="restart"/>
            <w:tcBorders>
              <w:tl2br w:val="nil"/>
              <w:tr2bl w:val="nil"/>
            </w:tcBorders>
            <w:vAlign w:val="center"/>
          </w:tcPr>
          <w:p w14:paraId="22A39DC2">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《工业企业厂界噪声排放标准》（GB12348-2008）2类标准要求</w:t>
            </w:r>
          </w:p>
        </w:tc>
        <w:tc>
          <w:tcPr>
            <w:tcW w:w="1421" w:type="dxa"/>
            <w:tcBorders>
              <w:tl2br w:val="nil"/>
              <w:tr2bl w:val="nil"/>
            </w:tcBorders>
            <w:vAlign w:val="center"/>
          </w:tcPr>
          <w:p w14:paraId="5706F060">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达标</w:t>
            </w:r>
          </w:p>
        </w:tc>
      </w:tr>
      <w:tr w14:paraId="62697F2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420" w:type="dxa"/>
            <w:tcBorders>
              <w:tl2br w:val="nil"/>
              <w:tr2bl w:val="nil"/>
            </w:tcBorders>
            <w:vAlign w:val="center"/>
          </w:tcPr>
          <w:p w14:paraId="511143F1">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厂界南</w:t>
            </w:r>
          </w:p>
        </w:tc>
        <w:tc>
          <w:tcPr>
            <w:tcW w:w="1420" w:type="dxa"/>
            <w:tcBorders>
              <w:tl2br w:val="nil"/>
              <w:tr2bl w:val="nil"/>
            </w:tcBorders>
            <w:vAlign w:val="center"/>
          </w:tcPr>
          <w:p w14:paraId="02DE18FC">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48</w:t>
            </w:r>
          </w:p>
        </w:tc>
        <w:tc>
          <w:tcPr>
            <w:tcW w:w="1421" w:type="dxa"/>
            <w:tcBorders>
              <w:tl2br w:val="nil"/>
              <w:tr2bl w:val="nil"/>
            </w:tcBorders>
            <w:vAlign w:val="center"/>
          </w:tcPr>
          <w:p w14:paraId="65FA67A4">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41.3</w:t>
            </w:r>
          </w:p>
        </w:tc>
        <w:tc>
          <w:tcPr>
            <w:tcW w:w="1421" w:type="dxa"/>
            <w:tcBorders>
              <w:tl2br w:val="nil"/>
              <w:tr2bl w:val="nil"/>
            </w:tcBorders>
            <w:vAlign w:val="center"/>
          </w:tcPr>
          <w:p w14:paraId="5DB96147">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49.3</w:t>
            </w:r>
          </w:p>
        </w:tc>
        <w:tc>
          <w:tcPr>
            <w:tcW w:w="1421" w:type="dxa"/>
            <w:vMerge w:val="continue"/>
            <w:tcBorders>
              <w:tl2br w:val="nil"/>
              <w:tr2bl w:val="nil"/>
            </w:tcBorders>
            <w:vAlign w:val="center"/>
          </w:tcPr>
          <w:p w14:paraId="1E50FA89">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sz w:val="21"/>
                <w:szCs w:val="21"/>
                <w:vertAlign w:val="baseline"/>
                <w:lang w:val="en-US" w:eastAsia="zh-CN"/>
              </w:rPr>
            </w:pPr>
          </w:p>
        </w:tc>
        <w:tc>
          <w:tcPr>
            <w:tcW w:w="1421" w:type="dxa"/>
            <w:tcBorders>
              <w:tl2br w:val="nil"/>
              <w:tr2bl w:val="nil"/>
            </w:tcBorders>
            <w:vAlign w:val="center"/>
          </w:tcPr>
          <w:p w14:paraId="754AFBD7">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达标</w:t>
            </w:r>
          </w:p>
        </w:tc>
      </w:tr>
      <w:tr w14:paraId="0647CDB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420" w:type="dxa"/>
            <w:tcBorders>
              <w:tl2br w:val="nil"/>
              <w:tr2bl w:val="nil"/>
            </w:tcBorders>
            <w:vAlign w:val="center"/>
          </w:tcPr>
          <w:p w14:paraId="6475346E">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厂界西</w:t>
            </w:r>
          </w:p>
        </w:tc>
        <w:tc>
          <w:tcPr>
            <w:tcW w:w="1420" w:type="dxa"/>
            <w:tcBorders>
              <w:tl2br w:val="nil"/>
              <w:tr2bl w:val="nil"/>
            </w:tcBorders>
            <w:vAlign w:val="center"/>
          </w:tcPr>
          <w:p w14:paraId="21B1C1C1">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42</w:t>
            </w:r>
          </w:p>
        </w:tc>
        <w:tc>
          <w:tcPr>
            <w:tcW w:w="1421" w:type="dxa"/>
            <w:tcBorders>
              <w:tl2br w:val="nil"/>
              <w:tr2bl w:val="nil"/>
            </w:tcBorders>
            <w:vAlign w:val="center"/>
          </w:tcPr>
          <w:p w14:paraId="54E1644D">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34.6</w:t>
            </w:r>
          </w:p>
        </w:tc>
        <w:tc>
          <w:tcPr>
            <w:tcW w:w="1421" w:type="dxa"/>
            <w:tcBorders>
              <w:tl2br w:val="nil"/>
              <w:tr2bl w:val="nil"/>
            </w:tcBorders>
            <w:vAlign w:val="center"/>
          </w:tcPr>
          <w:p w14:paraId="7C77F9BA">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43.3</w:t>
            </w:r>
          </w:p>
        </w:tc>
        <w:tc>
          <w:tcPr>
            <w:tcW w:w="1421" w:type="dxa"/>
            <w:vMerge w:val="continue"/>
            <w:tcBorders>
              <w:tl2br w:val="nil"/>
              <w:tr2bl w:val="nil"/>
            </w:tcBorders>
            <w:vAlign w:val="center"/>
          </w:tcPr>
          <w:p w14:paraId="608EA7DA">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sz w:val="21"/>
                <w:szCs w:val="21"/>
                <w:vertAlign w:val="baseline"/>
                <w:lang w:val="en-US" w:eastAsia="zh-CN"/>
              </w:rPr>
            </w:pPr>
          </w:p>
        </w:tc>
        <w:tc>
          <w:tcPr>
            <w:tcW w:w="1421" w:type="dxa"/>
            <w:tcBorders>
              <w:tl2br w:val="nil"/>
              <w:tr2bl w:val="nil"/>
            </w:tcBorders>
            <w:vAlign w:val="center"/>
          </w:tcPr>
          <w:p w14:paraId="7423FE16">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达标</w:t>
            </w:r>
          </w:p>
        </w:tc>
      </w:tr>
      <w:tr w14:paraId="71C9A50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420" w:type="dxa"/>
            <w:tcBorders>
              <w:tl2br w:val="nil"/>
              <w:tr2bl w:val="nil"/>
            </w:tcBorders>
            <w:vAlign w:val="center"/>
          </w:tcPr>
          <w:p w14:paraId="3D64F843">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sz w:val="21"/>
                <w:szCs w:val="21"/>
                <w:vertAlign w:val="baseline"/>
                <w:lang w:val="en-US" w:eastAsia="zh-CN"/>
              </w:rPr>
            </w:pPr>
            <w:r>
              <w:rPr>
                <w:rFonts w:hint="eastAsia"/>
                <w:sz w:val="21"/>
                <w:szCs w:val="21"/>
                <w:vertAlign w:val="baseline"/>
                <w:lang w:val="en-US" w:eastAsia="zh-CN"/>
              </w:rPr>
              <w:t>厂界北</w:t>
            </w:r>
          </w:p>
        </w:tc>
        <w:tc>
          <w:tcPr>
            <w:tcW w:w="1420" w:type="dxa"/>
            <w:tcBorders>
              <w:tl2br w:val="nil"/>
              <w:tr2bl w:val="nil"/>
            </w:tcBorders>
            <w:vAlign w:val="center"/>
          </w:tcPr>
          <w:p w14:paraId="19EB0C37">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50</w:t>
            </w:r>
          </w:p>
        </w:tc>
        <w:tc>
          <w:tcPr>
            <w:tcW w:w="1421" w:type="dxa"/>
            <w:tcBorders>
              <w:tl2br w:val="nil"/>
              <w:tr2bl w:val="nil"/>
            </w:tcBorders>
            <w:vAlign w:val="center"/>
          </w:tcPr>
          <w:p w14:paraId="0D653671">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33</w:t>
            </w:r>
          </w:p>
        </w:tc>
        <w:tc>
          <w:tcPr>
            <w:tcW w:w="1421" w:type="dxa"/>
            <w:tcBorders>
              <w:tl2br w:val="nil"/>
              <w:tr2bl w:val="nil"/>
            </w:tcBorders>
            <w:vAlign w:val="center"/>
          </w:tcPr>
          <w:p w14:paraId="7E7B5DE0">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50.6</w:t>
            </w:r>
          </w:p>
        </w:tc>
        <w:tc>
          <w:tcPr>
            <w:tcW w:w="1421" w:type="dxa"/>
            <w:vMerge w:val="continue"/>
            <w:tcBorders>
              <w:tl2br w:val="nil"/>
              <w:tr2bl w:val="nil"/>
            </w:tcBorders>
            <w:vAlign w:val="center"/>
          </w:tcPr>
          <w:p w14:paraId="49561CCC">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sz w:val="21"/>
                <w:szCs w:val="21"/>
                <w:vertAlign w:val="baseline"/>
                <w:lang w:val="en-US" w:eastAsia="zh-CN"/>
              </w:rPr>
            </w:pPr>
          </w:p>
        </w:tc>
        <w:tc>
          <w:tcPr>
            <w:tcW w:w="1421" w:type="dxa"/>
            <w:tcBorders>
              <w:tl2br w:val="nil"/>
              <w:tr2bl w:val="nil"/>
            </w:tcBorders>
            <w:vAlign w:val="center"/>
          </w:tcPr>
          <w:p w14:paraId="216D2F79">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达标</w:t>
            </w:r>
          </w:p>
        </w:tc>
      </w:tr>
      <w:bookmarkEnd w:id="411"/>
    </w:tbl>
    <w:p w14:paraId="20C7F4ED">
      <w:pPr>
        <w:bidi w:val="0"/>
        <w:rPr>
          <w:rFonts w:hint="default" w:eastAsia="宋体"/>
          <w:lang w:val="en-US" w:eastAsia="zh-CN"/>
        </w:rPr>
      </w:pPr>
      <w:bookmarkStart w:id="412" w:name="_Toc477422020"/>
      <w:bookmarkStart w:id="413" w:name="_Toc202324102"/>
      <w:r>
        <w:rPr>
          <w:rFonts w:hint="eastAsia"/>
          <w:lang w:eastAsia="zh-CN"/>
        </w:rPr>
        <w:t>对照《环境影响评价技术导则</w:t>
      </w:r>
      <w:r>
        <w:rPr>
          <w:rFonts w:hint="eastAsia"/>
          <w:lang w:val="en-US" w:eastAsia="zh-CN"/>
        </w:rPr>
        <w:t xml:space="preserve"> 声环境</w:t>
      </w:r>
      <w:r>
        <w:rPr>
          <w:rFonts w:hint="eastAsia"/>
          <w:lang w:eastAsia="zh-CN"/>
        </w:rPr>
        <w:t>》（</w:t>
      </w:r>
      <w:r>
        <w:rPr>
          <w:rFonts w:hint="eastAsia"/>
          <w:lang w:val="en-US" w:eastAsia="zh-CN"/>
        </w:rPr>
        <w:t>HJ2.4-2009</w:t>
      </w:r>
      <w:r>
        <w:rPr>
          <w:rFonts w:hint="eastAsia"/>
          <w:lang w:eastAsia="zh-CN"/>
        </w:rPr>
        <w:t>）</w:t>
      </w:r>
      <w:r>
        <w:rPr>
          <w:rFonts w:hint="eastAsia"/>
          <w:lang w:val="en-US" w:eastAsia="zh-CN"/>
        </w:rPr>
        <w:t>：“二级评价要求：根据评价需要绘制等声级线图”，本项目为扩建项目，位于原有厂区内，</w:t>
      </w:r>
      <w:r>
        <w:rPr>
          <w:rFonts w:hint="eastAsia"/>
          <w:lang w:eastAsia="zh-CN"/>
        </w:rPr>
        <w:t>根据环评期间对现有</w:t>
      </w:r>
      <w:r>
        <w:t>厂界四周声环境质量</w:t>
      </w:r>
      <w:r>
        <w:rPr>
          <w:rFonts w:hint="eastAsia"/>
          <w:lang w:eastAsia="zh-CN"/>
        </w:rPr>
        <w:t>现状监测，厂界噪声</w:t>
      </w:r>
      <w:r>
        <w:t>满足《声环境质量标准》(GB3096-2008)中</w:t>
      </w:r>
      <w:r>
        <w:rPr>
          <w:rFonts w:hint="eastAsia"/>
          <w:lang w:val="en-US" w:eastAsia="zh-CN"/>
        </w:rPr>
        <w:t>2</w:t>
      </w:r>
      <w:r>
        <w:t>类标准要求</w:t>
      </w:r>
      <w:r>
        <w:rPr>
          <w:rFonts w:hint="eastAsia"/>
          <w:lang w:eastAsia="zh-CN"/>
        </w:rPr>
        <w:t>，声环境质量较好。</w:t>
      </w:r>
      <w:r>
        <w:rPr>
          <w:rFonts w:hint="eastAsia"/>
          <w:lang w:val="en-US" w:eastAsia="zh-CN"/>
        </w:rPr>
        <w:t>同时项目位于</w:t>
      </w:r>
      <w:r>
        <w:rPr>
          <w:rFonts w:hint="eastAsia"/>
          <w:lang w:eastAsia="zh-CN"/>
        </w:rPr>
        <w:t>辽宁（本溪</w:t>
      </w:r>
      <w:r>
        <w:rPr>
          <w:rFonts w:hint="eastAsia" w:eastAsia="宋体" w:cs="Times New Roman"/>
          <w:lang w:eastAsia="zh-CN"/>
        </w:rPr>
        <w:t>湖）再生资源产业园园区内，</w:t>
      </w:r>
      <w:r>
        <w:rPr>
          <w:rFonts w:hint="eastAsia"/>
          <w:lang w:val="en-US" w:eastAsia="zh-CN"/>
        </w:rPr>
        <w:t>产噪设备均远离厂界布设，</w:t>
      </w:r>
      <w:r>
        <w:rPr>
          <w:rFonts w:hint="eastAsia" w:eastAsia="宋体" w:cs="Times New Roman"/>
          <w:lang w:eastAsia="zh-CN"/>
        </w:rPr>
        <w:t>项目对周围声环境影响较小，因此无需绘制等声级线图。</w:t>
      </w:r>
    </w:p>
    <w:p w14:paraId="6C593D04">
      <w:pPr>
        <w:pStyle w:val="5"/>
        <w:bidi w:val="0"/>
      </w:pPr>
      <w:r>
        <w:rPr>
          <w:rFonts w:hint="eastAsia"/>
          <w:lang w:val="en-US" w:eastAsia="zh-CN"/>
        </w:rPr>
        <w:t>7</w:t>
      </w:r>
      <w:r>
        <w:t>.2.5固体废物环境影响分析</w:t>
      </w:r>
      <w:bookmarkEnd w:id="412"/>
      <w:bookmarkEnd w:id="413"/>
    </w:p>
    <w:p w14:paraId="3F0FDAF2">
      <w:pPr>
        <w:bidi w:val="0"/>
        <w:rPr>
          <w:rFonts w:hint="eastAsia"/>
        </w:rPr>
      </w:pPr>
      <w:r>
        <w:rPr>
          <w:rFonts w:hint="eastAsia"/>
        </w:rPr>
        <w:t>（1）一般固废处置措施</w:t>
      </w:r>
    </w:p>
    <w:p w14:paraId="01587F43">
      <w:pPr>
        <w:bidi w:val="0"/>
        <w:rPr>
          <w:rFonts w:hint="eastAsia"/>
        </w:rPr>
      </w:pPr>
      <w:r>
        <w:rPr>
          <w:rFonts w:hint="eastAsia"/>
        </w:rPr>
        <w:t>本项目产生的生活垃圾在车间收集后由环卫部门统一处理，集中送生活垃圾填埋场进行卫生填埋。</w:t>
      </w:r>
    </w:p>
    <w:p w14:paraId="20BD3ACE">
      <w:pPr>
        <w:numPr>
          <w:ilvl w:val="0"/>
          <w:numId w:val="9"/>
        </w:numPr>
        <w:bidi w:val="0"/>
        <w:ind w:left="0" w:leftChars="0" w:firstLine="480" w:firstLineChars="200"/>
        <w:rPr>
          <w:rFonts w:hint="eastAsia"/>
        </w:rPr>
      </w:pPr>
      <w:r>
        <w:rPr>
          <w:rFonts w:hint="eastAsia"/>
        </w:rPr>
        <w:t>危险固废处置措施</w:t>
      </w:r>
    </w:p>
    <w:p w14:paraId="432B04A7">
      <w:pPr>
        <w:bidi w:val="0"/>
        <w:rPr>
          <w:rFonts w:hint="eastAsia"/>
          <w:lang w:val="en-US" w:eastAsia="zh-CN"/>
        </w:rPr>
      </w:pPr>
      <w:r>
        <w:rPr>
          <w:rFonts w:hint="default"/>
          <w:lang w:val="en-US" w:eastAsia="zh-CN"/>
        </w:rPr>
        <w:t>本项目运营期产生的主要危险固废为废槽液</w:t>
      </w:r>
      <w:r>
        <w:rPr>
          <w:rFonts w:hint="eastAsia"/>
          <w:lang w:val="en-US" w:eastAsia="zh-CN"/>
        </w:rPr>
        <w:t>（电解脱脂槽）</w:t>
      </w:r>
      <w:r>
        <w:rPr>
          <w:rFonts w:hint="default"/>
          <w:lang w:val="en-US" w:eastAsia="zh-CN"/>
        </w:rPr>
        <w:t>、废吸收</w:t>
      </w:r>
      <w:r>
        <w:rPr>
          <w:rFonts w:hint="eastAsia"/>
          <w:lang w:val="en-US" w:eastAsia="zh-CN"/>
        </w:rPr>
        <w:t>剂（废气净化）</w:t>
      </w:r>
      <w:r>
        <w:rPr>
          <w:rFonts w:hint="default"/>
          <w:lang w:val="en-US" w:eastAsia="zh-CN"/>
        </w:rPr>
        <w:t>、电镀滤（废）渣和污泥、废过滤机滤芯</w:t>
      </w:r>
      <w:r>
        <w:rPr>
          <w:rFonts w:hint="eastAsia"/>
          <w:lang w:val="en-US" w:eastAsia="zh-CN"/>
        </w:rPr>
        <w:t>（槽液过滤）</w:t>
      </w:r>
      <w:r>
        <w:rPr>
          <w:rFonts w:hint="default"/>
          <w:lang w:val="en-US" w:eastAsia="zh-CN"/>
        </w:rPr>
        <w:t>、废交换树脂</w:t>
      </w:r>
      <w:r>
        <w:rPr>
          <w:rFonts w:hint="eastAsia"/>
          <w:lang w:val="en-US" w:eastAsia="zh-CN"/>
        </w:rPr>
        <w:t>（废水净化）</w:t>
      </w:r>
      <w:r>
        <w:rPr>
          <w:rFonts w:hint="default"/>
          <w:lang w:val="en-US" w:eastAsia="zh-CN"/>
        </w:rPr>
        <w:t>。</w:t>
      </w:r>
      <w:r>
        <w:rPr>
          <w:rFonts w:hint="eastAsia"/>
          <w:lang w:val="en-US" w:eastAsia="zh-CN"/>
        </w:rPr>
        <w:t>固体废物具体产生情况如下表所示。</w:t>
      </w:r>
    </w:p>
    <w:p w14:paraId="3806A035">
      <w:pPr>
        <w:pStyle w:val="72"/>
        <w:jc w:val="center"/>
        <w:rPr>
          <w:rFonts w:hint="eastAsia"/>
          <w:lang w:val="en-US" w:eastAsia="zh-CN"/>
        </w:rPr>
      </w:pPr>
      <w:r>
        <w:rPr>
          <w:rFonts w:hint="eastAsia" w:ascii="黑体" w:hAnsi="黑体" w:eastAsia="黑体" w:cs="黑体"/>
          <w:sz w:val="21"/>
          <w:szCs w:val="21"/>
          <w:lang w:val="en-US" w:eastAsia="zh-CN"/>
        </w:rPr>
        <w:t>表7-16固体废物产排情况一览表</w:t>
      </w:r>
    </w:p>
    <w:tbl>
      <w:tblPr>
        <w:tblStyle w:val="53"/>
        <w:tblW w:w="4997"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2439"/>
        <w:gridCol w:w="1789"/>
        <w:gridCol w:w="2031"/>
        <w:gridCol w:w="1548"/>
      </w:tblGrid>
      <w:tr w14:paraId="57492D3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34" w:type="pct"/>
            <w:tcBorders>
              <w:tl2br w:val="nil"/>
              <w:tr2bl w:val="nil"/>
            </w:tcBorders>
            <w:vAlign w:val="center"/>
          </w:tcPr>
          <w:p w14:paraId="1903827F">
            <w:pPr>
              <w:pStyle w:val="72"/>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序号</w:t>
            </w:r>
          </w:p>
        </w:tc>
        <w:tc>
          <w:tcPr>
            <w:tcW w:w="1363" w:type="pct"/>
            <w:tcBorders>
              <w:tl2br w:val="nil"/>
              <w:tr2bl w:val="nil"/>
            </w:tcBorders>
            <w:vAlign w:val="center"/>
          </w:tcPr>
          <w:p w14:paraId="2E1314B5">
            <w:pPr>
              <w:pStyle w:val="72"/>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固体废物名称</w:t>
            </w:r>
          </w:p>
        </w:tc>
        <w:tc>
          <w:tcPr>
            <w:tcW w:w="1000" w:type="pct"/>
            <w:tcBorders>
              <w:tl2br w:val="nil"/>
              <w:tr2bl w:val="nil"/>
            </w:tcBorders>
            <w:vAlign w:val="center"/>
          </w:tcPr>
          <w:p w14:paraId="6956836B">
            <w:pPr>
              <w:pStyle w:val="72"/>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固体废物属性</w:t>
            </w:r>
          </w:p>
        </w:tc>
        <w:tc>
          <w:tcPr>
            <w:tcW w:w="1135" w:type="pct"/>
            <w:tcBorders>
              <w:tl2br w:val="nil"/>
              <w:tr2bl w:val="nil"/>
            </w:tcBorders>
            <w:vAlign w:val="center"/>
          </w:tcPr>
          <w:p w14:paraId="4E08559B">
            <w:pPr>
              <w:pStyle w:val="72"/>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产生量</w:t>
            </w:r>
          </w:p>
        </w:tc>
        <w:tc>
          <w:tcPr>
            <w:tcW w:w="865" w:type="pct"/>
            <w:tcBorders>
              <w:tl2br w:val="nil"/>
              <w:tr2bl w:val="nil"/>
            </w:tcBorders>
            <w:vAlign w:val="center"/>
          </w:tcPr>
          <w:p w14:paraId="77C05542">
            <w:pPr>
              <w:pStyle w:val="72"/>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处置去向</w:t>
            </w:r>
          </w:p>
        </w:tc>
      </w:tr>
      <w:tr w14:paraId="541EBCB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34" w:type="pct"/>
            <w:tcBorders>
              <w:tl2br w:val="nil"/>
              <w:tr2bl w:val="nil"/>
            </w:tcBorders>
            <w:vAlign w:val="center"/>
          </w:tcPr>
          <w:p w14:paraId="3A31545A">
            <w:pPr>
              <w:pStyle w:val="72"/>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w:t>
            </w:r>
          </w:p>
        </w:tc>
        <w:tc>
          <w:tcPr>
            <w:tcW w:w="1363" w:type="pct"/>
            <w:tcBorders>
              <w:tl2br w:val="nil"/>
              <w:tr2bl w:val="nil"/>
            </w:tcBorders>
            <w:vAlign w:val="center"/>
          </w:tcPr>
          <w:p w14:paraId="11361DE1">
            <w:pPr>
              <w:pStyle w:val="72"/>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lang w:val="en-US" w:eastAsia="zh-CN"/>
              </w:rPr>
              <w:t>废槽液</w:t>
            </w:r>
          </w:p>
        </w:tc>
        <w:tc>
          <w:tcPr>
            <w:tcW w:w="1000" w:type="pct"/>
            <w:tcBorders>
              <w:tl2br w:val="nil"/>
              <w:tr2bl w:val="nil"/>
            </w:tcBorders>
            <w:vAlign w:val="center"/>
          </w:tcPr>
          <w:p w14:paraId="4B97825A">
            <w:pPr>
              <w:pStyle w:val="72"/>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 xml:space="preserve">HW17 </w:t>
            </w:r>
            <w:r>
              <w:rPr>
                <w:rFonts w:hint="eastAsia" w:ascii="宋体" w:hAnsi="宋体" w:eastAsia="宋体" w:cs="宋体"/>
                <w:color w:val="000000"/>
                <w:kern w:val="0"/>
                <w:sz w:val="21"/>
                <w:szCs w:val="21"/>
                <w:lang w:val="en-US" w:eastAsia="zh-CN" w:bidi="ar"/>
              </w:rPr>
              <w:t>346-063-17</w:t>
            </w:r>
          </w:p>
        </w:tc>
        <w:tc>
          <w:tcPr>
            <w:tcW w:w="1135" w:type="pct"/>
            <w:tcBorders>
              <w:tl2br w:val="nil"/>
              <w:tr2bl w:val="nil"/>
            </w:tcBorders>
            <w:vAlign w:val="center"/>
          </w:tcPr>
          <w:p w14:paraId="53A35198">
            <w:pPr>
              <w:pStyle w:val="72"/>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w:t>
            </w:r>
            <w:r>
              <w:rPr>
                <w:rFonts w:hint="eastAsia" w:ascii="宋体" w:hAnsi="宋体" w:eastAsia="宋体" w:cs="宋体"/>
                <w:sz w:val="21"/>
                <w:szCs w:val="21"/>
                <w:highlight w:val="none"/>
                <w:lang w:val="en-US" w:eastAsia="zh-CN"/>
              </w:rPr>
              <w:t>t/a</w:t>
            </w:r>
          </w:p>
        </w:tc>
        <w:tc>
          <w:tcPr>
            <w:tcW w:w="865" w:type="pct"/>
            <w:vMerge w:val="restart"/>
            <w:tcBorders>
              <w:tl2br w:val="nil"/>
              <w:tr2bl w:val="nil"/>
            </w:tcBorders>
            <w:vAlign w:val="center"/>
          </w:tcPr>
          <w:p w14:paraId="3AE3D38C">
            <w:pPr>
              <w:pStyle w:val="72"/>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危废间分区暂存后交由资质单位处置</w:t>
            </w:r>
          </w:p>
        </w:tc>
      </w:tr>
      <w:tr w14:paraId="4AD1298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34" w:type="pct"/>
            <w:tcBorders>
              <w:tl2br w:val="nil"/>
              <w:tr2bl w:val="nil"/>
            </w:tcBorders>
            <w:vAlign w:val="center"/>
          </w:tcPr>
          <w:p w14:paraId="62C81D73">
            <w:pPr>
              <w:pStyle w:val="72"/>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w:t>
            </w:r>
          </w:p>
        </w:tc>
        <w:tc>
          <w:tcPr>
            <w:tcW w:w="1363" w:type="pct"/>
            <w:tcBorders>
              <w:tl2br w:val="nil"/>
              <w:tr2bl w:val="nil"/>
            </w:tcBorders>
            <w:vAlign w:val="center"/>
          </w:tcPr>
          <w:p w14:paraId="2C2EB033">
            <w:pPr>
              <w:pStyle w:val="72"/>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lang w:val="en-US" w:eastAsia="zh-CN"/>
              </w:rPr>
              <w:t>废吸收剂</w:t>
            </w:r>
          </w:p>
        </w:tc>
        <w:tc>
          <w:tcPr>
            <w:tcW w:w="1000" w:type="pct"/>
            <w:tcBorders>
              <w:tl2br w:val="nil"/>
              <w:tr2bl w:val="nil"/>
            </w:tcBorders>
            <w:vAlign w:val="center"/>
          </w:tcPr>
          <w:p w14:paraId="01D846C8">
            <w:pPr>
              <w:pStyle w:val="72"/>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 xml:space="preserve">HW17 </w:t>
            </w:r>
            <w:r>
              <w:rPr>
                <w:rFonts w:hint="eastAsia" w:ascii="宋体" w:hAnsi="宋体" w:eastAsia="宋体" w:cs="宋体"/>
                <w:color w:val="000000"/>
                <w:kern w:val="0"/>
                <w:sz w:val="21"/>
                <w:szCs w:val="21"/>
                <w:lang w:val="en-US" w:eastAsia="zh-CN" w:bidi="ar"/>
              </w:rPr>
              <w:t>346-063-17</w:t>
            </w:r>
          </w:p>
        </w:tc>
        <w:tc>
          <w:tcPr>
            <w:tcW w:w="1135" w:type="pct"/>
            <w:tcBorders>
              <w:tl2br w:val="nil"/>
              <w:tr2bl w:val="nil"/>
            </w:tcBorders>
            <w:vAlign w:val="center"/>
          </w:tcPr>
          <w:p w14:paraId="349EEB4A">
            <w:pPr>
              <w:pStyle w:val="72"/>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0.1</w:t>
            </w:r>
            <w:r>
              <w:rPr>
                <w:rFonts w:hint="eastAsia" w:ascii="宋体" w:hAnsi="宋体" w:eastAsia="宋体" w:cs="宋体"/>
                <w:sz w:val="21"/>
                <w:szCs w:val="21"/>
                <w:highlight w:val="none"/>
                <w:lang w:val="en-US" w:eastAsia="zh-CN"/>
              </w:rPr>
              <w:t>t/a</w:t>
            </w:r>
          </w:p>
        </w:tc>
        <w:tc>
          <w:tcPr>
            <w:tcW w:w="865" w:type="pct"/>
            <w:vMerge w:val="continue"/>
            <w:tcBorders>
              <w:tl2br w:val="nil"/>
              <w:tr2bl w:val="nil"/>
            </w:tcBorders>
            <w:vAlign w:val="center"/>
          </w:tcPr>
          <w:p w14:paraId="06361FEB">
            <w:pPr>
              <w:pStyle w:val="72"/>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p>
        </w:tc>
      </w:tr>
      <w:tr w14:paraId="5AE55BD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34" w:type="pct"/>
            <w:tcBorders>
              <w:tl2br w:val="nil"/>
              <w:tr2bl w:val="nil"/>
            </w:tcBorders>
            <w:vAlign w:val="center"/>
          </w:tcPr>
          <w:p w14:paraId="5CF8BFAF">
            <w:pPr>
              <w:pStyle w:val="72"/>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3</w:t>
            </w:r>
          </w:p>
        </w:tc>
        <w:tc>
          <w:tcPr>
            <w:tcW w:w="1363" w:type="pct"/>
            <w:tcBorders>
              <w:tl2br w:val="nil"/>
              <w:tr2bl w:val="nil"/>
            </w:tcBorders>
            <w:vAlign w:val="center"/>
          </w:tcPr>
          <w:p w14:paraId="78899541">
            <w:pPr>
              <w:pStyle w:val="72"/>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lang w:val="en-US" w:eastAsia="zh-CN"/>
              </w:rPr>
              <w:t>电镀滤（废）渣和污泥</w:t>
            </w:r>
          </w:p>
        </w:tc>
        <w:tc>
          <w:tcPr>
            <w:tcW w:w="1000" w:type="pct"/>
            <w:tcBorders>
              <w:tl2br w:val="nil"/>
              <w:tr2bl w:val="nil"/>
            </w:tcBorders>
            <w:vAlign w:val="center"/>
          </w:tcPr>
          <w:p w14:paraId="2D43BB7B">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 xml:space="preserve">HW17 </w:t>
            </w:r>
            <w:r>
              <w:rPr>
                <w:rFonts w:hint="eastAsia" w:ascii="宋体" w:hAnsi="宋体" w:eastAsia="宋体" w:cs="宋体"/>
                <w:color w:val="000000"/>
                <w:kern w:val="0"/>
                <w:sz w:val="21"/>
                <w:szCs w:val="21"/>
                <w:lang w:val="en-US" w:eastAsia="zh-CN" w:bidi="ar"/>
              </w:rPr>
              <w:t>346-063-17</w:t>
            </w:r>
          </w:p>
        </w:tc>
        <w:tc>
          <w:tcPr>
            <w:tcW w:w="1135" w:type="pct"/>
            <w:tcBorders>
              <w:tl2br w:val="nil"/>
              <w:tr2bl w:val="nil"/>
            </w:tcBorders>
            <w:vAlign w:val="center"/>
          </w:tcPr>
          <w:p w14:paraId="396316D5">
            <w:pPr>
              <w:pStyle w:val="72"/>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0.74kg/a</w:t>
            </w:r>
          </w:p>
        </w:tc>
        <w:tc>
          <w:tcPr>
            <w:tcW w:w="865" w:type="pct"/>
            <w:vMerge w:val="continue"/>
            <w:tcBorders>
              <w:tl2br w:val="nil"/>
              <w:tr2bl w:val="nil"/>
            </w:tcBorders>
            <w:vAlign w:val="center"/>
          </w:tcPr>
          <w:p w14:paraId="478256E6">
            <w:pPr>
              <w:pStyle w:val="72"/>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p>
        </w:tc>
      </w:tr>
      <w:tr w14:paraId="03574D2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34" w:type="pct"/>
            <w:tcBorders>
              <w:tl2br w:val="nil"/>
              <w:tr2bl w:val="nil"/>
            </w:tcBorders>
            <w:vAlign w:val="center"/>
          </w:tcPr>
          <w:p w14:paraId="732BB234">
            <w:pPr>
              <w:pStyle w:val="72"/>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4</w:t>
            </w:r>
          </w:p>
        </w:tc>
        <w:tc>
          <w:tcPr>
            <w:tcW w:w="1363" w:type="pct"/>
            <w:tcBorders>
              <w:tl2br w:val="nil"/>
              <w:tr2bl w:val="nil"/>
            </w:tcBorders>
            <w:vAlign w:val="center"/>
          </w:tcPr>
          <w:p w14:paraId="0DA18DB2">
            <w:pPr>
              <w:pStyle w:val="72"/>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废过滤机滤芯</w:t>
            </w:r>
          </w:p>
        </w:tc>
        <w:tc>
          <w:tcPr>
            <w:tcW w:w="1000" w:type="pct"/>
            <w:tcBorders>
              <w:tl2br w:val="nil"/>
              <w:tr2bl w:val="nil"/>
            </w:tcBorders>
            <w:vAlign w:val="center"/>
          </w:tcPr>
          <w:p w14:paraId="0CD98616">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 xml:space="preserve">HW17 </w:t>
            </w:r>
            <w:r>
              <w:rPr>
                <w:rFonts w:hint="eastAsia" w:ascii="宋体" w:hAnsi="宋体" w:eastAsia="宋体" w:cs="宋体"/>
                <w:color w:val="000000"/>
                <w:kern w:val="0"/>
                <w:sz w:val="21"/>
                <w:szCs w:val="21"/>
                <w:lang w:val="en-US" w:eastAsia="zh-CN" w:bidi="ar"/>
              </w:rPr>
              <w:t>346-099-17</w:t>
            </w:r>
          </w:p>
        </w:tc>
        <w:tc>
          <w:tcPr>
            <w:tcW w:w="1135" w:type="pct"/>
            <w:tcBorders>
              <w:tl2br w:val="nil"/>
              <w:tr2bl w:val="nil"/>
            </w:tcBorders>
            <w:vAlign w:val="center"/>
          </w:tcPr>
          <w:p w14:paraId="55330009">
            <w:pPr>
              <w:pStyle w:val="72"/>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0.7468kg/a</w:t>
            </w:r>
          </w:p>
        </w:tc>
        <w:tc>
          <w:tcPr>
            <w:tcW w:w="865" w:type="pct"/>
            <w:vMerge w:val="continue"/>
            <w:tcBorders>
              <w:tl2br w:val="nil"/>
              <w:tr2bl w:val="nil"/>
            </w:tcBorders>
            <w:vAlign w:val="center"/>
          </w:tcPr>
          <w:p w14:paraId="1A9162E4">
            <w:pPr>
              <w:pStyle w:val="72"/>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p>
        </w:tc>
      </w:tr>
      <w:tr w14:paraId="19DE2CB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34" w:type="pct"/>
            <w:tcBorders>
              <w:tl2br w:val="nil"/>
              <w:tr2bl w:val="nil"/>
            </w:tcBorders>
            <w:vAlign w:val="center"/>
          </w:tcPr>
          <w:p w14:paraId="5B236E36">
            <w:pPr>
              <w:pStyle w:val="72"/>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5</w:t>
            </w:r>
          </w:p>
        </w:tc>
        <w:tc>
          <w:tcPr>
            <w:tcW w:w="1363" w:type="pct"/>
            <w:tcBorders>
              <w:tl2br w:val="nil"/>
              <w:tr2bl w:val="nil"/>
            </w:tcBorders>
            <w:vAlign w:val="center"/>
          </w:tcPr>
          <w:p w14:paraId="120EA2A6">
            <w:pPr>
              <w:pStyle w:val="72"/>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废交换树脂</w:t>
            </w:r>
          </w:p>
        </w:tc>
        <w:tc>
          <w:tcPr>
            <w:tcW w:w="1000" w:type="pct"/>
            <w:tcBorders>
              <w:tl2br w:val="nil"/>
              <w:tr2bl w:val="nil"/>
            </w:tcBorders>
            <w:vAlign w:val="center"/>
          </w:tcPr>
          <w:p w14:paraId="510804B6">
            <w:pPr>
              <w:pStyle w:val="72"/>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HW13 900-015-13</w:t>
            </w:r>
          </w:p>
        </w:tc>
        <w:tc>
          <w:tcPr>
            <w:tcW w:w="1135" w:type="pct"/>
            <w:tcBorders>
              <w:tl2br w:val="nil"/>
              <w:tr2bl w:val="nil"/>
            </w:tcBorders>
            <w:vAlign w:val="center"/>
          </w:tcPr>
          <w:p w14:paraId="422C4D1C">
            <w:pPr>
              <w:pStyle w:val="72"/>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0.4</w:t>
            </w:r>
            <w:r>
              <w:rPr>
                <w:rFonts w:hint="eastAsia" w:ascii="宋体" w:hAnsi="宋体" w:eastAsia="宋体" w:cs="宋体"/>
                <w:sz w:val="21"/>
                <w:szCs w:val="21"/>
                <w:highlight w:val="none"/>
                <w:lang w:val="en-US" w:eastAsia="zh-CN"/>
              </w:rPr>
              <w:t>t/a</w:t>
            </w:r>
          </w:p>
        </w:tc>
        <w:tc>
          <w:tcPr>
            <w:tcW w:w="865" w:type="pct"/>
            <w:vMerge w:val="continue"/>
            <w:tcBorders>
              <w:tl2br w:val="nil"/>
              <w:tr2bl w:val="nil"/>
            </w:tcBorders>
            <w:vAlign w:val="center"/>
          </w:tcPr>
          <w:p w14:paraId="755E2D23">
            <w:pPr>
              <w:pStyle w:val="72"/>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p>
        </w:tc>
      </w:tr>
    </w:tbl>
    <w:p w14:paraId="1F506019">
      <w:pPr>
        <w:bidi w:val="0"/>
      </w:pPr>
      <w:r>
        <w:rPr>
          <w:rFonts w:hint="eastAsia"/>
        </w:rPr>
        <w:t>本项目产生的固废均有合理的处置方案，只要做好车间临时固废库的二次污染防治工作，严格按《危险废物转移联单管理办法》中有关的规定转移产生的危险废物，并采取密闭防渗运输车辆运输，固废对周边环境和运输沿途影响较小。</w:t>
      </w:r>
    </w:p>
    <w:p w14:paraId="211A803C">
      <w:pPr>
        <w:pStyle w:val="5"/>
        <w:bidi w:val="0"/>
      </w:pPr>
      <w:r>
        <w:rPr>
          <w:rFonts w:hint="eastAsia"/>
          <w:lang w:val="en-US" w:eastAsia="zh-CN"/>
        </w:rPr>
        <w:t>7</w:t>
      </w:r>
      <w:r>
        <w:t>.2.</w:t>
      </w:r>
      <w:r>
        <w:rPr>
          <w:rFonts w:hint="eastAsia"/>
          <w:lang w:val="en-US" w:eastAsia="zh-CN"/>
        </w:rPr>
        <w:t>6</w:t>
      </w:r>
      <w:r>
        <w:rPr>
          <w:rFonts w:hint="eastAsia"/>
        </w:rPr>
        <w:t>土壤</w:t>
      </w:r>
      <w:r>
        <w:t>环境影响分析</w:t>
      </w:r>
    </w:p>
    <w:p w14:paraId="71D0739B">
      <w:pPr>
        <w:bidi w:val="0"/>
      </w:pPr>
      <w:r>
        <w:rPr>
          <w:rFonts w:hint="eastAsia"/>
        </w:rPr>
        <w:t>根据《环境影响评价技术导则土壤环境（试行）》（HJ64-2018），本项目土壤评价工作等级为</w:t>
      </w:r>
      <w:r>
        <w:rPr>
          <w:rFonts w:hint="eastAsia"/>
          <w:lang w:eastAsia="zh-CN"/>
        </w:rPr>
        <w:t>二</w:t>
      </w:r>
      <w:r>
        <w:rPr>
          <w:rFonts w:hint="eastAsia"/>
        </w:rPr>
        <w:t>级，评价范围为厂界外0.</w:t>
      </w:r>
      <w:r>
        <w:rPr>
          <w:rFonts w:hint="eastAsia"/>
          <w:lang w:val="en-US" w:eastAsia="zh-CN"/>
        </w:rPr>
        <w:t>2</w:t>
      </w:r>
      <w:r>
        <w:rPr>
          <w:rFonts w:hint="eastAsia"/>
        </w:rPr>
        <w:t>km范围内。</w:t>
      </w:r>
    </w:p>
    <w:p w14:paraId="37805107">
      <w:pPr>
        <w:bidi w:val="0"/>
      </w:pPr>
      <w:r>
        <w:rPr>
          <w:rFonts w:hint="eastAsia"/>
        </w:rPr>
        <w:t>（1）情景设置</w:t>
      </w:r>
    </w:p>
    <w:p w14:paraId="1C4714F7">
      <w:pPr>
        <w:bidi w:val="0"/>
      </w:pPr>
      <w:r>
        <w:rPr>
          <w:rFonts w:hint="eastAsia"/>
        </w:rPr>
        <w:t>本项目属于污染影响类项目，营运期土壤环境影响类型为地面漫流及垂直入渗，本项目土壤环境影响源及影响因子识别表见下表。</w:t>
      </w:r>
    </w:p>
    <w:p w14:paraId="16553E0F">
      <w:pPr>
        <w:spacing w:line="240" w:lineRule="auto"/>
        <w:jc w:val="center"/>
        <w:rPr>
          <w:b/>
          <w:bCs/>
          <w:sz w:val="21"/>
          <w:szCs w:val="21"/>
        </w:rPr>
      </w:pPr>
      <w:r>
        <w:rPr>
          <w:rFonts w:hint="eastAsia" w:ascii="黑体" w:hAnsi="黑体" w:eastAsia="黑体" w:cs="黑体"/>
          <w:b w:val="0"/>
          <w:bCs w:val="0"/>
          <w:sz w:val="21"/>
          <w:szCs w:val="21"/>
        </w:rPr>
        <w:t>表</w:t>
      </w:r>
      <w:r>
        <w:rPr>
          <w:rFonts w:hint="eastAsia" w:ascii="黑体" w:hAnsi="黑体" w:eastAsia="黑体" w:cs="黑体"/>
          <w:b w:val="0"/>
          <w:bCs w:val="0"/>
          <w:sz w:val="21"/>
          <w:szCs w:val="21"/>
          <w:lang w:val="en-US" w:eastAsia="zh-CN"/>
        </w:rPr>
        <w:t>7-17</w:t>
      </w:r>
      <w:r>
        <w:rPr>
          <w:rFonts w:hint="eastAsia" w:ascii="黑体" w:hAnsi="黑体" w:eastAsia="黑体" w:cs="黑体"/>
          <w:b w:val="0"/>
          <w:bCs w:val="0"/>
          <w:sz w:val="21"/>
          <w:szCs w:val="21"/>
        </w:rPr>
        <w:t>污染影响型建设项目土壤环境影响源及影响因子识别表</w:t>
      </w:r>
    </w:p>
    <w:tbl>
      <w:tblPr>
        <w:tblStyle w:val="53"/>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216"/>
        <w:gridCol w:w="1953"/>
        <w:gridCol w:w="1443"/>
        <w:gridCol w:w="2565"/>
        <w:gridCol w:w="915"/>
        <w:gridCol w:w="854"/>
      </w:tblGrid>
      <w:tr w14:paraId="7924776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79" w:type="pct"/>
            <w:vAlign w:val="center"/>
          </w:tcPr>
          <w:p w14:paraId="50D325E3">
            <w:pPr>
              <w:pStyle w:val="31"/>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污染源</w:t>
            </w:r>
          </w:p>
        </w:tc>
        <w:tc>
          <w:tcPr>
            <w:tcW w:w="1091" w:type="pct"/>
            <w:vAlign w:val="center"/>
          </w:tcPr>
          <w:p w14:paraId="0E6AD4AA">
            <w:pPr>
              <w:pStyle w:val="31"/>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工艺流程/节点</w:t>
            </w:r>
          </w:p>
        </w:tc>
        <w:tc>
          <w:tcPr>
            <w:tcW w:w="806" w:type="pct"/>
            <w:vAlign w:val="center"/>
          </w:tcPr>
          <w:p w14:paraId="489D7391">
            <w:pPr>
              <w:pStyle w:val="31"/>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污染途径</w:t>
            </w:r>
          </w:p>
        </w:tc>
        <w:tc>
          <w:tcPr>
            <w:tcW w:w="1433" w:type="pct"/>
            <w:vAlign w:val="center"/>
          </w:tcPr>
          <w:p w14:paraId="4911F6D5">
            <w:pPr>
              <w:pStyle w:val="31"/>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全部污染物</w:t>
            </w:r>
          </w:p>
          <w:p w14:paraId="75E081AD">
            <w:pPr>
              <w:pStyle w:val="31"/>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指标</w:t>
            </w:r>
          </w:p>
        </w:tc>
        <w:tc>
          <w:tcPr>
            <w:tcW w:w="511" w:type="pct"/>
            <w:vAlign w:val="center"/>
          </w:tcPr>
          <w:p w14:paraId="52CD8D19">
            <w:pPr>
              <w:pStyle w:val="31"/>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特征</w:t>
            </w:r>
          </w:p>
          <w:p w14:paraId="5967DE53">
            <w:pPr>
              <w:pStyle w:val="31"/>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因子</w:t>
            </w:r>
          </w:p>
        </w:tc>
        <w:tc>
          <w:tcPr>
            <w:tcW w:w="477" w:type="pct"/>
            <w:vAlign w:val="center"/>
          </w:tcPr>
          <w:p w14:paraId="255EEED9">
            <w:pPr>
              <w:pStyle w:val="31"/>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备注</w:t>
            </w:r>
          </w:p>
        </w:tc>
      </w:tr>
      <w:tr w14:paraId="29019D2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07" w:hRule="atLeast"/>
        </w:trPr>
        <w:tc>
          <w:tcPr>
            <w:tcW w:w="679" w:type="pct"/>
            <w:vMerge w:val="restart"/>
            <w:vAlign w:val="center"/>
          </w:tcPr>
          <w:p w14:paraId="7B0F0F68">
            <w:pPr>
              <w:pStyle w:val="31"/>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电镀车间</w:t>
            </w:r>
          </w:p>
        </w:tc>
        <w:tc>
          <w:tcPr>
            <w:tcW w:w="1091" w:type="pct"/>
            <w:vMerge w:val="restart"/>
            <w:vAlign w:val="center"/>
          </w:tcPr>
          <w:p w14:paraId="7C6F633B">
            <w:pPr>
              <w:pStyle w:val="31"/>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甲基磺酸电镀锡</w:t>
            </w:r>
          </w:p>
        </w:tc>
        <w:tc>
          <w:tcPr>
            <w:tcW w:w="806" w:type="pct"/>
            <w:vAlign w:val="center"/>
          </w:tcPr>
          <w:p w14:paraId="685E37C6">
            <w:pPr>
              <w:pStyle w:val="31"/>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地面漫流</w:t>
            </w:r>
          </w:p>
        </w:tc>
        <w:tc>
          <w:tcPr>
            <w:tcW w:w="1433" w:type="pct"/>
            <w:vAlign w:val="center"/>
          </w:tcPr>
          <w:p w14:paraId="7BA9F109">
            <w:pPr>
              <w:pStyle w:val="31"/>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rPr>
              <w:t>COD、</w:t>
            </w:r>
            <w:r>
              <w:rPr>
                <w:rFonts w:hint="eastAsia" w:ascii="宋体" w:hAnsi="宋体" w:eastAsia="宋体" w:cs="宋体"/>
                <w:sz w:val="21"/>
                <w:szCs w:val="21"/>
                <w:lang w:eastAsia="zh-CN"/>
              </w:rPr>
              <w:t>石油类、总锡、</w:t>
            </w:r>
            <w:r>
              <w:rPr>
                <w:rFonts w:hint="eastAsia" w:ascii="宋体" w:hAnsi="宋体" w:eastAsia="宋体" w:cs="宋体"/>
                <w:sz w:val="21"/>
                <w:szCs w:val="21"/>
                <w:lang w:val="en-US" w:eastAsia="zh-CN"/>
              </w:rPr>
              <w:t>pH</w:t>
            </w:r>
          </w:p>
        </w:tc>
        <w:tc>
          <w:tcPr>
            <w:tcW w:w="511" w:type="pct"/>
            <w:vAlign w:val="center"/>
          </w:tcPr>
          <w:p w14:paraId="17D04098">
            <w:pPr>
              <w:pStyle w:val="31"/>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w:t>
            </w:r>
          </w:p>
        </w:tc>
        <w:tc>
          <w:tcPr>
            <w:tcW w:w="477" w:type="pct"/>
            <w:vAlign w:val="center"/>
          </w:tcPr>
          <w:p w14:paraId="7D56C90E">
            <w:pPr>
              <w:pStyle w:val="31"/>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w:t>
            </w:r>
          </w:p>
        </w:tc>
      </w:tr>
      <w:tr w14:paraId="67DC465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79" w:type="pct"/>
            <w:vMerge w:val="continue"/>
            <w:vAlign w:val="center"/>
          </w:tcPr>
          <w:p w14:paraId="6770FA6C">
            <w:pPr>
              <w:pStyle w:val="31"/>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rPr>
            </w:pPr>
          </w:p>
        </w:tc>
        <w:tc>
          <w:tcPr>
            <w:tcW w:w="1091" w:type="pct"/>
            <w:vMerge w:val="continue"/>
            <w:vAlign w:val="center"/>
          </w:tcPr>
          <w:p w14:paraId="4A11071F">
            <w:pPr>
              <w:pStyle w:val="31"/>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rPr>
            </w:pPr>
          </w:p>
        </w:tc>
        <w:tc>
          <w:tcPr>
            <w:tcW w:w="806" w:type="pct"/>
            <w:vAlign w:val="center"/>
          </w:tcPr>
          <w:p w14:paraId="1A342E35">
            <w:pPr>
              <w:pStyle w:val="31"/>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垂直入渗</w:t>
            </w:r>
          </w:p>
        </w:tc>
        <w:tc>
          <w:tcPr>
            <w:tcW w:w="1433" w:type="pct"/>
            <w:vAlign w:val="center"/>
          </w:tcPr>
          <w:p w14:paraId="39A3BF64">
            <w:pPr>
              <w:pStyle w:val="31"/>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COD、</w:t>
            </w:r>
            <w:r>
              <w:rPr>
                <w:rFonts w:hint="eastAsia" w:ascii="宋体" w:hAnsi="宋体" w:eastAsia="宋体" w:cs="宋体"/>
                <w:sz w:val="21"/>
                <w:szCs w:val="21"/>
                <w:lang w:eastAsia="zh-CN"/>
              </w:rPr>
              <w:t>石油类、总锡、</w:t>
            </w:r>
            <w:r>
              <w:rPr>
                <w:rFonts w:hint="eastAsia" w:ascii="宋体" w:hAnsi="宋体" w:eastAsia="宋体" w:cs="宋体"/>
                <w:sz w:val="21"/>
                <w:szCs w:val="21"/>
                <w:lang w:val="en-US" w:eastAsia="zh-CN"/>
              </w:rPr>
              <w:t>pH</w:t>
            </w:r>
          </w:p>
        </w:tc>
        <w:tc>
          <w:tcPr>
            <w:tcW w:w="511" w:type="pct"/>
            <w:vAlign w:val="center"/>
          </w:tcPr>
          <w:p w14:paraId="2B3596CF">
            <w:pPr>
              <w:pStyle w:val="31"/>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w:t>
            </w:r>
          </w:p>
        </w:tc>
        <w:tc>
          <w:tcPr>
            <w:tcW w:w="477" w:type="pct"/>
            <w:vAlign w:val="center"/>
          </w:tcPr>
          <w:p w14:paraId="1D89A1B4">
            <w:pPr>
              <w:pStyle w:val="31"/>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w:t>
            </w:r>
          </w:p>
        </w:tc>
      </w:tr>
    </w:tbl>
    <w:p w14:paraId="7D9CB3F1">
      <w:pPr>
        <w:pStyle w:val="31"/>
        <w:spacing w:after="0" w:line="240" w:lineRule="auto"/>
        <w:ind w:left="480"/>
      </w:pPr>
    </w:p>
    <w:p w14:paraId="71A13976">
      <w:pPr>
        <w:adjustRightInd w:val="0"/>
        <w:snapToGrid w:val="0"/>
        <w:spacing w:line="480" w:lineRule="exact"/>
        <w:ind w:firstLine="480" w:firstLineChars="200"/>
      </w:pPr>
      <w:r>
        <w:rPr>
          <w:rFonts w:hint="eastAsia"/>
        </w:rPr>
        <w:t>（2）影响预测</w:t>
      </w:r>
    </w:p>
    <w:p w14:paraId="6B43122D">
      <w:pPr>
        <w:bidi w:val="0"/>
      </w:pPr>
      <w:r>
        <w:rPr>
          <w:rFonts w:hint="eastAsia"/>
        </w:rPr>
        <w:t>根据《环境影响评价技术导则土壤环境（试行）》（HJ64-2018），评价工作等级为三级的建设项目，可采用定性描述或类比分析法进行预测。本项目对土壤的影响主要为未经处理的废水垂直或溢流入渗对土壤影响，主要污染因子为COD、</w:t>
      </w:r>
      <w:r>
        <w:rPr>
          <w:rFonts w:hint="eastAsia"/>
          <w:lang w:eastAsia="zh-CN"/>
        </w:rPr>
        <w:t>石油类、总锡、</w:t>
      </w:r>
      <w:r>
        <w:rPr>
          <w:rFonts w:hint="eastAsia"/>
          <w:lang w:val="en-US" w:eastAsia="zh-CN"/>
        </w:rPr>
        <w:t>pH</w:t>
      </w:r>
      <w:r>
        <w:rPr>
          <w:rFonts w:hint="eastAsia"/>
        </w:rPr>
        <w:t>等。</w:t>
      </w:r>
      <w:r>
        <w:rPr>
          <w:rFonts w:hint="eastAsia"/>
          <w:lang w:eastAsia="zh-CN"/>
        </w:rPr>
        <w:t>项目</w:t>
      </w:r>
      <w:r>
        <w:rPr>
          <w:rFonts w:hint="eastAsia"/>
        </w:rPr>
        <w:t>建设完成后，除绿化面积外全部进行地面硬化，且对</w:t>
      </w:r>
      <w:r>
        <w:rPr>
          <w:rFonts w:hint="eastAsia"/>
          <w:lang w:eastAsia="zh-CN"/>
        </w:rPr>
        <w:t>生产车间</w:t>
      </w:r>
      <w:r>
        <w:rPr>
          <w:rFonts w:hint="eastAsia"/>
        </w:rPr>
        <w:t>进行重点防渗处理，不会对土壤环境不会产生明显影响。</w:t>
      </w:r>
    </w:p>
    <w:p w14:paraId="5C861A57">
      <w:pPr>
        <w:bidi w:val="0"/>
      </w:pPr>
      <w:r>
        <w:rPr>
          <w:rFonts w:hint="eastAsia"/>
        </w:rPr>
        <w:t>（3）环境保护措施</w:t>
      </w:r>
    </w:p>
    <w:p w14:paraId="54EEACD9">
      <w:pPr>
        <w:bidi w:val="0"/>
      </w:pPr>
      <w:r>
        <w:rPr>
          <w:rFonts w:hint="eastAsia"/>
        </w:rPr>
        <w:t>建设单位应采取以下污染防治措施：①加强环保管理，落实废水处理构筑防渗，提高防渗等级。②项目污泥暂存区进行防渗处理，固废分类收集，</w:t>
      </w:r>
      <w:r>
        <w:rPr>
          <w:rFonts w:hint="eastAsia"/>
          <w:lang w:eastAsia="zh-CN"/>
        </w:rPr>
        <w:t>各镀槽、污水处理设施</w:t>
      </w:r>
      <w:r>
        <w:rPr>
          <w:rFonts w:hint="eastAsia"/>
        </w:rPr>
        <w:t>设置围堰，做好防渗、防漏、防雨淋、防晒，避免固废中的有毒物质渗入土壤，设置的固废堆场要符合规范要求，渗滤液要收集，防止其泄漏。③其他一般场所地面进行硬化等措施，并且要做好厂区的绿化工作，可减少土壤污染。</w:t>
      </w:r>
    </w:p>
    <w:p w14:paraId="70023CB0">
      <w:pPr>
        <w:spacing w:line="383" w:lineRule="exact"/>
        <w:jc w:val="center"/>
        <w:rPr>
          <w:b/>
          <w:position w:val="-1"/>
          <w:sz w:val="21"/>
          <w:szCs w:val="21"/>
        </w:rPr>
      </w:pPr>
      <w:r>
        <w:rPr>
          <w:rFonts w:hint="eastAsia" w:ascii="黑体" w:hAnsi="黑体" w:eastAsia="黑体" w:cs="黑体"/>
          <w:b w:val="0"/>
          <w:bCs/>
          <w:position w:val="-1"/>
          <w:sz w:val="21"/>
          <w:szCs w:val="21"/>
        </w:rPr>
        <w:t>表</w:t>
      </w:r>
      <w:r>
        <w:rPr>
          <w:rFonts w:hint="eastAsia" w:ascii="黑体" w:hAnsi="黑体" w:eastAsia="黑体" w:cs="黑体"/>
          <w:b w:val="0"/>
          <w:bCs/>
          <w:position w:val="-1"/>
          <w:sz w:val="21"/>
          <w:szCs w:val="21"/>
          <w:lang w:val="en-US" w:eastAsia="zh-CN"/>
        </w:rPr>
        <w:t>7-18</w:t>
      </w:r>
      <w:r>
        <w:rPr>
          <w:rFonts w:hint="eastAsia" w:ascii="黑体" w:hAnsi="黑体" w:eastAsia="黑体" w:cs="黑体"/>
          <w:b w:val="0"/>
          <w:bCs/>
          <w:position w:val="-1"/>
          <w:sz w:val="21"/>
          <w:szCs w:val="21"/>
        </w:rPr>
        <w:t>土壤环境影响评价自查表</w:t>
      </w:r>
    </w:p>
    <w:tbl>
      <w:tblPr>
        <w:tblStyle w:val="52"/>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565"/>
        <w:gridCol w:w="1535"/>
        <w:gridCol w:w="1537"/>
        <w:gridCol w:w="1576"/>
        <w:gridCol w:w="95"/>
        <w:gridCol w:w="1238"/>
        <w:gridCol w:w="635"/>
        <w:gridCol w:w="766"/>
        <w:gridCol w:w="999"/>
      </w:tblGrid>
      <w:tr w14:paraId="437DEF4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1173" w:type="pct"/>
            <w:gridSpan w:val="2"/>
            <w:vAlign w:val="center"/>
          </w:tcPr>
          <w:p w14:paraId="6F72E7E9">
            <w:pPr>
              <w:pStyle w:val="1066"/>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eastAsia="宋体"/>
                <w:b/>
                <w:sz w:val="18"/>
                <w:szCs w:val="18"/>
              </w:rPr>
            </w:pPr>
            <w:r>
              <w:rPr>
                <w:rFonts w:eastAsia="宋体"/>
                <w:b/>
                <w:sz w:val="18"/>
                <w:szCs w:val="18"/>
              </w:rPr>
              <w:t>工作内容</w:t>
            </w:r>
          </w:p>
        </w:tc>
        <w:tc>
          <w:tcPr>
            <w:tcW w:w="3268" w:type="pct"/>
            <w:gridSpan w:val="6"/>
            <w:vAlign w:val="center"/>
          </w:tcPr>
          <w:p w14:paraId="5F98A209">
            <w:pPr>
              <w:pStyle w:val="1066"/>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eastAsia="宋体"/>
                <w:b/>
                <w:sz w:val="18"/>
                <w:szCs w:val="18"/>
              </w:rPr>
            </w:pPr>
            <w:r>
              <w:rPr>
                <w:rFonts w:hint="eastAsia" w:eastAsia="宋体"/>
                <w:b/>
                <w:sz w:val="18"/>
                <w:szCs w:val="18"/>
              </w:rPr>
              <w:t>完成情况</w:t>
            </w:r>
          </w:p>
        </w:tc>
        <w:tc>
          <w:tcPr>
            <w:tcW w:w="558" w:type="pct"/>
            <w:vAlign w:val="center"/>
          </w:tcPr>
          <w:p w14:paraId="328444F4">
            <w:pPr>
              <w:pStyle w:val="1066"/>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eastAsia="宋体"/>
                <w:b/>
                <w:sz w:val="18"/>
                <w:szCs w:val="18"/>
              </w:rPr>
            </w:pPr>
            <w:r>
              <w:rPr>
                <w:rFonts w:hint="eastAsia" w:eastAsia="宋体"/>
                <w:b/>
                <w:sz w:val="18"/>
                <w:szCs w:val="18"/>
              </w:rPr>
              <w:t>备注</w:t>
            </w:r>
          </w:p>
        </w:tc>
      </w:tr>
      <w:tr w14:paraId="585B9F8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316" w:type="pct"/>
            <w:vMerge w:val="restart"/>
            <w:vAlign w:val="center"/>
          </w:tcPr>
          <w:p w14:paraId="26F1E68C">
            <w:pPr>
              <w:pStyle w:val="1066"/>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eastAsia="宋体"/>
                <w:sz w:val="18"/>
                <w:szCs w:val="18"/>
              </w:rPr>
            </w:pPr>
            <w:r>
              <w:rPr>
                <w:rFonts w:hint="eastAsia" w:eastAsia="宋体"/>
                <w:sz w:val="18"/>
                <w:szCs w:val="18"/>
              </w:rPr>
              <w:t>影响识别</w:t>
            </w:r>
          </w:p>
        </w:tc>
        <w:tc>
          <w:tcPr>
            <w:tcW w:w="858" w:type="pct"/>
            <w:vAlign w:val="center"/>
          </w:tcPr>
          <w:p w14:paraId="31D1802C">
            <w:pPr>
              <w:pStyle w:val="1066"/>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eastAsia="宋体"/>
                <w:sz w:val="18"/>
                <w:szCs w:val="18"/>
              </w:rPr>
            </w:pPr>
            <w:r>
              <w:rPr>
                <w:rFonts w:hint="eastAsia" w:eastAsia="宋体"/>
                <w:sz w:val="18"/>
                <w:szCs w:val="18"/>
              </w:rPr>
              <w:t>影响类型</w:t>
            </w:r>
          </w:p>
        </w:tc>
        <w:tc>
          <w:tcPr>
            <w:tcW w:w="3268" w:type="pct"/>
            <w:gridSpan w:val="6"/>
            <w:vAlign w:val="center"/>
          </w:tcPr>
          <w:p w14:paraId="645D7ADA">
            <w:pPr>
              <w:pStyle w:val="1066"/>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left"/>
              <w:textAlignment w:val="auto"/>
              <w:rPr>
                <w:rFonts w:eastAsia="宋体"/>
                <w:sz w:val="18"/>
                <w:szCs w:val="18"/>
              </w:rPr>
            </w:pPr>
            <w:r>
              <w:rPr>
                <w:rFonts w:hint="eastAsia" w:eastAsia="宋体"/>
                <w:sz w:val="18"/>
                <w:szCs w:val="18"/>
              </w:rPr>
              <w:t>污染影响型</w:t>
            </w:r>
            <w:r>
              <w:rPr>
                <w:rFonts w:hint="eastAsia" w:ascii="MS Mincho" w:hAnsi="MS Mincho" w:eastAsia="MS Mincho" w:cs="MS Mincho"/>
                <w:sz w:val="18"/>
                <w:szCs w:val="18"/>
              </w:rPr>
              <w:t>☑</w:t>
            </w:r>
            <w:r>
              <w:rPr>
                <w:rFonts w:hint="eastAsia" w:eastAsia="宋体"/>
                <w:sz w:val="18"/>
                <w:szCs w:val="18"/>
              </w:rPr>
              <w:t>；生态影响型</w:t>
            </w:r>
            <w:r>
              <w:rPr>
                <w:rFonts w:hint="eastAsia" w:eastAsia="宋体"/>
                <w:sz w:val="18"/>
                <w:szCs w:val="18"/>
              </w:rPr>
              <w:sym w:font="Wingdings 2" w:char="00A3"/>
            </w:r>
            <w:r>
              <w:rPr>
                <w:rFonts w:hint="eastAsia" w:eastAsia="宋体"/>
                <w:sz w:val="18"/>
                <w:szCs w:val="18"/>
              </w:rPr>
              <w:t>；两种兼有</w:t>
            </w:r>
            <w:r>
              <w:rPr>
                <w:rFonts w:hint="eastAsia" w:eastAsia="宋体"/>
                <w:sz w:val="18"/>
                <w:szCs w:val="18"/>
              </w:rPr>
              <w:sym w:font="Wingdings 2" w:char="00A3"/>
            </w:r>
          </w:p>
        </w:tc>
        <w:tc>
          <w:tcPr>
            <w:tcW w:w="558" w:type="pct"/>
            <w:vAlign w:val="center"/>
          </w:tcPr>
          <w:p w14:paraId="0D02B551">
            <w:pPr>
              <w:pStyle w:val="1066"/>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eastAsia="宋体"/>
                <w:sz w:val="18"/>
                <w:szCs w:val="18"/>
              </w:rPr>
            </w:pPr>
          </w:p>
        </w:tc>
      </w:tr>
      <w:tr w14:paraId="07CADA9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316" w:type="pct"/>
            <w:vMerge w:val="continue"/>
            <w:vAlign w:val="center"/>
          </w:tcPr>
          <w:p w14:paraId="0A042889">
            <w:pPr>
              <w:pStyle w:val="1066"/>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eastAsia="宋体"/>
                <w:sz w:val="18"/>
                <w:szCs w:val="18"/>
              </w:rPr>
            </w:pPr>
          </w:p>
        </w:tc>
        <w:tc>
          <w:tcPr>
            <w:tcW w:w="858" w:type="pct"/>
            <w:vAlign w:val="center"/>
          </w:tcPr>
          <w:p w14:paraId="40BE779D">
            <w:pPr>
              <w:pStyle w:val="1066"/>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eastAsia="宋体"/>
                <w:sz w:val="18"/>
                <w:szCs w:val="18"/>
              </w:rPr>
            </w:pPr>
            <w:r>
              <w:rPr>
                <w:rFonts w:hint="eastAsia" w:eastAsia="宋体"/>
                <w:sz w:val="18"/>
                <w:szCs w:val="18"/>
              </w:rPr>
              <w:t>土地利用类型</w:t>
            </w:r>
          </w:p>
        </w:tc>
        <w:tc>
          <w:tcPr>
            <w:tcW w:w="3268" w:type="pct"/>
            <w:gridSpan w:val="6"/>
            <w:vAlign w:val="center"/>
          </w:tcPr>
          <w:p w14:paraId="56E6D8AA">
            <w:pPr>
              <w:pStyle w:val="1066"/>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left"/>
              <w:textAlignment w:val="auto"/>
              <w:rPr>
                <w:rFonts w:eastAsia="宋体"/>
                <w:sz w:val="18"/>
                <w:szCs w:val="18"/>
              </w:rPr>
            </w:pPr>
            <w:r>
              <w:rPr>
                <w:rFonts w:hint="eastAsia" w:eastAsia="宋体"/>
                <w:sz w:val="18"/>
                <w:szCs w:val="18"/>
              </w:rPr>
              <w:t>建设用地</w:t>
            </w:r>
            <w:r>
              <w:rPr>
                <w:rFonts w:hint="eastAsia" w:ascii="MS Mincho" w:hAnsi="MS Mincho" w:eastAsia="MS Mincho" w:cs="MS Mincho"/>
                <w:sz w:val="18"/>
                <w:szCs w:val="18"/>
              </w:rPr>
              <w:t>☑</w:t>
            </w:r>
            <w:r>
              <w:rPr>
                <w:rFonts w:hint="eastAsia" w:eastAsia="宋体"/>
                <w:sz w:val="18"/>
                <w:szCs w:val="18"/>
              </w:rPr>
              <w:t>；农用地</w:t>
            </w:r>
            <w:r>
              <w:rPr>
                <w:rFonts w:hint="eastAsia" w:eastAsia="宋体"/>
                <w:sz w:val="18"/>
                <w:szCs w:val="18"/>
              </w:rPr>
              <w:sym w:font="Wingdings 2" w:char="00A3"/>
            </w:r>
            <w:r>
              <w:rPr>
                <w:rFonts w:hint="eastAsia" w:eastAsia="宋体"/>
                <w:sz w:val="18"/>
                <w:szCs w:val="18"/>
              </w:rPr>
              <w:t>；未利用地</w:t>
            </w:r>
            <w:r>
              <w:rPr>
                <w:rFonts w:hint="eastAsia" w:eastAsia="宋体"/>
                <w:sz w:val="18"/>
                <w:szCs w:val="18"/>
              </w:rPr>
              <w:sym w:font="Wingdings 2" w:char="00A3"/>
            </w:r>
          </w:p>
        </w:tc>
        <w:tc>
          <w:tcPr>
            <w:tcW w:w="558" w:type="pct"/>
            <w:vAlign w:val="center"/>
          </w:tcPr>
          <w:p w14:paraId="79A54B2B">
            <w:pPr>
              <w:pStyle w:val="1066"/>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eastAsia="宋体"/>
                <w:sz w:val="18"/>
                <w:szCs w:val="18"/>
              </w:rPr>
            </w:pPr>
          </w:p>
        </w:tc>
      </w:tr>
      <w:tr w14:paraId="6562FE1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316" w:type="pct"/>
            <w:vMerge w:val="continue"/>
            <w:vAlign w:val="center"/>
          </w:tcPr>
          <w:p w14:paraId="16F27B71">
            <w:pPr>
              <w:pStyle w:val="1066"/>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eastAsia="宋体"/>
                <w:sz w:val="18"/>
                <w:szCs w:val="18"/>
              </w:rPr>
            </w:pPr>
          </w:p>
        </w:tc>
        <w:tc>
          <w:tcPr>
            <w:tcW w:w="858" w:type="pct"/>
            <w:vAlign w:val="center"/>
          </w:tcPr>
          <w:p w14:paraId="4572C73B">
            <w:pPr>
              <w:pStyle w:val="1066"/>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eastAsia="宋体"/>
                <w:sz w:val="18"/>
                <w:szCs w:val="18"/>
              </w:rPr>
            </w:pPr>
            <w:r>
              <w:rPr>
                <w:rFonts w:hint="eastAsia" w:eastAsia="宋体"/>
                <w:sz w:val="18"/>
                <w:szCs w:val="18"/>
              </w:rPr>
              <w:t>占地规模</w:t>
            </w:r>
          </w:p>
        </w:tc>
        <w:tc>
          <w:tcPr>
            <w:tcW w:w="3268" w:type="pct"/>
            <w:gridSpan w:val="6"/>
            <w:vAlign w:val="center"/>
          </w:tcPr>
          <w:p w14:paraId="16D0288E">
            <w:pPr>
              <w:pStyle w:val="1066"/>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left"/>
              <w:textAlignment w:val="auto"/>
              <w:rPr>
                <w:rFonts w:eastAsia="宋体"/>
                <w:sz w:val="18"/>
                <w:szCs w:val="18"/>
              </w:rPr>
            </w:pPr>
            <w:r>
              <w:rPr>
                <w:rFonts w:hint="eastAsia" w:eastAsia="宋体"/>
                <w:sz w:val="18"/>
                <w:szCs w:val="18"/>
              </w:rPr>
              <w:t xml:space="preserve">（    </w:t>
            </w:r>
            <w:r>
              <w:rPr>
                <w:rFonts w:hint="eastAsia" w:eastAsia="宋体"/>
                <w:sz w:val="18"/>
                <w:szCs w:val="18"/>
                <w:lang w:val="en-US" w:eastAsia="zh-CN"/>
              </w:rPr>
              <w:t>0.47</w:t>
            </w:r>
            <w:r>
              <w:rPr>
                <w:rFonts w:hint="eastAsia" w:eastAsia="宋体"/>
                <w:sz w:val="18"/>
                <w:szCs w:val="18"/>
              </w:rPr>
              <w:t xml:space="preserve">    ）hm</w:t>
            </w:r>
            <w:r>
              <w:rPr>
                <w:rFonts w:hint="eastAsia" w:eastAsia="宋体"/>
                <w:sz w:val="18"/>
                <w:szCs w:val="18"/>
                <w:vertAlign w:val="superscript"/>
              </w:rPr>
              <w:t>2</w:t>
            </w:r>
          </w:p>
        </w:tc>
        <w:tc>
          <w:tcPr>
            <w:tcW w:w="558" w:type="pct"/>
            <w:vAlign w:val="center"/>
          </w:tcPr>
          <w:p w14:paraId="785AC16D">
            <w:pPr>
              <w:pStyle w:val="1066"/>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eastAsia="宋体"/>
                <w:sz w:val="18"/>
                <w:szCs w:val="18"/>
              </w:rPr>
            </w:pPr>
          </w:p>
        </w:tc>
      </w:tr>
      <w:tr w14:paraId="254CB66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316" w:type="pct"/>
            <w:vMerge w:val="continue"/>
            <w:vAlign w:val="center"/>
          </w:tcPr>
          <w:p w14:paraId="34EB0012">
            <w:pPr>
              <w:pStyle w:val="1066"/>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eastAsia="宋体"/>
                <w:sz w:val="18"/>
                <w:szCs w:val="18"/>
              </w:rPr>
            </w:pPr>
          </w:p>
        </w:tc>
        <w:tc>
          <w:tcPr>
            <w:tcW w:w="858" w:type="pct"/>
            <w:vAlign w:val="center"/>
          </w:tcPr>
          <w:p w14:paraId="72A6F4B9">
            <w:pPr>
              <w:pStyle w:val="1066"/>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eastAsia="宋体"/>
                <w:sz w:val="18"/>
                <w:szCs w:val="18"/>
              </w:rPr>
            </w:pPr>
            <w:r>
              <w:rPr>
                <w:rFonts w:hint="eastAsia" w:eastAsia="宋体"/>
                <w:sz w:val="18"/>
                <w:szCs w:val="18"/>
              </w:rPr>
              <w:t>敏感目标信息</w:t>
            </w:r>
          </w:p>
        </w:tc>
        <w:tc>
          <w:tcPr>
            <w:tcW w:w="3268" w:type="pct"/>
            <w:gridSpan w:val="6"/>
            <w:vAlign w:val="center"/>
          </w:tcPr>
          <w:p w14:paraId="4C3DA137">
            <w:pPr>
              <w:pStyle w:val="1066"/>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left"/>
              <w:textAlignment w:val="auto"/>
              <w:rPr>
                <w:rFonts w:eastAsia="宋体"/>
                <w:sz w:val="18"/>
                <w:szCs w:val="18"/>
              </w:rPr>
            </w:pPr>
            <w:r>
              <w:rPr>
                <w:rFonts w:hint="eastAsia" w:eastAsia="宋体"/>
                <w:sz w:val="18"/>
                <w:szCs w:val="18"/>
              </w:rPr>
              <w:t>敏感目标（  0   ）、方位（  0   ）、距离（   0  ）</w:t>
            </w:r>
          </w:p>
        </w:tc>
        <w:tc>
          <w:tcPr>
            <w:tcW w:w="558" w:type="pct"/>
            <w:vAlign w:val="center"/>
          </w:tcPr>
          <w:p w14:paraId="038AEC68">
            <w:pPr>
              <w:pStyle w:val="1066"/>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eastAsia="宋体"/>
                <w:sz w:val="18"/>
                <w:szCs w:val="18"/>
              </w:rPr>
            </w:pPr>
            <w:r>
              <w:rPr>
                <w:rFonts w:hint="eastAsia" w:eastAsia="宋体"/>
                <w:sz w:val="18"/>
                <w:szCs w:val="18"/>
              </w:rPr>
              <w:t>无</w:t>
            </w:r>
          </w:p>
        </w:tc>
      </w:tr>
      <w:tr w14:paraId="5B69862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316" w:type="pct"/>
            <w:vMerge w:val="continue"/>
            <w:vAlign w:val="center"/>
          </w:tcPr>
          <w:p w14:paraId="774AD8BC">
            <w:pPr>
              <w:pStyle w:val="1066"/>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eastAsia="宋体"/>
                <w:sz w:val="18"/>
                <w:szCs w:val="18"/>
              </w:rPr>
            </w:pPr>
          </w:p>
        </w:tc>
        <w:tc>
          <w:tcPr>
            <w:tcW w:w="858" w:type="pct"/>
            <w:vAlign w:val="center"/>
          </w:tcPr>
          <w:p w14:paraId="7C710949">
            <w:pPr>
              <w:pStyle w:val="1066"/>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eastAsia="宋体"/>
                <w:sz w:val="18"/>
                <w:szCs w:val="18"/>
              </w:rPr>
            </w:pPr>
            <w:r>
              <w:rPr>
                <w:rFonts w:hint="eastAsia" w:eastAsia="宋体"/>
                <w:sz w:val="18"/>
                <w:szCs w:val="18"/>
              </w:rPr>
              <w:t>影响途径</w:t>
            </w:r>
          </w:p>
        </w:tc>
        <w:tc>
          <w:tcPr>
            <w:tcW w:w="3268" w:type="pct"/>
            <w:gridSpan w:val="6"/>
            <w:vAlign w:val="center"/>
          </w:tcPr>
          <w:p w14:paraId="13C81053">
            <w:pPr>
              <w:pStyle w:val="1066"/>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left"/>
              <w:textAlignment w:val="auto"/>
              <w:rPr>
                <w:rFonts w:eastAsia="宋体"/>
                <w:sz w:val="18"/>
                <w:szCs w:val="18"/>
              </w:rPr>
            </w:pPr>
            <w:r>
              <w:rPr>
                <w:rFonts w:hint="eastAsia" w:eastAsia="宋体"/>
                <w:sz w:val="18"/>
                <w:szCs w:val="18"/>
              </w:rPr>
              <w:t>大气沉降</w:t>
            </w:r>
            <w:r>
              <w:rPr>
                <w:rFonts w:hint="eastAsia" w:eastAsia="宋体"/>
                <w:sz w:val="18"/>
                <w:szCs w:val="18"/>
              </w:rPr>
              <w:sym w:font="Wingdings 2" w:char="00A3"/>
            </w:r>
            <w:r>
              <w:rPr>
                <w:rFonts w:hint="eastAsia" w:eastAsia="宋体"/>
                <w:sz w:val="18"/>
                <w:szCs w:val="18"/>
              </w:rPr>
              <w:t>；地面漫流</w:t>
            </w:r>
            <w:r>
              <w:rPr>
                <w:rFonts w:hint="eastAsia" w:ascii="MS Mincho" w:hAnsi="MS Mincho" w:eastAsia="MS Mincho" w:cs="MS Mincho"/>
                <w:sz w:val="18"/>
                <w:szCs w:val="18"/>
              </w:rPr>
              <w:t>☑</w:t>
            </w:r>
            <w:r>
              <w:rPr>
                <w:rFonts w:hint="eastAsia" w:eastAsia="宋体"/>
                <w:sz w:val="18"/>
                <w:szCs w:val="18"/>
              </w:rPr>
              <w:t>；垂直入渗</w:t>
            </w:r>
            <w:r>
              <w:rPr>
                <w:rFonts w:hint="eastAsia" w:ascii="MS Mincho" w:hAnsi="MS Mincho" w:eastAsia="MS Mincho" w:cs="MS Mincho"/>
                <w:sz w:val="18"/>
                <w:szCs w:val="18"/>
              </w:rPr>
              <w:t>☑</w:t>
            </w:r>
            <w:r>
              <w:rPr>
                <w:rFonts w:hint="eastAsia" w:eastAsia="宋体"/>
                <w:sz w:val="18"/>
                <w:szCs w:val="18"/>
              </w:rPr>
              <w:t>；地下水位</w:t>
            </w:r>
            <w:r>
              <w:rPr>
                <w:rFonts w:hint="eastAsia" w:eastAsia="宋体"/>
                <w:sz w:val="18"/>
                <w:szCs w:val="18"/>
              </w:rPr>
              <w:sym w:font="Wingdings 2" w:char="00A3"/>
            </w:r>
            <w:r>
              <w:rPr>
                <w:rFonts w:hint="eastAsia" w:eastAsia="宋体"/>
                <w:sz w:val="18"/>
                <w:szCs w:val="18"/>
              </w:rPr>
              <w:t>；其他（   ）</w:t>
            </w:r>
          </w:p>
        </w:tc>
        <w:tc>
          <w:tcPr>
            <w:tcW w:w="558" w:type="pct"/>
            <w:vAlign w:val="center"/>
          </w:tcPr>
          <w:p w14:paraId="27375716">
            <w:pPr>
              <w:pStyle w:val="1066"/>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eastAsia="宋体"/>
                <w:sz w:val="18"/>
                <w:szCs w:val="18"/>
              </w:rPr>
            </w:pPr>
          </w:p>
        </w:tc>
      </w:tr>
      <w:tr w14:paraId="3612021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316" w:type="pct"/>
            <w:vMerge w:val="continue"/>
            <w:vAlign w:val="center"/>
          </w:tcPr>
          <w:p w14:paraId="6A06825A">
            <w:pPr>
              <w:pStyle w:val="1066"/>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eastAsia="宋体"/>
                <w:sz w:val="18"/>
                <w:szCs w:val="18"/>
              </w:rPr>
            </w:pPr>
          </w:p>
        </w:tc>
        <w:tc>
          <w:tcPr>
            <w:tcW w:w="858" w:type="pct"/>
            <w:vAlign w:val="center"/>
          </w:tcPr>
          <w:p w14:paraId="16659A0C">
            <w:pPr>
              <w:pStyle w:val="1066"/>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eastAsia="宋体"/>
                <w:sz w:val="18"/>
                <w:szCs w:val="18"/>
              </w:rPr>
            </w:pPr>
            <w:r>
              <w:rPr>
                <w:rFonts w:hint="eastAsia" w:eastAsia="宋体"/>
                <w:sz w:val="18"/>
                <w:szCs w:val="18"/>
              </w:rPr>
              <w:t>全部污染物</w:t>
            </w:r>
          </w:p>
        </w:tc>
        <w:tc>
          <w:tcPr>
            <w:tcW w:w="3268" w:type="pct"/>
            <w:gridSpan w:val="6"/>
            <w:vAlign w:val="center"/>
          </w:tcPr>
          <w:p w14:paraId="18AA9D59">
            <w:pPr>
              <w:pStyle w:val="1066"/>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left"/>
              <w:textAlignment w:val="auto"/>
              <w:rPr>
                <w:rFonts w:hint="default" w:eastAsia="宋体"/>
                <w:sz w:val="18"/>
                <w:szCs w:val="18"/>
                <w:lang w:val="en-US" w:eastAsia="zh-CN"/>
              </w:rPr>
            </w:pPr>
            <w:r>
              <w:rPr>
                <w:rFonts w:hint="eastAsia" w:eastAsia="宋体"/>
                <w:sz w:val="18"/>
                <w:szCs w:val="18"/>
              </w:rPr>
              <w:t>COD、</w:t>
            </w:r>
            <w:r>
              <w:rPr>
                <w:rFonts w:hint="eastAsia" w:eastAsia="宋体"/>
                <w:sz w:val="18"/>
                <w:szCs w:val="18"/>
                <w:lang w:val="en-US" w:eastAsia="zh-CN"/>
              </w:rPr>
              <w:t>pH、总锡、石油类</w:t>
            </w:r>
          </w:p>
        </w:tc>
        <w:tc>
          <w:tcPr>
            <w:tcW w:w="558" w:type="pct"/>
            <w:vAlign w:val="center"/>
          </w:tcPr>
          <w:p w14:paraId="00506D88">
            <w:pPr>
              <w:pStyle w:val="1066"/>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eastAsia="宋体"/>
                <w:sz w:val="18"/>
                <w:szCs w:val="18"/>
              </w:rPr>
            </w:pPr>
          </w:p>
        </w:tc>
      </w:tr>
      <w:tr w14:paraId="65CD19A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316" w:type="pct"/>
            <w:vMerge w:val="continue"/>
            <w:vAlign w:val="center"/>
          </w:tcPr>
          <w:p w14:paraId="355B0481">
            <w:pPr>
              <w:pStyle w:val="1066"/>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eastAsia="宋体"/>
                <w:sz w:val="18"/>
                <w:szCs w:val="18"/>
              </w:rPr>
            </w:pPr>
          </w:p>
        </w:tc>
        <w:tc>
          <w:tcPr>
            <w:tcW w:w="858" w:type="pct"/>
            <w:vAlign w:val="center"/>
          </w:tcPr>
          <w:p w14:paraId="59703B3C">
            <w:pPr>
              <w:pStyle w:val="1066"/>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eastAsia="宋体"/>
                <w:sz w:val="18"/>
                <w:szCs w:val="18"/>
              </w:rPr>
            </w:pPr>
            <w:r>
              <w:rPr>
                <w:rFonts w:hint="eastAsia" w:eastAsia="宋体"/>
                <w:sz w:val="18"/>
                <w:szCs w:val="18"/>
              </w:rPr>
              <w:t>特征因子</w:t>
            </w:r>
          </w:p>
        </w:tc>
        <w:tc>
          <w:tcPr>
            <w:tcW w:w="3268" w:type="pct"/>
            <w:gridSpan w:val="6"/>
            <w:vAlign w:val="center"/>
          </w:tcPr>
          <w:p w14:paraId="3298F7D1">
            <w:pPr>
              <w:pStyle w:val="1066"/>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left"/>
              <w:textAlignment w:val="auto"/>
              <w:rPr>
                <w:rFonts w:eastAsia="宋体"/>
                <w:sz w:val="18"/>
                <w:szCs w:val="18"/>
              </w:rPr>
            </w:pPr>
            <w:r>
              <w:rPr>
                <w:rFonts w:hint="eastAsia" w:eastAsia="宋体"/>
                <w:sz w:val="18"/>
                <w:szCs w:val="18"/>
              </w:rPr>
              <w:t>无</w:t>
            </w:r>
          </w:p>
        </w:tc>
        <w:tc>
          <w:tcPr>
            <w:tcW w:w="558" w:type="pct"/>
            <w:vAlign w:val="center"/>
          </w:tcPr>
          <w:p w14:paraId="0206BD19">
            <w:pPr>
              <w:pStyle w:val="1066"/>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eastAsia="宋体"/>
                <w:sz w:val="18"/>
                <w:szCs w:val="18"/>
              </w:rPr>
            </w:pPr>
          </w:p>
        </w:tc>
      </w:tr>
      <w:tr w14:paraId="29D48DD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316" w:type="pct"/>
            <w:vMerge w:val="continue"/>
            <w:vAlign w:val="center"/>
          </w:tcPr>
          <w:p w14:paraId="0E34953D">
            <w:pPr>
              <w:pStyle w:val="1066"/>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eastAsia="宋体"/>
                <w:sz w:val="18"/>
                <w:szCs w:val="18"/>
              </w:rPr>
            </w:pPr>
          </w:p>
        </w:tc>
        <w:tc>
          <w:tcPr>
            <w:tcW w:w="858" w:type="pct"/>
            <w:vAlign w:val="center"/>
          </w:tcPr>
          <w:p w14:paraId="1C0875CA">
            <w:pPr>
              <w:pStyle w:val="1066"/>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eastAsia="宋体"/>
                <w:sz w:val="18"/>
                <w:szCs w:val="18"/>
              </w:rPr>
            </w:pPr>
            <w:r>
              <w:rPr>
                <w:rFonts w:hint="eastAsia" w:eastAsia="宋体"/>
                <w:sz w:val="18"/>
                <w:szCs w:val="18"/>
              </w:rPr>
              <w:t>所属土壤环境影响评价项目类别</w:t>
            </w:r>
          </w:p>
        </w:tc>
        <w:tc>
          <w:tcPr>
            <w:tcW w:w="3268" w:type="pct"/>
            <w:gridSpan w:val="6"/>
            <w:vAlign w:val="center"/>
          </w:tcPr>
          <w:p w14:paraId="5226115E">
            <w:pPr>
              <w:pStyle w:val="1066"/>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left"/>
              <w:textAlignment w:val="auto"/>
              <w:rPr>
                <w:rFonts w:eastAsia="宋体"/>
                <w:sz w:val="18"/>
                <w:szCs w:val="18"/>
              </w:rPr>
            </w:pPr>
            <w:r>
              <w:rPr>
                <w:rFonts w:hint="eastAsia" w:eastAsia="宋体"/>
                <w:sz w:val="18"/>
                <w:szCs w:val="18"/>
              </w:rPr>
              <w:t>Ⅰ类</w:t>
            </w:r>
            <w:r>
              <w:rPr>
                <w:rFonts w:hint="eastAsia" w:eastAsia="宋体"/>
                <w:sz w:val="18"/>
                <w:szCs w:val="18"/>
              </w:rPr>
              <w:sym w:font="Wingdings 2" w:char="0052"/>
            </w:r>
            <w:r>
              <w:rPr>
                <w:rFonts w:hint="eastAsia" w:eastAsia="宋体"/>
                <w:sz w:val="18"/>
                <w:szCs w:val="18"/>
              </w:rPr>
              <w:t>；Ⅱ类</w:t>
            </w:r>
            <w:r>
              <w:rPr>
                <w:rFonts w:hint="eastAsia" w:ascii="MS Mincho" w:hAnsi="MS Mincho" w:eastAsia="宋体" w:cs="MS Mincho"/>
                <w:sz w:val="18"/>
                <w:szCs w:val="18"/>
                <w:lang w:eastAsia="zh-CN"/>
              </w:rPr>
              <w:t>□</w:t>
            </w:r>
            <w:r>
              <w:rPr>
                <w:rFonts w:hint="eastAsia" w:eastAsia="宋体"/>
                <w:sz w:val="18"/>
                <w:szCs w:val="18"/>
              </w:rPr>
              <w:t>；Ⅲ类</w:t>
            </w:r>
            <w:r>
              <w:rPr>
                <w:rFonts w:hint="eastAsia" w:eastAsia="宋体"/>
                <w:sz w:val="18"/>
                <w:szCs w:val="18"/>
              </w:rPr>
              <w:sym w:font="Wingdings 2" w:char="00A3"/>
            </w:r>
            <w:r>
              <w:rPr>
                <w:rFonts w:hint="eastAsia" w:eastAsia="宋体"/>
                <w:sz w:val="18"/>
                <w:szCs w:val="18"/>
              </w:rPr>
              <w:t>；Ⅳ类</w:t>
            </w:r>
            <w:r>
              <w:rPr>
                <w:rFonts w:hint="eastAsia" w:eastAsia="宋体"/>
                <w:sz w:val="18"/>
                <w:szCs w:val="18"/>
              </w:rPr>
              <w:sym w:font="Wingdings 2" w:char="00A3"/>
            </w:r>
          </w:p>
        </w:tc>
        <w:tc>
          <w:tcPr>
            <w:tcW w:w="558" w:type="pct"/>
            <w:vAlign w:val="center"/>
          </w:tcPr>
          <w:p w14:paraId="2DEE6792">
            <w:pPr>
              <w:pStyle w:val="1066"/>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eastAsia="宋体"/>
                <w:sz w:val="18"/>
                <w:szCs w:val="18"/>
              </w:rPr>
            </w:pPr>
          </w:p>
        </w:tc>
      </w:tr>
      <w:tr w14:paraId="22B6A80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316" w:type="pct"/>
            <w:vMerge w:val="continue"/>
            <w:vAlign w:val="center"/>
          </w:tcPr>
          <w:p w14:paraId="75D45A9A">
            <w:pPr>
              <w:pStyle w:val="1066"/>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eastAsia="宋体"/>
                <w:sz w:val="18"/>
                <w:szCs w:val="18"/>
              </w:rPr>
            </w:pPr>
          </w:p>
        </w:tc>
        <w:tc>
          <w:tcPr>
            <w:tcW w:w="858" w:type="pct"/>
            <w:vAlign w:val="center"/>
          </w:tcPr>
          <w:p w14:paraId="228B40A6">
            <w:pPr>
              <w:pStyle w:val="1066"/>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eastAsia="宋体"/>
                <w:sz w:val="18"/>
                <w:szCs w:val="18"/>
              </w:rPr>
            </w:pPr>
            <w:r>
              <w:rPr>
                <w:rFonts w:hint="eastAsia" w:eastAsia="宋体"/>
                <w:sz w:val="18"/>
                <w:szCs w:val="18"/>
              </w:rPr>
              <w:t>敏感程度</w:t>
            </w:r>
          </w:p>
        </w:tc>
        <w:tc>
          <w:tcPr>
            <w:tcW w:w="3268" w:type="pct"/>
            <w:gridSpan w:val="6"/>
            <w:vAlign w:val="center"/>
          </w:tcPr>
          <w:p w14:paraId="6116B50C">
            <w:pPr>
              <w:pStyle w:val="1066"/>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left"/>
              <w:textAlignment w:val="auto"/>
              <w:rPr>
                <w:rFonts w:eastAsia="宋体"/>
                <w:sz w:val="18"/>
                <w:szCs w:val="18"/>
              </w:rPr>
            </w:pPr>
            <w:r>
              <w:rPr>
                <w:rFonts w:hint="eastAsia" w:eastAsia="宋体"/>
                <w:sz w:val="18"/>
                <w:szCs w:val="18"/>
              </w:rPr>
              <w:t>敏感</w:t>
            </w:r>
            <w:r>
              <w:rPr>
                <w:rFonts w:hint="eastAsia" w:eastAsia="宋体"/>
                <w:sz w:val="18"/>
                <w:szCs w:val="18"/>
              </w:rPr>
              <w:sym w:font="Wingdings 2" w:char="00A3"/>
            </w:r>
            <w:r>
              <w:rPr>
                <w:rFonts w:hint="eastAsia" w:eastAsia="宋体"/>
                <w:sz w:val="18"/>
                <w:szCs w:val="18"/>
              </w:rPr>
              <w:t>；较敏感</w:t>
            </w:r>
            <w:r>
              <w:rPr>
                <w:rFonts w:hint="eastAsia" w:eastAsia="宋体"/>
                <w:sz w:val="18"/>
                <w:szCs w:val="18"/>
              </w:rPr>
              <w:sym w:font="Wingdings 2" w:char="00A3"/>
            </w:r>
            <w:r>
              <w:rPr>
                <w:rFonts w:hint="eastAsia" w:eastAsia="宋体"/>
                <w:sz w:val="18"/>
                <w:szCs w:val="18"/>
              </w:rPr>
              <w:t>；不敏感</w:t>
            </w:r>
            <w:r>
              <w:rPr>
                <w:rFonts w:hint="eastAsia" w:ascii="MS Mincho" w:hAnsi="MS Mincho" w:eastAsia="MS Mincho" w:cs="MS Mincho"/>
                <w:sz w:val="18"/>
                <w:szCs w:val="18"/>
              </w:rPr>
              <w:t>☑</w:t>
            </w:r>
          </w:p>
        </w:tc>
        <w:tc>
          <w:tcPr>
            <w:tcW w:w="558" w:type="pct"/>
            <w:vAlign w:val="center"/>
          </w:tcPr>
          <w:p w14:paraId="41A15C4E">
            <w:pPr>
              <w:pStyle w:val="1066"/>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eastAsia="宋体"/>
                <w:sz w:val="18"/>
                <w:szCs w:val="18"/>
              </w:rPr>
            </w:pPr>
          </w:p>
        </w:tc>
      </w:tr>
      <w:tr w14:paraId="51636A2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1173" w:type="pct"/>
            <w:gridSpan w:val="2"/>
            <w:vAlign w:val="center"/>
          </w:tcPr>
          <w:p w14:paraId="6126A9FE">
            <w:pPr>
              <w:pStyle w:val="1066"/>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eastAsia="宋体"/>
                <w:sz w:val="18"/>
                <w:szCs w:val="18"/>
              </w:rPr>
            </w:pPr>
            <w:r>
              <w:rPr>
                <w:rFonts w:hint="eastAsia" w:eastAsia="宋体"/>
                <w:sz w:val="18"/>
                <w:szCs w:val="18"/>
              </w:rPr>
              <w:t>评价工作等级</w:t>
            </w:r>
          </w:p>
        </w:tc>
        <w:tc>
          <w:tcPr>
            <w:tcW w:w="3268" w:type="pct"/>
            <w:gridSpan w:val="6"/>
            <w:vAlign w:val="center"/>
          </w:tcPr>
          <w:p w14:paraId="298D3C12">
            <w:pPr>
              <w:pStyle w:val="1066"/>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left"/>
              <w:textAlignment w:val="auto"/>
              <w:rPr>
                <w:rFonts w:hint="eastAsia" w:eastAsia="宋体"/>
                <w:sz w:val="18"/>
                <w:szCs w:val="18"/>
                <w:lang w:eastAsia="zh-CN"/>
              </w:rPr>
            </w:pPr>
            <w:r>
              <w:rPr>
                <w:rFonts w:hint="eastAsia" w:eastAsia="宋体"/>
                <w:sz w:val="18"/>
                <w:szCs w:val="18"/>
              </w:rPr>
              <w:t>一级</w:t>
            </w:r>
            <w:r>
              <w:rPr>
                <w:rFonts w:hint="eastAsia" w:eastAsia="宋体"/>
                <w:sz w:val="18"/>
                <w:szCs w:val="18"/>
              </w:rPr>
              <w:sym w:font="Wingdings 2" w:char="00A3"/>
            </w:r>
            <w:r>
              <w:rPr>
                <w:rFonts w:hint="eastAsia" w:eastAsia="宋体"/>
                <w:sz w:val="18"/>
                <w:szCs w:val="18"/>
              </w:rPr>
              <w:t>；二级</w:t>
            </w:r>
            <w:r>
              <w:rPr>
                <w:rFonts w:hint="eastAsia" w:eastAsia="宋体"/>
                <w:sz w:val="18"/>
                <w:szCs w:val="18"/>
              </w:rPr>
              <w:sym w:font="Wingdings 2" w:char="0052"/>
            </w:r>
            <w:r>
              <w:rPr>
                <w:rFonts w:hint="eastAsia" w:eastAsia="宋体"/>
                <w:sz w:val="18"/>
                <w:szCs w:val="18"/>
              </w:rPr>
              <w:t>；三级</w:t>
            </w:r>
            <w:r>
              <w:rPr>
                <w:rFonts w:hint="eastAsia" w:ascii="MS Mincho" w:hAnsi="MS Mincho" w:eastAsia="宋体" w:cs="MS Mincho"/>
                <w:sz w:val="18"/>
                <w:szCs w:val="18"/>
                <w:lang w:eastAsia="zh-CN"/>
              </w:rPr>
              <w:t>□</w:t>
            </w:r>
          </w:p>
        </w:tc>
        <w:tc>
          <w:tcPr>
            <w:tcW w:w="558" w:type="pct"/>
            <w:vAlign w:val="center"/>
          </w:tcPr>
          <w:p w14:paraId="10FD7197">
            <w:pPr>
              <w:pStyle w:val="1066"/>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eastAsia="宋体"/>
                <w:sz w:val="18"/>
                <w:szCs w:val="18"/>
              </w:rPr>
            </w:pPr>
          </w:p>
        </w:tc>
      </w:tr>
      <w:tr w14:paraId="21B1443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316" w:type="pct"/>
            <w:vMerge w:val="restart"/>
            <w:vAlign w:val="center"/>
          </w:tcPr>
          <w:p w14:paraId="7704BFF0">
            <w:pPr>
              <w:pStyle w:val="1066"/>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eastAsia="宋体"/>
                <w:sz w:val="18"/>
                <w:szCs w:val="18"/>
              </w:rPr>
            </w:pPr>
            <w:r>
              <w:rPr>
                <w:rFonts w:hint="eastAsia" w:eastAsia="宋体"/>
                <w:sz w:val="18"/>
                <w:szCs w:val="18"/>
              </w:rPr>
              <w:t>现状调查内容</w:t>
            </w:r>
          </w:p>
        </w:tc>
        <w:tc>
          <w:tcPr>
            <w:tcW w:w="858" w:type="pct"/>
            <w:vAlign w:val="center"/>
          </w:tcPr>
          <w:p w14:paraId="087BA352">
            <w:pPr>
              <w:pStyle w:val="1066"/>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eastAsia="宋体"/>
                <w:sz w:val="18"/>
                <w:szCs w:val="18"/>
              </w:rPr>
            </w:pPr>
            <w:r>
              <w:rPr>
                <w:rFonts w:hint="eastAsia" w:eastAsia="宋体"/>
                <w:sz w:val="18"/>
                <w:szCs w:val="18"/>
              </w:rPr>
              <w:t>资料收集</w:t>
            </w:r>
          </w:p>
        </w:tc>
        <w:tc>
          <w:tcPr>
            <w:tcW w:w="3268" w:type="pct"/>
            <w:gridSpan w:val="6"/>
            <w:vAlign w:val="center"/>
          </w:tcPr>
          <w:p w14:paraId="16ED11EB">
            <w:pPr>
              <w:pStyle w:val="1066"/>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left"/>
              <w:textAlignment w:val="auto"/>
              <w:rPr>
                <w:rFonts w:eastAsia="宋体"/>
                <w:sz w:val="18"/>
                <w:szCs w:val="18"/>
              </w:rPr>
            </w:pPr>
            <w:r>
              <w:rPr>
                <w:rFonts w:hint="eastAsia" w:eastAsia="宋体"/>
                <w:sz w:val="18"/>
                <w:szCs w:val="18"/>
              </w:rPr>
              <w:t>a）</w:t>
            </w:r>
            <w:r>
              <w:rPr>
                <w:rFonts w:hint="eastAsia" w:eastAsia="宋体"/>
                <w:sz w:val="18"/>
                <w:szCs w:val="18"/>
              </w:rPr>
              <w:sym w:font="Wingdings 2" w:char="00A3"/>
            </w:r>
            <w:r>
              <w:rPr>
                <w:rFonts w:hint="eastAsia" w:eastAsia="宋体"/>
                <w:sz w:val="18"/>
                <w:szCs w:val="18"/>
              </w:rPr>
              <w:t>；b）</w:t>
            </w:r>
            <w:r>
              <w:rPr>
                <w:rFonts w:hint="eastAsia" w:eastAsia="宋体"/>
                <w:sz w:val="18"/>
                <w:szCs w:val="18"/>
              </w:rPr>
              <w:sym w:font="Wingdings 2" w:char="00A3"/>
            </w:r>
            <w:r>
              <w:rPr>
                <w:rFonts w:hint="eastAsia" w:eastAsia="宋体"/>
                <w:sz w:val="18"/>
                <w:szCs w:val="18"/>
              </w:rPr>
              <w:t>；c）</w:t>
            </w:r>
            <w:r>
              <w:rPr>
                <w:rFonts w:hint="eastAsia" w:ascii="MS Mincho" w:hAnsi="MS Mincho" w:eastAsia="MS Mincho" w:cs="MS Mincho"/>
                <w:sz w:val="18"/>
                <w:szCs w:val="18"/>
              </w:rPr>
              <w:t>☑</w:t>
            </w:r>
            <w:r>
              <w:rPr>
                <w:rFonts w:hint="eastAsia" w:eastAsia="宋体"/>
                <w:sz w:val="18"/>
                <w:szCs w:val="18"/>
              </w:rPr>
              <w:t>；d）</w:t>
            </w:r>
            <w:r>
              <w:rPr>
                <w:rFonts w:hint="eastAsia" w:eastAsia="宋体"/>
                <w:sz w:val="18"/>
                <w:szCs w:val="18"/>
              </w:rPr>
              <w:sym w:font="Wingdings 2" w:char="00A3"/>
            </w:r>
          </w:p>
        </w:tc>
        <w:tc>
          <w:tcPr>
            <w:tcW w:w="558" w:type="pct"/>
            <w:vAlign w:val="center"/>
          </w:tcPr>
          <w:p w14:paraId="1AF274A3">
            <w:pPr>
              <w:pStyle w:val="1066"/>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eastAsia="宋体"/>
                <w:sz w:val="18"/>
                <w:szCs w:val="18"/>
              </w:rPr>
            </w:pPr>
          </w:p>
        </w:tc>
      </w:tr>
      <w:tr w14:paraId="2B87C8E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316" w:type="pct"/>
            <w:vMerge w:val="continue"/>
            <w:vAlign w:val="center"/>
          </w:tcPr>
          <w:p w14:paraId="5B6FD6E4">
            <w:pPr>
              <w:pStyle w:val="1066"/>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eastAsia="宋体"/>
                <w:sz w:val="18"/>
                <w:szCs w:val="18"/>
              </w:rPr>
            </w:pPr>
          </w:p>
        </w:tc>
        <w:tc>
          <w:tcPr>
            <w:tcW w:w="858" w:type="pct"/>
            <w:vAlign w:val="center"/>
          </w:tcPr>
          <w:p w14:paraId="0FF510F4">
            <w:pPr>
              <w:pStyle w:val="1066"/>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eastAsia="宋体"/>
                <w:sz w:val="18"/>
                <w:szCs w:val="18"/>
              </w:rPr>
            </w:pPr>
            <w:r>
              <w:rPr>
                <w:rFonts w:hint="eastAsia" w:eastAsia="宋体"/>
                <w:sz w:val="18"/>
                <w:szCs w:val="18"/>
              </w:rPr>
              <w:t>理化特性</w:t>
            </w:r>
          </w:p>
        </w:tc>
        <w:tc>
          <w:tcPr>
            <w:tcW w:w="3268" w:type="pct"/>
            <w:gridSpan w:val="6"/>
            <w:vAlign w:val="center"/>
          </w:tcPr>
          <w:p w14:paraId="53CC1E4E">
            <w:pPr>
              <w:pStyle w:val="1066"/>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eastAsia="宋体"/>
                <w:sz w:val="18"/>
                <w:szCs w:val="18"/>
              </w:rPr>
            </w:pPr>
          </w:p>
        </w:tc>
        <w:tc>
          <w:tcPr>
            <w:tcW w:w="558" w:type="pct"/>
            <w:vAlign w:val="center"/>
          </w:tcPr>
          <w:p w14:paraId="49AED072">
            <w:pPr>
              <w:pStyle w:val="1066"/>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eastAsia="宋体"/>
                <w:sz w:val="18"/>
                <w:szCs w:val="18"/>
              </w:rPr>
            </w:pPr>
          </w:p>
        </w:tc>
      </w:tr>
      <w:tr w14:paraId="7AD2A46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316" w:type="pct"/>
            <w:vMerge w:val="continue"/>
            <w:vAlign w:val="center"/>
          </w:tcPr>
          <w:p w14:paraId="2B60068B">
            <w:pPr>
              <w:pStyle w:val="1066"/>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eastAsia="宋体"/>
                <w:sz w:val="18"/>
                <w:szCs w:val="18"/>
              </w:rPr>
            </w:pPr>
          </w:p>
        </w:tc>
        <w:tc>
          <w:tcPr>
            <w:tcW w:w="858" w:type="pct"/>
            <w:vMerge w:val="restart"/>
            <w:vAlign w:val="center"/>
          </w:tcPr>
          <w:p w14:paraId="5B8F40CE">
            <w:pPr>
              <w:pStyle w:val="1066"/>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eastAsia="宋体"/>
                <w:sz w:val="18"/>
                <w:szCs w:val="18"/>
              </w:rPr>
            </w:pPr>
            <w:r>
              <w:rPr>
                <w:rFonts w:hint="eastAsia" w:eastAsia="宋体"/>
                <w:sz w:val="18"/>
                <w:szCs w:val="18"/>
              </w:rPr>
              <w:t>现状监测点位</w:t>
            </w:r>
          </w:p>
        </w:tc>
        <w:tc>
          <w:tcPr>
            <w:tcW w:w="859" w:type="pct"/>
            <w:vAlign w:val="center"/>
          </w:tcPr>
          <w:p w14:paraId="12CD795C">
            <w:pPr>
              <w:pStyle w:val="1066"/>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eastAsia="宋体"/>
                <w:sz w:val="18"/>
                <w:szCs w:val="18"/>
              </w:rPr>
            </w:pPr>
          </w:p>
        </w:tc>
        <w:tc>
          <w:tcPr>
            <w:tcW w:w="934" w:type="pct"/>
            <w:gridSpan w:val="2"/>
            <w:vAlign w:val="center"/>
          </w:tcPr>
          <w:p w14:paraId="1B184F08">
            <w:pPr>
              <w:pStyle w:val="1066"/>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eastAsia="宋体"/>
                <w:sz w:val="18"/>
                <w:szCs w:val="18"/>
              </w:rPr>
            </w:pPr>
            <w:r>
              <w:rPr>
                <w:rFonts w:hint="eastAsia" w:eastAsia="宋体"/>
                <w:sz w:val="18"/>
                <w:szCs w:val="18"/>
              </w:rPr>
              <w:t>占地范围内</w:t>
            </w:r>
          </w:p>
        </w:tc>
        <w:tc>
          <w:tcPr>
            <w:tcW w:w="1047" w:type="pct"/>
            <w:gridSpan w:val="2"/>
            <w:vAlign w:val="center"/>
          </w:tcPr>
          <w:p w14:paraId="0F60D98C">
            <w:pPr>
              <w:pStyle w:val="1066"/>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eastAsia="宋体"/>
                <w:sz w:val="18"/>
                <w:szCs w:val="18"/>
              </w:rPr>
            </w:pPr>
            <w:r>
              <w:rPr>
                <w:rFonts w:hint="eastAsia" w:eastAsia="宋体"/>
                <w:sz w:val="18"/>
                <w:szCs w:val="18"/>
              </w:rPr>
              <w:t>占地范围外</w:t>
            </w:r>
          </w:p>
        </w:tc>
        <w:tc>
          <w:tcPr>
            <w:tcW w:w="427" w:type="pct"/>
            <w:vAlign w:val="center"/>
          </w:tcPr>
          <w:p w14:paraId="29B4680A">
            <w:pPr>
              <w:pStyle w:val="1066"/>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eastAsia="宋体"/>
                <w:sz w:val="18"/>
                <w:szCs w:val="18"/>
              </w:rPr>
            </w:pPr>
            <w:r>
              <w:rPr>
                <w:rFonts w:hint="eastAsia" w:eastAsia="宋体"/>
                <w:sz w:val="18"/>
                <w:szCs w:val="18"/>
              </w:rPr>
              <w:t>深度</w:t>
            </w:r>
          </w:p>
        </w:tc>
        <w:tc>
          <w:tcPr>
            <w:tcW w:w="558" w:type="pct"/>
            <w:vMerge w:val="restart"/>
            <w:vAlign w:val="center"/>
          </w:tcPr>
          <w:p w14:paraId="7C5F8C31">
            <w:pPr>
              <w:pStyle w:val="1066"/>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eastAsia="宋体"/>
                <w:sz w:val="18"/>
                <w:szCs w:val="18"/>
              </w:rPr>
            </w:pPr>
          </w:p>
        </w:tc>
      </w:tr>
      <w:tr w14:paraId="45AA7ED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316" w:type="pct"/>
            <w:vMerge w:val="continue"/>
            <w:vAlign w:val="center"/>
          </w:tcPr>
          <w:p w14:paraId="75A3A633">
            <w:pPr>
              <w:pStyle w:val="1066"/>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eastAsia="宋体"/>
                <w:sz w:val="18"/>
                <w:szCs w:val="18"/>
              </w:rPr>
            </w:pPr>
          </w:p>
        </w:tc>
        <w:tc>
          <w:tcPr>
            <w:tcW w:w="858" w:type="pct"/>
            <w:vMerge w:val="continue"/>
            <w:vAlign w:val="center"/>
          </w:tcPr>
          <w:p w14:paraId="5FFDECD9">
            <w:pPr>
              <w:pStyle w:val="1066"/>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eastAsia="宋体"/>
                <w:sz w:val="18"/>
                <w:szCs w:val="18"/>
              </w:rPr>
            </w:pPr>
          </w:p>
        </w:tc>
        <w:tc>
          <w:tcPr>
            <w:tcW w:w="859" w:type="pct"/>
            <w:vAlign w:val="center"/>
          </w:tcPr>
          <w:p w14:paraId="4B1B3EDD">
            <w:pPr>
              <w:pStyle w:val="1066"/>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eastAsia="宋体"/>
                <w:sz w:val="18"/>
                <w:szCs w:val="18"/>
              </w:rPr>
            </w:pPr>
            <w:r>
              <w:rPr>
                <w:rFonts w:hint="eastAsia" w:eastAsia="宋体"/>
                <w:sz w:val="18"/>
                <w:szCs w:val="18"/>
              </w:rPr>
              <w:t>表层样点数</w:t>
            </w:r>
          </w:p>
        </w:tc>
        <w:tc>
          <w:tcPr>
            <w:tcW w:w="934" w:type="pct"/>
            <w:gridSpan w:val="2"/>
            <w:vAlign w:val="center"/>
          </w:tcPr>
          <w:p w14:paraId="661AEF82">
            <w:pPr>
              <w:pStyle w:val="1066"/>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eastAsia" w:eastAsia="宋体"/>
                <w:sz w:val="18"/>
                <w:szCs w:val="18"/>
                <w:lang w:eastAsia="zh-CN"/>
              </w:rPr>
            </w:pPr>
            <w:r>
              <w:rPr>
                <w:rFonts w:hint="eastAsia" w:eastAsia="宋体"/>
                <w:sz w:val="18"/>
                <w:szCs w:val="18"/>
                <w:lang w:val="en-US" w:eastAsia="zh-CN"/>
              </w:rPr>
              <w:t>1</w:t>
            </w:r>
          </w:p>
        </w:tc>
        <w:tc>
          <w:tcPr>
            <w:tcW w:w="1047" w:type="pct"/>
            <w:gridSpan w:val="2"/>
            <w:vAlign w:val="center"/>
          </w:tcPr>
          <w:p w14:paraId="504068FB">
            <w:pPr>
              <w:pStyle w:val="1066"/>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eastAsia="宋体"/>
                <w:sz w:val="18"/>
                <w:szCs w:val="18"/>
              </w:rPr>
            </w:pPr>
            <w:r>
              <w:rPr>
                <w:rFonts w:hint="eastAsia" w:eastAsia="宋体"/>
                <w:sz w:val="18"/>
                <w:szCs w:val="18"/>
                <w:lang w:val="en-US" w:eastAsia="zh-CN"/>
              </w:rPr>
              <w:t>2</w:t>
            </w:r>
          </w:p>
        </w:tc>
        <w:tc>
          <w:tcPr>
            <w:tcW w:w="427" w:type="pct"/>
            <w:vAlign w:val="center"/>
          </w:tcPr>
          <w:p w14:paraId="0EAA5399">
            <w:pPr>
              <w:pStyle w:val="1066"/>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eastAsia="宋体"/>
                <w:sz w:val="18"/>
                <w:szCs w:val="18"/>
              </w:rPr>
            </w:pPr>
            <w:r>
              <w:rPr>
                <w:rFonts w:hint="eastAsia" w:eastAsia="宋体"/>
                <w:sz w:val="18"/>
                <w:szCs w:val="18"/>
              </w:rPr>
              <w:t>0</w:t>
            </w:r>
          </w:p>
        </w:tc>
        <w:tc>
          <w:tcPr>
            <w:tcW w:w="558" w:type="pct"/>
            <w:vMerge w:val="continue"/>
            <w:vAlign w:val="center"/>
          </w:tcPr>
          <w:p w14:paraId="6C7DF7AB">
            <w:pPr>
              <w:pStyle w:val="1066"/>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eastAsia="宋体"/>
                <w:sz w:val="18"/>
                <w:szCs w:val="18"/>
              </w:rPr>
            </w:pPr>
          </w:p>
        </w:tc>
      </w:tr>
      <w:tr w14:paraId="370BEC7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316" w:type="pct"/>
            <w:vMerge w:val="continue"/>
            <w:vAlign w:val="center"/>
          </w:tcPr>
          <w:p w14:paraId="185E4E4C">
            <w:pPr>
              <w:pStyle w:val="1066"/>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eastAsia="宋体"/>
                <w:sz w:val="18"/>
                <w:szCs w:val="18"/>
              </w:rPr>
            </w:pPr>
          </w:p>
        </w:tc>
        <w:tc>
          <w:tcPr>
            <w:tcW w:w="858" w:type="pct"/>
            <w:vMerge w:val="continue"/>
            <w:vAlign w:val="center"/>
          </w:tcPr>
          <w:p w14:paraId="31579703">
            <w:pPr>
              <w:pStyle w:val="1066"/>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eastAsia="宋体"/>
                <w:sz w:val="18"/>
                <w:szCs w:val="18"/>
              </w:rPr>
            </w:pPr>
          </w:p>
        </w:tc>
        <w:tc>
          <w:tcPr>
            <w:tcW w:w="859" w:type="pct"/>
            <w:vAlign w:val="center"/>
          </w:tcPr>
          <w:p w14:paraId="187CCA99">
            <w:pPr>
              <w:pStyle w:val="1066"/>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eastAsia="宋体"/>
                <w:sz w:val="18"/>
                <w:szCs w:val="18"/>
              </w:rPr>
            </w:pPr>
            <w:r>
              <w:rPr>
                <w:rFonts w:hint="eastAsia" w:eastAsia="宋体"/>
                <w:sz w:val="18"/>
                <w:szCs w:val="18"/>
              </w:rPr>
              <w:t>柱状样点数</w:t>
            </w:r>
          </w:p>
        </w:tc>
        <w:tc>
          <w:tcPr>
            <w:tcW w:w="934" w:type="pct"/>
            <w:gridSpan w:val="2"/>
            <w:vAlign w:val="center"/>
          </w:tcPr>
          <w:p w14:paraId="4F4FB30A">
            <w:pPr>
              <w:pStyle w:val="1066"/>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eastAsia" w:eastAsia="宋体"/>
                <w:sz w:val="18"/>
                <w:szCs w:val="18"/>
                <w:lang w:eastAsia="zh-CN"/>
              </w:rPr>
            </w:pPr>
            <w:r>
              <w:rPr>
                <w:rFonts w:hint="eastAsia" w:eastAsia="宋体"/>
                <w:sz w:val="18"/>
                <w:szCs w:val="18"/>
                <w:lang w:val="en-US" w:eastAsia="zh-CN"/>
              </w:rPr>
              <w:t>3</w:t>
            </w:r>
          </w:p>
        </w:tc>
        <w:tc>
          <w:tcPr>
            <w:tcW w:w="1047" w:type="pct"/>
            <w:gridSpan w:val="2"/>
            <w:vAlign w:val="center"/>
          </w:tcPr>
          <w:p w14:paraId="22571D86">
            <w:pPr>
              <w:pStyle w:val="1066"/>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eastAsia" w:eastAsia="宋体"/>
                <w:sz w:val="18"/>
                <w:szCs w:val="18"/>
                <w:lang w:eastAsia="zh-CN"/>
              </w:rPr>
            </w:pPr>
            <w:r>
              <w:rPr>
                <w:rFonts w:hint="eastAsia" w:eastAsia="宋体"/>
                <w:sz w:val="18"/>
                <w:szCs w:val="18"/>
                <w:lang w:val="en-US" w:eastAsia="zh-CN"/>
              </w:rPr>
              <w:t>0</w:t>
            </w:r>
          </w:p>
        </w:tc>
        <w:tc>
          <w:tcPr>
            <w:tcW w:w="427" w:type="pct"/>
            <w:vAlign w:val="center"/>
          </w:tcPr>
          <w:p w14:paraId="68D20B38">
            <w:pPr>
              <w:pStyle w:val="1066"/>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eastAsia="宋体"/>
                <w:sz w:val="18"/>
                <w:szCs w:val="18"/>
              </w:rPr>
            </w:pPr>
            <w:r>
              <w:rPr>
                <w:rFonts w:hint="eastAsia" w:eastAsia="宋体"/>
                <w:sz w:val="18"/>
                <w:szCs w:val="18"/>
              </w:rPr>
              <w:t>0</w:t>
            </w:r>
          </w:p>
        </w:tc>
        <w:tc>
          <w:tcPr>
            <w:tcW w:w="558" w:type="pct"/>
            <w:vMerge w:val="continue"/>
            <w:vAlign w:val="center"/>
          </w:tcPr>
          <w:p w14:paraId="226F1322">
            <w:pPr>
              <w:pStyle w:val="1066"/>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eastAsia="宋体"/>
                <w:sz w:val="18"/>
                <w:szCs w:val="18"/>
              </w:rPr>
            </w:pPr>
          </w:p>
        </w:tc>
      </w:tr>
      <w:tr w14:paraId="247318D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316" w:type="pct"/>
            <w:vMerge w:val="continue"/>
            <w:vAlign w:val="center"/>
          </w:tcPr>
          <w:p w14:paraId="1C091A34">
            <w:pPr>
              <w:pStyle w:val="1066"/>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eastAsia="宋体"/>
                <w:sz w:val="18"/>
                <w:szCs w:val="18"/>
              </w:rPr>
            </w:pPr>
          </w:p>
        </w:tc>
        <w:tc>
          <w:tcPr>
            <w:tcW w:w="858" w:type="pct"/>
            <w:vAlign w:val="center"/>
          </w:tcPr>
          <w:p w14:paraId="31E31B35">
            <w:pPr>
              <w:pStyle w:val="1066"/>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eastAsia="宋体"/>
                <w:sz w:val="18"/>
                <w:szCs w:val="18"/>
              </w:rPr>
            </w:pPr>
            <w:r>
              <w:rPr>
                <w:rFonts w:hint="eastAsia" w:eastAsia="宋体"/>
                <w:sz w:val="18"/>
                <w:szCs w:val="18"/>
              </w:rPr>
              <w:t>现状监测因子</w:t>
            </w:r>
          </w:p>
        </w:tc>
        <w:tc>
          <w:tcPr>
            <w:tcW w:w="3268" w:type="pct"/>
            <w:gridSpan w:val="6"/>
            <w:vAlign w:val="center"/>
          </w:tcPr>
          <w:p w14:paraId="2AECEB49">
            <w:pPr>
              <w:pStyle w:val="1066"/>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eastAsia="宋体"/>
                <w:sz w:val="18"/>
                <w:szCs w:val="18"/>
              </w:rPr>
            </w:pPr>
            <w:r>
              <w:rPr>
                <w:rFonts w:hint="eastAsia" w:eastAsia="宋体"/>
                <w:sz w:val="18"/>
                <w:szCs w:val="18"/>
              </w:rPr>
              <w:t>GB36600建设用地45项基本项</w:t>
            </w:r>
          </w:p>
        </w:tc>
        <w:tc>
          <w:tcPr>
            <w:tcW w:w="558" w:type="pct"/>
            <w:vAlign w:val="center"/>
          </w:tcPr>
          <w:p w14:paraId="61225926">
            <w:pPr>
              <w:pStyle w:val="1066"/>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eastAsia="宋体"/>
                <w:sz w:val="18"/>
                <w:szCs w:val="18"/>
              </w:rPr>
            </w:pPr>
          </w:p>
        </w:tc>
      </w:tr>
      <w:tr w14:paraId="27C268A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316" w:type="pct"/>
            <w:vMerge w:val="restart"/>
            <w:vAlign w:val="center"/>
          </w:tcPr>
          <w:p w14:paraId="544322EA">
            <w:pPr>
              <w:pStyle w:val="1066"/>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eastAsia="宋体"/>
                <w:sz w:val="18"/>
                <w:szCs w:val="18"/>
              </w:rPr>
            </w:pPr>
            <w:r>
              <w:rPr>
                <w:rFonts w:hint="eastAsia" w:eastAsia="宋体"/>
                <w:sz w:val="18"/>
                <w:szCs w:val="18"/>
              </w:rPr>
              <w:t>现状评价</w:t>
            </w:r>
          </w:p>
        </w:tc>
        <w:tc>
          <w:tcPr>
            <w:tcW w:w="858" w:type="pct"/>
            <w:vAlign w:val="center"/>
          </w:tcPr>
          <w:p w14:paraId="453E225B">
            <w:pPr>
              <w:pStyle w:val="1066"/>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eastAsia="宋体"/>
                <w:sz w:val="18"/>
                <w:szCs w:val="18"/>
              </w:rPr>
            </w:pPr>
            <w:r>
              <w:rPr>
                <w:rFonts w:hint="eastAsia" w:eastAsia="宋体"/>
                <w:sz w:val="18"/>
                <w:szCs w:val="18"/>
              </w:rPr>
              <w:t>评价因子</w:t>
            </w:r>
          </w:p>
        </w:tc>
        <w:tc>
          <w:tcPr>
            <w:tcW w:w="3268" w:type="pct"/>
            <w:gridSpan w:val="6"/>
            <w:vAlign w:val="center"/>
          </w:tcPr>
          <w:p w14:paraId="5C21E96A">
            <w:pPr>
              <w:pStyle w:val="1066"/>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eastAsia="宋体"/>
                <w:sz w:val="18"/>
                <w:szCs w:val="18"/>
              </w:rPr>
            </w:pPr>
          </w:p>
        </w:tc>
        <w:tc>
          <w:tcPr>
            <w:tcW w:w="558" w:type="pct"/>
            <w:vAlign w:val="center"/>
          </w:tcPr>
          <w:p w14:paraId="6F329587">
            <w:pPr>
              <w:pStyle w:val="1066"/>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eastAsia="宋体"/>
                <w:sz w:val="18"/>
                <w:szCs w:val="18"/>
              </w:rPr>
            </w:pPr>
          </w:p>
        </w:tc>
      </w:tr>
      <w:tr w14:paraId="30F7762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316" w:type="pct"/>
            <w:vMerge w:val="continue"/>
            <w:vAlign w:val="center"/>
          </w:tcPr>
          <w:p w14:paraId="1BC19209">
            <w:pPr>
              <w:pStyle w:val="1066"/>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eastAsia="宋体"/>
                <w:sz w:val="18"/>
                <w:szCs w:val="18"/>
              </w:rPr>
            </w:pPr>
          </w:p>
        </w:tc>
        <w:tc>
          <w:tcPr>
            <w:tcW w:w="858" w:type="pct"/>
            <w:vAlign w:val="center"/>
          </w:tcPr>
          <w:p w14:paraId="369E1318">
            <w:pPr>
              <w:pStyle w:val="1066"/>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eastAsia="宋体"/>
                <w:sz w:val="18"/>
                <w:szCs w:val="18"/>
              </w:rPr>
            </w:pPr>
            <w:r>
              <w:rPr>
                <w:rFonts w:hint="eastAsia" w:eastAsia="宋体"/>
                <w:sz w:val="18"/>
                <w:szCs w:val="18"/>
              </w:rPr>
              <w:t>评价标准</w:t>
            </w:r>
          </w:p>
        </w:tc>
        <w:tc>
          <w:tcPr>
            <w:tcW w:w="3268" w:type="pct"/>
            <w:gridSpan w:val="6"/>
            <w:vAlign w:val="center"/>
          </w:tcPr>
          <w:p w14:paraId="4EEB3956">
            <w:pPr>
              <w:pStyle w:val="1066"/>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left"/>
              <w:textAlignment w:val="auto"/>
              <w:rPr>
                <w:rFonts w:eastAsia="宋体"/>
                <w:sz w:val="18"/>
                <w:szCs w:val="18"/>
              </w:rPr>
            </w:pPr>
            <w:r>
              <w:rPr>
                <w:rFonts w:hint="eastAsia" w:eastAsia="宋体"/>
                <w:sz w:val="18"/>
                <w:szCs w:val="18"/>
              </w:rPr>
              <w:t>GB15618</w:t>
            </w:r>
            <w:r>
              <w:rPr>
                <w:rFonts w:hint="eastAsia" w:eastAsia="宋体"/>
                <w:sz w:val="18"/>
                <w:szCs w:val="18"/>
              </w:rPr>
              <w:sym w:font="Wingdings 2" w:char="00A3"/>
            </w:r>
            <w:r>
              <w:rPr>
                <w:rFonts w:hint="eastAsia" w:eastAsia="宋体"/>
                <w:sz w:val="18"/>
                <w:szCs w:val="18"/>
              </w:rPr>
              <w:t>；GB36600</w:t>
            </w:r>
            <w:r>
              <w:rPr>
                <w:rFonts w:hint="eastAsia" w:ascii="MS Mincho" w:hAnsi="MS Mincho" w:eastAsia="MS Mincho" w:cs="MS Mincho"/>
                <w:sz w:val="18"/>
                <w:szCs w:val="18"/>
              </w:rPr>
              <w:t>☑</w:t>
            </w:r>
            <w:r>
              <w:rPr>
                <w:rFonts w:hint="eastAsia" w:eastAsia="宋体"/>
                <w:sz w:val="18"/>
                <w:szCs w:val="18"/>
              </w:rPr>
              <w:t>；表D.1</w:t>
            </w:r>
            <w:r>
              <w:rPr>
                <w:rFonts w:hint="eastAsia" w:eastAsia="宋体"/>
                <w:sz w:val="18"/>
                <w:szCs w:val="18"/>
              </w:rPr>
              <w:sym w:font="Wingdings 2" w:char="00A3"/>
            </w:r>
            <w:r>
              <w:rPr>
                <w:rFonts w:hint="eastAsia" w:eastAsia="宋体"/>
                <w:sz w:val="18"/>
                <w:szCs w:val="18"/>
              </w:rPr>
              <w:t>；表D.2</w:t>
            </w:r>
            <w:r>
              <w:rPr>
                <w:rFonts w:hint="eastAsia" w:eastAsia="宋体"/>
                <w:sz w:val="18"/>
                <w:szCs w:val="18"/>
              </w:rPr>
              <w:sym w:font="Wingdings 2" w:char="00A3"/>
            </w:r>
            <w:r>
              <w:rPr>
                <w:rFonts w:hint="eastAsia" w:eastAsia="宋体"/>
                <w:sz w:val="18"/>
                <w:szCs w:val="18"/>
              </w:rPr>
              <w:t>；其他（   ）</w:t>
            </w:r>
          </w:p>
        </w:tc>
        <w:tc>
          <w:tcPr>
            <w:tcW w:w="558" w:type="pct"/>
            <w:vAlign w:val="center"/>
          </w:tcPr>
          <w:p w14:paraId="197527F6">
            <w:pPr>
              <w:pStyle w:val="1066"/>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eastAsia="宋体"/>
                <w:sz w:val="18"/>
                <w:szCs w:val="18"/>
              </w:rPr>
            </w:pPr>
          </w:p>
        </w:tc>
      </w:tr>
      <w:tr w14:paraId="5FF76E0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316" w:type="pct"/>
            <w:vMerge w:val="continue"/>
            <w:vAlign w:val="center"/>
          </w:tcPr>
          <w:p w14:paraId="3CC89CFB">
            <w:pPr>
              <w:pStyle w:val="1066"/>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eastAsia="宋体"/>
                <w:sz w:val="18"/>
                <w:szCs w:val="18"/>
              </w:rPr>
            </w:pPr>
          </w:p>
        </w:tc>
        <w:tc>
          <w:tcPr>
            <w:tcW w:w="858" w:type="pct"/>
            <w:vAlign w:val="center"/>
          </w:tcPr>
          <w:p w14:paraId="6F291D9A">
            <w:pPr>
              <w:pStyle w:val="1066"/>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eastAsia="宋体"/>
                <w:sz w:val="18"/>
                <w:szCs w:val="18"/>
              </w:rPr>
            </w:pPr>
            <w:r>
              <w:rPr>
                <w:rFonts w:hint="eastAsia" w:eastAsia="宋体"/>
                <w:sz w:val="18"/>
                <w:szCs w:val="18"/>
              </w:rPr>
              <w:t>现状评价结论</w:t>
            </w:r>
          </w:p>
        </w:tc>
        <w:tc>
          <w:tcPr>
            <w:tcW w:w="3268" w:type="pct"/>
            <w:gridSpan w:val="6"/>
            <w:vAlign w:val="center"/>
          </w:tcPr>
          <w:p w14:paraId="6D95F66B">
            <w:pPr>
              <w:pStyle w:val="1066"/>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eastAsia="宋体"/>
                <w:sz w:val="18"/>
                <w:szCs w:val="18"/>
              </w:rPr>
            </w:pPr>
            <w:r>
              <w:rPr>
                <w:rFonts w:hint="eastAsia" w:eastAsia="宋体"/>
                <w:sz w:val="18"/>
                <w:szCs w:val="18"/>
              </w:rPr>
              <w:t>占地范围内各监测因符合GB36600</w:t>
            </w:r>
          </w:p>
        </w:tc>
        <w:tc>
          <w:tcPr>
            <w:tcW w:w="558" w:type="pct"/>
            <w:vAlign w:val="center"/>
          </w:tcPr>
          <w:p w14:paraId="329A07CC">
            <w:pPr>
              <w:pStyle w:val="1066"/>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eastAsia="宋体"/>
                <w:sz w:val="18"/>
                <w:szCs w:val="18"/>
              </w:rPr>
            </w:pPr>
          </w:p>
        </w:tc>
      </w:tr>
      <w:tr w14:paraId="5BFE778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316" w:type="pct"/>
            <w:vMerge w:val="restart"/>
            <w:vAlign w:val="center"/>
          </w:tcPr>
          <w:p w14:paraId="5A1D64D4">
            <w:pPr>
              <w:pStyle w:val="1066"/>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eastAsia="宋体"/>
                <w:sz w:val="18"/>
                <w:szCs w:val="18"/>
              </w:rPr>
            </w:pPr>
            <w:r>
              <w:rPr>
                <w:rFonts w:hint="eastAsia" w:eastAsia="宋体"/>
                <w:sz w:val="18"/>
                <w:szCs w:val="18"/>
              </w:rPr>
              <w:t>影响预测</w:t>
            </w:r>
          </w:p>
        </w:tc>
        <w:tc>
          <w:tcPr>
            <w:tcW w:w="858" w:type="pct"/>
            <w:vAlign w:val="center"/>
          </w:tcPr>
          <w:p w14:paraId="56C8C39A">
            <w:pPr>
              <w:pStyle w:val="1066"/>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eastAsia="宋体"/>
                <w:sz w:val="18"/>
                <w:szCs w:val="18"/>
              </w:rPr>
            </w:pPr>
            <w:r>
              <w:rPr>
                <w:rFonts w:hint="eastAsia" w:eastAsia="宋体"/>
                <w:sz w:val="18"/>
                <w:szCs w:val="18"/>
              </w:rPr>
              <w:t>预测因子</w:t>
            </w:r>
          </w:p>
        </w:tc>
        <w:tc>
          <w:tcPr>
            <w:tcW w:w="3268" w:type="pct"/>
            <w:gridSpan w:val="6"/>
            <w:vAlign w:val="center"/>
          </w:tcPr>
          <w:p w14:paraId="54AA8156">
            <w:pPr>
              <w:pStyle w:val="1066"/>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eastAsia="宋体"/>
                <w:sz w:val="18"/>
                <w:szCs w:val="18"/>
              </w:rPr>
            </w:pPr>
          </w:p>
        </w:tc>
        <w:tc>
          <w:tcPr>
            <w:tcW w:w="558" w:type="pct"/>
            <w:vAlign w:val="center"/>
          </w:tcPr>
          <w:p w14:paraId="394F51A1">
            <w:pPr>
              <w:pStyle w:val="1066"/>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eastAsia="宋体"/>
                <w:sz w:val="18"/>
                <w:szCs w:val="18"/>
              </w:rPr>
            </w:pPr>
          </w:p>
        </w:tc>
      </w:tr>
      <w:tr w14:paraId="5EB9EBE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316" w:type="pct"/>
            <w:vMerge w:val="continue"/>
            <w:vAlign w:val="center"/>
          </w:tcPr>
          <w:p w14:paraId="4F6C4768">
            <w:pPr>
              <w:pStyle w:val="1066"/>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eastAsia="宋体"/>
                <w:sz w:val="18"/>
                <w:szCs w:val="18"/>
              </w:rPr>
            </w:pPr>
          </w:p>
        </w:tc>
        <w:tc>
          <w:tcPr>
            <w:tcW w:w="858" w:type="pct"/>
            <w:vAlign w:val="center"/>
          </w:tcPr>
          <w:p w14:paraId="003AB23F">
            <w:pPr>
              <w:pStyle w:val="1066"/>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eastAsia="宋体"/>
                <w:sz w:val="18"/>
                <w:szCs w:val="18"/>
              </w:rPr>
            </w:pPr>
            <w:r>
              <w:rPr>
                <w:rFonts w:hint="eastAsia" w:eastAsia="宋体"/>
                <w:sz w:val="18"/>
                <w:szCs w:val="18"/>
              </w:rPr>
              <w:t>预测方法</w:t>
            </w:r>
          </w:p>
        </w:tc>
        <w:tc>
          <w:tcPr>
            <w:tcW w:w="3268" w:type="pct"/>
            <w:gridSpan w:val="6"/>
            <w:vAlign w:val="center"/>
          </w:tcPr>
          <w:p w14:paraId="1FEBFFF0">
            <w:pPr>
              <w:pStyle w:val="1066"/>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left"/>
              <w:textAlignment w:val="auto"/>
              <w:rPr>
                <w:rFonts w:eastAsia="宋体"/>
                <w:sz w:val="18"/>
                <w:szCs w:val="18"/>
              </w:rPr>
            </w:pPr>
            <w:r>
              <w:rPr>
                <w:rFonts w:hint="eastAsia" w:eastAsia="宋体"/>
                <w:sz w:val="18"/>
                <w:szCs w:val="18"/>
              </w:rPr>
              <w:t>附录E</w:t>
            </w:r>
            <w:r>
              <w:rPr>
                <w:rFonts w:hint="eastAsia" w:eastAsia="宋体"/>
                <w:sz w:val="18"/>
                <w:szCs w:val="18"/>
              </w:rPr>
              <w:sym w:font="Wingdings 2" w:char="00A3"/>
            </w:r>
            <w:r>
              <w:rPr>
                <w:rFonts w:hint="eastAsia" w:eastAsia="宋体"/>
                <w:sz w:val="18"/>
                <w:szCs w:val="18"/>
              </w:rPr>
              <w:t>；附录F</w:t>
            </w:r>
            <w:r>
              <w:rPr>
                <w:rFonts w:hint="eastAsia" w:eastAsia="宋体"/>
                <w:sz w:val="18"/>
                <w:szCs w:val="18"/>
              </w:rPr>
              <w:sym w:font="Wingdings 2" w:char="00A3"/>
            </w:r>
            <w:r>
              <w:rPr>
                <w:rFonts w:hint="eastAsia" w:eastAsia="宋体"/>
                <w:sz w:val="18"/>
                <w:szCs w:val="18"/>
              </w:rPr>
              <w:t>；其他（   ）</w:t>
            </w:r>
          </w:p>
        </w:tc>
        <w:tc>
          <w:tcPr>
            <w:tcW w:w="558" w:type="pct"/>
            <w:vAlign w:val="center"/>
          </w:tcPr>
          <w:p w14:paraId="3CAD2775">
            <w:pPr>
              <w:pStyle w:val="1066"/>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eastAsia="宋体"/>
                <w:sz w:val="18"/>
                <w:szCs w:val="18"/>
              </w:rPr>
            </w:pPr>
          </w:p>
        </w:tc>
      </w:tr>
      <w:tr w14:paraId="03E701A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316" w:type="pct"/>
            <w:vMerge w:val="continue"/>
            <w:vAlign w:val="center"/>
          </w:tcPr>
          <w:p w14:paraId="25D5B27B">
            <w:pPr>
              <w:pStyle w:val="1066"/>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eastAsia="宋体"/>
                <w:sz w:val="18"/>
                <w:szCs w:val="18"/>
              </w:rPr>
            </w:pPr>
          </w:p>
        </w:tc>
        <w:tc>
          <w:tcPr>
            <w:tcW w:w="858" w:type="pct"/>
            <w:vAlign w:val="center"/>
          </w:tcPr>
          <w:p w14:paraId="597859E0">
            <w:pPr>
              <w:pStyle w:val="1066"/>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eastAsia="宋体"/>
                <w:sz w:val="18"/>
                <w:szCs w:val="18"/>
              </w:rPr>
            </w:pPr>
            <w:r>
              <w:rPr>
                <w:rFonts w:hint="eastAsia" w:eastAsia="宋体"/>
                <w:sz w:val="18"/>
                <w:szCs w:val="18"/>
              </w:rPr>
              <w:t>预测分析内容</w:t>
            </w:r>
          </w:p>
        </w:tc>
        <w:tc>
          <w:tcPr>
            <w:tcW w:w="3268" w:type="pct"/>
            <w:gridSpan w:val="6"/>
            <w:vAlign w:val="center"/>
          </w:tcPr>
          <w:p w14:paraId="2F650517">
            <w:pPr>
              <w:pStyle w:val="1066"/>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left"/>
              <w:textAlignment w:val="auto"/>
              <w:rPr>
                <w:rFonts w:eastAsia="宋体"/>
                <w:sz w:val="18"/>
                <w:szCs w:val="18"/>
              </w:rPr>
            </w:pPr>
            <w:r>
              <w:rPr>
                <w:rFonts w:hint="eastAsia" w:eastAsia="宋体"/>
                <w:sz w:val="18"/>
                <w:szCs w:val="18"/>
              </w:rPr>
              <w:t>影响范围（     ）</w:t>
            </w:r>
          </w:p>
          <w:p w14:paraId="6611B332">
            <w:pPr>
              <w:pStyle w:val="1066"/>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left"/>
              <w:textAlignment w:val="auto"/>
              <w:rPr>
                <w:rFonts w:eastAsia="宋体"/>
                <w:sz w:val="18"/>
                <w:szCs w:val="18"/>
              </w:rPr>
            </w:pPr>
            <w:r>
              <w:rPr>
                <w:rFonts w:hint="eastAsia" w:eastAsia="宋体"/>
                <w:sz w:val="18"/>
                <w:szCs w:val="18"/>
              </w:rPr>
              <w:t>影响程度（     ）</w:t>
            </w:r>
          </w:p>
        </w:tc>
        <w:tc>
          <w:tcPr>
            <w:tcW w:w="558" w:type="pct"/>
            <w:vAlign w:val="center"/>
          </w:tcPr>
          <w:p w14:paraId="266D1AD7">
            <w:pPr>
              <w:pStyle w:val="1066"/>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eastAsia="宋体"/>
                <w:sz w:val="18"/>
                <w:szCs w:val="18"/>
              </w:rPr>
            </w:pPr>
          </w:p>
        </w:tc>
      </w:tr>
      <w:tr w14:paraId="642AE48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316" w:type="pct"/>
            <w:vMerge w:val="continue"/>
            <w:vAlign w:val="center"/>
          </w:tcPr>
          <w:p w14:paraId="71883A71">
            <w:pPr>
              <w:pStyle w:val="1066"/>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eastAsia="宋体"/>
                <w:sz w:val="18"/>
                <w:szCs w:val="18"/>
              </w:rPr>
            </w:pPr>
          </w:p>
        </w:tc>
        <w:tc>
          <w:tcPr>
            <w:tcW w:w="858" w:type="pct"/>
            <w:vAlign w:val="center"/>
          </w:tcPr>
          <w:p w14:paraId="642BCE53">
            <w:pPr>
              <w:pStyle w:val="1066"/>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eastAsia="宋体"/>
                <w:sz w:val="18"/>
                <w:szCs w:val="18"/>
              </w:rPr>
            </w:pPr>
            <w:r>
              <w:rPr>
                <w:rFonts w:hint="eastAsia" w:eastAsia="宋体"/>
                <w:sz w:val="18"/>
                <w:szCs w:val="18"/>
              </w:rPr>
              <w:t>预测结论</w:t>
            </w:r>
          </w:p>
        </w:tc>
        <w:tc>
          <w:tcPr>
            <w:tcW w:w="3268" w:type="pct"/>
            <w:gridSpan w:val="6"/>
            <w:vAlign w:val="center"/>
          </w:tcPr>
          <w:p w14:paraId="006B45EA">
            <w:pPr>
              <w:pStyle w:val="1066"/>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left"/>
              <w:textAlignment w:val="auto"/>
              <w:rPr>
                <w:rFonts w:eastAsia="宋体"/>
                <w:sz w:val="18"/>
                <w:szCs w:val="18"/>
              </w:rPr>
            </w:pPr>
            <w:r>
              <w:rPr>
                <w:rFonts w:hint="eastAsia" w:eastAsia="宋体"/>
                <w:sz w:val="18"/>
                <w:szCs w:val="18"/>
              </w:rPr>
              <w:t>达标结论：a）</w:t>
            </w:r>
            <w:r>
              <w:rPr>
                <w:rFonts w:hint="eastAsia" w:eastAsia="宋体"/>
                <w:sz w:val="18"/>
                <w:szCs w:val="18"/>
              </w:rPr>
              <w:sym w:font="Wingdings 2" w:char="00A3"/>
            </w:r>
            <w:r>
              <w:rPr>
                <w:rFonts w:hint="eastAsia" w:eastAsia="宋体"/>
                <w:sz w:val="18"/>
                <w:szCs w:val="18"/>
              </w:rPr>
              <w:t>；b）</w:t>
            </w:r>
            <w:r>
              <w:rPr>
                <w:rFonts w:hint="eastAsia" w:eastAsia="宋体"/>
                <w:sz w:val="18"/>
                <w:szCs w:val="18"/>
              </w:rPr>
              <w:sym w:font="Wingdings 2" w:char="00A3"/>
            </w:r>
            <w:r>
              <w:rPr>
                <w:rFonts w:hint="eastAsia" w:eastAsia="宋体"/>
                <w:sz w:val="18"/>
                <w:szCs w:val="18"/>
              </w:rPr>
              <w:t>；c）</w:t>
            </w:r>
            <w:r>
              <w:rPr>
                <w:rFonts w:hint="eastAsia" w:eastAsia="宋体"/>
                <w:sz w:val="18"/>
                <w:szCs w:val="18"/>
              </w:rPr>
              <w:sym w:font="Wingdings 2" w:char="00A3"/>
            </w:r>
          </w:p>
          <w:p w14:paraId="6A129119">
            <w:pPr>
              <w:pStyle w:val="1066"/>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left"/>
              <w:textAlignment w:val="auto"/>
              <w:rPr>
                <w:rFonts w:eastAsia="宋体"/>
                <w:sz w:val="18"/>
                <w:szCs w:val="18"/>
              </w:rPr>
            </w:pPr>
            <w:r>
              <w:rPr>
                <w:rFonts w:hint="eastAsia" w:eastAsia="宋体"/>
                <w:sz w:val="18"/>
                <w:szCs w:val="18"/>
              </w:rPr>
              <w:t>不达标结论：a）</w:t>
            </w:r>
            <w:r>
              <w:rPr>
                <w:rFonts w:hint="eastAsia" w:eastAsia="宋体"/>
                <w:sz w:val="18"/>
                <w:szCs w:val="18"/>
              </w:rPr>
              <w:sym w:font="Wingdings 2" w:char="00A3"/>
            </w:r>
            <w:r>
              <w:rPr>
                <w:rFonts w:hint="eastAsia" w:eastAsia="宋体"/>
                <w:sz w:val="18"/>
                <w:szCs w:val="18"/>
              </w:rPr>
              <w:t>；b）</w:t>
            </w:r>
            <w:r>
              <w:rPr>
                <w:rFonts w:hint="eastAsia" w:eastAsia="宋体"/>
                <w:sz w:val="18"/>
                <w:szCs w:val="18"/>
              </w:rPr>
              <w:sym w:font="Wingdings 2" w:char="00A3"/>
            </w:r>
          </w:p>
        </w:tc>
        <w:tc>
          <w:tcPr>
            <w:tcW w:w="558" w:type="pct"/>
            <w:vAlign w:val="center"/>
          </w:tcPr>
          <w:p w14:paraId="53C3A854">
            <w:pPr>
              <w:pStyle w:val="1066"/>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eastAsia="宋体"/>
                <w:sz w:val="18"/>
                <w:szCs w:val="18"/>
              </w:rPr>
            </w:pPr>
          </w:p>
        </w:tc>
      </w:tr>
      <w:tr w14:paraId="2B7F50D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316" w:type="pct"/>
            <w:vMerge w:val="restart"/>
            <w:vAlign w:val="center"/>
          </w:tcPr>
          <w:p w14:paraId="45370018">
            <w:pPr>
              <w:pStyle w:val="1066"/>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eastAsia="宋体"/>
                <w:sz w:val="18"/>
                <w:szCs w:val="18"/>
              </w:rPr>
            </w:pPr>
            <w:r>
              <w:rPr>
                <w:rFonts w:hint="eastAsia" w:eastAsia="宋体"/>
                <w:sz w:val="18"/>
                <w:szCs w:val="18"/>
              </w:rPr>
              <w:t>防治措施</w:t>
            </w:r>
          </w:p>
        </w:tc>
        <w:tc>
          <w:tcPr>
            <w:tcW w:w="858" w:type="pct"/>
            <w:vAlign w:val="center"/>
          </w:tcPr>
          <w:p w14:paraId="63C0E4CB">
            <w:pPr>
              <w:pStyle w:val="1066"/>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eastAsia="宋体"/>
                <w:sz w:val="18"/>
                <w:szCs w:val="18"/>
              </w:rPr>
            </w:pPr>
            <w:r>
              <w:rPr>
                <w:rFonts w:hint="eastAsia" w:eastAsia="宋体"/>
                <w:sz w:val="18"/>
                <w:szCs w:val="18"/>
              </w:rPr>
              <w:t>防控措施</w:t>
            </w:r>
          </w:p>
        </w:tc>
        <w:tc>
          <w:tcPr>
            <w:tcW w:w="3268" w:type="pct"/>
            <w:gridSpan w:val="6"/>
            <w:vAlign w:val="center"/>
          </w:tcPr>
          <w:p w14:paraId="5CD4C4E1">
            <w:pPr>
              <w:pStyle w:val="1066"/>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left"/>
              <w:textAlignment w:val="auto"/>
              <w:rPr>
                <w:rFonts w:eastAsia="宋体"/>
                <w:sz w:val="18"/>
                <w:szCs w:val="18"/>
              </w:rPr>
            </w:pPr>
            <w:r>
              <w:rPr>
                <w:rFonts w:hint="eastAsia" w:eastAsia="宋体"/>
                <w:sz w:val="18"/>
                <w:szCs w:val="18"/>
              </w:rPr>
              <w:t>土壤环境质量现状保障</w:t>
            </w:r>
            <w:r>
              <w:rPr>
                <w:rFonts w:hint="eastAsia" w:eastAsia="宋体"/>
                <w:sz w:val="18"/>
                <w:szCs w:val="18"/>
              </w:rPr>
              <w:sym w:font="Wingdings 2" w:char="00A3"/>
            </w:r>
            <w:r>
              <w:rPr>
                <w:rFonts w:hint="eastAsia" w:eastAsia="宋体"/>
                <w:sz w:val="18"/>
                <w:szCs w:val="18"/>
              </w:rPr>
              <w:t>；源头控制</w:t>
            </w:r>
            <w:r>
              <w:rPr>
                <w:rFonts w:hint="eastAsia" w:ascii="MS Mincho" w:hAnsi="MS Mincho" w:eastAsia="MS Mincho" w:cs="MS Mincho"/>
                <w:sz w:val="18"/>
                <w:szCs w:val="18"/>
              </w:rPr>
              <w:t>☑</w:t>
            </w:r>
            <w:r>
              <w:rPr>
                <w:rFonts w:hint="eastAsia" w:eastAsia="宋体"/>
                <w:sz w:val="18"/>
                <w:szCs w:val="18"/>
              </w:rPr>
              <w:t>；过程防控</w:t>
            </w:r>
            <w:r>
              <w:rPr>
                <w:rFonts w:hint="eastAsia" w:eastAsia="宋体"/>
                <w:sz w:val="18"/>
                <w:szCs w:val="18"/>
              </w:rPr>
              <w:sym w:font="Wingdings 2" w:char="00A3"/>
            </w:r>
            <w:r>
              <w:rPr>
                <w:rFonts w:hint="eastAsia" w:eastAsia="宋体"/>
                <w:sz w:val="18"/>
                <w:szCs w:val="18"/>
              </w:rPr>
              <w:t>；其他（    ）</w:t>
            </w:r>
          </w:p>
        </w:tc>
        <w:tc>
          <w:tcPr>
            <w:tcW w:w="558" w:type="pct"/>
            <w:vAlign w:val="center"/>
          </w:tcPr>
          <w:p w14:paraId="20E40D85">
            <w:pPr>
              <w:pStyle w:val="1066"/>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eastAsia="宋体"/>
                <w:sz w:val="18"/>
                <w:szCs w:val="18"/>
              </w:rPr>
            </w:pPr>
          </w:p>
        </w:tc>
      </w:tr>
      <w:tr w14:paraId="3312C9E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316" w:type="pct"/>
            <w:vMerge w:val="continue"/>
            <w:vAlign w:val="center"/>
          </w:tcPr>
          <w:p w14:paraId="17DBEF76">
            <w:pPr>
              <w:pStyle w:val="1066"/>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eastAsia="宋体"/>
                <w:sz w:val="18"/>
                <w:szCs w:val="18"/>
              </w:rPr>
            </w:pPr>
          </w:p>
        </w:tc>
        <w:tc>
          <w:tcPr>
            <w:tcW w:w="858" w:type="pct"/>
            <w:vMerge w:val="restart"/>
            <w:vAlign w:val="center"/>
          </w:tcPr>
          <w:p w14:paraId="3CB7F0BD">
            <w:pPr>
              <w:pStyle w:val="1066"/>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eastAsia="宋体"/>
                <w:sz w:val="18"/>
                <w:szCs w:val="18"/>
              </w:rPr>
            </w:pPr>
            <w:r>
              <w:rPr>
                <w:rFonts w:hint="eastAsia" w:eastAsia="宋体"/>
                <w:sz w:val="18"/>
                <w:szCs w:val="18"/>
              </w:rPr>
              <w:t>跟踪监测</w:t>
            </w:r>
          </w:p>
        </w:tc>
        <w:tc>
          <w:tcPr>
            <w:tcW w:w="1740" w:type="pct"/>
            <w:gridSpan w:val="2"/>
            <w:vAlign w:val="center"/>
          </w:tcPr>
          <w:p w14:paraId="04FDF25A">
            <w:pPr>
              <w:pStyle w:val="1066"/>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eastAsia="宋体"/>
                <w:sz w:val="18"/>
                <w:szCs w:val="18"/>
              </w:rPr>
            </w:pPr>
            <w:r>
              <w:rPr>
                <w:rFonts w:hint="eastAsia" w:eastAsia="宋体"/>
                <w:sz w:val="18"/>
                <w:szCs w:val="18"/>
              </w:rPr>
              <w:t>监测点数</w:t>
            </w:r>
          </w:p>
        </w:tc>
        <w:tc>
          <w:tcPr>
            <w:tcW w:w="745" w:type="pct"/>
            <w:gridSpan w:val="2"/>
            <w:vAlign w:val="center"/>
          </w:tcPr>
          <w:p w14:paraId="4C344378">
            <w:pPr>
              <w:pStyle w:val="1066"/>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eastAsia="宋体"/>
                <w:sz w:val="18"/>
                <w:szCs w:val="18"/>
              </w:rPr>
            </w:pPr>
            <w:r>
              <w:rPr>
                <w:rFonts w:hint="eastAsia" w:eastAsia="宋体"/>
                <w:sz w:val="18"/>
                <w:szCs w:val="18"/>
              </w:rPr>
              <w:t>监测指标</w:t>
            </w:r>
          </w:p>
        </w:tc>
        <w:tc>
          <w:tcPr>
            <w:tcW w:w="783" w:type="pct"/>
            <w:gridSpan w:val="2"/>
            <w:vAlign w:val="center"/>
          </w:tcPr>
          <w:p w14:paraId="30D1F119">
            <w:pPr>
              <w:pStyle w:val="1066"/>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eastAsia="宋体"/>
                <w:sz w:val="18"/>
                <w:szCs w:val="18"/>
              </w:rPr>
            </w:pPr>
            <w:r>
              <w:rPr>
                <w:rFonts w:hint="eastAsia" w:eastAsia="宋体"/>
                <w:sz w:val="18"/>
                <w:szCs w:val="18"/>
              </w:rPr>
              <w:t>监测频次</w:t>
            </w:r>
          </w:p>
        </w:tc>
        <w:tc>
          <w:tcPr>
            <w:tcW w:w="558" w:type="pct"/>
            <w:vAlign w:val="center"/>
          </w:tcPr>
          <w:p w14:paraId="1A61C99A">
            <w:pPr>
              <w:pStyle w:val="1066"/>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eastAsia="宋体"/>
                <w:sz w:val="18"/>
                <w:szCs w:val="18"/>
              </w:rPr>
            </w:pPr>
          </w:p>
        </w:tc>
      </w:tr>
      <w:tr w14:paraId="697E377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316" w:type="pct"/>
            <w:vMerge w:val="continue"/>
            <w:vAlign w:val="center"/>
          </w:tcPr>
          <w:p w14:paraId="239BA175">
            <w:pPr>
              <w:pStyle w:val="1066"/>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eastAsia="宋体"/>
                <w:sz w:val="18"/>
                <w:szCs w:val="18"/>
              </w:rPr>
            </w:pPr>
          </w:p>
        </w:tc>
        <w:tc>
          <w:tcPr>
            <w:tcW w:w="858" w:type="pct"/>
            <w:vMerge w:val="continue"/>
            <w:vAlign w:val="center"/>
          </w:tcPr>
          <w:p w14:paraId="1526E50A">
            <w:pPr>
              <w:pStyle w:val="1066"/>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eastAsia="宋体"/>
                <w:sz w:val="18"/>
                <w:szCs w:val="18"/>
              </w:rPr>
            </w:pPr>
          </w:p>
        </w:tc>
        <w:tc>
          <w:tcPr>
            <w:tcW w:w="1740" w:type="pct"/>
            <w:gridSpan w:val="2"/>
            <w:vAlign w:val="center"/>
          </w:tcPr>
          <w:p w14:paraId="0E9639D0">
            <w:pPr>
              <w:pStyle w:val="1066"/>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eastAsia="宋体"/>
                <w:sz w:val="18"/>
                <w:szCs w:val="18"/>
              </w:rPr>
            </w:pPr>
          </w:p>
        </w:tc>
        <w:tc>
          <w:tcPr>
            <w:tcW w:w="745" w:type="pct"/>
            <w:gridSpan w:val="2"/>
            <w:vAlign w:val="center"/>
          </w:tcPr>
          <w:p w14:paraId="7141B9B7">
            <w:pPr>
              <w:pStyle w:val="1066"/>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eastAsia="宋体"/>
                <w:sz w:val="18"/>
                <w:szCs w:val="18"/>
              </w:rPr>
            </w:pPr>
          </w:p>
        </w:tc>
        <w:tc>
          <w:tcPr>
            <w:tcW w:w="783" w:type="pct"/>
            <w:gridSpan w:val="2"/>
            <w:vAlign w:val="center"/>
          </w:tcPr>
          <w:p w14:paraId="65FB7B16">
            <w:pPr>
              <w:pStyle w:val="1066"/>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eastAsia="宋体"/>
                <w:sz w:val="18"/>
                <w:szCs w:val="18"/>
              </w:rPr>
            </w:pPr>
          </w:p>
        </w:tc>
        <w:tc>
          <w:tcPr>
            <w:tcW w:w="558" w:type="pct"/>
            <w:vAlign w:val="center"/>
          </w:tcPr>
          <w:p w14:paraId="71A103A2">
            <w:pPr>
              <w:pStyle w:val="1066"/>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eastAsia="宋体"/>
                <w:sz w:val="18"/>
                <w:szCs w:val="18"/>
              </w:rPr>
            </w:pPr>
          </w:p>
        </w:tc>
      </w:tr>
      <w:tr w14:paraId="1FF9673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316" w:type="pct"/>
            <w:vMerge w:val="continue"/>
            <w:vAlign w:val="center"/>
          </w:tcPr>
          <w:p w14:paraId="2E383145">
            <w:pPr>
              <w:pStyle w:val="1066"/>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eastAsia="宋体"/>
                <w:sz w:val="18"/>
                <w:szCs w:val="18"/>
              </w:rPr>
            </w:pPr>
          </w:p>
        </w:tc>
        <w:tc>
          <w:tcPr>
            <w:tcW w:w="858" w:type="pct"/>
            <w:vAlign w:val="center"/>
          </w:tcPr>
          <w:p w14:paraId="2E1420D3">
            <w:pPr>
              <w:pStyle w:val="1066"/>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eastAsia="宋体"/>
                <w:sz w:val="18"/>
                <w:szCs w:val="18"/>
              </w:rPr>
            </w:pPr>
            <w:r>
              <w:rPr>
                <w:rFonts w:hint="eastAsia" w:eastAsia="宋体"/>
                <w:sz w:val="18"/>
                <w:szCs w:val="18"/>
              </w:rPr>
              <w:t>信息公开指标</w:t>
            </w:r>
          </w:p>
        </w:tc>
        <w:tc>
          <w:tcPr>
            <w:tcW w:w="3268" w:type="pct"/>
            <w:gridSpan w:val="6"/>
            <w:vAlign w:val="center"/>
          </w:tcPr>
          <w:p w14:paraId="1DE5AEFC">
            <w:pPr>
              <w:pStyle w:val="1066"/>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left"/>
              <w:textAlignment w:val="auto"/>
              <w:rPr>
                <w:rFonts w:eastAsia="宋体"/>
                <w:sz w:val="18"/>
                <w:szCs w:val="18"/>
              </w:rPr>
            </w:pPr>
          </w:p>
        </w:tc>
        <w:tc>
          <w:tcPr>
            <w:tcW w:w="558" w:type="pct"/>
            <w:vAlign w:val="center"/>
          </w:tcPr>
          <w:p w14:paraId="05166035">
            <w:pPr>
              <w:pStyle w:val="1066"/>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eastAsia="宋体"/>
                <w:sz w:val="18"/>
                <w:szCs w:val="18"/>
              </w:rPr>
            </w:pPr>
          </w:p>
        </w:tc>
      </w:tr>
      <w:tr w14:paraId="6681BE2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1173" w:type="pct"/>
            <w:gridSpan w:val="2"/>
            <w:vAlign w:val="center"/>
          </w:tcPr>
          <w:p w14:paraId="6DA20925">
            <w:pPr>
              <w:pStyle w:val="1066"/>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eastAsia="宋体"/>
                <w:sz w:val="18"/>
                <w:szCs w:val="18"/>
              </w:rPr>
            </w:pPr>
            <w:r>
              <w:rPr>
                <w:rFonts w:hint="eastAsia" w:eastAsia="宋体"/>
                <w:sz w:val="18"/>
                <w:szCs w:val="18"/>
              </w:rPr>
              <w:t>评价结论</w:t>
            </w:r>
          </w:p>
        </w:tc>
        <w:tc>
          <w:tcPr>
            <w:tcW w:w="3268" w:type="pct"/>
            <w:gridSpan w:val="6"/>
            <w:vAlign w:val="center"/>
          </w:tcPr>
          <w:p w14:paraId="2DE66A35">
            <w:pPr>
              <w:pStyle w:val="1066"/>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left"/>
              <w:textAlignment w:val="auto"/>
              <w:rPr>
                <w:rFonts w:eastAsia="宋体"/>
                <w:sz w:val="18"/>
                <w:szCs w:val="18"/>
              </w:rPr>
            </w:pPr>
            <w:r>
              <w:rPr>
                <w:rFonts w:hint="eastAsia" w:eastAsia="宋体"/>
                <w:sz w:val="18"/>
                <w:szCs w:val="18"/>
              </w:rPr>
              <w:t>影响较小，可以接受</w:t>
            </w:r>
          </w:p>
        </w:tc>
        <w:tc>
          <w:tcPr>
            <w:tcW w:w="558" w:type="pct"/>
            <w:vAlign w:val="center"/>
          </w:tcPr>
          <w:p w14:paraId="734358F8">
            <w:pPr>
              <w:pStyle w:val="1066"/>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eastAsia="宋体"/>
                <w:sz w:val="18"/>
                <w:szCs w:val="18"/>
              </w:rPr>
            </w:pPr>
          </w:p>
        </w:tc>
      </w:tr>
      <w:tr w14:paraId="43EB13A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4442" w:type="pct"/>
            <w:gridSpan w:val="8"/>
            <w:vAlign w:val="center"/>
          </w:tcPr>
          <w:p w14:paraId="187F1132">
            <w:pPr>
              <w:pStyle w:val="1066"/>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textAlignment w:val="auto"/>
              <w:rPr>
                <w:rFonts w:eastAsia="宋体"/>
                <w:spacing w:val="-6"/>
                <w:sz w:val="18"/>
                <w:szCs w:val="18"/>
              </w:rPr>
            </w:pPr>
            <w:r>
              <w:rPr>
                <w:rFonts w:hint="eastAsia" w:eastAsia="宋体"/>
                <w:spacing w:val="-6"/>
                <w:sz w:val="18"/>
                <w:szCs w:val="18"/>
              </w:rPr>
              <w:t>注1：“</w:t>
            </w:r>
            <w:r>
              <w:rPr>
                <w:rFonts w:hint="eastAsia" w:ascii="宋体" w:hAnsi="宋体"/>
                <w:kern w:val="0"/>
                <w:sz w:val="18"/>
                <w:szCs w:val="18"/>
              </w:rPr>
              <w:t>□</w:t>
            </w:r>
            <w:r>
              <w:rPr>
                <w:rFonts w:hint="eastAsia" w:eastAsia="宋体"/>
                <w:spacing w:val="-6"/>
                <w:sz w:val="18"/>
                <w:szCs w:val="18"/>
              </w:rPr>
              <w:t xml:space="preserve">”为勾选项，可√；“（ </w:t>
            </w:r>
            <w:r>
              <w:rPr>
                <w:rFonts w:eastAsia="宋体"/>
                <w:spacing w:val="-6"/>
                <w:sz w:val="18"/>
                <w:szCs w:val="18"/>
              </w:rPr>
              <w:t xml:space="preserve"> </w:t>
            </w:r>
            <w:r>
              <w:rPr>
                <w:rFonts w:hint="eastAsia" w:eastAsia="宋体"/>
                <w:spacing w:val="-6"/>
                <w:sz w:val="18"/>
                <w:szCs w:val="18"/>
              </w:rPr>
              <w:t>）”为内容填写项；“备注”为其他补充内容。</w:t>
            </w:r>
          </w:p>
          <w:p w14:paraId="5B52A614">
            <w:pPr>
              <w:pStyle w:val="1066"/>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textAlignment w:val="auto"/>
              <w:rPr>
                <w:rFonts w:eastAsia="宋体"/>
                <w:spacing w:val="-6"/>
                <w:sz w:val="18"/>
                <w:szCs w:val="18"/>
              </w:rPr>
            </w:pPr>
            <w:r>
              <w:rPr>
                <w:rFonts w:hint="eastAsia" w:eastAsia="宋体"/>
                <w:spacing w:val="-6"/>
                <w:sz w:val="18"/>
                <w:szCs w:val="18"/>
              </w:rPr>
              <w:t>注2：需要分别开展土壤环境影响评级工作的，分别填写自查表。</w:t>
            </w:r>
          </w:p>
        </w:tc>
        <w:tc>
          <w:tcPr>
            <w:tcW w:w="558" w:type="pct"/>
            <w:vAlign w:val="center"/>
          </w:tcPr>
          <w:p w14:paraId="403C98F3">
            <w:pPr>
              <w:pStyle w:val="1066"/>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textAlignment w:val="auto"/>
              <w:rPr>
                <w:rFonts w:eastAsia="宋体"/>
                <w:spacing w:val="-6"/>
                <w:sz w:val="18"/>
                <w:szCs w:val="18"/>
              </w:rPr>
            </w:pPr>
          </w:p>
        </w:tc>
      </w:tr>
    </w:tbl>
    <w:p w14:paraId="6F134C3B">
      <w:pPr>
        <w:ind w:firstLine="480"/>
      </w:pPr>
      <w:r>
        <w:br w:type="page"/>
      </w:r>
    </w:p>
    <w:p w14:paraId="3E7611EE">
      <w:pPr>
        <w:pStyle w:val="2"/>
        <w:kinsoku/>
        <w:wordWrap/>
        <w:overflowPunct/>
        <w:topLinePunct w:val="0"/>
        <w:autoSpaceDE/>
        <w:autoSpaceDN/>
        <w:bidi w:val="0"/>
        <w:spacing w:line="360" w:lineRule="auto"/>
        <w:textAlignment w:val="auto"/>
      </w:pPr>
      <w:bookmarkStart w:id="414" w:name="_Toc317773443"/>
      <w:bookmarkStart w:id="415" w:name="_Toc7879"/>
      <w:bookmarkStart w:id="416" w:name="_Toc202267576"/>
      <w:bookmarkStart w:id="417" w:name="_Toc201648753"/>
      <w:bookmarkStart w:id="418" w:name="_Toc477422023"/>
      <w:bookmarkStart w:id="419" w:name="_Toc477422026"/>
      <w:bookmarkStart w:id="420" w:name="_Toc202267579"/>
      <w:bookmarkStart w:id="421" w:name="_Toc201648756"/>
      <w:r>
        <w:rPr>
          <w:rFonts w:hint="eastAsia"/>
          <w:lang w:val="en-US" w:eastAsia="zh-CN"/>
        </w:rPr>
        <w:t>8</w:t>
      </w:r>
      <w:r>
        <w:t>环境风险分析</w:t>
      </w:r>
      <w:bookmarkEnd w:id="414"/>
      <w:bookmarkEnd w:id="415"/>
    </w:p>
    <w:p w14:paraId="14C6DEBC">
      <w:pPr>
        <w:kinsoku/>
        <w:wordWrap/>
        <w:overflowPunct/>
        <w:topLinePunct w:val="0"/>
        <w:autoSpaceDE/>
        <w:autoSpaceDN/>
        <w:bidi w:val="0"/>
        <w:adjustRightInd w:val="0"/>
        <w:snapToGrid w:val="0"/>
        <w:spacing w:line="360" w:lineRule="auto"/>
        <w:ind w:firstLine="480" w:firstLineChars="200"/>
        <w:textAlignment w:val="auto"/>
      </w:pPr>
      <w:bookmarkStart w:id="422" w:name="_Toc370676410"/>
      <w:bookmarkStart w:id="423" w:name="_Toc317773444"/>
      <w:bookmarkStart w:id="424" w:name="_Toc365977139"/>
      <w:r>
        <w:t>环境风险评价的目的是分析和预测项目存在的潜在危险、有害因素，项目建设和运行期 间可能发生的突发性事件或事故，引起有毒有害和易燃易爆等物质泄漏及所造成的人身安全 与环境影响和损害程度，提出合理可行的防范、应急与减缓措施，以使建设项目事故率、损失和环境影响达到可接受水平。</w:t>
      </w:r>
    </w:p>
    <w:p w14:paraId="5934A3D1">
      <w:pPr>
        <w:pStyle w:val="3"/>
        <w:kinsoku/>
        <w:wordWrap/>
        <w:overflowPunct/>
        <w:topLinePunct w:val="0"/>
        <w:autoSpaceDE/>
        <w:autoSpaceDN/>
        <w:bidi w:val="0"/>
        <w:spacing w:line="360" w:lineRule="auto"/>
        <w:textAlignment w:val="auto"/>
      </w:pPr>
      <w:bookmarkStart w:id="425" w:name="_Toc5476"/>
      <w:r>
        <w:rPr>
          <w:rFonts w:hint="eastAsia"/>
          <w:lang w:val="en-US" w:eastAsia="zh-CN"/>
        </w:rPr>
        <w:t>8</w:t>
      </w:r>
      <w:r>
        <w:t>.1评价依据</w:t>
      </w:r>
      <w:bookmarkEnd w:id="425"/>
    </w:p>
    <w:p w14:paraId="539F026C">
      <w:pPr>
        <w:kinsoku/>
        <w:wordWrap/>
        <w:overflowPunct/>
        <w:topLinePunct w:val="0"/>
        <w:autoSpaceDE/>
        <w:autoSpaceDN/>
        <w:bidi w:val="0"/>
        <w:spacing w:line="360" w:lineRule="auto"/>
        <w:textAlignment w:val="auto"/>
        <w:rPr>
          <w:rFonts w:hint="eastAsia"/>
          <w:lang w:eastAsia="zh-CN"/>
        </w:rPr>
      </w:pPr>
      <w:r>
        <w:rPr>
          <w:rFonts w:hint="eastAsia"/>
          <w:lang w:eastAsia="zh-CN"/>
        </w:rPr>
        <w:t>本项目生产过程中涉及的环境风险物质主要为甲基磺酸，该物质毒性如下表所示。</w:t>
      </w:r>
    </w:p>
    <w:p w14:paraId="64A3F4A3">
      <w:pPr>
        <w:spacing w:line="440" w:lineRule="atLeast"/>
        <w:ind w:firstLine="102" w:firstLineChars="49"/>
        <w:jc w:val="center"/>
        <w:rPr>
          <w:rFonts w:hint="eastAsia" w:ascii="黑体" w:hAnsi="黑体" w:eastAsia="黑体" w:cs="黑体"/>
          <w:kern w:val="0"/>
          <w:sz w:val="21"/>
          <w:szCs w:val="21"/>
          <w:lang w:val="en-US" w:eastAsia="zh-CN" w:bidi="ar-SA"/>
        </w:rPr>
      </w:pPr>
      <w:r>
        <w:rPr>
          <w:rFonts w:hint="eastAsia" w:ascii="黑体" w:hAnsi="黑体" w:eastAsia="黑体" w:cs="黑体"/>
          <w:kern w:val="0"/>
          <w:sz w:val="21"/>
          <w:szCs w:val="21"/>
          <w:lang w:val="en-US" w:eastAsia="zh-CN" w:bidi="ar-SA"/>
        </w:rPr>
        <w:t>表8-1环境风险物质毒性表</w:t>
      </w:r>
    </w:p>
    <w:tbl>
      <w:tblPr>
        <w:tblStyle w:val="52"/>
        <w:tblW w:w="4997"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733"/>
        <w:gridCol w:w="1447"/>
        <w:gridCol w:w="1301"/>
        <w:gridCol w:w="1777"/>
        <w:gridCol w:w="1133"/>
        <w:gridCol w:w="1274"/>
        <w:gridCol w:w="1276"/>
      </w:tblGrid>
      <w:tr w14:paraId="239B43B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13" w:hRule="atLeast"/>
          <w:tblHeader/>
          <w:jc w:val="center"/>
        </w:trPr>
        <w:tc>
          <w:tcPr>
            <w:tcW w:w="410" w:type="pct"/>
            <w:tcBorders>
              <w:tl2br w:val="nil"/>
              <w:tr2bl w:val="nil"/>
            </w:tcBorders>
            <w:noWrap w:val="0"/>
            <w:vAlign w:val="center"/>
          </w:tcPr>
          <w:p w14:paraId="6CEB1C7D">
            <w:pPr>
              <w:pStyle w:val="22"/>
              <w:keepNext w:val="0"/>
              <w:keepLines w:val="0"/>
              <w:pageBreakBefore w:val="0"/>
              <w:widowControl w:val="0"/>
              <w:kinsoku/>
              <w:wordWrap/>
              <w:overflowPunct/>
              <w:topLinePunct w:val="0"/>
              <w:bidi w:val="0"/>
              <w:adjustRightInd/>
              <w:snapToGrid/>
              <w:spacing w:after="0"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序号</w:t>
            </w:r>
          </w:p>
        </w:tc>
        <w:tc>
          <w:tcPr>
            <w:tcW w:w="809" w:type="pct"/>
            <w:tcBorders>
              <w:tl2br w:val="nil"/>
              <w:tr2bl w:val="nil"/>
            </w:tcBorders>
            <w:noWrap w:val="0"/>
            <w:vAlign w:val="center"/>
          </w:tcPr>
          <w:p w14:paraId="4BCF65A0">
            <w:pPr>
              <w:pStyle w:val="22"/>
              <w:keepNext w:val="0"/>
              <w:keepLines w:val="0"/>
              <w:pageBreakBefore w:val="0"/>
              <w:widowControl w:val="0"/>
              <w:kinsoku/>
              <w:wordWrap/>
              <w:overflowPunct/>
              <w:topLinePunct w:val="0"/>
              <w:bidi w:val="0"/>
              <w:adjustRightInd/>
              <w:snapToGrid/>
              <w:spacing w:after="0"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物质名称</w:t>
            </w:r>
          </w:p>
        </w:tc>
        <w:tc>
          <w:tcPr>
            <w:tcW w:w="727" w:type="pct"/>
            <w:tcBorders>
              <w:tl2br w:val="nil"/>
              <w:tr2bl w:val="nil"/>
            </w:tcBorders>
            <w:noWrap w:val="0"/>
            <w:vAlign w:val="center"/>
          </w:tcPr>
          <w:p w14:paraId="40005CEF">
            <w:pPr>
              <w:pStyle w:val="22"/>
              <w:keepNext w:val="0"/>
              <w:keepLines w:val="0"/>
              <w:pageBreakBefore w:val="0"/>
              <w:widowControl w:val="0"/>
              <w:kinsoku/>
              <w:wordWrap/>
              <w:overflowPunct/>
              <w:topLinePunct w:val="0"/>
              <w:bidi w:val="0"/>
              <w:adjustRightInd/>
              <w:snapToGrid/>
              <w:spacing w:after="0"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kern w:val="0"/>
                <w:sz w:val="21"/>
                <w:szCs w:val="21"/>
                <w:lang w:val="en-US" w:eastAsia="zh-CN"/>
              </w:rPr>
              <w:t>LD50</w:t>
            </w:r>
            <w:r>
              <w:rPr>
                <w:rFonts w:hint="eastAsia" w:ascii="宋体" w:hAnsi="宋体" w:eastAsia="宋体" w:cs="宋体"/>
                <w:sz w:val="21"/>
                <w:szCs w:val="21"/>
                <w:lang w:val="en-US" w:eastAsia="zh-CN"/>
              </w:rPr>
              <w:t>mg/kg</w:t>
            </w:r>
          </w:p>
        </w:tc>
        <w:tc>
          <w:tcPr>
            <w:tcW w:w="993" w:type="pct"/>
            <w:tcBorders>
              <w:tl2br w:val="nil"/>
              <w:tr2bl w:val="nil"/>
            </w:tcBorders>
            <w:noWrap w:val="0"/>
            <w:vAlign w:val="center"/>
          </w:tcPr>
          <w:p w14:paraId="14A2EB2A">
            <w:pPr>
              <w:pStyle w:val="22"/>
              <w:keepNext w:val="0"/>
              <w:keepLines w:val="0"/>
              <w:pageBreakBefore w:val="0"/>
              <w:widowControl w:val="0"/>
              <w:kinsoku/>
              <w:wordWrap/>
              <w:overflowPunct/>
              <w:topLinePunct w:val="0"/>
              <w:bidi w:val="0"/>
              <w:adjustRightInd/>
              <w:snapToGrid/>
              <w:spacing w:after="0" w:line="240" w:lineRule="auto"/>
              <w:ind w:firstLine="0" w:firstLineChars="0"/>
              <w:jc w:val="center"/>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对应</w:t>
            </w:r>
            <w:r>
              <w:rPr>
                <w:rFonts w:hint="eastAsia" w:ascii="宋体" w:hAnsi="宋体" w:eastAsia="宋体" w:cs="宋体"/>
                <w:sz w:val="21"/>
                <w:szCs w:val="21"/>
                <w:lang w:val="en-US" w:eastAsia="zh-CN"/>
              </w:rPr>
              <w:t>GB30000.18类别</w:t>
            </w:r>
          </w:p>
        </w:tc>
        <w:tc>
          <w:tcPr>
            <w:tcW w:w="633" w:type="pct"/>
            <w:tcBorders>
              <w:tl2br w:val="nil"/>
              <w:tr2bl w:val="nil"/>
            </w:tcBorders>
            <w:noWrap w:val="0"/>
            <w:vAlign w:val="center"/>
          </w:tcPr>
          <w:p w14:paraId="07DBC6F5">
            <w:pPr>
              <w:pStyle w:val="22"/>
              <w:keepNext w:val="0"/>
              <w:keepLines w:val="0"/>
              <w:pageBreakBefore w:val="0"/>
              <w:widowControl w:val="0"/>
              <w:kinsoku/>
              <w:wordWrap/>
              <w:overflowPunct/>
              <w:topLinePunct w:val="0"/>
              <w:bidi w:val="0"/>
              <w:adjustRightInd/>
              <w:snapToGrid/>
              <w:spacing w:after="0" w:line="24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LC50mg/L</w:t>
            </w:r>
          </w:p>
        </w:tc>
        <w:tc>
          <w:tcPr>
            <w:tcW w:w="712" w:type="pct"/>
            <w:tcBorders>
              <w:tl2br w:val="nil"/>
              <w:tr2bl w:val="nil"/>
            </w:tcBorders>
            <w:noWrap w:val="0"/>
            <w:vAlign w:val="center"/>
          </w:tcPr>
          <w:p w14:paraId="327FD7A1">
            <w:pPr>
              <w:pStyle w:val="22"/>
              <w:keepNext w:val="0"/>
              <w:keepLines w:val="0"/>
              <w:pageBreakBefore w:val="0"/>
              <w:widowControl w:val="0"/>
              <w:kinsoku/>
              <w:wordWrap/>
              <w:overflowPunct/>
              <w:topLinePunct w:val="0"/>
              <w:bidi w:val="0"/>
              <w:adjustRightInd/>
              <w:snapToGrid/>
              <w:spacing w:after="0" w:line="240" w:lineRule="auto"/>
              <w:ind w:firstLine="0" w:firstLineChars="0"/>
              <w:jc w:val="center"/>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对应</w:t>
            </w:r>
            <w:r>
              <w:rPr>
                <w:rFonts w:hint="eastAsia" w:ascii="宋体" w:hAnsi="宋体" w:eastAsia="宋体" w:cs="宋体"/>
                <w:sz w:val="21"/>
                <w:szCs w:val="21"/>
                <w:lang w:val="en-US" w:eastAsia="zh-CN"/>
              </w:rPr>
              <w:t>GB30000.28类别</w:t>
            </w:r>
          </w:p>
        </w:tc>
        <w:tc>
          <w:tcPr>
            <w:tcW w:w="713" w:type="pct"/>
            <w:tcBorders>
              <w:tl2br w:val="nil"/>
              <w:tr2bl w:val="nil"/>
            </w:tcBorders>
            <w:noWrap w:val="0"/>
            <w:vAlign w:val="center"/>
          </w:tcPr>
          <w:p w14:paraId="1FFE626B">
            <w:pPr>
              <w:pStyle w:val="22"/>
              <w:keepNext w:val="0"/>
              <w:keepLines w:val="0"/>
              <w:pageBreakBefore w:val="0"/>
              <w:widowControl w:val="0"/>
              <w:kinsoku/>
              <w:wordWrap/>
              <w:overflowPunct/>
              <w:topLinePunct w:val="0"/>
              <w:bidi w:val="0"/>
              <w:adjustRightInd/>
              <w:snapToGrid/>
              <w:spacing w:after="0" w:line="240" w:lineRule="auto"/>
              <w:ind w:firstLine="0" w:firstLineChars="0"/>
              <w:jc w:val="center"/>
              <w:textAlignment w:val="auto"/>
              <w:rPr>
                <w:rFonts w:hint="eastAsia" w:ascii="宋体" w:hAnsi="宋体" w:eastAsia="宋体" w:cs="宋体"/>
                <w:sz w:val="21"/>
                <w:szCs w:val="21"/>
                <w:highlight w:val="none"/>
                <w:lang w:val="en-US"/>
              </w:rPr>
            </w:pPr>
            <w:r>
              <w:rPr>
                <w:rFonts w:hint="eastAsia" w:ascii="宋体" w:hAnsi="宋体" w:eastAsia="宋体" w:cs="宋体"/>
                <w:sz w:val="21"/>
                <w:szCs w:val="21"/>
                <w:highlight w:val="none"/>
                <w:lang w:eastAsia="zh-CN"/>
              </w:rPr>
              <w:t>日常最大贮存量</w:t>
            </w:r>
            <w:r>
              <w:rPr>
                <w:rFonts w:hint="eastAsia" w:ascii="宋体" w:hAnsi="宋体" w:eastAsia="宋体" w:cs="宋体"/>
                <w:sz w:val="21"/>
                <w:szCs w:val="21"/>
                <w:highlight w:val="none"/>
                <w:lang w:val="en-US" w:eastAsia="zh-CN"/>
              </w:rPr>
              <w:t>t</w:t>
            </w:r>
          </w:p>
        </w:tc>
      </w:tr>
      <w:tr w14:paraId="08879C2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tcBorders>
              <w:tl2br w:val="nil"/>
              <w:tr2bl w:val="nil"/>
            </w:tcBorders>
            <w:noWrap w:val="0"/>
            <w:vAlign w:val="center"/>
          </w:tcPr>
          <w:p w14:paraId="5C422ED5">
            <w:pPr>
              <w:pStyle w:val="22"/>
              <w:keepNext w:val="0"/>
              <w:keepLines w:val="0"/>
              <w:pageBreakBefore w:val="0"/>
              <w:widowControl w:val="0"/>
              <w:kinsoku/>
              <w:wordWrap/>
              <w:overflowPunct/>
              <w:topLinePunct w:val="0"/>
              <w:bidi w:val="0"/>
              <w:adjustRightInd/>
              <w:snapToGrid/>
              <w:spacing w:after="0"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1</w:t>
            </w:r>
          </w:p>
        </w:tc>
        <w:tc>
          <w:tcPr>
            <w:tcW w:w="809" w:type="pct"/>
            <w:tcBorders>
              <w:tl2br w:val="nil"/>
              <w:tr2bl w:val="nil"/>
            </w:tcBorders>
            <w:noWrap w:val="0"/>
            <w:vAlign w:val="center"/>
          </w:tcPr>
          <w:p w14:paraId="4E8FCCE4">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eastAsia" w:ascii="宋体" w:hAnsi="宋体" w:eastAsia="宋体" w:cs="宋体"/>
                <w:kern w:val="0"/>
                <w:sz w:val="21"/>
                <w:szCs w:val="21"/>
                <w:lang w:eastAsia="zh-CN"/>
              </w:rPr>
            </w:pPr>
            <w:r>
              <w:rPr>
                <w:rFonts w:hint="eastAsia" w:ascii="宋体" w:hAnsi="宋体" w:cs="宋体"/>
                <w:kern w:val="0"/>
                <w:sz w:val="21"/>
                <w:szCs w:val="21"/>
                <w:lang w:eastAsia="zh-CN"/>
              </w:rPr>
              <w:t>甲基磺酸</w:t>
            </w:r>
          </w:p>
        </w:tc>
        <w:tc>
          <w:tcPr>
            <w:tcW w:w="727" w:type="pct"/>
            <w:tcBorders>
              <w:tl2br w:val="nil"/>
              <w:tr2bl w:val="nil"/>
            </w:tcBorders>
            <w:noWrap w:val="0"/>
            <w:vAlign w:val="center"/>
          </w:tcPr>
          <w:p w14:paraId="485A7BF4">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宋体" w:hAnsi="宋体" w:eastAsia="宋体" w:cs="宋体"/>
                <w:kern w:val="0"/>
                <w:sz w:val="21"/>
                <w:szCs w:val="21"/>
                <w:lang w:val="en-US" w:eastAsia="zh-CN"/>
              </w:rPr>
            </w:pPr>
            <w:r>
              <w:rPr>
                <w:rFonts w:hint="eastAsia" w:ascii="宋体" w:hAnsi="宋体" w:cs="宋体"/>
                <w:kern w:val="0"/>
                <w:sz w:val="21"/>
                <w:szCs w:val="21"/>
                <w:lang w:val="en-US" w:eastAsia="zh-CN"/>
              </w:rPr>
              <w:t>200</w:t>
            </w:r>
          </w:p>
        </w:tc>
        <w:tc>
          <w:tcPr>
            <w:tcW w:w="993" w:type="pct"/>
            <w:tcBorders>
              <w:tl2br w:val="nil"/>
              <w:tr2bl w:val="nil"/>
            </w:tcBorders>
            <w:noWrap w:val="0"/>
            <w:vAlign w:val="center"/>
          </w:tcPr>
          <w:p w14:paraId="05CBCB43">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宋体" w:hAnsi="宋体" w:eastAsia="宋体" w:cs="宋体"/>
                <w:kern w:val="0"/>
                <w:sz w:val="21"/>
                <w:szCs w:val="21"/>
                <w:lang w:val="en-US" w:eastAsia="zh-CN"/>
              </w:rPr>
            </w:pPr>
            <w:r>
              <w:rPr>
                <w:rFonts w:hint="eastAsia" w:ascii="宋体" w:hAnsi="宋体" w:cs="宋体"/>
                <w:kern w:val="0"/>
                <w:sz w:val="21"/>
                <w:szCs w:val="21"/>
                <w:lang w:eastAsia="zh-CN"/>
              </w:rPr>
              <w:t>类别</w:t>
            </w:r>
            <w:r>
              <w:rPr>
                <w:rFonts w:hint="eastAsia" w:ascii="宋体" w:hAnsi="宋体" w:cs="宋体"/>
                <w:kern w:val="0"/>
                <w:sz w:val="21"/>
                <w:szCs w:val="21"/>
                <w:lang w:val="en-US" w:eastAsia="zh-CN"/>
              </w:rPr>
              <w:t>3</w:t>
            </w:r>
          </w:p>
        </w:tc>
        <w:tc>
          <w:tcPr>
            <w:tcW w:w="633" w:type="pct"/>
            <w:tcBorders>
              <w:tl2br w:val="nil"/>
              <w:tr2bl w:val="nil"/>
            </w:tcBorders>
            <w:noWrap w:val="0"/>
            <w:vAlign w:val="center"/>
          </w:tcPr>
          <w:p w14:paraId="2CA05FC4">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宋体" w:hAnsi="宋体" w:eastAsia="宋体" w:cs="宋体"/>
                <w:sz w:val="21"/>
                <w:szCs w:val="21"/>
                <w:lang w:val="en-US" w:eastAsia="zh-CN"/>
              </w:rPr>
            </w:pPr>
            <w:r>
              <w:rPr>
                <w:rFonts w:hint="eastAsia" w:ascii="宋体" w:hAnsi="宋体" w:cs="宋体"/>
                <w:sz w:val="21"/>
                <w:szCs w:val="21"/>
                <w:lang w:val="en-US" w:eastAsia="zh-CN"/>
              </w:rPr>
              <w:t>300</w:t>
            </w:r>
          </w:p>
        </w:tc>
        <w:tc>
          <w:tcPr>
            <w:tcW w:w="712" w:type="pct"/>
            <w:tcBorders>
              <w:tl2br w:val="nil"/>
              <w:tr2bl w:val="nil"/>
            </w:tcBorders>
            <w:noWrap w:val="0"/>
            <w:vAlign w:val="center"/>
          </w:tcPr>
          <w:p w14:paraId="1C1F335D">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w:t>
            </w:r>
          </w:p>
        </w:tc>
        <w:tc>
          <w:tcPr>
            <w:tcW w:w="713" w:type="pct"/>
            <w:tcBorders>
              <w:tl2br w:val="nil"/>
              <w:tr2bl w:val="nil"/>
            </w:tcBorders>
            <w:noWrap w:val="0"/>
            <w:vAlign w:val="center"/>
          </w:tcPr>
          <w:p w14:paraId="29478750">
            <w:pPr>
              <w:keepNext w:val="0"/>
              <w:keepLines w:val="0"/>
              <w:pageBreakBefore w:val="0"/>
              <w:kinsoku/>
              <w:wordWrap/>
              <w:overflowPunct/>
              <w:topLinePunct w:val="0"/>
              <w:bidi w:val="0"/>
              <w:adjustRightInd/>
              <w:snapToGrid/>
              <w:spacing w:line="240" w:lineRule="auto"/>
              <w:ind w:firstLine="0" w:firstLineChars="0"/>
              <w:jc w:val="center"/>
              <w:textAlignment w:val="auto"/>
              <w:rPr>
                <w:rFonts w:hint="default" w:ascii="宋体" w:hAnsi="宋体" w:eastAsia="宋体" w:cs="宋体"/>
                <w:kern w:val="0"/>
                <w:sz w:val="21"/>
                <w:szCs w:val="21"/>
                <w:highlight w:val="none"/>
                <w:lang w:val="en-US" w:eastAsia="zh-CN"/>
              </w:rPr>
            </w:pPr>
            <w:r>
              <w:rPr>
                <w:rFonts w:hint="eastAsia" w:ascii="宋体" w:hAnsi="宋体" w:cs="宋体"/>
                <w:sz w:val="21"/>
                <w:szCs w:val="21"/>
                <w:highlight w:val="none"/>
                <w:lang w:val="en-US" w:eastAsia="zh-CN"/>
              </w:rPr>
              <w:t>1</w:t>
            </w:r>
          </w:p>
        </w:tc>
      </w:tr>
    </w:tbl>
    <w:p w14:paraId="0714D389">
      <w:pPr>
        <w:pStyle w:val="72"/>
        <w:rPr>
          <w:rFonts w:hint="eastAsia"/>
          <w:lang w:eastAsia="zh-CN"/>
        </w:rPr>
      </w:pPr>
    </w:p>
    <w:p w14:paraId="5762537F">
      <w:pPr>
        <w:bidi w:val="0"/>
        <w:rPr>
          <w:rFonts w:hint="eastAsia"/>
          <w:lang w:val="en-US" w:eastAsia="zh-CN"/>
        </w:rPr>
      </w:pPr>
      <w:r>
        <w:rPr>
          <w:rFonts w:hint="eastAsia"/>
          <w:lang w:eastAsia="zh-CN"/>
        </w:rPr>
        <w:t>根据《建设项目环境风险评价导则》（</w:t>
      </w:r>
      <w:r>
        <w:rPr>
          <w:rFonts w:hint="eastAsia"/>
          <w:lang w:val="en-US" w:eastAsia="zh-CN"/>
        </w:rPr>
        <w:t>HJ169-2018</w:t>
      </w:r>
      <w:r>
        <w:rPr>
          <w:rFonts w:hint="eastAsia"/>
          <w:lang w:eastAsia="zh-CN"/>
        </w:rPr>
        <w:t>），本项目生产过程中使用的甲基磺酸不属于导则附录</w:t>
      </w:r>
      <w:r>
        <w:rPr>
          <w:rFonts w:hint="eastAsia"/>
          <w:lang w:val="en-US" w:eastAsia="zh-CN"/>
        </w:rPr>
        <w:t>B中环境风险物质，甲基磺酸属于《</w:t>
      </w:r>
      <w:r>
        <w:rPr>
          <w:lang w:val="en-US" w:eastAsia="zh-CN"/>
        </w:rPr>
        <w:t>化</w:t>
      </w:r>
      <w:r>
        <w:rPr>
          <w:rFonts w:hint="default"/>
          <w:lang w:val="en-US" w:eastAsia="zh-CN"/>
        </w:rPr>
        <w:t>学品类和标签规范第</w:t>
      </w:r>
      <w:r>
        <w:rPr>
          <w:lang w:val="en-US" w:eastAsia="zh-CN"/>
        </w:rPr>
        <w:t>1</w:t>
      </w:r>
      <w:r>
        <w:rPr>
          <w:rFonts w:hint="default"/>
          <w:lang w:val="en-US" w:eastAsia="zh-CN"/>
        </w:rPr>
        <w:t>8部分</w:t>
      </w:r>
      <w:r>
        <w:rPr>
          <w:lang w:val="en-US" w:eastAsia="zh-CN"/>
        </w:rPr>
        <w:t>:</w:t>
      </w:r>
      <w:r>
        <w:rPr>
          <w:rFonts w:hint="default"/>
          <w:lang w:val="en-US" w:eastAsia="zh-CN"/>
        </w:rPr>
        <w:t>急性毒性</w:t>
      </w:r>
      <w:r>
        <w:rPr>
          <w:rFonts w:hint="eastAsia"/>
          <w:lang w:val="en-US" w:eastAsia="zh-CN"/>
        </w:rPr>
        <w:t>》中类别3物质，根据附录B.2属于健康危险急性毒性物质，其临界量及最大贮存量如下表所示。</w:t>
      </w:r>
    </w:p>
    <w:p w14:paraId="31FCC70E">
      <w:pPr>
        <w:pStyle w:val="73"/>
        <w:spacing w:line="240" w:lineRule="auto"/>
        <w:ind w:left="0" w:leftChars="0" w:firstLine="0" w:firstLineChars="0"/>
        <w:jc w:val="center"/>
        <w:rPr>
          <w:rFonts w:hint="default"/>
          <w:lang w:val="en-US" w:eastAsia="zh-CN"/>
        </w:rPr>
      </w:pPr>
      <w:r>
        <w:rPr>
          <w:rFonts w:hint="eastAsia" w:ascii="黑体" w:hAnsi="黑体" w:eastAsia="黑体" w:cs="黑体"/>
          <w:sz w:val="21"/>
          <w:szCs w:val="21"/>
          <w:lang w:val="en-US" w:eastAsia="zh-CN"/>
        </w:rPr>
        <w:t>表8-2环境风险物质临界量及最大贮存量表</w:t>
      </w:r>
    </w:p>
    <w:tbl>
      <w:tblPr>
        <w:tblStyle w:val="52"/>
        <w:tblW w:w="4999"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785"/>
        <w:gridCol w:w="1790"/>
        <w:gridCol w:w="1790"/>
        <w:gridCol w:w="1790"/>
        <w:gridCol w:w="1790"/>
      </w:tblGrid>
      <w:tr w14:paraId="4FF4B72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98" w:type="pct"/>
            <w:tcBorders>
              <w:tl2br w:val="nil"/>
              <w:tr2bl w:val="nil"/>
            </w:tcBorders>
            <w:noWrap w:val="0"/>
            <w:vAlign w:val="center"/>
          </w:tcPr>
          <w:p w14:paraId="14252F6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lang w:eastAsia="zh-CN"/>
              </w:rPr>
            </w:pPr>
            <w:r>
              <w:rPr>
                <w:rFonts w:hint="eastAsia" w:ascii="宋体" w:hAnsi="宋体" w:cs="宋体"/>
                <w:sz w:val="21"/>
                <w:szCs w:val="21"/>
                <w:lang w:eastAsia="zh-CN"/>
              </w:rPr>
              <w:t>风险物质名称</w:t>
            </w:r>
          </w:p>
        </w:tc>
        <w:tc>
          <w:tcPr>
            <w:tcW w:w="1000" w:type="pct"/>
            <w:tcBorders>
              <w:tl2br w:val="nil"/>
              <w:tr2bl w:val="nil"/>
            </w:tcBorders>
            <w:noWrap w:val="0"/>
            <w:vAlign w:val="center"/>
          </w:tcPr>
          <w:p w14:paraId="7C5C592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cs="宋体"/>
                <w:sz w:val="21"/>
                <w:szCs w:val="21"/>
                <w:lang w:val="en-US" w:eastAsia="zh-CN"/>
              </w:rPr>
            </w:pPr>
            <w:r>
              <w:rPr>
                <w:rFonts w:hint="eastAsia" w:ascii="宋体" w:hAnsi="宋体" w:cs="宋体"/>
                <w:sz w:val="21"/>
                <w:szCs w:val="21"/>
                <w:lang w:val="en-US" w:eastAsia="zh-CN"/>
              </w:rPr>
              <w:t>CAS号</w:t>
            </w:r>
          </w:p>
        </w:tc>
        <w:tc>
          <w:tcPr>
            <w:tcW w:w="1000" w:type="pct"/>
            <w:tcBorders>
              <w:tl2br w:val="nil"/>
              <w:tr2bl w:val="nil"/>
            </w:tcBorders>
            <w:noWrap w:val="0"/>
            <w:vAlign w:val="center"/>
          </w:tcPr>
          <w:p w14:paraId="249FF36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lang w:eastAsia="zh-CN"/>
              </w:rPr>
            </w:pPr>
            <w:r>
              <w:rPr>
                <w:rFonts w:hint="eastAsia" w:ascii="宋体" w:hAnsi="宋体" w:cs="宋体"/>
                <w:sz w:val="21"/>
                <w:szCs w:val="21"/>
                <w:lang w:eastAsia="zh-CN"/>
              </w:rPr>
              <w:t>厂区最大贮存量</w:t>
            </w:r>
          </w:p>
        </w:tc>
        <w:tc>
          <w:tcPr>
            <w:tcW w:w="1000" w:type="pct"/>
            <w:tcBorders>
              <w:tl2br w:val="nil"/>
              <w:tr2bl w:val="nil"/>
            </w:tcBorders>
            <w:noWrap w:val="0"/>
            <w:vAlign w:val="center"/>
          </w:tcPr>
          <w:p w14:paraId="0B22263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sz w:val="21"/>
                <w:szCs w:val="21"/>
                <w:lang w:val="en-US" w:eastAsia="zh-CN"/>
              </w:rPr>
            </w:pPr>
            <w:r>
              <w:rPr>
                <w:rFonts w:hint="eastAsia" w:ascii="宋体" w:hAnsi="宋体" w:cs="宋体"/>
                <w:sz w:val="21"/>
                <w:szCs w:val="21"/>
                <w:lang w:eastAsia="zh-CN"/>
              </w:rPr>
              <w:t>附录</w:t>
            </w:r>
            <w:r>
              <w:rPr>
                <w:rFonts w:hint="eastAsia" w:ascii="宋体" w:hAnsi="宋体" w:cs="宋体"/>
                <w:sz w:val="21"/>
                <w:szCs w:val="21"/>
                <w:lang w:val="en-US" w:eastAsia="zh-CN"/>
              </w:rPr>
              <w:t>B.2推荐临界储量</w:t>
            </w:r>
          </w:p>
        </w:tc>
        <w:tc>
          <w:tcPr>
            <w:tcW w:w="1000" w:type="pct"/>
            <w:tcBorders>
              <w:tl2br w:val="nil"/>
              <w:tr2bl w:val="nil"/>
            </w:tcBorders>
            <w:noWrap w:val="0"/>
            <w:vAlign w:val="center"/>
          </w:tcPr>
          <w:p w14:paraId="5F96D0B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lang w:eastAsia="zh-CN"/>
              </w:rPr>
            </w:pPr>
            <w:r>
              <w:rPr>
                <w:rFonts w:hint="eastAsia" w:ascii="宋体" w:hAnsi="宋体" w:cs="宋体"/>
                <w:sz w:val="21"/>
                <w:szCs w:val="21"/>
                <w:lang w:val="en-US" w:eastAsia="zh-CN"/>
              </w:rPr>
              <w:t>Q值计算</w:t>
            </w:r>
          </w:p>
        </w:tc>
      </w:tr>
      <w:tr w14:paraId="76BCE4F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98" w:type="pct"/>
            <w:tcBorders>
              <w:tl2br w:val="nil"/>
              <w:tr2bl w:val="nil"/>
            </w:tcBorders>
            <w:noWrap w:val="0"/>
            <w:vAlign w:val="center"/>
          </w:tcPr>
          <w:p w14:paraId="78D508A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lang w:eastAsia="zh-CN"/>
              </w:rPr>
            </w:pPr>
            <w:r>
              <w:rPr>
                <w:rFonts w:hint="eastAsia" w:ascii="宋体" w:hAnsi="宋体" w:cs="宋体"/>
                <w:kern w:val="0"/>
                <w:sz w:val="21"/>
                <w:szCs w:val="21"/>
                <w:lang w:eastAsia="zh-CN"/>
              </w:rPr>
              <w:t>甲基磺酸</w:t>
            </w:r>
          </w:p>
        </w:tc>
        <w:tc>
          <w:tcPr>
            <w:tcW w:w="1000" w:type="pct"/>
            <w:tcBorders>
              <w:tl2br w:val="nil"/>
              <w:tr2bl w:val="nil"/>
            </w:tcBorders>
            <w:noWrap w:val="0"/>
            <w:vAlign w:val="center"/>
          </w:tcPr>
          <w:p w14:paraId="1206A48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cs="宋体"/>
                <w:sz w:val="21"/>
                <w:szCs w:val="21"/>
                <w:lang w:val="en-US" w:eastAsia="zh-CN"/>
              </w:rPr>
            </w:pPr>
            <w:r>
              <w:rPr>
                <w:rFonts w:hint="eastAsia" w:ascii="宋体" w:hAnsi="宋体" w:cs="宋体"/>
                <w:sz w:val="21"/>
                <w:szCs w:val="21"/>
                <w:lang w:val="en-US" w:eastAsia="zh-CN"/>
              </w:rPr>
              <w:t>75-75-2</w:t>
            </w:r>
          </w:p>
        </w:tc>
        <w:tc>
          <w:tcPr>
            <w:tcW w:w="1000" w:type="pct"/>
            <w:tcBorders>
              <w:tl2br w:val="nil"/>
              <w:tr2bl w:val="nil"/>
            </w:tcBorders>
            <w:noWrap w:val="0"/>
            <w:vAlign w:val="center"/>
          </w:tcPr>
          <w:p w14:paraId="73A7A95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cs="宋体"/>
                <w:sz w:val="21"/>
                <w:szCs w:val="21"/>
                <w:lang w:val="en-US" w:eastAsia="zh-CN"/>
              </w:rPr>
            </w:pPr>
            <w:r>
              <w:rPr>
                <w:rFonts w:hint="eastAsia" w:ascii="宋体" w:hAnsi="宋体" w:cs="宋体"/>
                <w:sz w:val="21"/>
                <w:szCs w:val="21"/>
                <w:lang w:val="en-US" w:eastAsia="zh-CN"/>
              </w:rPr>
              <w:t>0.4t</w:t>
            </w:r>
          </w:p>
        </w:tc>
        <w:tc>
          <w:tcPr>
            <w:tcW w:w="1000" w:type="pct"/>
            <w:tcBorders>
              <w:tl2br w:val="nil"/>
              <w:tr2bl w:val="nil"/>
            </w:tcBorders>
            <w:noWrap w:val="0"/>
            <w:vAlign w:val="center"/>
          </w:tcPr>
          <w:p w14:paraId="517AD7D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cs="宋体"/>
                <w:sz w:val="21"/>
                <w:szCs w:val="21"/>
                <w:lang w:val="en-US" w:eastAsia="zh-CN"/>
              </w:rPr>
            </w:pPr>
            <w:r>
              <w:rPr>
                <w:rFonts w:hint="eastAsia" w:ascii="宋体" w:hAnsi="宋体" w:cs="宋体"/>
                <w:sz w:val="21"/>
                <w:szCs w:val="21"/>
                <w:lang w:val="en-US" w:eastAsia="zh-CN"/>
              </w:rPr>
              <w:t>50t</w:t>
            </w:r>
          </w:p>
        </w:tc>
        <w:tc>
          <w:tcPr>
            <w:tcW w:w="1000" w:type="pct"/>
            <w:tcBorders>
              <w:tl2br w:val="nil"/>
              <w:tr2bl w:val="nil"/>
            </w:tcBorders>
            <w:noWrap w:val="0"/>
            <w:vAlign w:val="center"/>
          </w:tcPr>
          <w:p w14:paraId="22D0913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cs="宋体"/>
                <w:sz w:val="21"/>
                <w:szCs w:val="21"/>
                <w:lang w:val="en-US" w:eastAsia="zh-CN"/>
              </w:rPr>
            </w:pPr>
            <w:r>
              <w:rPr>
                <w:rFonts w:hint="eastAsia" w:ascii="宋体" w:hAnsi="宋体" w:cs="宋体"/>
                <w:sz w:val="21"/>
                <w:szCs w:val="21"/>
                <w:lang w:val="en-US" w:eastAsia="zh-CN"/>
              </w:rPr>
              <w:t>0.004</w:t>
            </w:r>
          </w:p>
        </w:tc>
      </w:tr>
      <w:tr w14:paraId="514283A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98" w:type="pct"/>
            <w:tcBorders>
              <w:tl2br w:val="nil"/>
              <w:tr2bl w:val="nil"/>
            </w:tcBorders>
            <w:noWrap w:val="0"/>
            <w:vAlign w:val="center"/>
          </w:tcPr>
          <w:p w14:paraId="23E50DF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s="宋体"/>
                <w:sz w:val="21"/>
                <w:szCs w:val="21"/>
                <w:lang w:eastAsia="zh-CN"/>
              </w:rPr>
            </w:pPr>
            <w:r>
              <w:rPr>
                <w:rFonts w:hint="eastAsia" w:ascii="宋体" w:hAnsi="宋体" w:cs="宋体"/>
                <w:sz w:val="21"/>
                <w:szCs w:val="21"/>
                <w:lang w:eastAsia="zh-CN"/>
              </w:rPr>
              <w:t>合计</w:t>
            </w:r>
          </w:p>
        </w:tc>
        <w:tc>
          <w:tcPr>
            <w:tcW w:w="1000" w:type="pct"/>
            <w:tcBorders>
              <w:tl2br w:val="nil"/>
              <w:tr2bl w:val="nil"/>
            </w:tcBorders>
            <w:noWrap w:val="0"/>
            <w:vAlign w:val="center"/>
          </w:tcPr>
          <w:p w14:paraId="1E09289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cs="宋体"/>
                <w:sz w:val="21"/>
                <w:szCs w:val="21"/>
                <w:lang w:val="en-US" w:eastAsia="zh-CN"/>
              </w:rPr>
            </w:pPr>
            <w:r>
              <w:rPr>
                <w:rFonts w:hint="eastAsia" w:ascii="宋体" w:hAnsi="宋体" w:cs="宋体"/>
                <w:sz w:val="21"/>
                <w:szCs w:val="21"/>
                <w:lang w:val="en-US" w:eastAsia="zh-CN"/>
              </w:rPr>
              <w:t>/</w:t>
            </w:r>
          </w:p>
        </w:tc>
        <w:tc>
          <w:tcPr>
            <w:tcW w:w="1000" w:type="pct"/>
            <w:tcBorders>
              <w:tl2br w:val="nil"/>
              <w:tr2bl w:val="nil"/>
            </w:tcBorders>
            <w:noWrap w:val="0"/>
            <w:vAlign w:val="center"/>
          </w:tcPr>
          <w:p w14:paraId="6CB6BD7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s="宋体"/>
                <w:sz w:val="21"/>
                <w:szCs w:val="21"/>
                <w:lang w:val="en-US" w:eastAsia="zh-CN"/>
              </w:rPr>
            </w:pPr>
            <w:r>
              <w:rPr>
                <w:rFonts w:hint="eastAsia" w:ascii="宋体" w:hAnsi="宋体" w:cs="宋体"/>
                <w:sz w:val="21"/>
                <w:szCs w:val="21"/>
                <w:lang w:val="en-US" w:eastAsia="zh-CN"/>
              </w:rPr>
              <w:t>/</w:t>
            </w:r>
          </w:p>
        </w:tc>
        <w:tc>
          <w:tcPr>
            <w:tcW w:w="1000" w:type="pct"/>
            <w:tcBorders>
              <w:tl2br w:val="nil"/>
              <w:tr2bl w:val="nil"/>
            </w:tcBorders>
            <w:noWrap w:val="0"/>
            <w:vAlign w:val="center"/>
          </w:tcPr>
          <w:p w14:paraId="3BA5F68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s="宋体"/>
                <w:sz w:val="21"/>
                <w:szCs w:val="21"/>
                <w:lang w:val="en-US" w:eastAsia="zh-CN"/>
              </w:rPr>
            </w:pPr>
            <w:r>
              <w:rPr>
                <w:rFonts w:hint="eastAsia" w:ascii="宋体" w:hAnsi="宋体" w:cs="宋体"/>
                <w:sz w:val="21"/>
                <w:szCs w:val="21"/>
                <w:lang w:val="en-US" w:eastAsia="zh-CN"/>
              </w:rPr>
              <w:t>/</w:t>
            </w:r>
          </w:p>
        </w:tc>
        <w:tc>
          <w:tcPr>
            <w:tcW w:w="1000" w:type="pct"/>
            <w:tcBorders>
              <w:tl2br w:val="nil"/>
              <w:tr2bl w:val="nil"/>
            </w:tcBorders>
            <w:noWrap w:val="0"/>
            <w:vAlign w:val="center"/>
          </w:tcPr>
          <w:p w14:paraId="2845B44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cs="宋体"/>
                <w:sz w:val="21"/>
                <w:szCs w:val="21"/>
                <w:lang w:val="en-US" w:eastAsia="zh-CN"/>
              </w:rPr>
            </w:pPr>
            <w:r>
              <w:rPr>
                <w:rFonts w:hint="eastAsia" w:ascii="宋体" w:hAnsi="宋体" w:cs="宋体"/>
                <w:sz w:val="21"/>
                <w:szCs w:val="21"/>
                <w:lang w:val="en-US" w:eastAsia="zh-CN"/>
              </w:rPr>
              <w:t>0.004</w:t>
            </w:r>
          </w:p>
        </w:tc>
      </w:tr>
    </w:tbl>
    <w:p w14:paraId="7D64AE43">
      <w:pPr>
        <w:bidi w:val="0"/>
        <w:spacing w:line="360" w:lineRule="auto"/>
        <w:rPr>
          <w:rFonts w:hint="default"/>
          <w:lang w:val="en-US" w:eastAsia="zh-CN"/>
        </w:rPr>
      </w:pPr>
      <w:r>
        <w:rPr>
          <w:rFonts w:hint="eastAsia"/>
          <w:lang w:val="en-US" w:eastAsia="zh-CN"/>
        </w:rPr>
        <w:t>本项目危险物质Q=0.004＜1。</w:t>
      </w:r>
    </w:p>
    <w:p w14:paraId="62F5020F">
      <w:pPr>
        <w:adjustRightInd w:val="0"/>
        <w:snapToGrid w:val="0"/>
        <w:spacing w:line="360" w:lineRule="auto"/>
        <w:ind w:firstLine="480" w:firstLineChars="200"/>
      </w:pPr>
      <w:r>
        <w:t>根据《建设项目环境风险评价技术导则》(HJ169-2018)要求，本项目风险潜势为Ⅰ，按照环境风险评价工作等级划分表判定本项目评价等级为简单分析。</w:t>
      </w:r>
    </w:p>
    <w:p w14:paraId="08B2DB06">
      <w:pPr>
        <w:pStyle w:val="3"/>
        <w:keepNext/>
        <w:keepLines/>
        <w:pageBreakBefore w:val="0"/>
        <w:widowControl/>
        <w:kinsoku/>
        <w:wordWrap/>
        <w:overflowPunct/>
        <w:topLinePunct w:val="0"/>
        <w:autoSpaceDE/>
        <w:autoSpaceDN/>
        <w:bidi w:val="0"/>
        <w:adjustRightInd/>
        <w:snapToGrid/>
        <w:spacing w:before="0" w:after="0"/>
        <w:textAlignment w:val="auto"/>
      </w:pPr>
      <w:bookmarkStart w:id="426" w:name="_Toc4732"/>
      <w:bookmarkStart w:id="427" w:name="_Toc22961"/>
      <w:r>
        <w:rPr>
          <w:rFonts w:hint="eastAsia"/>
          <w:lang w:val="en-US" w:eastAsia="zh-CN"/>
        </w:rPr>
        <w:t>8</w:t>
      </w:r>
      <w:r>
        <w:t>.2环境敏感目标概况</w:t>
      </w:r>
      <w:bookmarkEnd w:id="426"/>
      <w:bookmarkEnd w:id="427"/>
    </w:p>
    <w:p w14:paraId="44E7B9CF">
      <w:pPr>
        <w:spacing w:line="360" w:lineRule="auto"/>
        <w:ind w:firstLine="480" w:firstLineChars="200"/>
        <w:rPr>
          <w:bCs/>
        </w:rPr>
      </w:pPr>
      <w:r>
        <w:rPr>
          <w:bCs/>
        </w:rPr>
        <w:t>建设项目周围主要环境敏感目标为周围居民区，各敏感目标与本项目的位置关系</w:t>
      </w:r>
      <w:r>
        <w:rPr>
          <w:rFonts w:hint="eastAsia"/>
          <w:bCs/>
          <w:lang w:eastAsia="zh-CN"/>
        </w:rPr>
        <w:t>见前文项目周边敏感目标位置关系图</w:t>
      </w:r>
      <w:r>
        <w:rPr>
          <w:bCs/>
        </w:rPr>
        <w:t>。</w:t>
      </w:r>
    </w:p>
    <w:p w14:paraId="3EE5BC35">
      <w:pPr>
        <w:pStyle w:val="3"/>
        <w:keepNext/>
        <w:keepLines/>
        <w:pageBreakBefore w:val="0"/>
        <w:widowControl/>
        <w:kinsoku/>
        <w:wordWrap/>
        <w:overflowPunct/>
        <w:topLinePunct w:val="0"/>
        <w:autoSpaceDE/>
        <w:autoSpaceDN/>
        <w:bidi w:val="0"/>
        <w:adjustRightInd/>
        <w:snapToGrid/>
        <w:spacing w:before="0" w:after="0"/>
        <w:textAlignment w:val="auto"/>
      </w:pPr>
      <w:bookmarkStart w:id="428" w:name="_Toc2271"/>
      <w:bookmarkStart w:id="429" w:name="_Toc16012"/>
      <w:r>
        <w:rPr>
          <w:rFonts w:hint="eastAsia"/>
          <w:lang w:val="en-US" w:eastAsia="zh-CN"/>
        </w:rPr>
        <w:t>8</w:t>
      </w:r>
      <w:r>
        <w:t>.3环境风险识别</w:t>
      </w:r>
      <w:bookmarkEnd w:id="428"/>
      <w:bookmarkEnd w:id="429"/>
    </w:p>
    <w:p w14:paraId="02E49ED9">
      <w:pPr>
        <w:bidi w:val="0"/>
        <w:rPr>
          <w:rFonts w:hint="eastAsia"/>
        </w:rPr>
      </w:pPr>
      <w:r>
        <w:rPr>
          <w:rFonts w:hint="eastAsia"/>
        </w:rPr>
        <w:t>本项目车间设置有危险化学品暂时存放处，项目生产所需要的化学品由企业定期外购，存放于车间化学品暂时存放处。项目</w:t>
      </w:r>
      <w:r>
        <w:rPr>
          <w:rFonts w:hint="eastAsia"/>
          <w:lang w:eastAsia="zh-CN"/>
        </w:rPr>
        <w:t>生产废水经处理后全部回用，不外排</w:t>
      </w:r>
      <w:r>
        <w:rPr>
          <w:rFonts w:hint="eastAsia"/>
        </w:rPr>
        <w:t>。本项目车间设置有应急事故</w:t>
      </w:r>
      <w:r>
        <w:rPr>
          <w:rFonts w:hint="eastAsia"/>
          <w:lang w:eastAsia="zh-CN"/>
        </w:rPr>
        <w:t>储罐</w:t>
      </w:r>
      <w:r>
        <w:rPr>
          <w:rFonts w:hint="eastAsia"/>
        </w:rPr>
        <w:t>，可以满足车间槽液泄漏或废水处理设施发生故障时车间废水应急储存需要。因此，本项目的风险因数在于生产过程中，本次环评将针对车间内生产过程的化学品使用情况进行环境风险评价。环境风险评价应把事故引起厂（场）界外人群的伤害、环境质量的恶化及对生态系统影响的预测和防护作为评价工作重点。环境风险评价的关注点是事故对厂（场）界外环境的影响。因此本次评价的重点是分析生产过程中有毒有害物质的泄漏对厂界外的环境影响。</w:t>
      </w:r>
    </w:p>
    <w:p w14:paraId="67BECDA1">
      <w:pPr>
        <w:pStyle w:val="5"/>
        <w:bidi w:val="0"/>
        <w:rPr>
          <w:rFonts w:hint="default"/>
          <w:lang w:val="en-US" w:eastAsia="zh-CN"/>
        </w:rPr>
      </w:pPr>
      <w:r>
        <w:rPr>
          <w:rFonts w:hint="eastAsia"/>
          <w:lang w:val="en-US" w:eastAsia="zh-CN"/>
        </w:rPr>
        <w:t>8.3.1物质风险性识别</w:t>
      </w:r>
    </w:p>
    <w:p w14:paraId="09B4AB89">
      <w:pPr>
        <w:rPr>
          <w:rFonts w:hint="eastAsia"/>
          <w:lang w:val="en-US" w:eastAsia="zh-CN"/>
        </w:rPr>
      </w:pPr>
      <w:r>
        <w:rPr>
          <w:rFonts w:hint="eastAsia"/>
          <w:lang w:val="en-US" w:eastAsia="zh-CN"/>
        </w:rPr>
        <w:t>本项目涉及的环境风险物质主要为生产过程中使用的原辅材料甲基磺酸。</w:t>
      </w:r>
      <w:r>
        <w:rPr>
          <w:rFonts w:hint="eastAsia"/>
          <w:lang w:eastAsia="zh-CN"/>
        </w:rPr>
        <w:t>根据《建设项目环境风险评价导则》（</w:t>
      </w:r>
      <w:r>
        <w:rPr>
          <w:rFonts w:hint="eastAsia"/>
          <w:lang w:val="en-US" w:eastAsia="zh-CN"/>
        </w:rPr>
        <w:t>HJ169-2018</w:t>
      </w:r>
      <w:r>
        <w:rPr>
          <w:rFonts w:hint="eastAsia"/>
          <w:lang w:eastAsia="zh-CN"/>
        </w:rPr>
        <w:t>），本项目生产过程中使用的甲基磺酸不属于导则附录</w:t>
      </w:r>
      <w:r>
        <w:rPr>
          <w:rFonts w:hint="eastAsia"/>
          <w:lang w:val="en-US" w:eastAsia="zh-CN"/>
        </w:rPr>
        <w:t>B中环境风险物质，甲基磺酸属于《</w:t>
      </w:r>
      <w:r>
        <w:rPr>
          <w:lang w:val="en-US" w:eastAsia="zh-CN"/>
        </w:rPr>
        <w:t>化</w:t>
      </w:r>
      <w:r>
        <w:rPr>
          <w:rFonts w:hint="default"/>
          <w:lang w:val="en-US" w:eastAsia="zh-CN"/>
        </w:rPr>
        <w:t>学品类和标签规范第</w:t>
      </w:r>
      <w:r>
        <w:rPr>
          <w:lang w:val="en-US" w:eastAsia="zh-CN"/>
        </w:rPr>
        <w:t>1</w:t>
      </w:r>
      <w:r>
        <w:rPr>
          <w:rFonts w:hint="default"/>
          <w:lang w:val="en-US" w:eastAsia="zh-CN"/>
        </w:rPr>
        <w:t>8部分</w:t>
      </w:r>
      <w:r>
        <w:rPr>
          <w:lang w:val="en-US" w:eastAsia="zh-CN"/>
        </w:rPr>
        <w:t>:</w:t>
      </w:r>
      <w:r>
        <w:rPr>
          <w:rFonts w:hint="default"/>
          <w:lang w:val="en-US" w:eastAsia="zh-CN"/>
        </w:rPr>
        <w:t>急性毒性</w:t>
      </w:r>
      <w:r>
        <w:rPr>
          <w:rFonts w:hint="eastAsia"/>
          <w:lang w:val="en-US" w:eastAsia="zh-CN"/>
        </w:rPr>
        <w:t>》中类别3物质。</w:t>
      </w:r>
    </w:p>
    <w:p w14:paraId="14D9DABD">
      <w:pPr>
        <w:pStyle w:val="6"/>
        <w:bidi w:val="0"/>
        <w:rPr>
          <w:rFonts w:hint="eastAsia"/>
          <w:lang w:val="en-US" w:eastAsia="zh-CN"/>
        </w:rPr>
      </w:pPr>
      <w:r>
        <w:rPr>
          <w:rFonts w:hint="eastAsia"/>
          <w:lang w:val="en-US" w:eastAsia="zh-CN"/>
        </w:rPr>
        <w:t>8.3.1.1理化性质</w:t>
      </w:r>
    </w:p>
    <w:p w14:paraId="093640CE">
      <w:pPr>
        <w:bidi w:val="0"/>
        <w:rPr>
          <w:rFonts w:hint="eastAsia"/>
          <w:lang w:val="en-US" w:eastAsia="zh-CN"/>
        </w:rPr>
      </w:pPr>
      <w:r>
        <w:rPr>
          <w:rFonts w:hint="eastAsia"/>
          <w:lang w:val="en-US" w:eastAsia="zh-CN"/>
        </w:rPr>
        <w:t>甲基磺酸理化性质如下表所示。</w:t>
      </w:r>
    </w:p>
    <w:p w14:paraId="1DADB5B7">
      <w:pPr>
        <w:pStyle w:val="73"/>
        <w:spacing w:line="240" w:lineRule="auto"/>
        <w:ind w:left="0" w:leftChars="0" w:firstLine="0" w:firstLineChars="0"/>
        <w:jc w:val="center"/>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表8-3甲基磺酸理化性质表</w:t>
      </w:r>
    </w:p>
    <w:tbl>
      <w:tblPr>
        <w:tblStyle w:val="53"/>
        <w:tblW w:w="4998"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463"/>
        <w:gridCol w:w="3279"/>
        <w:gridCol w:w="1479"/>
        <w:gridCol w:w="2721"/>
      </w:tblGrid>
      <w:tr w14:paraId="448D363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818" w:type="pct"/>
            <w:tcBorders>
              <w:tl2br w:val="nil"/>
              <w:tr2bl w:val="nil"/>
            </w:tcBorders>
            <w:vAlign w:val="center"/>
          </w:tcPr>
          <w:p w14:paraId="06D6B065">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中文名称</w:t>
            </w:r>
          </w:p>
        </w:tc>
        <w:tc>
          <w:tcPr>
            <w:tcW w:w="4181" w:type="pct"/>
            <w:gridSpan w:val="3"/>
            <w:tcBorders>
              <w:tl2br w:val="nil"/>
              <w:tr2bl w:val="nil"/>
            </w:tcBorders>
            <w:vAlign w:val="center"/>
          </w:tcPr>
          <w:p w14:paraId="2DAE2946">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甲基磺酸</w:t>
            </w:r>
          </w:p>
        </w:tc>
      </w:tr>
      <w:tr w14:paraId="78A663A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818" w:type="pct"/>
            <w:tcBorders>
              <w:tl2br w:val="nil"/>
              <w:tr2bl w:val="nil"/>
            </w:tcBorders>
            <w:vAlign w:val="center"/>
          </w:tcPr>
          <w:p w14:paraId="0A054270">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别名</w:t>
            </w:r>
          </w:p>
        </w:tc>
        <w:tc>
          <w:tcPr>
            <w:tcW w:w="4181" w:type="pct"/>
            <w:gridSpan w:val="3"/>
            <w:tcBorders>
              <w:tl2br w:val="nil"/>
              <w:tr2bl w:val="nil"/>
            </w:tcBorders>
            <w:vAlign w:val="center"/>
          </w:tcPr>
          <w:p w14:paraId="79B1B43E">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甲烷磺酸、甲磺酸</w:t>
            </w:r>
          </w:p>
        </w:tc>
      </w:tr>
      <w:tr w14:paraId="4D7D4AA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818" w:type="pct"/>
            <w:tcBorders>
              <w:tl2br w:val="nil"/>
              <w:tr2bl w:val="nil"/>
            </w:tcBorders>
            <w:vAlign w:val="center"/>
          </w:tcPr>
          <w:p w14:paraId="32C1F962">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分子式</w:t>
            </w:r>
          </w:p>
        </w:tc>
        <w:tc>
          <w:tcPr>
            <w:tcW w:w="1833" w:type="pct"/>
            <w:tcBorders>
              <w:tl2br w:val="nil"/>
              <w:tr2bl w:val="nil"/>
            </w:tcBorders>
            <w:vAlign w:val="center"/>
          </w:tcPr>
          <w:p w14:paraId="4DFE4CA7">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CH</w:t>
            </w:r>
            <w:r>
              <w:rPr>
                <w:rFonts w:hint="eastAsia" w:ascii="宋体" w:hAnsi="宋体" w:eastAsia="宋体" w:cs="宋体"/>
                <w:sz w:val="21"/>
                <w:szCs w:val="21"/>
                <w:vertAlign w:val="subscript"/>
                <w:lang w:val="en-US" w:eastAsia="zh-CN"/>
              </w:rPr>
              <w:t>3</w:t>
            </w:r>
            <w:r>
              <w:rPr>
                <w:rFonts w:hint="eastAsia" w:ascii="宋体" w:hAnsi="宋体" w:eastAsia="宋体" w:cs="宋体"/>
                <w:sz w:val="21"/>
                <w:szCs w:val="21"/>
                <w:vertAlign w:val="baseline"/>
                <w:lang w:val="en-US" w:eastAsia="zh-CN"/>
              </w:rPr>
              <w:t>SO</w:t>
            </w:r>
            <w:r>
              <w:rPr>
                <w:rFonts w:hint="eastAsia" w:ascii="宋体" w:hAnsi="宋体" w:eastAsia="宋体" w:cs="宋体"/>
                <w:sz w:val="21"/>
                <w:szCs w:val="21"/>
                <w:vertAlign w:val="subscript"/>
                <w:lang w:val="en-US" w:eastAsia="zh-CN"/>
              </w:rPr>
              <w:t>3</w:t>
            </w:r>
            <w:r>
              <w:rPr>
                <w:rFonts w:hint="eastAsia" w:ascii="宋体" w:hAnsi="宋体" w:eastAsia="宋体" w:cs="宋体"/>
                <w:sz w:val="21"/>
                <w:szCs w:val="21"/>
                <w:vertAlign w:val="baseline"/>
                <w:lang w:val="en-US" w:eastAsia="zh-CN"/>
              </w:rPr>
              <w:t>H</w:t>
            </w:r>
          </w:p>
        </w:tc>
        <w:tc>
          <w:tcPr>
            <w:tcW w:w="827" w:type="pct"/>
            <w:tcBorders>
              <w:tl2br w:val="nil"/>
              <w:tr2bl w:val="nil"/>
            </w:tcBorders>
            <w:vAlign w:val="center"/>
          </w:tcPr>
          <w:p w14:paraId="27491021">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外观与形状</w:t>
            </w:r>
          </w:p>
        </w:tc>
        <w:tc>
          <w:tcPr>
            <w:tcW w:w="1520" w:type="pct"/>
            <w:tcBorders>
              <w:tl2br w:val="nil"/>
              <w:tr2bl w:val="nil"/>
            </w:tcBorders>
            <w:vAlign w:val="center"/>
          </w:tcPr>
          <w:p w14:paraId="360DF8BE">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无色液体或固体</w:t>
            </w:r>
          </w:p>
        </w:tc>
      </w:tr>
      <w:tr w14:paraId="1E4CD9B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818" w:type="pct"/>
            <w:tcBorders>
              <w:tl2br w:val="nil"/>
              <w:tr2bl w:val="nil"/>
            </w:tcBorders>
            <w:vAlign w:val="center"/>
          </w:tcPr>
          <w:p w14:paraId="4C1A8704">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分子量</w:t>
            </w:r>
          </w:p>
        </w:tc>
        <w:tc>
          <w:tcPr>
            <w:tcW w:w="1833" w:type="pct"/>
            <w:tcBorders>
              <w:tl2br w:val="nil"/>
              <w:tr2bl w:val="nil"/>
            </w:tcBorders>
            <w:vAlign w:val="center"/>
          </w:tcPr>
          <w:p w14:paraId="74B02E82">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96.10</w:t>
            </w:r>
          </w:p>
        </w:tc>
        <w:tc>
          <w:tcPr>
            <w:tcW w:w="827" w:type="pct"/>
            <w:tcBorders>
              <w:tl2br w:val="nil"/>
              <w:tr2bl w:val="nil"/>
            </w:tcBorders>
            <w:vAlign w:val="center"/>
          </w:tcPr>
          <w:p w14:paraId="0B4283AA">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蒸汽压</w:t>
            </w:r>
          </w:p>
        </w:tc>
        <w:tc>
          <w:tcPr>
            <w:tcW w:w="1520" w:type="pct"/>
            <w:tcBorders>
              <w:tl2br w:val="nil"/>
              <w:tr2bl w:val="nil"/>
            </w:tcBorders>
            <w:vAlign w:val="center"/>
          </w:tcPr>
          <w:p w14:paraId="0922C875">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0.001hPa（23℃</w:t>
            </w:r>
          </w:p>
        </w:tc>
      </w:tr>
      <w:tr w14:paraId="2D99481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818" w:type="pct"/>
            <w:tcBorders>
              <w:tl2br w:val="nil"/>
              <w:tr2bl w:val="nil"/>
            </w:tcBorders>
            <w:vAlign w:val="center"/>
          </w:tcPr>
          <w:p w14:paraId="0861C9DD">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熔点</w:t>
            </w:r>
          </w:p>
        </w:tc>
        <w:tc>
          <w:tcPr>
            <w:tcW w:w="1833" w:type="pct"/>
            <w:tcBorders>
              <w:tl2br w:val="nil"/>
              <w:tr2bl w:val="nil"/>
            </w:tcBorders>
            <w:vAlign w:val="center"/>
          </w:tcPr>
          <w:p w14:paraId="4F3DEBA1">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熔点：19℃/纯</w:t>
            </w:r>
          </w:p>
          <w:p w14:paraId="727D44BD">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沸点：168℃/纯</w:t>
            </w:r>
          </w:p>
        </w:tc>
        <w:tc>
          <w:tcPr>
            <w:tcW w:w="827" w:type="pct"/>
            <w:tcBorders>
              <w:tl2br w:val="nil"/>
              <w:tr2bl w:val="nil"/>
            </w:tcBorders>
            <w:vAlign w:val="center"/>
          </w:tcPr>
          <w:p w14:paraId="676B8AE3">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溶解性</w:t>
            </w:r>
          </w:p>
        </w:tc>
        <w:tc>
          <w:tcPr>
            <w:tcW w:w="1520" w:type="pct"/>
            <w:tcBorders>
              <w:tl2br w:val="nil"/>
              <w:tr2bl w:val="nil"/>
            </w:tcBorders>
            <w:vAlign w:val="center"/>
          </w:tcPr>
          <w:p w14:paraId="4B769C51">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溶于水、乙醇、乙醚，不溶于苯、甲苯。对沸水、热碱不分解</w:t>
            </w:r>
          </w:p>
        </w:tc>
      </w:tr>
      <w:tr w14:paraId="2F534D7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818" w:type="pct"/>
            <w:tcBorders>
              <w:tl2br w:val="nil"/>
              <w:tr2bl w:val="nil"/>
            </w:tcBorders>
            <w:vAlign w:val="center"/>
          </w:tcPr>
          <w:p w14:paraId="7975882B">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密度</w:t>
            </w:r>
          </w:p>
        </w:tc>
        <w:tc>
          <w:tcPr>
            <w:tcW w:w="1833" w:type="pct"/>
            <w:tcBorders>
              <w:tl2br w:val="nil"/>
              <w:tr2bl w:val="nil"/>
            </w:tcBorders>
            <w:vAlign w:val="center"/>
          </w:tcPr>
          <w:p w14:paraId="53046141">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相对密度（水=1）</w:t>
            </w:r>
          </w:p>
          <w:p w14:paraId="4B83CCBF">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1.48；蒸汽密度（空气=1）3.3</w:t>
            </w:r>
          </w:p>
        </w:tc>
        <w:tc>
          <w:tcPr>
            <w:tcW w:w="827" w:type="pct"/>
            <w:tcBorders>
              <w:tl2br w:val="nil"/>
              <w:tr2bl w:val="nil"/>
            </w:tcBorders>
            <w:vAlign w:val="center"/>
          </w:tcPr>
          <w:p w14:paraId="11276167">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稳定性</w:t>
            </w:r>
          </w:p>
        </w:tc>
        <w:tc>
          <w:tcPr>
            <w:tcW w:w="1520" w:type="pct"/>
            <w:tcBorders>
              <w:tl2br w:val="nil"/>
              <w:tr2bl w:val="nil"/>
            </w:tcBorders>
            <w:vAlign w:val="center"/>
          </w:tcPr>
          <w:p w14:paraId="78CC3B36">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稳定</w:t>
            </w:r>
          </w:p>
        </w:tc>
      </w:tr>
      <w:tr w14:paraId="38BB284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818" w:type="pct"/>
            <w:tcBorders>
              <w:tl2br w:val="nil"/>
              <w:tr2bl w:val="nil"/>
            </w:tcBorders>
            <w:vAlign w:val="center"/>
          </w:tcPr>
          <w:p w14:paraId="3B9CB7D3">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危险标记</w:t>
            </w:r>
          </w:p>
        </w:tc>
        <w:tc>
          <w:tcPr>
            <w:tcW w:w="1833" w:type="pct"/>
            <w:tcBorders>
              <w:tl2br w:val="nil"/>
              <w:tr2bl w:val="nil"/>
            </w:tcBorders>
            <w:vAlign w:val="center"/>
          </w:tcPr>
          <w:p w14:paraId="4FD9DBE9">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20(酸性腐蚀品)</w:t>
            </w:r>
          </w:p>
        </w:tc>
        <w:tc>
          <w:tcPr>
            <w:tcW w:w="827" w:type="pct"/>
            <w:tcBorders>
              <w:tl2br w:val="nil"/>
              <w:tr2bl w:val="nil"/>
            </w:tcBorders>
            <w:vAlign w:val="center"/>
          </w:tcPr>
          <w:p w14:paraId="37009950">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主要用途</w:t>
            </w:r>
          </w:p>
        </w:tc>
        <w:tc>
          <w:tcPr>
            <w:tcW w:w="1520" w:type="pct"/>
            <w:tcBorders>
              <w:tl2br w:val="nil"/>
              <w:tr2bl w:val="nil"/>
            </w:tcBorders>
            <w:vAlign w:val="center"/>
          </w:tcPr>
          <w:p w14:paraId="46D797C6">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用于电镀、清洗行业，还可以用作医药和农药的原料，也可以用作脱水剂、涂料固化促进剂、纤维处理剂、溶剂、浣化、酯化和聚合反应催化剂</w:t>
            </w:r>
          </w:p>
        </w:tc>
      </w:tr>
    </w:tbl>
    <w:p w14:paraId="27249BFD">
      <w:pPr>
        <w:pStyle w:val="6"/>
        <w:bidi w:val="0"/>
        <w:rPr>
          <w:rFonts w:hint="eastAsia"/>
          <w:lang w:val="en-US" w:eastAsia="zh-CN"/>
        </w:rPr>
      </w:pPr>
      <w:r>
        <w:rPr>
          <w:rFonts w:hint="eastAsia"/>
          <w:lang w:val="en-US" w:eastAsia="zh-CN"/>
        </w:rPr>
        <w:t>8.3.1.2对环境影响</w:t>
      </w:r>
    </w:p>
    <w:p w14:paraId="660BBF55">
      <w:pPr>
        <w:bidi w:val="0"/>
        <w:rPr>
          <w:rFonts w:hint="eastAsia"/>
          <w:lang w:val="en-US" w:eastAsia="zh-CN"/>
        </w:rPr>
      </w:pPr>
      <w:r>
        <w:rPr>
          <w:rFonts w:hint="eastAsia"/>
          <w:lang w:val="en-US" w:eastAsia="zh-CN"/>
        </w:rPr>
        <w:t>（1）健康危害</w:t>
      </w:r>
    </w:p>
    <w:p w14:paraId="1F0507EA">
      <w:pPr>
        <w:bidi w:val="0"/>
        <w:rPr>
          <w:rFonts w:hint="eastAsia"/>
          <w:lang w:val="en-US" w:eastAsia="zh-CN"/>
        </w:rPr>
      </w:pPr>
      <w:r>
        <w:rPr>
          <w:rFonts w:hint="eastAsia"/>
          <w:lang w:val="en-US" w:eastAsia="zh-CN"/>
        </w:rPr>
        <w:t>本品对粘膜、上呼吸道、眼和皮肤有强烈的刺激性。吸入后，可因喉及支气管的痉挛、炎症、水肿，化学性肺炎或肺水肿而致死。接触后出现烧灼感、咳嗽、喘息、喉炎、气短、头痛、恶心和呕吐，可致灼伤。</w:t>
      </w:r>
    </w:p>
    <w:p w14:paraId="57BDE5D2">
      <w:pPr>
        <w:bidi w:val="0"/>
        <w:rPr>
          <w:rFonts w:hint="eastAsia"/>
          <w:lang w:val="en-US" w:eastAsia="zh-CN"/>
        </w:rPr>
      </w:pPr>
      <w:r>
        <w:rPr>
          <w:rFonts w:hint="eastAsia"/>
          <w:lang w:val="en-US" w:eastAsia="zh-CN"/>
        </w:rPr>
        <w:t>（2）毒理学资料及环境行为</w:t>
      </w:r>
    </w:p>
    <w:p w14:paraId="709ED3E8">
      <w:pPr>
        <w:bidi w:val="0"/>
        <w:rPr>
          <w:rFonts w:hint="eastAsia"/>
          <w:lang w:val="en-US" w:eastAsia="zh-CN"/>
        </w:rPr>
      </w:pPr>
      <w:r>
        <w:rPr>
          <w:rFonts w:hint="eastAsia"/>
          <w:lang w:val="en-US" w:eastAsia="zh-CN"/>
        </w:rPr>
        <w:t>急性毒性：LD</w:t>
      </w:r>
      <w:r>
        <w:rPr>
          <w:rFonts w:hint="eastAsia"/>
          <w:vertAlign w:val="subscript"/>
          <w:lang w:val="en-US" w:eastAsia="zh-CN"/>
        </w:rPr>
        <w:t xml:space="preserve">50 </w:t>
      </w:r>
      <w:r>
        <w:rPr>
          <w:rFonts w:hint="eastAsia"/>
          <w:lang w:val="en-US" w:eastAsia="zh-CN"/>
        </w:rPr>
        <w:t>200mg/kg（大鼠经口）</w:t>
      </w:r>
    </w:p>
    <w:p w14:paraId="349719FC">
      <w:pPr>
        <w:bidi w:val="0"/>
        <w:rPr>
          <w:rFonts w:hint="eastAsia"/>
          <w:lang w:val="en-US" w:eastAsia="zh-CN"/>
        </w:rPr>
      </w:pPr>
      <w:r>
        <w:rPr>
          <w:rFonts w:hint="eastAsia"/>
          <w:lang w:val="en-US" w:eastAsia="zh-CN"/>
        </w:rPr>
        <w:t>危险特性：本品遇明火、高热可燃，具吸水性、脱水性、强还原性、腐蚀性、强刺激性，可致人体灼伤。</w:t>
      </w:r>
    </w:p>
    <w:p w14:paraId="4232C266">
      <w:pPr>
        <w:bidi w:val="0"/>
        <w:rPr>
          <w:rFonts w:hint="eastAsia"/>
          <w:lang w:val="en-US" w:eastAsia="zh-CN"/>
        </w:rPr>
      </w:pPr>
      <w:r>
        <w:rPr>
          <w:rFonts w:hint="eastAsia"/>
          <w:lang w:val="en-US" w:eastAsia="zh-CN"/>
        </w:rPr>
        <w:t>受热燃烧（分解）产物：甲醛和二氧化硫烟雾。</w:t>
      </w:r>
    </w:p>
    <w:p w14:paraId="3FE78EE1">
      <w:pPr>
        <w:numPr>
          <w:ilvl w:val="0"/>
          <w:numId w:val="0"/>
        </w:numPr>
        <w:bidi w:val="0"/>
        <w:ind w:leftChars="200"/>
        <w:rPr>
          <w:rFonts w:hint="eastAsia"/>
          <w:lang w:val="en-US" w:eastAsia="zh-CN"/>
        </w:rPr>
      </w:pPr>
      <w:r>
        <w:rPr>
          <w:rFonts w:hint="eastAsia"/>
          <w:lang w:val="en-US" w:eastAsia="zh-CN"/>
        </w:rPr>
        <w:t>（3）应急处理处置方法</w:t>
      </w:r>
    </w:p>
    <w:p w14:paraId="67A1D4BA">
      <w:pPr>
        <w:bidi w:val="0"/>
        <w:rPr>
          <w:rFonts w:hint="eastAsia"/>
          <w:lang w:val="en-US" w:eastAsia="zh-CN"/>
        </w:rPr>
      </w:pPr>
      <w:r>
        <w:rPr>
          <w:rFonts w:hint="eastAsia"/>
          <w:lang w:val="en-US" w:eastAsia="zh-CN"/>
        </w:rPr>
        <w:t>一、泄漏应急处理</w:t>
      </w:r>
    </w:p>
    <w:p w14:paraId="659174E1">
      <w:pPr>
        <w:bidi w:val="0"/>
        <w:rPr>
          <w:rFonts w:hint="eastAsia"/>
          <w:lang w:val="en-US" w:eastAsia="zh-CN"/>
        </w:rPr>
      </w:pPr>
      <w:r>
        <w:rPr>
          <w:rFonts w:hint="eastAsia"/>
          <w:lang w:val="en-US" w:eastAsia="zh-CN"/>
        </w:rPr>
        <w:t>迅速撤离泄漏污染区人员至安全区，并进行隔离，严格限制出入。切断火源。建议应急处理人员戴自给正压式呼吸器，穿防酸碱工作服。尽可能切断泄漏源。若是液体，防止流入下水道、排洪沟等限制性空间。小量泄漏：用砂土、干燥石灰或苏打灰混合。也可以用大量水冲洗，碱中和、稀释后放入废水系统。大量泄漏：构筑围堤或挖坑收容。用泵转移至槽车或专用收集器内，回收或运至废物处理场所处置。若是固体，用砂土、干燥石灰或苏打灰混合。小心扫起，若大量泄漏，收集回收或运至废物处理场所处置。</w:t>
      </w:r>
    </w:p>
    <w:p w14:paraId="3D402FE9">
      <w:pPr>
        <w:bidi w:val="0"/>
        <w:rPr>
          <w:rFonts w:hint="eastAsia"/>
          <w:lang w:val="en-US" w:eastAsia="zh-CN"/>
        </w:rPr>
      </w:pPr>
      <w:r>
        <w:rPr>
          <w:rFonts w:hint="eastAsia"/>
          <w:lang w:val="en-US" w:eastAsia="zh-CN"/>
        </w:rPr>
        <w:t>二、防护措施</w:t>
      </w:r>
    </w:p>
    <w:p w14:paraId="78E135E0">
      <w:pPr>
        <w:bidi w:val="0"/>
        <w:rPr>
          <w:rFonts w:hint="eastAsia"/>
          <w:lang w:val="en-US" w:eastAsia="zh-CN"/>
        </w:rPr>
      </w:pPr>
      <w:r>
        <w:rPr>
          <w:rFonts w:hint="eastAsia"/>
          <w:lang w:val="en-US" w:eastAsia="zh-CN"/>
        </w:rPr>
        <w:t>呼吸系统防护：可能接触其粉尘时，必须佩戴防尘面具（全面罩）；可能接触其蒸气时，应该佩戴自吸过滤式防毒面具（全面罩）。</w:t>
      </w:r>
    </w:p>
    <w:p w14:paraId="1A86BD6D">
      <w:pPr>
        <w:bidi w:val="0"/>
        <w:rPr>
          <w:rFonts w:hint="eastAsia"/>
          <w:lang w:val="en-US" w:eastAsia="zh-CN"/>
        </w:rPr>
      </w:pPr>
      <w:r>
        <w:rPr>
          <w:rFonts w:hint="eastAsia"/>
          <w:lang w:val="en-US" w:eastAsia="zh-CN"/>
        </w:rPr>
        <w:t>眼睛防护：戴化学安全防护眼镜。</w:t>
      </w:r>
    </w:p>
    <w:p w14:paraId="44B04C5F">
      <w:pPr>
        <w:bidi w:val="0"/>
        <w:rPr>
          <w:rFonts w:hint="eastAsia"/>
          <w:lang w:val="en-US" w:eastAsia="zh-CN"/>
        </w:rPr>
      </w:pPr>
      <w:r>
        <w:rPr>
          <w:rFonts w:hint="eastAsia"/>
          <w:lang w:val="en-US" w:eastAsia="zh-CN"/>
        </w:rPr>
        <w:t>防护服：穿橡胶耐酸碱服。</w:t>
      </w:r>
    </w:p>
    <w:p w14:paraId="6E78C35A">
      <w:pPr>
        <w:bidi w:val="0"/>
        <w:rPr>
          <w:rFonts w:hint="eastAsia"/>
          <w:lang w:val="en-US" w:eastAsia="zh-CN"/>
        </w:rPr>
      </w:pPr>
      <w:r>
        <w:rPr>
          <w:rFonts w:hint="eastAsia"/>
          <w:lang w:val="en-US" w:eastAsia="zh-CN"/>
        </w:rPr>
        <w:t>手防护：戴橡胶耐酸碱手套。</w:t>
      </w:r>
    </w:p>
    <w:p w14:paraId="326D04C7">
      <w:pPr>
        <w:bidi w:val="0"/>
        <w:rPr>
          <w:rFonts w:hint="eastAsia"/>
          <w:lang w:val="en-US" w:eastAsia="zh-CN"/>
        </w:rPr>
      </w:pPr>
      <w:r>
        <w:rPr>
          <w:rFonts w:hint="eastAsia"/>
          <w:lang w:val="en-US" w:eastAsia="zh-CN"/>
        </w:rPr>
        <w:t>其它：工作后，淋浴更衣。单独存放被毒物污染的衣服，洗后再用。保持良好的卫生习惯。</w:t>
      </w:r>
    </w:p>
    <w:p w14:paraId="0F73CE4B">
      <w:pPr>
        <w:bidi w:val="0"/>
        <w:rPr>
          <w:rFonts w:hint="eastAsia"/>
          <w:lang w:val="en-US" w:eastAsia="zh-CN"/>
        </w:rPr>
      </w:pPr>
      <w:r>
        <w:rPr>
          <w:rFonts w:hint="eastAsia"/>
          <w:lang w:val="en-US" w:eastAsia="zh-CN"/>
        </w:rPr>
        <w:t>三、急救措施</w:t>
      </w:r>
    </w:p>
    <w:p w14:paraId="1E78895D">
      <w:pPr>
        <w:bidi w:val="0"/>
        <w:rPr>
          <w:rFonts w:hint="eastAsia"/>
          <w:lang w:val="en-US" w:eastAsia="zh-CN"/>
        </w:rPr>
      </w:pPr>
      <w:r>
        <w:rPr>
          <w:rFonts w:hint="eastAsia"/>
          <w:lang w:val="en-US" w:eastAsia="zh-CN"/>
        </w:rPr>
        <w:t>皮肤接触：立即脱去污染的衣着，用大量流动清水冲洗至少15分钟。就医。</w:t>
      </w:r>
    </w:p>
    <w:p w14:paraId="613AFB76">
      <w:pPr>
        <w:bidi w:val="0"/>
        <w:rPr>
          <w:rFonts w:hint="eastAsia"/>
          <w:lang w:val="en-US" w:eastAsia="zh-CN"/>
        </w:rPr>
      </w:pPr>
      <w:r>
        <w:rPr>
          <w:rFonts w:hint="eastAsia"/>
          <w:lang w:val="en-US" w:eastAsia="zh-CN"/>
        </w:rPr>
        <w:t>眼睛接触：立即提起眼睑，用大量流动清水或生理盐水彻底冲洗至少15分</w:t>
      </w:r>
    </w:p>
    <w:p w14:paraId="7E644600">
      <w:pPr>
        <w:bidi w:val="0"/>
        <w:rPr>
          <w:rFonts w:hint="eastAsia"/>
          <w:lang w:val="en-US" w:eastAsia="zh-CN"/>
        </w:rPr>
      </w:pPr>
      <w:r>
        <w:rPr>
          <w:rFonts w:hint="eastAsia"/>
          <w:lang w:val="en-US" w:eastAsia="zh-CN"/>
        </w:rPr>
        <w:t>钟。就医。</w:t>
      </w:r>
    </w:p>
    <w:p w14:paraId="34B77BAE">
      <w:pPr>
        <w:bidi w:val="0"/>
        <w:rPr>
          <w:rFonts w:hint="eastAsia"/>
          <w:lang w:val="en-US" w:eastAsia="zh-CN"/>
        </w:rPr>
      </w:pPr>
      <w:r>
        <w:rPr>
          <w:rFonts w:hint="eastAsia"/>
          <w:lang w:val="en-US" w:eastAsia="zh-CN"/>
        </w:rPr>
        <w:t>吸入：迅速脱离现场至空气新鲜处。保持呼吸道通畅。如呼吸困难，给输氧。</w:t>
      </w:r>
    </w:p>
    <w:p w14:paraId="24947FE8">
      <w:pPr>
        <w:bidi w:val="0"/>
        <w:rPr>
          <w:rFonts w:hint="eastAsia"/>
          <w:lang w:val="en-US" w:eastAsia="zh-CN"/>
        </w:rPr>
      </w:pPr>
      <w:r>
        <w:rPr>
          <w:rFonts w:hint="eastAsia"/>
          <w:lang w:val="en-US" w:eastAsia="zh-CN"/>
        </w:rPr>
        <w:t>如呼吸停止，立即进行人工呼吸。就医。</w:t>
      </w:r>
    </w:p>
    <w:p w14:paraId="327A4E51">
      <w:pPr>
        <w:bidi w:val="0"/>
        <w:rPr>
          <w:rFonts w:hint="eastAsia"/>
          <w:lang w:val="en-US" w:eastAsia="zh-CN"/>
        </w:rPr>
      </w:pPr>
      <w:r>
        <w:rPr>
          <w:rFonts w:hint="eastAsia"/>
          <w:lang w:val="en-US" w:eastAsia="zh-CN"/>
        </w:rPr>
        <w:t>食入：用水漱口，给饮牛奶或蛋清。就医。</w:t>
      </w:r>
    </w:p>
    <w:p w14:paraId="23576977">
      <w:pPr>
        <w:bidi w:val="0"/>
        <w:rPr>
          <w:rFonts w:hint="eastAsia"/>
          <w:lang w:val="en-US" w:eastAsia="zh-CN"/>
        </w:rPr>
      </w:pPr>
      <w:r>
        <w:rPr>
          <w:rFonts w:hint="eastAsia"/>
          <w:lang w:val="en-US" w:eastAsia="zh-CN"/>
        </w:rPr>
        <w:t>灭火方法：消防人员必须佩戴过滤式防毒面具（全面罩）或隔离式呼吸器、穿全身防火防毒服，在上风向灭火。尽可能将容器从火场移至空旷处。喷水保持火场容器冷却，直至灭火结束。处在火场中的容器若已变色或从安全泄压装置中产生声音，必须马上撤离。灭火剂：雾状水、泡沫、干粉、二氧化碳、砂土。</w:t>
      </w:r>
    </w:p>
    <w:p w14:paraId="1A1E0F7F">
      <w:pPr>
        <w:pStyle w:val="5"/>
        <w:bidi w:val="0"/>
        <w:rPr>
          <w:rFonts w:hint="default"/>
          <w:lang w:val="en-US" w:eastAsia="zh-CN"/>
        </w:rPr>
      </w:pPr>
      <w:r>
        <w:rPr>
          <w:rFonts w:hint="eastAsia"/>
          <w:lang w:val="en-US" w:eastAsia="zh-CN"/>
        </w:rPr>
        <w:t>8.3.2工艺系统危险性识别</w:t>
      </w:r>
    </w:p>
    <w:p w14:paraId="50FC2BD8">
      <w:pPr>
        <w:pStyle w:val="6"/>
        <w:bidi w:val="0"/>
        <w:rPr>
          <w:rFonts w:hint="default"/>
          <w:lang w:val="en-US" w:eastAsia="zh-CN"/>
        </w:rPr>
      </w:pPr>
      <w:r>
        <w:rPr>
          <w:rFonts w:hint="eastAsia"/>
          <w:lang w:val="en-US" w:eastAsia="zh-CN"/>
        </w:rPr>
        <w:t>8.3.2.1</w:t>
      </w:r>
      <w:r>
        <w:t>工艺系统危险性</w:t>
      </w:r>
    </w:p>
    <w:p w14:paraId="218F053E">
      <w:pPr>
        <w:rPr>
          <w:rFonts w:hint="eastAsia"/>
          <w:lang w:val="en-US" w:eastAsia="zh-CN"/>
        </w:rPr>
      </w:pPr>
      <w:r>
        <w:rPr>
          <w:rFonts w:hint="eastAsia"/>
          <w:lang w:val="en-US" w:eastAsia="zh-CN"/>
        </w:rPr>
        <w:t>本项目为铜件表面</w:t>
      </w:r>
      <w:r>
        <w:rPr>
          <w:rFonts w:hint="default"/>
          <w:lang w:val="en-US" w:eastAsia="zh-CN"/>
        </w:rPr>
        <w:t>镀锡</w:t>
      </w:r>
      <w:r>
        <w:rPr>
          <w:rFonts w:hint="eastAsia"/>
          <w:lang w:val="en-US" w:eastAsia="zh-CN"/>
        </w:rPr>
        <w:t>，</w:t>
      </w:r>
      <w:r>
        <w:rPr>
          <w:rFonts w:hint="default"/>
          <w:lang w:val="en-US" w:eastAsia="zh-CN"/>
        </w:rPr>
        <w:t>采用甲基磺酸盐电镀锡工艺</w:t>
      </w:r>
      <w:r>
        <w:rPr>
          <w:rFonts w:hint="eastAsia"/>
          <w:lang w:val="en-US" w:eastAsia="zh-CN"/>
        </w:rPr>
        <w:t>，生产过程为常压操作，可能发生风险物质泄漏的分布如下表所示。</w:t>
      </w:r>
    </w:p>
    <w:p w14:paraId="3411166E">
      <w:pPr>
        <w:spacing w:line="360" w:lineRule="exact"/>
        <w:jc w:val="center"/>
        <w:rPr>
          <w:b/>
          <w:color w:val="000000"/>
          <w:highlight w:val="none"/>
          <w:shd w:val="clear" w:color="auto" w:fill="auto"/>
        </w:rPr>
      </w:pPr>
      <w:r>
        <w:rPr>
          <w:rFonts w:hint="eastAsia" w:ascii="黑体" w:hAnsi="黑体" w:eastAsia="黑体" w:cs="黑体"/>
          <w:b w:val="0"/>
          <w:bCs/>
          <w:color w:val="000000"/>
          <w:sz w:val="21"/>
          <w:szCs w:val="21"/>
          <w:highlight w:val="none"/>
          <w:shd w:val="clear" w:color="auto" w:fill="auto"/>
        </w:rPr>
        <w:t>表8-</w:t>
      </w:r>
      <w:r>
        <w:rPr>
          <w:rFonts w:hint="eastAsia" w:ascii="黑体" w:hAnsi="黑体" w:eastAsia="黑体" w:cs="黑体"/>
          <w:b w:val="0"/>
          <w:bCs/>
          <w:color w:val="000000"/>
          <w:sz w:val="21"/>
          <w:szCs w:val="21"/>
          <w:highlight w:val="none"/>
          <w:shd w:val="clear" w:color="auto" w:fill="auto"/>
          <w:lang w:val="en-US" w:eastAsia="zh-CN"/>
        </w:rPr>
        <w:t>4</w:t>
      </w:r>
      <w:r>
        <w:rPr>
          <w:rFonts w:hint="eastAsia" w:ascii="黑体" w:hAnsi="黑体" w:eastAsia="黑体" w:cs="黑体"/>
          <w:b w:val="0"/>
          <w:bCs/>
          <w:color w:val="000000"/>
          <w:sz w:val="21"/>
          <w:szCs w:val="21"/>
          <w:highlight w:val="none"/>
          <w:shd w:val="clear" w:color="auto" w:fill="auto"/>
        </w:rPr>
        <w:t>厂区</w:t>
      </w:r>
      <w:r>
        <w:rPr>
          <w:rFonts w:hint="eastAsia" w:ascii="黑体" w:hAnsi="黑体" w:eastAsia="黑体" w:cs="黑体"/>
          <w:b w:val="0"/>
          <w:bCs/>
          <w:color w:val="000000"/>
          <w:sz w:val="21"/>
          <w:szCs w:val="21"/>
          <w:highlight w:val="none"/>
          <w:shd w:val="clear" w:color="auto" w:fill="auto"/>
          <w:lang w:eastAsia="zh-CN"/>
        </w:rPr>
        <w:t>环境风险物质泄漏</w:t>
      </w:r>
      <w:r>
        <w:rPr>
          <w:rFonts w:hint="eastAsia" w:ascii="黑体" w:hAnsi="黑体" w:eastAsia="黑体" w:cs="黑体"/>
          <w:b w:val="0"/>
          <w:bCs/>
          <w:color w:val="000000"/>
          <w:sz w:val="21"/>
          <w:szCs w:val="21"/>
          <w:highlight w:val="none"/>
          <w:shd w:val="clear" w:color="auto" w:fill="auto"/>
        </w:rPr>
        <w:t>因素分布表</w:t>
      </w:r>
    </w:p>
    <w:tbl>
      <w:tblPr>
        <w:tblStyle w:val="52"/>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Layout w:type="autofit"/>
        <w:tblCellMar>
          <w:top w:w="0" w:type="dxa"/>
          <w:left w:w="0" w:type="dxa"/>
          <w:bottom w:w="0" w:type="dxa"/>
          <w:right w:w="0" w:type="dxa"/>
        </w:tblCellMar>
      </w:tblPr>
      <w:tblGrid>
        <w:gridCol w:w="779"/>
        <w:gridCol w:w="1371"/>
        <w:gridCol w:w="1952"/>
        <w:gridCol w:w="4625"/>
      </w:tblGrid>
      <w:tr w14:paraId="4E12BC9F">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0" w:type="dxa"/>
            <w:bottom w:w="0" w:type="dxa"/>
            <w:right w:w="0" w:type="dxa"/>
          </w:tblCellMar>
        </w:tblPrEx>
        <w:trPr>
          <w:trHeight w:val="460" w:hRule="atLeast"/>
          <w:jc w:val="center"/>
        </w:trPr>
        <w:tc>
          <w:tcPr>
            <w:tcW w:w="446" w:type="pct"/>
            <w:tcBorders>
              <w:tl2br w:val="nil"/>
              <w:tr2bl w:val="nil"/>
            </w:tcBorders>
            <w:noWrap w:val="0"/>
            <w:vAlign w:val="center"/>
          </w:tcPr>
          <w:p w14:paraId="2B2572E8">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rPr>
              <w:t>序号</w:t>
            </w:r>
          </w:p>
        </w:tc>
        <w:tc>
          <w:tcPr>
            <w:tcW w:w="785" w:type="pct"/>
            <w:tcBorders>
              <w:tl2br w:val="nil"/>
              <w:tr2bl w:val="nil"/>
            </w:tcBorders>
            <w:noWrap w:val="0"/>
            <w:vAlign w:val="center"/>
          </w:tcPr>
          <w:p w14:paraId="61C9C89C">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rPr>
              <w:t>危险因素</w:t>
            </w:r>
          </w:p>
        </w:tc>
        <w:tc>
          <w:tcPr>
            <w:tcW w:w="1118" w:type="pct"/>
            <w:tcBorders>
              <w:tl2br w:val="nil"/>
              <w:tr2bl w:val="nil"/>
            </w:tcBorders>
            <w:noWrap w:val="0"/>
            <w:vAlign w:val="center"/>
          </w:tcPr>
          <w:p w14:paraId="56AD84FB">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rPr>
              <w:t>场所、部位</w:t>
            </w:r>
          </w:p>
        </w:tc>
        <w:tc>
          <w:tcPr>
            <w:tcW w:w="2649" w:type="pct"/>
            <w:tcBorders>
              <w:tl2br w:val="nil"/>
              <w:tr2bl w:val="nil"/>
            </w:tcBorders>
            <w:noWrap w:val="0"/>
            <w:vAlign w:val="center"/>
          </w:tcPr>
          <w:p w14:paraId="55A7D49F">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rPr>
              <w:t>引起物质</w:t>
            </w:r>
          </w:p>
        </w:tc>
      </w:tr>
      <w:tr w14:paraId="0F8F3B8F">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0" w:type="dxa"/>
            <w:bottom w:w="0" w:type="dxa"/>
            <w:right w:w="0" w:type="dxa"/>
          </w:tblCellMar>
        </w:tblPrEx>
        <w:trPr>
          <w:trHeight w:val="300" w:hRule="atLeast"/>
          <w:jc w:val="center"/>
        </w:trPr>
        <w:tc>
          <w:tcPr>
            <w:tcW w:w="446" w:type="pct"/>
            <w:vMerge w:val="restart"/>
            <w:tcBorders>
              <w:tl2br w:val="nil"/>
              <w:tr2bl w:val="nil"/>
            </w:tcBorders>
            <w:noWrap w:val="0"/>
            <w:vAlign w:val="center"/>
          </w:tcPr>
          <w:p w14:paraId="6F404E98">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rPr>
              <w:t>1</w:t>
            </w:r>
          </w:p>
        </w:tc>
        <w:tc>
          <w:tcPr>
            <w:tcW w:w="785" w:type="pct"/>
            <w:vMerge w:val="restart"/>
            <w:tcBorders>
              <w:tl2br w:val="nil"/>
              <w:tr2bl w:val="nil"/>
            </w:tcBorders>
            <w:noWrap w:val="0"/>
            <w:vAlign w:val="center"/>
          </w:tcPr>
          <w:p w14:paraId="73B89C59">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rPr>
              <w:t>危险品泄漏</w:t>
            </w:r>
          </w:p>
        </w:tc>
        <w:tc>
          <w:tcPr>
            <w:tcW w:w="1118" w:type="pct"/>
            <w:tcBorders>
              <w:tl2br w:val="nil"/>
              <w:tr2bl w:val="nil"/>
            </w:tcBorders>
            <w:noWrap w:val="0"/>
            <w:vAlign w:val="center"/>
          </w:tcPr>
          <w:p w14:paraId="7EA9826C">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sz w:val="21"/>
                <w:szCs w:val="21"/>
                <w:highlight w:val="none"/>
                <w:shd w:val="clear" w:color="auto" w:fill="auto"/>
                <w:lang w:eastAsia="zh-CN"/>
              </w:rPr>
            </w:pPr>
            <w:r>
              <w:rPr>
                <w:rFonts w:hint="eastAsia" w:ascii="宋体" w:hAnsi="宋体" w:eastAsia="宋体" w:cs="宋体"/>
                <w:color w:val="000000"/>
                <w:sz w:val="21"/>
                <w:szCs w:val="21"/>
                <w:highlight w:val="none"/>
                <w:shd w:val="clear" w:color="auto" w:fill="auto"/>
                <w:lang w:eastAsia="zh-CN"/>
              </w:rPr>
              <w:t>生产车间作业区</w:t>
            </w:r>
          </w:p>
        </w:tc>
        <w:tc>
          <w:tcPr>
            <w:tcW w:w="2649" w:type="pct"/>
            <w:tcBorders>
              <w:tl2br w:val="nil"/>
              <w:tr2bl w:val="nil"/>
            </w:tcBorders>
            <w:noWrap w:val="0"/>
            <w:vAlign w:val="center"/>
          </w:tcPr>
          <w:p w14:paraId="2BD03F50">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sz w:val="21"/>
                <w:szCs w:val="21"/>
                <w:highlight w:val="none"/>
                <w:shd w:val="clear" w:color="auto" w:fill="auto"/>
                <w:lang w:eastAsia="zh-CN"/>
              </w:rPr>
            </w:pPr>
            <w:r>
              <w:rPr>
                <w:rFonts w:hint="default" w:ascii="宋体" w:hAnsi="宋体" w:eastAsia="宋体" w:cs="宋体"/>
                <w:color w:val="000000"/>
                <w:sz w:val="21"/>
                <w:szCs w:val="21"/>
                <w:highlight w:val="none"/>
                <w:shd w:val="clear" w:color="auto" w:fill="auto"/>
                <w:lang w:val="en-US" w:eastAsia="zh-CN"/>
              </w:rPr>
              <w:t>甲基磺酸</w:t>
            </w:r>
          </w:p>
        </w:tc>
      </w:tr>
      <w:tr w14:paraId="5A335F48">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0" w:type="dxa"/>
            <w:bottom w:w="0" w:type="dxa"/>
            <w:right w:w="0" w:type="dxa"/>
          </w:tblCellMar>
        </w:tblPrEx>
        <w:trPr>
          <w:trHeight w:val="340" w:hRule="atLeast"/>
          <w:jc w:val="center"/>
        </w:trPr>
        <w:tc>
          <w:tcPr>
            <w:tcW w:w="446" w:type="pct"/>
            <w:vMerge w:val="continue"/>
            <w:tcBorders>
              <w:tl2br w:val="nil"/>
              <w:tr2bl w:val="nil"/>
            </w:tcBorders>
            <w:noWrap w:val="0"/>
            <w:vAlign w:val="center"/>
          </w:tcPr>
          <w:p w14:paraId="036648AC">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sz w:val="21"/>
                <w:szCs w:val="21"/>
                <w:highlight w:val="none"/>
                <w:shd w:val="clear" w:color="auto" w:fill="auto"/>
              </w:rPr>
            </w:pPr>
          </w:p>
        </w:tc>
        <w:tc>
          <w:tcPr>
            <w:tcW w:w="785" w:type="pct"/>
            <w:vMerge w:val="continue"/>
            <w:tcBorders>
              <w:tl2br w:val="nil"/>
              <w:tr2bl w:val="nil"/>
            </w:tcBorders>
            <w:noWrap w:val="0"/>
            <w:vAlign w:val="center"/>
          </w:tcPr>
          <w:p w14:paraId="3614EBF4">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sz w:val="21"/>
                <w:szCs w:val="21"/>
                <w:highlight w:val="none"/>
                <w:shd w:val="clear" w:color="auto" w:fill="auto"/>
              </w:rPr>
            </w:pPr>
          </w:p>
        </w:tc>
        <w:tc>
          <w:tcPr>
            <w:tcW w:w="1118" w:type="pct"/>
            <w:tcBorders>
              <w:tl2br w:val="nil"/>
              <w:tr2bl w:val="nil"/>
            </w:tcBorders>
            <w:noWrap w:val="0"/>
            <w:vAlign w:val="center"/>
          </w:tcPr>
          <w:p w14:paraId="05AD73CF">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sz w:val="21"/>
                <w:szCs w:val="21"/>
                <w:highlight w:val="none"/>
                <w:shd w:val="clear" w:color="auto" w:fill="auto"/>
                <w:lang w:eastAsia="zh-CN"/>
              </w:rPr>
            </w:pPr>
            <w:r>
              <w:rPr>
                <w:rFonts w:hint="eastAsia" w:ascii="宋体" w:hAnsi="宋体" w:eastAsia="宋体" w:cs="宋体"/>
                <w:color w:val="000000"/>
                <w:sz w:val="21"/>
                <w:szCs w:val="21"/>
                <w:highlight w:val="none"/>
                <w:shd w:val="clear" w:color="auto" w:fill="auto"/>
                <w:lang w:eastAsia="zh-CN"/>
              </w:rPr>
              <w:t>车间内物料贮存间</w:t>
            </w:r>
          </w:p>
        </w:tc>
        <w:tc>
          <w:tcPr>
            <w:tcW w:w="2649" w:type="pct"/>
            <w:tcBorders>
              <w:tl2br w:val="nil"/>
              <w:tr2bl w:val="nil"/>
            </w:tcBorders>
            <w:noWrap w:val="0"/>
            <w:vAlign w:val="center"/>
          </w:tcPr>
          <w:p w14:paraId="3F2888AA">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sz w:val="21"/>
                <w:szCs w:val="21"/>
                <w:highlight w:val="none"/>
                <w:shd w:val="clear" w:color="auto" w:fill="auto"/>
                <w:lang w:eastAsia="zh-CN"/>
              </w:rPr>
            </w:pPr>
            <w:r>
              <w:rPr>
                <w:rFonts w:hint="default" w:ascii="宋体" w:hAnsi="宋体" w:eastAsia="宋体" w:cs="宋体"/>
                <w:color w:val="000000"/>
                <w:sz w:val="21"/>
                <w:szCs w:val="21"/>
                <w:highlight w:val="none"/>
                <w:shd w:val="clear" w:color="auto" w:fill="auto"/>
                <w:lang w:val="en-US" w:eastAsia="zh-CN"/>
              </w:rPr>
              <w:t>甲基磺酸</w:t>
            </w:r>
          </w:p>
        </w:tc>
      </w:tr>
    </w:tbl>
    <w:p w14:paraId="42C1030B">
      <w:pPr>
        <w:pStyle w:val="6"/>
        <w:bidi w:val="0"/>
      </w:pPr>
      <w:bookmarkStart w:id="430" w:name="_Toc127766961"/>
      <w:bookmarkStart w:id="431" w:name="_Toc333761225"/>
      <w:bookmarkStart w:id="432" w:name="_Toc127764042"/>
      <w:bookmarkStart w:id="433" w:name="_Toc130804978"/>
      <w:bookmarkStart w:id="434" w:name="_Toc127765799"/>
      <w:r>
        <w:rPr>
          <w:rFonts w:hint="eastAsia"/>
        </w:rPr>
        <w:t>8</w:t>
      </w:r>
      <w:r>
        <w:t>.</w:t>
      </w:r>
      <w:r>
        <w:rPr>
          <w:rFonts w:hint="eastAsia"/>
          <w:lang w:val="en-US" w:eastAsia="zh-CN"/>
        </w:rPr>
        <w:t>3.2</w:t>
      </w:r>
      <w:r>
        <w:t>.2运输过程潜在风险识别</w:t>
      </w:r>
    </w:p>
    <w:bookmarkEnd w:id="430"/>
    <w:bookmarkEnd w:id="431"/>
    <w:bookmarkEnd w:id="432"/>
    <w:bookmarkEnd w:id="433"/>
    <w:bookmarkEnd w:id="434"/>
    <w:p w14:paraId="6FC104E2">
      <w:pPr>
        <w:spacing w:line="480" w:lineRule="exact"/>
        <w:ind w:firstLine="480" w:firstLineChars="200"/>
        <w:rPr>
          <w:color w:val="000000"/>
          <w:sz w:val="24"/>
          <w:szCs w:val="24"/>
          <w:highlight w:val="none"/>
          <w:shd w:val="clear" w:color="auto" w:fill="auto"/>
        </w:rPr>
      </w:pPr>
      <w:r>
        <w:rPr>
          <w:color w:val="000000"/>
          <w:sz w:val="24"/>
          <w:szCs w:val="24"/>
          <w:highlight w:val="none"/>
          <w:shd w:val="clear" w:color="auto" w:fill="auto"/>
        </w:rPr>
        <w:t>物料采用公路运输，存在一定输送风险（泄漏等）。</w:t>
      </w:r>
    </w:p>
    <w:p w14:paraId="104E5E09">
      <w:pPr>
        <w:spacing w:line="480" w:lineRule="exact"/>
        <w:ind w:firstLine="480" w:firstLineChars="200"/>
        <w:rPr>
          <w:color w:val="000000"/>
          <w:sz w:val="24"/>
          <w:szCs w:val="24"/>
          <w:highlight w:val="none"/>
          <w:shd w:val="clear" w:color="auto" w:fill="auto"/>
        </w:rPr>
      </w:pPr>
      <w:r>
        <w:rPr>
          <w:rFonts w:hint="eastAsia"/>
          <w:color w:val="000000"/>
          <w:sz w:val="24"/>
          <w:szCs w:val="24"/>
          <w:highlight w:val="none"/>
          <w:shd w:val="clear" w:color="auto" w:fill="auto"/>
          <w:lang w:eastAsia="zh-CN"/>
        </w:rPr>
        <w:t>本项目物料主要为桶装、袋装两种包装方式，不涉及储罐等贮存装置，</w:t>
      </w:r>
      <w:r>
        <w:rPr>
          <w:color w:val="000000"/>
          <w:sz w:val="24"/>
          <w:szCs w:val="24"/>
          <w:highlight w:val="none"/>
          <w:shd w:val="clear" w:color="auto" w:fill="auto"/>
        </w:rPr>
        <w:t>桶装、袋装原料搬运不当导致破损泄漏，引发中毒及环境污染事件。</w:t>
      </w:r>
    </w:p>
    <w:p w14:paraId="7F3279EF">
      <w:pPr>
        <w:pStyle w:val="6"/>
        <w:bidi w:val="0"/>
      </w:pPr>
      <w:bookmarkStart w:id="435" w:name="_Toc333761226"/>
      <w:bookmarkStart w:id="436" w:name="_Toc127764043"/>
      <w:bookmarkStart w:id="437" w:name="_Toc127765800"/>
      <w:bookmarkStart w:id="438" w:name="_Toc130804979"/>
      <w:bookmarkStart w:id="439" w:name="_Toc127766962"/>
      <w:r>
        <w:rPr>
          <w:rFonts w:hint="eastAsia"/>
        </w:rPr>
        <w:t>8</w:t>
      </w:r>
      <w:r>
        <w:t>.</w:t>
      </w:r>
      <w:r>
        <w:rPr>
          <w:rFonts w:hint="eastAsia"/>
          <w:lang w:val="en-US" w:eastAsia="zh-CN"/>
        </w:rPr>
        <w:t>3.2.3</w:t>
      </w:r>
      <w:r>
        <w:t>贮存过程潜在风险识别</w:t>
      </w:r>
      <w:bookmarkEnd w:id="435"/>
      <w:bookmarkEnd w:id="436"/>
      <w:bookmarkEnd w:id="437"/>
      <w:bookmarkEnd w:id="438"/>
      <w:bookmarkEnd w:id="439"/>
    </w:p>
    <w:p w14:paraId="5BA9599A">
      <w:pPr>
        <w:spacing w:line="480" w:lineRule="exact"/>
        <w:ind w:firstLine="480" w:firstLineChars="200"/>
        <w:rPr>
          <w:color w:val="000000"/>
          <w:sz w:val="24"/>
          <w:szCs w:val="24"/>
          <w:highlight w:val="none"/>
          <w:shd w:val="clear" w:color="auto" w:fill="auto"/>
        </w:rPr>
      </w:pPr>
      <w:r>
        <w:rPr>
          <w:rFonts w:hint="eastAsia"/>
          <w:color w:val="000000"/>
          <w:sz w:val="24"/>
          <w:szCs w:val="24"/>
          <w:highlight w:val="none"/>
          <w:shd w:val="clear" w:color="auto" w:fill="auto"/>
          <w:lang w:eastAsia="zh-CN"/>
        </w:rPr>
        <w:t>甲基磺酸等</w:t>
      </w:r>
      <w:r>
        <w:rPr>
          <w:color w:val="000000"/>
          <w:sz w:val="24"/>
          <w:szCs w:val="24"/>
          <w:highlight w:val="none"/>
          <w:shd w:val="clear" w:color="auto" w:fill="auto"/>
        </w:rPr>
        <w:t>液体原料为桶装贮存在</w:t>
      </w:r>
      <w:r>
        <w:rPr>
          <w:rFonts w:hint="eastAsia"/>
          <w:color w:val="000000"/>
          <w:sz w:val="24"/>
          <w:szCs w:val="24"/>
          <w:highlight w:val="none"/>
          <w:shd w:val="clear" w:color="auto" w:fill="auto"/>
          <w:lang w:eastAsia="zh-CN"/>
        </w:rPr>
        <w:t>生产车间内设置的物料贮存间</w:t>
      </w:r>
      <w:r>
        <w:rPr>
          <w:color w:val="000000"/>
          <w:sz w:val="24"/>
          <w:szCs w:val="24"/>
          <w:highlight w:val="none"/>
          <w:shd w:val="clear" w:color="auto" w:fill="auto"/>
        </w:rPr>
        <w:t>。在贮存过程中出现事故</w:t>
      </w:r>
      <w:r>
        <w:rPr>
          <w:rFonts w:hint="eastAsia"/>
          <w:color w:val="000000"/>
          <w:sz w:val="24"/>
          <w:szCs w:val="24"/>
          <w:highlight w:val="none"/>
          <w:shd w:val="clear" w:color="auto" w:fill="auto"/>
          <w:lang w:eastAsia="zh-CN"/>
        </w:rPr>
        <w:t>主要为</w:t>
      </w:r>
      <w:r>
        <w:rPr>
          <w:color w:val="000000"/>
          <w:sz w:val="24"/>
          <w:szCs w:val="24"/>
          <w:highlight w:val="none"/>
          <w:shd w:val="clear" w:color="auto" w:fill="auto"/>
        </w:rPr>
        <w:t>包装桶经撞击等破损造成泄漏事故。</w:t>
      </w:r>
    </w:p>
    <w:p w14:paraId="1F8C49CE">
      <w:pPr>
        <w:pStyle w:val="6"/>
        <w:bidi w:val="0"/>
      </w:pPr>
      <w:bookmarkStart w:id="440" w:name="_Toc369532725"/>
      <w:r>
        <w:rPr>
          <w:rFonts w:hint="eastAsia"/>
        </w:rPr>
        <w:t>8</w:t>
      </w:r>
      <w:r>
        <w:t>.</w:t>
      </w:r>
      <w:r>
        <w:rPr>
          <w:rFonts w:hint="eastAsia"/>
          <w:lang w:val="en-US" w:eastAsia="zh-CN"/>
        </w:rPr>
        <w:t>3.2.4</w:t>
      </w:r>
      <w:r>
        <w:t>毒害物质扩散途径风险识别</w:t>
      </w:r>
      <w:bookmarkEnd w:id="440"/>
    </w:p>
    <w:p w14:paraId="38608832">
      <w:pPr>
        <w:spacing w:line="480" w:lineRule="exact"/>
        <w:ind w:firstLine="480" w:firstLineChars="200"/>
        <w:rPr>
          <w:color w:val="000000"/>
          <w:sz w:val="24"/>
          <w:szCs w:val="24"/>
          <w:highlight w:val="none"/>
          <w:shd w:val="clear" w:color="auto" w:fill="auto"/>
        </w:rPr>
      </w:pPr>
      <w:r>
        <w:rPr>
          <w:color w:val="000000"/>
          <w:sz w:val="24"/>
          <w:szCs w:val="24"/>
          <w:highlight w:val="none"/>
          <w:shd w:val="clear" w:color="auto" w:fill="auto"/>
        </w:rPr>
        <w:t>本项目生产过程中可能发生的事故主要</w:t>
      </w:r>
      <w:r>
        <w:rPr>
          <w:rFonts w:hint="eastAsia"/>
          <w:color w:val="000000"/>
          <w:sz w:val="24"/>
          <w:szCs w:val="24"/>
          <w:highlight w:val="none"/>
          <w:shd w:val="clear" w:color="auto" w:fill="auto"/>
          <w:lang w:eastAsia="zh-CN"/>
        </w:rPr>
        <w:t>为物料容器破损导致的风险物质泄漏，</w:t>
      </w:r>
      <w:r>
        <w:rPr>
          <w:color w:val="000000"/>
          <w:sz w:val="24"/>
          <w:szCs w:val="24"/>
          <w:highlight w:val="none"/>
          <w:shd w:val="clear" w:color="auto" w:fill="auto"/>
        </w:rPr>
        <w:t>本项目装置区物料在线量较储存区小很多，一旦发生事故，储运单元对环境的影响</w:t>
      </w:r>
      <w:r>
        <w:rPr>
          <w:rFonts w:hint="eastAsia"/>
          <w:color w:val="000000"/>
          <w:sz w:val="24"/>
          <w:szCs w:val="24"/>
          <w:highlight w:val="none"/>
          <w:shd w:val="clear" w:color="auto" w:fill="auto"/>
          <w:lang w:eastAsia="zh-CN"/>
        </w:rPr>
        <w:t>较小</w:t>
      </w:r>
      <w:r>
        <w:rPr>
          <w:color w:val="000000"/>
          <w:sz w:val="24"/>
          <w:szCs w:val="24"/>
          <w:highlight w:val="none"/>
          <w:shd w:val="clear" w:color="auto" w:fill="auto"/>
        </w:rPr>
        <w:t>。</w:t>
      </w:r>
      <w:r>
        <w:rPr>
          <w:rFonts w:hint="eastAsia"/>
          <w:color w:val="000000"/>
          <w:sz w:val="24"/>
          <w:szCs w:val="24"/>
          <w:highlight w:val="none"/>
          <w:shd w:val="clear" w:color="auto" w:fill="auto"/>
          <w:lang w:eastAsia="zh-CN"/>
        </w:rPr>
        <w:t>同时，本项目主要风险物质为甲基磺酸，为高沸点物质，挥发性较低，</w:t>
      </w:r>
      <w:r>
        <w:rPr>
          <w:color w:val="000000"/>
          <w:sz w:val="24"/>
          <w:szCs w:val="24"/>
          <w:highlight w:val="none"/>
          <w:shd w:val="clear" w:color="auto" w:fill="auto"/>
        </w:rPr>
        <w:t>通过功能单元风险识别和类比调查分析得知，本项目</w:t>
      </w:r>
      <w:r>
        <w:rPr>
          <w:rFonts w:hint="eastAsia"/>
          <w:color w:val="000000"/>
          <w:sz w:val="24"/>
          <w:szCs w:val="24"/>
          <w:highlight w:val="none"/>
          <w:shd w:val="clear" w:color="auto" w:fill="auto"/>
          <w:lang w:eastAsia="zh-CN"/>
        </w:rPr>
        <w:t>甲基磺酸</w:t>
      </w:r>
      <w:r>
        <w:rPr>
          <w:color w:val="000000"/>
          <w:sz w:val="24"/>
          <w:szCs w:val="24"/>
          <w:highlight w:val="none"/>
          <w:shd w:val="clear" w:color="auto" w:fill="auto"/>
        </w:rPr>
        <w:t>物料泄漏，泄漏物经过土壤下渗到地表水，对土壤及地下水环境产生影响。</w:t>
      </w:r>
    </w:p>
    <w:p w14:paraId="04511933">
      <w:pPr>
        <w:pStyle w:val="6"/>
        <w:bidi w:val="0"/>
      </w:pPr>
      <w:r>
        <w:rPr>
          <w:rFonts w:hint="eastAsia"/>
          <w:lang w:val="en-US" w:eastAsia="zh-CN"/>
        </w:rPr>
        <w:t>8.3.2.5</w:t>
      </w:r>
      <w:r>
        <w:t>事故引发的伴生/次生污染分析</w:t>
      </w:r>
    </w:p>
    <w:p w14:paraId="708ED0B6">
      <w:pPr>
        <w:spacing w:line="480" w:lineRule="exact"/>
        <w:ind w:firstLine="480" w:firstLineChars="200"/>
        <w:rPr>
          <w:color w:val="000000"/>
          <w:sz w:val="24"/>
          <w:szCs w:val="24"/>
          <w:highlight w:val="none"/>
          <w:shd w:val="clear" w:color="auto" w:fill="auto"/>
        </w:rPr>
      </w:pPr>
      <w:r>
        <w:rPr>
          <w:rFonts w:hint="eastAsia"/>
          <w:color w:val="000000"/>
          <w:sz w:val="24"/>
          <w:szCs w:val="24"/>
          <w:highlight w:val="none"/>
          <w:shd w:val="clear" w:color="auto" w:fill="auto"/>
        </w:rPr>
        <w:t>本</w:t>
      </w:r>
      <w:r>
        <w:rPr>
          <w:color w:val="000000"/>
          <w:sz w:val="24"/>
          <w:szCs w:val="24"/>
          <w:highlight w:val="none"/>
          <w:shd w:val="clear" w:color="auto" w:fill="auto"/>
        </w:rPr>
        <w:t>项目</w:t>
      </w:r>
      <w:r>
        <w:rPr>
          <w:rFonts w:hint="eastAsia"/>
          <w:color w:val="000000"/>
          <w:sz w:val="24"/>
          <w:szCs w:val="24"/>
          <w:highlight w:val="none"/>
          <w:shd w:val="clear" w:color="auto" w:fill="auto"/>
          <w:lang w:eastAsia="zh-CN"/>
        </w:rPr>
        <w:t>环境风险物质甲基磺酸不属于易燃易爆物质，火灾爆炸风险性较低，主要风险为泄漏，物质发生泄漏，处置过程中会产生大量洗消废水，</w:t>
      </w:r>
      <w:r>
        <w:rPr>
          <w:color w:val="000000"/>
          <w:sz w:val="24"/>
          <w:szCs w:val="24"/>
          <w:highlight w:val="none"/>
          <w:shd w:val="clear" w:color="auto" w:fill="auto"/>
        </w:rPr>
        <w:t>含有大量有机物料，</w:t>
      </w:r>
      <w:r>
        <w:rPr>
          <w:rFonts w:hint="eastAsia"/>
          <w:color w:val="000000"/>
          <w:sz w:val="24"/>
          <w:szCs w:val="24"/>
          <w:highlight w:val="none"/>
          <w:shd w:val="clear" w:color="auto" w:fill="auto"/>
        </w:rPr>
        <w:t>如处理不当易对周围土壤、地下水产生影响</w:t>
      </w:r>
      <w:r>
        <w:rPr>
          <w:color w:val="000000"/>
          <w:sz w:val="24"/>
          <w:szCs w:val="24"/>
          <w:highlight w:val="none"/>
          <w:shd w:val="clear" w:color="auto" w:fill="auto"/>
        </w:rPr>
        <w:t>。</w:t>
      </w:r>
    </w:p>
    <w:p w14:paraId="7631D756">
      <w:pPr>
        <w:pStyle w:val="3"/>
        <w:bidi w:val="0"/>
        <w:spacing w:line="360" w:lineRule="auto"/>
      </w:pPr>
      <w:bookmarkStart w:id="441" w:name="_Toc129964132"/>
      <w:bookmarkStart w:id="442" w:name="_Toc12521"/>
      <w:bookmarkStart w:id="443" w:name="_Toc427850131"/>
      <w:bookmarkStart w:id="444" w:name="_Toc19233"/>
      <w:bookmarkStart w:id="445" w:name="_Toc25966"/>
      <w:bookmarkStart w:id="446" w:name="_Toc427849957"/>
      <w:bookmarkStart w:id="447" w:name="_Toc427850218"/>
      <w:bookmarkStart w:id="448" w:name="_Toc23233"/>
      <w:bookmarkStart w:id="449" w:name="_Toc427850044"/>
      <w:bookmarkStart w:id="450" w:name="_Toc427850305"/>
      <w:bookmarkStart w:id="451" w:name="_Toc15399"/>
      <w:bookmarkStart w:id="452" w:name="_Toc511077069"/>
      <w:r>
        <w:rPr>
          <w:rFonts w:hint="eastAsia"/>
        </w:rPr>
        <w:t>8</w:t>
      </w:r>
      <w:r>
        <w:t>.</w:t>
      </w:r>
      <w:bookmarkEnd w:id="441"/>
      <w:r>
        <w:rPr>
          <w:rFonts w:hint="eastAsia"/>
          <w:lang w:val="en-US" w:eastAsia="zh-CN"/>
        </w:rPr>
        <w:t>4</w:t>
      </w:r>
      <w:r>
        <w:t>源项分析</w:t>
      </w:r>
      <w:bookmarkEnd w:id="442"/>
      <w:bookmarkEnd w:id="443"/>
      <w:bookmarkEnd w:id="444"/>
      <w:bookmarkEnd w:id="445"/>
      <w:bookmarkEnd w:id="446"/>
      <w:bookmarkEnd w:id="447"/>
      <w:bookmarkEnd w:id="448"/>
      <w:bookmarkEnd w:id="449"/>
      <w:bookmarkEnd w:id="450"/>
      <w:bookmarkEnd w:id="451"/>
      <w:bookmarkEnd w:id="452"/>
    </w:p>
    <w:p w14:paraId="79207B36">
      <w:pPr>
        <w:pStyle w:val="5"/>
        <w:bidi w:val="0"/>
        <w:spacing w:line="360" w:lineRule="auto"/>
      </w:pPr>
      <w:bookmarkStart w:id="453" w:name="_Toc24252"/>
      <w:r>
        <w:rPr>
          <w:rFonts w:hint="eastAsia"/>
        </w:rPr>
        <w:t>8</w:t>
      </w:r>
      <w:r>
        <w:t>.</w:t>
      </w:r>
      <w:r>
        <w:rPr>
          <w:rFonts w:hint="eastAsia"/>
          <w:lang w:val="en-US"/>
        </w:rPr>
        <w:t>4</w:t>
      </w:r>
      <w:r>
        <w:t>.1最大可信事故判定</w:t>
      </w:r>
      <w:bookmarkEnd w:id="453"/>
    </w:p>
    <w:p w14:paraId="1F937931">
      <w:pPr>
        <w:spacing w:line="360" w:lineRule="auto"/>
        <w:ind w:firstLine="482"/>
        <w:rPr>
          <w:rFonts w:hint="eastAsia" w:cs="宋体"/>
          <w:color w:val="000000"/>
          <w:sz w:val="24"/>
          <w:szCs w:val="24"/>
          <w:highlight w:val="none"/>
        </w:rPr>
      </w:pPr>
      <w:r>
        <w:rPr>
          <w:rFonts w:cs="宋体"/>
          <w:color w:val="000000"/>
          <w:sz w:val="24"/>
          <w:szCs w:val="24"/>
          <w:highlight w:val="none"/>
        </w:rPr>
        <w:t>根据《建设项目环境风险评价技术导则》</w:t>
      </w:r>
      <w:r>
        <w:rPr>
          <w:rFonts w:hint="eastAsia" w:cs="宋体"/>
          <w:color w:val="000000"/>
          <w:sz w:val="24"/>
          <w:szCs w:val="24"/>
          <w:highlight w:val="none"/>
        </w:rPr>
        <w:t>（</w:t>
      </w:r>
      <w:r>
        <w:rPr>
          <w:rFonts w:cs="宋体"/>
          <w:color w:val="000000"/>
          <w:sz w:val="24"/>
          <w:szCs w:val="24"/>
          <w:highlight w:val="none"/>
        </w:rPr>
        <w:t>HJ/T</w:t>
      </w:r>
      <w:r>
        <w:rPr>
          <w:rFonts w:hint="eastAsia" w:cs="宋体"/>
          <w:color w:val="000000"/>
          <w:sz w:val="24"/>
          <w:szCs w:val="24"/>
          <w:highlight w:val="none"/>
        </w:rPr>
        <w:t>169</w:t>
      </w:r>
      <w:r>
        <w:rPr>
          <w:rFonts w:cs="宋体"/>
          <w:color w:val="000000"/>
          <w:sz w:val="24"/>
          <w:szCs w:val="24"/>
          <w:highlight w:val="none"/>
        </w:rPr>
        <w:t>-20</w:t>
      </w:r>
      <w:r>
        <w:rPr>
          <w:rFonts w:hint="eastAsia" w:cs="宋体"/>
          <w:color w:val="000000"/>
          <w:sz w:val="24"/>
          <w:szCs w:val="24"/>
          <w:highlight w:val="none"/>
        </w:rPr>
        <w:t>18）</w:t>
      </w:r>
      <w:r>
        <w:rPr>
          <w:rFonts w:cs="宋体"/>
          <w:color w:val="000000"/>
          <w:sz w:val="24"/>
          <w:szCs w:val="24"/>
          <w:highlight w:val="none"/>
        </w:rPr>
        <w:t>的定义，最大可信事故是指在所有预测的概率不为</w:t>
      </w:r>
      <w:r>
        <w:rPr>
          <w:rFonts w:hint="eastAsia" w:cs="宋体"/>
          <w:color w:val="000000"/>
          <w:sz w:val="24"/>
          <w:szCs w:val="24"/>
          <w:highlight w:val="none"/>
        </w:rPr>
        <w:t>0</w:t>
      </w:r>
      <w:r>
        <w:rPr>
          <w:rFonts w:cs="宋体"/>
          <w:color w:val="000000"/>
          <w:sz w:val="24"/>
          <w:szCs w:val="24"/>
          <w:highlight w:val="none"/>
        </w:rPr>
        <w:t>的事故中，对环境（或健康）危害最严重的重大事故。而重大事故是指导致有毒有害物质泄漏的火灾、爆炸和有毒有害物泄漏事故，给公众带来严重危害，对环境造成严重污染。最大可信事件不考虑自然灾害如地震、洪水、台风等所引起的事故风险。</w:t>
      </w:r>
    </w:p>
    <w:p w14:paraId="61D41BBC">
      <w:pPr>
        <w:spacing w:line="360" w:lineRule="auto"/>
        <w:ind w:firstLine="482"/>
        <w:rPr>
          <w:rFonts w:cs="宋体"/>
          <w:color w:val="000000"/>
          <w:sz w:val="24"/>
          <w:szCs w:val="24"/>
          <w:highlight w:val="none"/>
        </w:rPr>
      </w:pPr>
      <w:r>
        <w:rPr>
          <w:rFonts w:hint="eastAsia" w:cs="宋体"/>
          <w:color w:val="000000"/>
          <w:sz w:val="24"/>
          <w:szCs w:val="24"/>
          <w:highlight w:val="none"/>
        </w:rPr>
        <w:t>根据本项目物料的危险性及储存数量分析，确定</w:t>
      </w:r>
      <w:r>
        <w:rPr>
          <w:rFonts w:hint="eastAsia" w:cs="宋体"/>
          <w:color w:val="000000"/>
          <w:sz w:val="24"/>
          <w:szCs w:val="24"/>
          <w:highlight w:val="none"/>
          <w:lang w:eastAsia="zh-CN"/>
        </w:rPr>
        <w:t>甲基磺酸</w:t>
      </w:r>
      <w:r>
        <w:rPr>
          <w:rFonts w:hint="eastAsia" w:cs="宋体"/>
          <w:color w:val="000000"/>
          <w:sz w:val="24"/>
          <w:szCs w:val="24"/>
          <w:highlight w:val="none"/>
        </w:rPr>
        <w:t>泄漏为本项目最大环境危险源。</w:t>
      </w:r>
    </w:p>
    <w:p w14:paraId="1B90DCF6">
      <w:pPr>
        <w:pStyle w:val="5"/>
        <w:bidi w:val="0"/>
        <w:rPr>
          <w:rFonts w:hint="eastAsia"/>
        </w:rPr>
      </w:pPr>
      <w:bookmarkStart w:id="454" w:name="_Toc28277"/>
      <w:r>
        <w:rPr>
          <w:rFonts w:hint="eastAsia"/>
        </w:rPr>
        <w:t>8</w:t>
      </w:r>
      <w:r>
        <w:t>.</w:t>
      </w:r>
      <w:r>
        <w:rPr>
          <w:rFonts w:hint="eastAsia"/>
          <w:lang w:val="en-US"/>
        </w:rPr>
        <w:t>4.2</w:t>
      </w:r>
      <w:r>
        <w:t>最大可信事故</w:t>
      </w:r>
      <w:r>
        <w:rPr>
          <w:rFonts w:hint="eastAsia"/>
        </w:rPr>
        <w:t>概率</w:t>
      </w:r>
      <w:bookmarkEnd w:id="454"/>
    </w:p>
    <w:p w14:paraId="2AB3A195">
      <w:pPr>
        <w:spacing w:line="360" w:lineRule="auto"/>
        <w:ind w:firstLine="482"/>
        <w:rPr>
          <w:rFonts w:hint="eastAsia" w:cs="宋体"/>
          <w:color w:val="000000"/>
          <w:sz w:val="24"/>
          <w:szCs w:val="24"/>
          <w:highlight w:val="none"/>
        </w:rPr>
      </w:pPr>
      <w:r>
        <w:rPr>
          <w:rFonts w:hint="eastAsia" w:cs="宋体"/>
          <w:color w:val="000000"/>
          <w:sz w:val="24"/>
          <w:szCs w:val="24"/>
          <w:highlight w:val="none"/>
        </w:rPr>
        <w:t>危险源发生事故均属于不可预见性，引发事故的因素较多且由于污染物排放的差异，对风险事故概率及事故危害的量化难度较大。</w:t>
      </w:r>
    </w:p>
    <w:p w14:paraId="236BE8BE">
      <w:pPr>
        <w:spacing w:line="360" w:lineRule="auto"/>
        <w:ind w:firstLine="482"/>
        <w:rPr>
          <w:rFonts w:hint="eastAsia" w:cs="宋体"/>
          <w:color w:val="000000"/>
          <w:sz w:val="24"/>
          <w:szCs w:val="24"/>
          <w:highlight w:val="none"/>
        </w:rPr>
      </w:pPr>
      <w:r>
        <w:rPr>
          <w:rFonts w:hint="eastAsia" w:cs="宋体"/>
          <w:color w:val="000000"/>
          <w:sz w:val="24"/>
          <w:szCs w:val="24"/>
          <w:highlight w:val="none"/>
        </w:rPr>
        <w:t>根据《环境风险评价实用技术和方法》(胡二邦主编)中统计数据，目前国内化工装置典型事故风险概率在1×10</w:t>
      </w:r>
      <w:r>
        <w:rPr>
          <w:rFonts w:hint="eastAsia" w:cs="宋体"/>
          <w:color w:val="000000"/>
          <w:sz w:val="24"/>
          <w:szCs w:val="24"/>
          <w:highlight w:val="none"/>
          <w:vertAlign w:val="superscript"/>
        </w:rPr>
        <w:t>-5</w:t>
      </w:r>
      <w:r>
        <w:rPr>
          <w:rFonts w:hint="eastAsia" w:cs="宋体"/>
          <w:color w:val="000000"/>
          <w:sz w:val="24"/>
          <w:szCs w:val="24"/>
          <w:highlight w:val="none"/>
        </w:rPr>
        <w:t>次/年左右，类比国内其他同类装置的运行情况，本项目发生风险事故的原因和概率应与国内现有装置接近；因此本次风险评价确定本项目风险事故概率为1×10</w:t>
      </w:r>
      <w:r>
        <w:rPr>
          <w:rFonts w:hint="eastAsia" w:cs="宋体"/>
          <w:color w:val="000000"/>
          <w:sz w:val="24"/>
          <w:szCs w:val="24"/>
          <w:highlight w:val="none"/>
          <w:vertAlign w:val="superscript"/>
        </w:rPr>
        <w:t>-5</w:t>
      </w:r>
      <w:r>
        <w:rPr>
          <w:rFonts w:hint="eastAsia" w:cs="宋体"/>
          <w:color w:val="000000"/>
          <w:sz w:val="24"/>
          <w:szCs w:val="24"/>
          <w:highlight w:val="none"/>
        </w:rPr>
        <w:t>次/年。</w:t>
      </w:r>
    </w:p>
    <w:p w14:paraId="15A226EC">
      <w:pPr>
        <w:pStyle w:val="5"/>
        <w:bidi w:val="0"/>
        <w:rPr>
          <w:rFonts w:hint="eastAsia"/>
        </w:rPr>
      </w:pPr>
      <w:bookmarkStart w:id="455" w:name="_Toc6623"/>
      <w:r>
        <w:rPr>
          <w:rFonts w:hint="eastAsia"/>
        </w:rPr>
        <w:t>8.</w:t>
      </w:r>
      <w:r>
        <w:rPr>
          <w:rFonts w:hint="eastAsia"/>
          <w:lang w:val="en-US"/>
        </w:rPr>
        <w:t>4.3</w:t>
      </w:r>
      <w:r>
        <w:rPr>
          <w:rFonts w:hint="eastAsia"/>
        </w:rPr>
        <w:t>最大可信事故原项分析</w:t>
      </w:r>
      <w:bookmarkEnd w:id="455"/>
    </w:p>
    <w:p w14:paraId="4BCA0503">
      <w:pPr>
        <w:spacing w:line="360" w:lineRule="auto"/>
        <w:ind w:firstLine="482"/>
        <w:rPr>
          <w:rFonts w:hint="eastAsia" w:cs="宋体"/>
          <w:color w:val="000000"/>
          <w:sz w:val="24"/>
          <w:szCs w:val="24"/>
          <w:highlight w:val="none"/>
        </w:rPr>
      </w:pPr>
      <w:r>
        <w:rPr>
          <w:rFonts w:hint="eastAsia" w:cs="宋体"/>
          <w:color w:val="000000"/>
          <w:sz w:val="24"/>
          <w:szCs w:val="24"/>
          <w:highlight w:val="none"/>
          <w:lang w:eastAsia="zh-CN"/>
        </w:rPr>
        <w:t>本项目物料泄漏主要为贮存桶破损导致</w:t>
      </w:r>
      <w:r>
        <w:rPr>
          <w:rFonts w:hint="eastAsia" w:cs="宋体"/>
          <w:color w:val="000000"/>
          <w:sz w:val="24"/>
          <w:szCs w:val="24"/>
          <w:highlight w:val="none"/>
        </w:rPr>
        <w:t>。假定</w:t>
      </w:r>
      <w:r>
        <w:rPr>
          <w:rFonts w:hint="eastAsia" w:cs="宋体"/>
          <w:color w:val="000000"/>
          <w:sz w:val="24"/>
          <w:szCs w:val="24"/>
          <w:highlight w:val="none"/>
          <w:lang w:eastAsia="zh-CN"/>
        </w:rPr>
        <w:t>单个桶</w:t>
      </w:r>
      <w:r>
        <w:rPr>
          <w:rFonts w:hint="eastAsia" w:cs="宋体"/>
          <w:color w:val="000000"/>
          <w:sz w:val="24"/>
          <w:szCs w:val="24"/>
          <w:highlight w:val="none"/>
        </w:rPr>
        <w:t>发生泄漏后，操作人员在</w:t>
      </w:r>
      <w:r>
        <w:rPr>
          <w:rFonts w:hint="eastAsia" w:cs="宋体"/>
          <w:color w:val="000000"/>
          <w:sz w:val="24"/>
          <w:szCs w:val="24"/>
          <w:highlight w:val="none"/>
          <w:lang w:val="en-US" w:eastAsia="zh-CN"/>
        </w:rPr>
        <w:t>30</w:t>
      </w:r>
      <w:r>
        <w:rPr>
          <w:rFonts w:hint="eastAsia" w:cs="宋体"/>
          <w:color w:val="000000"/>
          <w:sz w:val="24"/>
          <w:szCs w:val="24"/>
          <w:highlight w:val="none"/>
        </w:rPr>
        <w:t>min内使泄漏得到制止。</w:t>
      </w:r>
    </w:p>
    <w:p w14:paraId="7577FE02">
      <w:pPr>
        <w:spacing w:line="360" w:lineRule="auto"/>
        <w:ind w:firstLine="482"/>
        <w:rPr>
          <w:rFonts w:hint="eastAsia" w:cs="宋体"/>
          <w:color w:val="000000"/>
          <w:sz w:val="24"/>
          <w:szCs w:val="24"/>
          <w:highlight w:val="none"/>
        </w:rPr>
      </w:pPr>
      <w:r>
        <w:rPr>
          <w:rFonts w:hint="eastAsia" w:cs="宋体"/>
          <w:color w:val="000000"/>
          <w:sz w:val="24"/>
          <w:szCs w:val="24"/>
          <w:highlight w:val="none"/>
        </w:rPr>
        <w:t>液体泄漏量计算模型采用流体力学的柏努利（Bernoulli）方程计算。</w:t>
      </w:r>
    </w:p>
    <w:p w14:paraId="4B68D955">
      <w:pPr>
        <w:spacing w:line="360" w:lineRule="auto"/>
        <w:ind w:firstLine="482"/>
        <w:rPr>
          <w:rFonts w:hint="eastAsia" w:cs="宋体"/>
          <w:color w:val="000000"/>
          <w:sz w:val="24"/>
          <w:szCs w:val="24"/>
          <w:highlight w:val="none"/>
        </w:rPr>
      </w:pPr>
      <w:r>
        <w:rPr>
          <w:color w:val="000000"/>
          <w:position w:val="-30"/>
          <w:sz w:val="24"/>
          <w:szCs w:val="24"/>
          <w:highlight w:val="none"/>
        </w:rPr>
        <w:object>
          <v:shape id="_x0000_i1027" o:spt="75" type="#_x0000_t75" style="height:36.75pt;width:147.3pt;" o:ole="t" filled="f" o:preferrelative="t" stroked="f" coordsize="21600,21600">
            <v:path/>
            <v:fill on="f" alignshape="1" focussize="0,0"/>
            <v:stroke on="f"/>
            <v:imagedata r:id="rId45" o:title=""/>
            <o:lock v:ext="edit" aspectratio="t"/>
            <w10:wrap type="none"/>
            <w10:anchorlock/>
          </v:shape>
          <o:OLEObject Type="Embed" ProgID="Equation.3" ShapeID="_x0000_i1027" DrawAspect="Content" ObjectID="_1468075727" r:id="rId44">
            <o:LockedField>false</o:LockedField>
          </o:OLEObject>
        </w:object>
      </w:r>
      <w:r>
        <w:rPr>
          <w:rFonts w:hint="eastAsia" w:cs="宋体"/>
          <w:color w:val="000000"/>
          <w:sz w:val="24"/>
          <w:szCs w:val="24"/>
          <w:highlight w:val="none"/>
        </w:rPr>
        <w:t xml:space="preserve">             </w:t>
      </w:r>
    </w:p>
    <w:p w14:paraId="67C3B330">
      <w:pPr>
        <w:spacing w:line="360" w:lineRule="auto"/>
        <w:ind w:firstLine="482"/>
        <w:rPr>
          <w:rFonts w:hint="eastAsia" w:cs="宋体"/>
          <w:color w:val="000000"/>
          <w:sz w:val="24"/>
          <w:szCs w:val="24"/>
          <w:highlight w:val="none"/>
        </w:rPr>
      </w:pPr>
      <w:r>
        <w:rPr>
          <w:rFonts w:hint="eastAsia" w:cs="宋体"/>
          <w:color w:val="000000"/>
          <w:sz w:val="24"/>
          <w:szCs w:val="24"/>
          <w:highlight w:val="none"/>
        </w:rPr>
        <w:t>式中：QL——液体泄漏速度，kg/s；</w:t>
      </w:r>
    </w:p>
    <w:p w14:paraId="118C2483">
      <w:pPr>
        <w:spacing w:line="360" w:lineRule="auto"/>
        <w:ind w:firstLine="482"/>
        <w:rPr>
          <w:rFonts w:hint="eastAsia" w:cs="宋体"/>
          <w:color w:val="000000"/>
          <w:sz w:val="24"/>
          <w:szCs w:val="24"/>
          <w:highlight w:val="none"/>
        </w:rPr>
      </w:pPr>
      <w:r>
        <w:rPr>
          <w:rFonts w:hint="eastAsia" w:cs="宋体"/>
          <w:color w:val="000000"/>
          <w:sz w:val="24"/>
          <w:szCs w:val="24"/>
          <w:highlight w:val="none"/>
        </w:rPr>
        <w:t>Cd——液体泄漏系数，取值0.65（裂口形状圆形）；</w:t>
      </w:r>
    </w:p>
    <w:p w14:paraId="4520D84C">
      <w:pPr>
        <w:spacing w:line="360" w:lineRule="auto"/>
        <w:ind w:firstLine="482"/>
        <w:rPr>
          <w:rFonts w:hint="eastAsia" w:cs="宋体"/>
          <w:color w:val="000000"/>
          <w:sz w:val="24"/>
          <w:szCs w:val="24"/>
          <w:highlight w:val="none"/>
        </w:rPr>
      </w:pPr>
      <w:r>
        <w:rPr>
          <w:rFonts w:hint="eastAsia" w:cs="宋体"/>
          <w:color w:val="000000"/>
          <w:sz w:val="24"/>
          <w:szCs w:val="24"/>
          <w:highlight w:val="none"/>
        </w:rPr>
        <w:t>A——泄漏口面积，m</w:t>
      </w:r>
      <w:r>
        <w:rPr>
          <w:rFonts w:hint="eastAsia" w:cs="宋体"/>
          <w:color w:val="000000"/>
          <w:sz w:val="24"/>
          <w:szCs w:val="24"/>
          <w:highlight w:val="none"/>
          <w:vertAlign w:val="superscript"/>
        </w:rPr>
        <w:t>2</w:t>
      </w:r>
      <w:r>
        <w:rPr>
          <w:rFonts w:hint="eastAsia" w:cs="宋体"/>
          <w:color w:val="000000"/>
          <w:sz w:val="24"/>
          <w:szCs w:val="24"/>
          <w:highlight w:val="none"/>
        </w:rPr>
        <w:t>；假设为圆形，直径100mm（大型事故典型值）；</w:t>
      </w:r>
    </w:p>
    <w:p w14:paraId="3EBD0314">
      <w:pPr>
        <w:spacing w:line="360" w:lineRule="auto"/>
        <w:ind w:firstLine="482"/>
        <w:rPr>
          <w:rFonts w:hint="eastAsia" w:ascii="Times New Roman" w:hAnsi="Times New Roman" w:cs="宋体"/>
          <w:color w:val="000000"/>
          <w:sz w:val="24"/>
          <w:szCs w:val="24"/>
          <w:highlight w:val="none"/>
        </w:rPr>
      </w:pPr>
      <w:r>
        <w:rPr>
          <w:rFonts w:hint="eastAsia" w:cs="宋体"/>
          <w:color w:val="000000"/>
          <w:sz w:val="24"/>
          <w:szCs w:val="24"/>
          <w:highlight w:val="none"/>
        </w:rPr>
        <w:t>ρ——</w:t>
      </w:r>
      <w:r>
        <w:rPr>
          <w:rFonts w:hint="eastAsia" w:cs="宋体"/>
          <w:color w:val="000000"/>
          <w:sz w:val="24"/>
          <w:szCs w:val="24"/>
          <w:highlight w:val="none"/>
          <w:lang w:eastAsia="zh-CN"/>
        </w:rPr>
        <w:t>甲基磺酸</w:t>
      </w:r>
      <w:r>
        <w:rPr>
          <w:rFonts w:hint="eastAsia" w:cs="宋体"/>
          <w:color w:val="000000"/>
          <w:sz w:val="24"/>
          <w:szCs w:val="24"/>
          <w:highlight w:val="none"/>
        </w:rPr>
        <w:t>密度，kg/m3，</w:t>
      </w:r>
      <w:r>
        <w:rPr>
          <w:rFonts w:hint="eastAsia" w:ascii="Times New Roman" w:hAnsi="Times New Roman" w:cs="宋体"/>
          <w:color w:val="000000"/>
          <w:sz w:val="24"/>
          <w:szCs w:val="24"/>
          <w:highlight w:val="none"/>
        </w:rPr>
        <w:t>取值</w:t>
      </w:r>
      <w:r>
        <w:rPr>
          <w:rFonts w:hint="eastAsia" w:ascii="Times New Roman" w:hAnsi="Times New Roman" w:cs="宋体"/>
          <w:color w:val="000000"/>
          <w:sz w:val="24"/>
          <w:szCs w:val="24"/>
          <w:highlight w:val="none"/>
          <w:lang w:val="en-US" w:eastAsia="zh-CN"/>
        </w:rPr>
        <w:t>1.48</w:t>
      </w:r>
      <w:r>
        <w:rPr>
          <w:rFonts w:hint="eastAsia" w:ascii="Times New Roman" w:hAnsi="Times New Roman" w:cs="宋体"/>
          <w:color w:val="000000"/>
          <w:sz w:val="24"/>
          <w:szCs w:val="24"/>
          <w:highlight w:val="none"/>
        </w:rPr>
        <w:t xml:space="preserve">； </w:t>
      </w:r>
    </w:p>
    <w:p w14:paraId="5693197B">
      <w:pPr>
        <w:spacing w:line="360" w:lineRule="auto"/>
        <w:ind w:firstLine="482"/>
        <w:rPr>
          <w:rFonts w:hint="eastAsia" w:cs="宋体"/>
          <w:color w:val="000000"/>
          <w:sz w:val="24"/>
          <w:szCs w:val="24"/>
          <w:highlight w:val="none"/>
        </w:rPr>
      </w:pPr>
      <w:r>
        <w:rPr>
          <w:rFonts w:hint="eastAsia" w:cs="宋体"/>
          <w:color w:val="000000"/>
          <w:sz w:val="24"/>
          <w:szCs w:val="24"/>
          <w:highlight w:val="none"/>
        </w:rPr>
        <w:t>P——</w:t>
      </w:r>
      <w:r>
        <w:rPr>
          <w:rFonts w:hint="eastAsia" w:cs="宋体"/>
          <w:color w:val="000000"/>
          <w:sz w:val="24"/>
          <w:szCs w:val="24"/>
          <w:highlight w:val="none"/>
          <w:lang w:eastAsia="zh-CN"/>
        </w:rPr>
        <w:t>甲基磺酸桶</w:t>
      </w:r>
      <w:r>
        <w:rPr>
          <w:rFonts w:hint="eastAsia" w:cs="宋体"/>
          <w:color w:val="000000"/>
          <w:sz w:val="24"/>
          <w:szCs w:val="24"/>
          <w:highlight w:val="none"/>
        </w:rPr>
        <w:t>内压力，取值1.01×10</w:t>
      </w:r>
      <w:r>
        <w:rPr>
          <w:rFonts w:hint="eastAsia" w:cs="宋体"/>
          <w:color w:val="000000"/>
          <w:sz w:val="24"/>
          <w:szCs w:val="24"/>
          <w:highlight w:val="none"/>
          <w:vertAlign w:val="superscript"/>
        </w:rPr>
        <w:t>5</w:t>
      </w:r>
      <w:r>
        <w:rPr>
          <w:rFonts w:hint="eastAsia" w:cs="宋体"/>
          <w:color w:val="000000"/>
          <w:sz w:val="24"/>
          <w:szCs w:val="24"/>
          <w:highlight w:val="none"/>
        </w:rPr>
        <w:t>Pa；</w:t>
      </w:r>
    </w:p>
    <w:p w14:paraId="6843C069">
      <w:pPr>
        <w:spacing w:line="360" w:lineRule="auto"/>
        <w:ind w:firstLine="482"/>
        <w:rPr>
          <w:rFonts w:hint="eastAsia" w:cs="宋体"/>
          <w:color w:val="000000"/>
          <w:sz w:val="24"/>
          <w:szCs w:val="24"/>
          <w:highlight w:val="none"/>
        </w:rPr>
      </w:pPr>
      <w:r>
        <w:rPr>
          <w:rFonts w:hint="eastAsia" w:cs="宋体"/>
          <w:color w:val="000000"/>
          <w:sz w:val="24"/>
          <w:szCs w:val="24"/>
          <w:highlight w:val="none"/>
        </w:rPr>
        <w:t>P</w:t>
      </w:r>
      <w:r>
        <w:rPr>
          <w:rFonts w:hint="eastAsia" w:cs="宋体"/>
          <w:color w:val="000000"/>
          <w:sz w:val="24"/>
          <w:szCs w:val="24"/>
          <w:highlight w:val="none"/>
          <w:vertAlign w:val="subscript"/>
        </w:rPr>
        <w:t>0</w:t>
      </w:r>
      <w:r>
        <w:rPr>
          <w:rFonts w:hint="eastAsia" w:cs="宋体"/>
          <w:color w:val="000000"/>
          <w:sz w:val="24"/>
          <w:szCs w:val="24"/>
          <w:highlight w:val="none"/>
        </w:rPr>
        <w:t>——环境压力，1.01×10</w:t>
      </w:r>
      <w:r>
        <w:rPr>
          <w:rFonts w:hint="eastAsia" w:cs="宋体"/>
          <w:color w:val="000000"/>
          <w:sz w:val="24"/>
          <w:szCs w:val="24"/>
          <w:highlight w:val="none"/>
          <w:vertAlign w:val="superscript"/>
        </w:rPr>
        <w:t>5</w:t>
      </w:r>
      <w:r>
        <w:rPr>
          <w:rFonts w:hint="eastAsia" w:cs="宋体"/>
          <w:color w:val="000000"/>
          <w:sz w:val="24"/>
          <w:szCs w:val="24"/>
          <w:highlight w:val="none"/>
        </w:rPr>
        <w:t>Pa；</w:t>
      </w:r>
    </w:p>
    <w:p w14:paraId="39CCFCA2">
      <w:pPr>
        <w:spacing w:line="360" w:lineRule="auto"/>
        <w:ind w:firstLine="482"/>
        <w:rPr>
          <w:rFonts w:hint="eastAsia" w:cs="宋体"/>
          <w:color w:val="000000"/>
          <w:sz w:val="24"/>
          <w:szCs w:val="24"/>
          <w:highlight w:val="none"/>
        </w:rPr>
      </w:pPr>
      <w:r>
        <w:rPr>
          <w:rFonts w:hint="eastAsia" w:cs="宋体"/>
          <w:color w:val="000000"/>
          <w:sz w:val="24"/>
          <w:szCs w:val="24"/>
          <w:highlight w:val="none"/>
        </w:rPr>
        <w:t>g——重力加速度，取值9.8m/s；</w:t>
      </w:r>
    </w:p>
    <w:p w14:paraId="6519C14C">
      <w:pPr>
        <w:spacing w:line="360" w:lineRule="auto"/>
        <w:ind w:firstLine="482"/>
        <w:rPr>
          <w:rFonts w:hint="eastAsia" w:cs="宋体"/>
          <w:color w:val="000000"/>
          <w:sz w:val="24"/>
          <w:szCs w:val="24"/>
          <w:highlight w:val="none"/>
        </w:rPr>
      </w:pPr>
      <w:r>
        <w:rPr>
          <w:rFonts w:hint="eastAsia" w:cs="宋体"/>
          <w:color w:val="000000"/>
          <w:sz w:val="24"/>
          <w:szCs w:val="24"/>
          <w:highlight w:val="none"/>
        </w:rPr>
        <w:t>h——泄漏口上液位高度，取值</w:t>
      </w:r>
      <w:r>
        <w:rPr>
          <w:rFonts w:hint="eastAsia" w:cs="宋体"/>
          <w:color w:val="000000"/>
          <w:sz w:val="24"/>
          <w:szCs w:val="24"/>
          <w:highlight w:val="none"/>
          <w:lang w:val="en-US" w:eastAsia="zh-CN"/>
        </w:rPr>
        <w:t>0.5</w:t>
      </w:r>
      <w:r>
        <w:rPr>
          <w:rFonts w:hint="eastAsia" w:cs="宋体"/>
          <w:color w:val="000000"/>
          <w:sz w:val="24"/>
          <w:szCs w:val="24"/>
          <w:highlight w:val="none"/>
        </w:rPr>
        <w:t>m。</w:t>
      </w:r>
    </w:p>
    <w:p w14:paraId="3203CA1B">
      <w:pPr>
        <w:bidi w:val="0"/>
        <w:rPr>
          <w:rFonts w:hint="eastAsia"/>
        </w:rPr>
      </w:pPr>
      <w:r>
        <w:rPr>
          <w:rFonts w:hint="eastAsia"/>
        </w:rPr>
        <w:t>由上式计算可得：</w:t>
      </w:r>
      <w:r>
        <w:rPr>
          <w:rFonts w:hint="eastAsia"/>
          <w:lang w:eastAsia="zh-CN"/>
        </w:rPr>
        <w:t>桶装</w:t>
      </w:r>
      <w:r>
        <w:rPr>
          <w:rFonts w:hint="eastAsia"/>
        </w:rPr>
        <w:t>物料的泄漏速率为</w:t>
      </w:r>
      <w:r>
        <w:rPr>
          <w:rFonts w:hint="eastAsia"/>
          <w:lang w:val="en-US" w:eastAsia="zh-CN"/>
        </w:rPr>
        <w:t>0.3</w:t>
      </w:r>
      <w:r>
        <w:rPr>
          <w:rFonts w:hint="eastAsia"/>
        </w:rPr>
        <w:t>kg/s</w:t>
      </w:r>
      <w:r>
        <w:rPr>
          <w:rFonts w:hint="eastAsia"/>
          <w:lang w:eastAsia="zh-CN"/>
        </w:rPr>
        <w:t>，最大泄漏量为</w:t>
      </w:r>
      <w:r>
        <w:rPr>
          <w:rFonts w:hint="eastAsia"/>
          <w:lang w:val="en-US" w:eastAsia="zh-CN"/>
        </w:rPr>
        <w:t>10kg（为单桶最大贮存量），持续时间为33.3s</w:t>
      </w:r>
      <w:r>
        <w:rPr>
          <w:rFonts w:hint="eastAsia"/>
        </w:rPr>
        <w:t>。</w:t>
      </w:r>
    </w:p>
    <w:p w14:paraId="3905F2BD">
      <w:pPr>
        <w:bidi w:val="0"/>
        <w:rPr>
          <w:rFonts w:hint="eastAsia"/>
          <w:lang w:eastAsia="zh-CN"/>
        </w:rPr>
      </w:pPr>
      <w:r>
        <w:rPr>
          <w:rFonts w:hint="eastAsia"/>
          <w:lang w:eastAsia="zh-CN"/>
        </w:rPr>
        <w:t>本项目环境风险物质为甲基磺酸，该物质不属于易燃易爆物质，火灾爆炸风险较低，且甲基磺酸为高沸点物质，挥发性较低，泄漏主要风险为对区域地下水、土壤造成污染。</w:t>
      </w:r>
    </w:p>
    <w:p w14:paraId="5673FCA1">
      <w:pPr>
        <w:bidi w:val="0"/>
      </w:pPr>
      <w:r>
        <w:rPr>
          <w:rFonts w:hint="eastAsia"/>
        </w:rPr>
        <w:t>企业厂区内排水实行</w:t>
      </w:r>
      <w:r>
        <w:t>“</w:t>
      </w:r>
      <w:r>
        <w:rPr>
          <w:rFonts w:hint="eastAsia"/>
        </w:rPr>
        <w:t>雨污</w:t>
      </w:r>
      <w:r>
        <w:t>分流”</w:t>
      </w:r>
      <w:r>
        <w:rPr>
          <w:rFonts w:hint="eastAsia"/>
        </w:rPr>
        <w:t>制</w:t>
      </w:r>
      <w:r>
        <w:t>，</w:t>
      </w:r>
      <w:r>
        <w:rPr>
          <w:rFonts w:hint="eastAsia"/>
          <w:lang w:eastAsia="zh-CN"/>
        </w:rPr>
        <w:t>企业生产废水及生活污水均不外排，</w:t>
      </w:r>
      <w:r>
        <w:rPr>
          <w:rFonts w:hint="eastAsia"/>
        </w:rPr>
        <w:t>企业雨排系统设有1个排水口，排水口设有切换阀门；切换阀门能够将雨排系统中的初期污染雨水及事故污染雨水截流至污水系统；雨排系统中的污水能够自流至污水系统，不需要设置机泵。</w:t>
      </w:r>
    </w:p>
    <w:p w14:paraId="17F27F75">
      <w:pPr>
        <w:bidi w:val="0"/>
        <w:rPr>
          <w:color w:val="000000"/>
          <w:szCs w:val="24"/>
          <w:highlight w:val="none"/>
        </w:rPr>
      </w:pPr>
      <w:r>
        <w:t>建设单位拟在厂区标高较低处修建事故水收集池</w:t>
      </w:r>
      <w:r>
        <w:rPr>
          <w:rFonts w:hint="eastAsia"/>
        </w:rPr>
        <w:t>，</w:t>
      </w:r>
      <w:r>
        <w:t>以收集事故排污水和初期雨水。事故发生时</w:t>
      </w:r>
      <w:r>
        <w:rPr>
          <w:color w:val="000000"/>
          <w:szCs w:val="24"/>
          <w:highlight w:val="none"/>
        </w:rPr>
        <w:t>，建设单位应在第一时间切断清水管网，并严格按照三级防控系统处理废水，确保事故排污水在处理达标前不出厂。</w:t>
      </w:r>
    </w:p>
    <w:p w14:paraId="469C64EC">
      <w:pPr>
        <w:pStyle w:val="3"/>
        <w:bidi w:val="0"/>
      </w:pPr>
      <w:bookmarkStart w:id="456" w:name="_Toc14981"/>
      <w:r>
        <w:rPr>
          <w:rFonts w:hint="eastAsia"/>
          <w:lang w:val="en-US" w:eastAsia="zh-CN"/>
        </w:rPr>
        <w:t>8</w:t>
      </w:r>
      <w:r>
        <w:t>.4环境风险分析</w:t>
      </w:r>
      <w:bookmarkEnd w:id="456"/>
    </w:p>
    <w:bookmarkEnd w:id="416"/>
    <w:bookmarkEnd w:id="417"/>
    <w:bookmarkEnd w:id="418"/>
    <w:bookmarkEnd w:id="422"/>
    <w:bookmarkEnd w:id="423"/>
    <w:bookmarkEnd w:id="424"/>
    <w:p w14:paraId="41B4C7DE">
      <w:pPr>
        <w:bidi w:val="0"/>
        <w:rPr>
          <w:rFonts w:hint="eastAsia"/>
        </w:rPr>
      </w:pPr>
      <w:r>
        <w:rPr>
          <w:rFonts w:hint="eastAsia"/>
        </w:rPr>
        <w:t>本项目生产过程可能发生的环境风险事故</w:t>
      </w:r>
      <w:r>
        <w:rPr>
          <w:rFonts w:hint="eastAsia"/>
          <w:lang w:eastAsia="zh-CN"/>
        </w:rPr>
        <w:t>主要为</w:t>
      </w:r>
      <w:r>
        <w:rPr>
          <w:rFonts w:hint="eastAsia"/>
        </w:rPr>
        <w:t>镀槽破裂和废水集排设施破损</w:t>
      </w:r>
    </w:p>
    <w:p w14:paraId="320C00CD">
      <w:pPr>
        <w:bidi w:val="0"/>
        <w:rPr>
          <w:rFonts w:hint="eastAsia"/>
        </w:rPr>
      </w:pPr>
      <w:r>
        <w:rPr>
          <w:rFonts w:hint="eastAsia"/>
        </w:rPr>
        <w:t>本项目生产过程中如果发生镀槽破裂或者废水集排设施破损，将会发生泄漏事故。泄漏的槽液和废水如果不能得到及时处理或者处理不当，槽液和废水中的重金属</w:t>
      </w:r>
      <w:r>
        <w:rPr>
          <w:rFonts w:hint="eastAsia"/>
          <w:lang w:eastAsia="zh-CN"/>
        </w:rPr>
        <w:t>锡</w:t>
      </w:r>
      <w:r>
        <w:rPr>
          <w:rFonts w:hint="eastAsia"/>
        </w:rPr>
        <w:t>将会对项目周围地表水、地下水环境和土壤环境造成污染。泄漏等事故产生的短时超量污染物特别是含</w:t>
      </w:r>
      <w:r>
        <w:rPr>
          <w:rFonts w:hint="eastAsia"/>
          <w:lang w:eastAsia="zh-CN"/>
        </w:rPr>
        <w:t>锡</w:t>
      </w:r>
      <w:r>
        <w:rPr>
          <w:rFonts w:hint="eastAsia"/>
        </w:rPr>
        <w:t>金属污染物的排放对项目周围地表水、地下水环境和土壤环境要素的影响；</w:t>
      </w:r>
    </w:p>
    <w:p w14:paraId="5A64C12F">
      <w:pPr>
        <w:pStyle w:val="3"/>
        <w:bidi w:val="0"/>
        <w:rPr>
          <w:rFonts w:hint="eastAsia"/>
          <w:lang w:eastAsia="zh-CN"/>
        </w:rPr>
      </w:pPr>
      <w:bookmarkStart w:id="457" w:name="_Toc9934"/>
      <w:r>
        <w:rPr>
          <w:rFonts w:hint="eastAsia"/>
          <w:lang w:val="en-US" w:eastAsia="zh-CN"/>
        </w:rPr>
        <w:t>8</w:t>
      </w:r>
      <w:r>
        <w:t>.5环境风险</w:t>
      </w:r>
      <w:r>
        <w:rPr>
          <w:rFonts w:hint="eastAsia"/>
          <w:lang w:eastAsia="zh-CN"/>
        </w:rPr>
        <w:t>管理及应急处置措施</w:t>
      </w:r>
      <w:bookmarkEnd w:id="457"/>
    </w:p>
    <w:p w14:paraId="37E37810">
      <w:pPr>
        <w:pStyle w:val="5"/>
        <w:bidi w:val="0"/>
        <w:rPr>
          <w:rFonts w:hint="eastAsia"/>
          <w:lang w:val="en-US" w:eastAsia="zh-CN"/>
        </w:rPr>
      </w:pPr>
      <w:r>
        <w:rPr>
          <w:rFonts w:hint="eastAsia"/>
          <w:lang w:val="en-US" w:eastAsia="zh-CN"/>
        </w:rPr>
        <w:t>8.5.1环境风险管理措施</w:t>
      </w:r>
    </w:p>
    <w:p w14:paraId="5B976DE2">
      <w:pPr>
        <w:bidi w:val="0"/>
        <w:rPr>
          <w:rFonts w:hint="default"/>
          <w:lang w:val="en-US" w:eastAsia="zh-CN"/>
        </w:rPr>
      </w:pPr>
      <w:r>
        <w:rPr>
          <w:rFonts w:hint="default"/>
          <w:lang w:val="en-US" w:eastAsia="zh-CN"/>
        </w:rPr>
        <w:t>项目一旦出现环境风险事故，将会对一定范围内的人员和环境产生较为严重的影响。在生产中安全管理问题是十分重要的。</w:t>
      </w:r>
    </w:p>
    <w:p w14:paraId="1E754421">
      <w:pPr>
        <w:bidi w:val="0"/>
        <w:rPr>
          <w:rFonts w:hint="default"/>
          <w:lang w:val="en-US" w:eastAsia="zh-CN"/>
        </w:rPr>
      </w:pPr>
      <w:r>
        <w:rPr>
          <w:rFonts w:hint="default"/>
          <w:lang w:val="en-US" w:eastAsia="zh-CN"/>
        </w:rPr>
        <w:t>（1）强化管理是防范风险事故最有效途径。从发生事故原因来看，事故的发生多为违反操作规程，疏于管理所致。因此本项目建设及生产运行过程中，必须加强对全体职工的安全和技术的定期培训，在项目进行的各个环节均采取有效的安全监控措施，使出现事故的概率降至最低。</w:t>
      </w:r>
    </w:p>
    <w:p w14:paraId="30658391">
      <w:pPr>
        <w:bidi w:val="0"/>
        <w:rPr>
          <w:rFonts w:hint="default"/>
          <w:lang w:val="en-US" w:eastAsia="zh-CN"/>
        </w:rPr>
      </w:pPr>
      <w:r>
        <w:rPr>
          <w:rFonts w:hint="default"/>
          <w:lang w:val="en-US" w:eastAsia="zh-CN"/>
        </w:rPr>
        <w:t>（2）本项目应建全一套事故风险应急管理组织机构，制定安全规程、事故防范措施及应急预案。管理人员应职责、权限分明，清楚生产工艺技术和事故风险发生后果，具备解除事故和减缓事故的能力。</w:t>
      </w:r>
    </w:p>
    <w:p w14:paraId="3E2C47B7">
      <w:pPr>
        <w:bidi w:val="0"/>
        <w:rPr>
          <w:rFonts w:hint="default"/>
          <w:lang w:val="en-US" w:eastAsia="zh-CN"/>
        </w:rPr>
      </w:pPr>
      <w:r>
        <w:rPr>
          <w:rFonts w:hint="default"/>
          <w:lang w:val="en-US" w:eastAsia="zh-CN"/>
        </w:rPr>
        <w:t>（3）定期对项目的生产、环保等设备装置进行维护保养。生产过程中发现不安全因素应及时处理。各项应急处理器材与设施应按要求定期更新，应急设备应处于完好正常状态。</w:t>
      </w:r>
    </w:p>
    <w:p w14:paraId="3D0A0C54">
      <w:pPr>
        <w:bidi w:val="0"/>
        <w:rPr>
          <w:rFonts w:hint="default"/>
          <w:lang w:val="en-US" w:eastAsia="zh-CN"/>
        </w:rPr>
      </w:pPr>
      <w:r>
        <w:rPr>
          <w:rFonts w:hint="default"/>
          <w:lang w:val="en-US" w:eastAsia="zh-CN"/>
        </w:rPr>
        <w:t>（4）若发生突发事故，应视具体情况及时向环保、公安、消防等部门报告或报警，请有关部门（消防队，急救中心，环保监测站等）前来救援、救护和监测。事故如可能波及周围环境时，应及时通知影响区域的群众撤离到安全地带或采取有效的保护措施，使事故的危害和影响降到最低限度。</w:t>
      </w:r>
    </w:p>
    <w:p w14:paraId="2B622F1E">
      <w:pPr>
        <w:bidi w:val="0"/>
        <w:rPr>
          <w:rFonts w:hint="default"/>
          <w:lang w:val="en-US" w:eastAsia="zh-CN"/>
        </w:rPr>
      </w:pPr>
      <w:r>
        <w:rPr>
          <w:rFonts w:hint="default"/>
          <w:lang w:val="en-US" w:eastAsia="zh-CN"/>
        </w:rPr>
        <w:t>（5）事故处置结束后，要对事故的原因进行总结分析，并对今后杜绝此类事故提出切实可行的措施和方法。</w:t>
      </w:r>
    </w:p>
    <w:p w14:paraId="76DEEBCF">
      <w:pPr>
        <w:pStyle w:val="5"/>
        <w:bidi w:val="0"/>
        <w:rPr>
          <w:rFonts w:hint="default"/>
          <w:lang w:val="en-US" w:eastAsia="zh-CN"/>
        </w:rPr>
      </w:pPr>
      <w:r>
        <w:rPr>
          <w:rFonts w:hint="eastAsia"/>
          <w:lang w:val="en-US" w:eastAsia="zh-CN"/>
        </w:rPr>
        <w:t>8.5.2事故应急处置措施</w:t>
      </w:r>
    </w:p>
    <w:p w14:paraId="5247D5D5">
      <w:pPr>
        <w:pStyle w:val="6"/>
        <w:bidi w:val="0"/>
        <w:rPr>
          <w:rFonts w:hint="default"/>
          <w:lang w:val="en-US" w:eastAsia="zh-CN"/>
        </w:rPr>
      </w:pPr>
      <w:r>
        <w:rPr>
          <w:rFonts w:hint="eastAsia"/>
          <w:lang w:val="en-US" w:eastAsia="zh-CN"/>
        </w:rPr>
        <w:t>8.5.2.1物料泄漏应急处置措施</w:t>
      </w:r>
    </w:p>
    <w:p w14:paraId="46C65C05">
      <w:pPr>
        <w:bidi w:val="0"/>
        <w:rPr>
          <w:rFonts w:hint="default"/>
          <w:lang w:val="en-US" w:eastAsia="zh-CN"/>
        </w:rPr>
      </w:pPr>
      <w:r>
        <w:rPr>
          <w:rFonts w:hint="default"/>
          <w:lang w:val="en-US" w:eastAsia="zh-CN"/>
        </w:rPr>
        <w:t>一旦发生物料泄漏特别是有毒有害液体物料泄漏，必须采取及时的应急处理措施。根据本项目特点，泄漏物料主要为酸碱性腐蚀液体，具体应急处置时应注意并做好以下事项：</w:t>
      </w:r>
    </w:p>
    <w:p w14:paraId="6D3F1766">
      <w:pPr>
        <w:bidi w:val="0"/>
        <w:rPr>
          <w:rFonts w:hint="default"/>
          <w:lang w:val="en-US" w:eastAsia="zh-CN"/>
        </w:rPr>
      </w:pPr>
      <w:r>
        <w:rPr>
          <w:rFonts w:hint="default"/>
          <w:lang w:val="en-US" w:eastAsia="zh-CN"/>
        </w:rPr>
        <w:t>1、泄漏处理注意事项：</w:t>
      </w:r>
    </w:p>
    <w:p w14:paraId="4F4D5039">
      <w:pPr>
        <w:bidi w:val="0"/>
        <w:rPr>
          <w:rFonts w:hint="default"/>
          <w:lang w:val="en-US" w:eastAsia="zh-CN"/>
        </w:rPr>
      </w:pPr>
      <w:r>
        <w:rPr>
          <w:rFonts w:hint="eastAsia"/>
          <w:lang w:val="en-US" w:eastAsia="zh-CN"/>
        </w:rPr>
        <w:t>（1）一旦</w:t>
      </w:r>
      <w:r>
        <w:rPr>
          <w:rFonts w:hint="default"/>
          <w:lang w:val="en-US" w:eastAsia="zh-CN"/>
        </w:rPr>
        <w:t>发现物料泄漏，应立即向车间负责人汇报，并根据泄漏事故的具体情况决定采取的治理措施；</w:t>
      </w:r>
    </w:p>
    <w:p w14:paraId="271C3EDC">
      <w:pPr>
        <w:bidi w:val="0"/>
        <w:rPr>
          <w:rFonts w:hint="default"/>
          <w:lang w:val="en-US" w:eastAsia="zh-CN"/>
        </w:rPr>
      </w:pPr>
      <w:r>
        <w:rPr>
          <w:rFonts w:hint="eastAsia"/>
          <w:lang w:val="en-US" w:eastAsia="zh-CN"/>
        </w:rPr>
        <w:t>（2）</w:t>
      </w:r>
      <w:r>
        <w:rPr>
          <w:rFonts w:hint="default"/>
          <w:lang w:val="en-US" w:eastAsia="zh-CN"/>
        </w:rPr>
        <w:t>若发生比较大的泄漏事故，应立即停止生产，切断车间电源，并疏散车间人员，同时隔离泄漏污染区，设置标示牌和警戒线，并向企业管理部门和政府相关职能部门报告；</w:t>
      </w:r>
    </w:p>
    <w:p w14:paraId="3AAFAC8C">
      <w:pPr>
        <w:bidi w:val="0"/>
        <w:rPr>
          <w:rFonts w:hint="default"/>
          <w:lang w:val="en-US" w:eastAsia="zh-CN"/>
        </w:rPr>
      </w:pPr>
      <w:r>
        <w:rPr>
          <w:rFonts w:hint="eastAsia"/>
          <w:lang w:val="en-US" w:eastAsia="zh-CN"/>
        </w:rPr>
        <w:t>（3）</w:t>
      </w:r>
      <w:r>
        <w:rPr>
          <w:rFonts w:hint="default"/>
          <w:lang w:val="en-US" w:eastAsia="zh-CN"/>
        </w:rPr>
        <w:t>应急处理时严禁单独行动，要有监护人；</w:t>
      </w:r>
    </w:p>
    <w:p w14:paraId="6F8A9717">
      <w:pPr>
        <w:bidi w:val="0"/>
        <w:rPr>
          <w:rFonts w:hint="default"/>
          <w:lang w:val="en-US" w:eastAsia="zh-CN"/>
        </w:rPr>
      </w:pPr>
      <w:r>
        <w:rPr>
          <w:rFonts w:hint="eastAsia"/>
          <w:lang w:val="en-US" w:eastAsia="zh-CN"/>
        </w:rPr>
        <w:t>（4）</w:t>
      </w:r>
      <w:r>
        <w:rPr>
          <w:rFonts w:hint="default"/>
          <w:lang w:val="en-US" w:eastAsia="zh-CN"/>
        </w:rPr>
        <w:t>应从上风处接近现场，严禁盲目进入；</w:t>
      </w:r>
    </w:p>
    <w:p w14:paraId="265B0C29">
      <w:pPr>
        <w:bidi w:val="0"/>
        <w:rPr>
          <w:rFonts w:hint="default"/>
          <w:lang w:val="en-US" w:eastAsia="zh-CN"/>
        </w:rPr>
      </w:pPr>
      <w:r>
        <w:rPr>
          <w:rFonts w:hint="eastAsia"/>
          <w:lang w:val="en-US" w:eastAsia="zh-CN"/>
        </w:rPr>
        <w:t>（5）</w:t>
      </w:r>
      <w:r>
        <w:rPr>
          <w:rFonts w:hint="default"/>
          <w:lang w:val="en-US" w:eastAsia="zh-CN"/>
        </w:rPr>
        <w:t>处置时应穿戴专业防护装备，不可盲目处置；</w:t>
      </w:r>
    </w:p>
    <w:p w14:paraId="21432543">
      <w:pPr>
        <w:bidi w:val="0"/>
        <w:rPr>
          <w:rFonts w:hint="default"/>
          <w:lang w:val="en-US" w:eastAsia="zh-CN"/>
        </w:rPr>
      </w:pPr>
      <w:r>
        <w:rPr>
          <w:rFonts w:hint="eastAsia"/>
          <w:lang w:val="en-US" w:eastAsia="zh-CN"/>
        </w:rPr>
        <w:t>（6）</w:t>
      </w:r>
      <w:r>
        <w:rPr>
          <w:rFonts w:hint="default"/>
          <w:lang w:val="en-US" w:eastAsia="zh-CN"/>
        </w:rPr>
        <w:t>必要时应请专业机构和人员对事故进行处置。</w:t>
      </w:r>
    </w:p>
    <w:p w14:paraId="3A96DDBB">
      <w:pPr>
        <w:bidi w:val="0"/>
        <w:rPr>
          <w:rFonts w:hint="default"/>
          <w:lang w:val="en-US" w:eastAsia="zh-CN"/>
        </w:rPr>
      </w:pPr>
      <w:r>
        <w:rPr>
          <w:rFonts w:hint="default"/>
          <w:lang w:val="en-US" w:eastAsia="zh-CN"/>
        </w:rPr>
        <w:t>2、泄漏事故控制</w:t>
      </w:r>
    </w:p>
    <w:p w14:paraId="7CEB2907">
      <w:pPr>
        <w:bidi w:val="0"/>
        <w:rPr>
          <w:rFonts w:hint="default"/>
          <w:lang w:val="en-US" w:eastAsia="zh-CN"/>
        </w:rPr>
      </w:pPr>
      <w:r>
        <w:rPr>
          <w:rFonts w:hint="default"/>
          <w:lang w:val="en-US" w:eastAsia="zh-CN"/>
        </w:rPr>
        <w:t>泄漏事故控制一般分为泄漏源控制和泄漏物处置两部分。首先，可通过控制化学品的溢出或泄漏来消除化学品的进一步扩散；然后，在泄漏被控制后，要及时将现场泄漏物进行覆盖、收容、稀释、处理使泄漏物得到安全可靠的处置，防止二次事故的发生，具体方法为：</w:t>
      </w:r>
    </w:p>
    <w:p w14:paraId="5A4C5FDF">
      <w:pPr>
        <w:bidi w:val="0"/>
        <w:rPr>
          <w:rFonts w:hint="default"/>
          <w:lang w:val="en-US" w:eastAsia="zh-CN"/>
        </w:rPr>
      </w:pPr>
      <w:r>
        <w:rPr>
          <w:rFonts w:hint="default"/>
          <w:lang w:val="en-US" w:eastAsia="zh-CN"/>
        </w:rPr>
        <w:t>企业应在电镀生产线周围设置围堰或导流沟，用以收集事故状态下的泄漏槽液。本项目计划在生产线周围设置导流沟和相应的泄漏液体集排设施，以确保发生槽体泄漏时泄漏液体能进入车间应急事故池。当镀槽等生产装置容器发生破损泄漏，应立即停止生产作业，关闭进料阀门等设施，并将槽内物料转移至旁边相同工艺的槽内或者备用槽内，然后对破损镀槽进行修补或更换。</w:t>
      </w:r>
    </w:p>
    <w:p w14:paraId="5E335E25">
      <w:pPr>
        <w:bidi w:val="0"/>
        <w:rPr>
          <w:rFonts w:hint="default"/>
          <w:lang w:val="en-US" w:eastAsia="zh-CN"/>
        </w:rPr>
      </w:pPr>
      <w:r>
        <w:rPr>
          <w:rFonts w:hint="default"/>
          <w:lang w:val="en-US" w:eastAsia="zh-CN"/>
        </w:rPr>
        <w:t>当发生管路系统泄漏时，应关闭阀门或系统，切断泄漏源，对管路破损处进行修理或更换失效损坏的部件。泄漏物料收容处置的原则主要为：对于大量液体泄漏，可选择用隔膜泵将泄漏出的物料抽入容器内或备用槽内；当泄漏量小时，可用沙子、吸附材料、中和材料等吸收中和，或者用固化法处理泄漏物。泄漏的物料应按危险废物的处置要求进行处置。剩余的少量物料用水冲洗，冲洗水收集后排入</w:t>
      </w:r>
      <w:r>
        <w:rPr>
          <w:rFonts w:hint="eastAsia"/>
          <w:lang w:val="en-US" w:eastAsia="zh-CN"/>
        </w:rPr>
        <w:t>应急废水储罐</w:t>
      </w:r>
      <w:r>
        <w:rPr>
          <w:rFonts w:hint="default"/>
          <w:lang w:val="en-US" w:eastAsia="zh-CN"/>
        </w:rPr>
        <w:t>。</w:t>
      </w:r>
    </w:p>
    <w:p w14:paraId="4EF89110">
      <w:pPr>
        <w:bidi w:val="0"/>
        <w:rPr>
          <w:rFonts w:hint="default"/>
          <w:lang w:val="en-US" w:eastAsia="zh-CN"/>
        </w:rPr>
      </w:pPr>
      <w:r>
        <w:rPr>
          <w:rFonts w:hint="default"/>
          <w:lang w:val="en-US" w:eastAsia="zh-CN"/>
        </w:rPr>
        <w:t>根据前述风险事故预测评价结果，物料泄漏事故时，挥发废气污染物对车间及车间外的人群健康均不会产明显不利影响，因此，不涉及到附近人群的紧急疏散问题，但当发生大量泄漏时，为安全起见，应将车间人员进行疏散。</w:t>
      </w:r>
    </w:p>
    <w:p w14:paraId="7232268F">
      <w:pPr>
        <w:pStyle w:val="6"/>
        <w:bidi w:val="0"/>
        <w:rPr>
          <w:rFonts w:hint="default"/>
          <w:lang w:val="en-US" w:eastAsia="zh-CN"/>
        </w:rPr>
      </w:pPr>
      <w:r>
        <w:rPr>
          <w:rFonts w:hint="eastAsia"/>
          <w:lang w:val="en-US" w:eastAsia="zh-CN"/>
        </w:rPr>
        <w:t>8.5.2.2工艺废气处理装置事故应急措施</w:t>
      </w:r>
    </w:p>
    <w:p w14:paraId="3CDAFEC6">
      <w:pPr>
        <w:rPr>
          <w:rFonts w:hint="default"/>
          <w:lang w:val="en-US" w:eastAsia="zh-CN"/>
        </w:rPr>
      </w:pPr>
      <w:r>
        <w:rPr>
          <w:rFonts w:hint="default"/>
          <w:lang w:val="en-US" w:eastAsia="zh-CN"/>
        </w:rPr>
        <w:t>本项目酸雾主要来自于电镀生产过程中，当工艺废气处理设备发生故障时，应立即停止生产，并对工艺废气处理设备进行抢修。本项目工艺废气处理设备不能正常运转时不应进行生产。</w:t>
      </w:r>
    </w:p>
    <w:p w14:paraId="5BD32664">
      <w:pPr>
        <w:pStyle w:val="6"/>
        <w:bidi w:val="0"/>
        <w:rPr>
          <w:rFonts w:hint="default"/>
          <w:lang w:val="en-US" w:eastAsia="zh-CN"/>
        </w:rPr>
      </w:pPr>
      <w:r>
        <w:rPr>
          <w:rFonts w:hint="eastAsia"/>
          <w:lang w:val="en-US" w:eastAsia="zh-CN"/>
        </w:rPr>
        <w:t>8.5.2.3其他环境风险防范和应急措施</w:t>
      </w:r>
    </w:p>
    <w:p w14:paraId="3B22ADBE">
      <w:pPr>
        <w:bidi w:val="0"/>
        <w:rPr>
          <w:rFonts w:hint="eastAsia"/>
          <w:lang w:val="en-US" w:eastAsia="zh-CN"/>
        </w:rPr>
      </w:pPr>
      <w:r>
        <w:rPr>
          <w:rFonts w:hint="default"/>
          <w:lang w:val="en-US" w:eastAsia="zh-CN"/>
        </w:rPr>
        <w:t>本项目生产车间危险化学品暂时存放处和废物暂时储存处地面及裙脚应按照重点防渗区进行防渗处理，危险化学品暂时存放处和废物暂时储存处周围应设置围堰或导流沟，以应对泄漏事故发生。此外，为尽可能避免和减少环境风险事故所引起的次生环境问题，本项目车间应尽可能减少化学品的储存量，生产过程产生的危险固废收集后应及时交</w:t>
      </w:r>
      <w:r>
        <w:rPr>
          <w:rFonts w:hint="eastAsia"/>
          <w:lang w:val="en-US" w:eastAsia="zh-CN"/>
        </w:rPr>
        <w:t>资质单位处置。</w:t>
      </w:r>
    </w:p>
    <w:p w14:paraId="2265E8E8">
      <w:pPr>
        <w:bidi w:val="0"/>
      </w:pPr>
      <w:r>
        <w:t>本项目</w:t>
      </w:r>
      <w:r>
        <w:rPr>
          <w:rFonts w:hint="eastAsia"/>
        </w:rPr>
        <w:t>厂区对事故排水</w:t>
      </w:r>
      <w:r>
        <w:t>采</w:t>
      </w:r>
      <w:r>
        <w:rPr>
          <w:rFonts w:hint="eastAsia"/>
        </w:rPr>
        <w:t>取</w:t>
      </w:r>
      <w:r>
        <w:t>三级防控措施：</w:t>
      </w:r>
    </w:p>
    <w:p w14:paraId="561F9418">
      <w:pPr>
        <w:bidi w:val="0"/>
      </w:pPr>
      <w:r>
        <w:t>（1）一级防控：在</w:t>
      </w:r>
      <w:r>
        <w:rPr>
          <w:rFonts w:hint="eastAsia"/>
          <w:lang w:eastAsia="zh-CN"/>
        </w:rPr>
        <w:t>物料贮存库、生产作业区</w:t>
      </w:r>
      <w:r>
        <w:t>周围建围堰、围堤作为一级预防与控制体系，防止污染雨水和轻微事故泄漏造成的环境污染。围堰、围堤的建设严格执行《储罐区防火堤设计规范》（GB50351-20</w:t>
      </w:r>
      <w:r>
        <w:rPr>
          <w:rFonts w:hint="eastAsia"/>
        </w:rPr>
        <w:t>14</w:t>
      </w:r>
      <w:r>
        <w:t>）中相关规定。</w:t>
      </w:r>
    </w:p>
    <w:p w14:paraId="1389E8D0">
      <w:pPr>
        <w:bidi w:val="0"/>
      </w:pPr>
      <w:r>
        <w:t>（2）二级防控：如</w:t>
      </w:r>
      <w:r>
        <w:rPr>
          <w:rFonts w:hint="eastAsia"/>
        </w:rPr>
        <w:t>围堰</w:t>
      </w:r>
      <w:r>
        <w:t>容积不够等原因控制失败，</w:t>
      </w:r>
      <w:r>
        <w:rPr>
          <w:rFonts w:hint="eastAsia"/>
        </w:rPr>
        <w:t>技术关闭厂区污水阀门、雨水阀门</w:t>
      </w:r>
      <w:r>
        <w:t>。确保不污染地表水体。</w:t>
      </w:r>
    </w:p>
    <w:p w14:paraId="617CB2EE">
      <w:pPr>
        <w:bidi w:val="0"/>
      </w:pPr>
      <w:r>
        <w:t>（3）三级防控：</w:t>
      </w:r>
      <w:r>
        <w:rPr>
          <w:rFonts w:hint="eastAsia"/>
        </w:rPr>
        <w:t>企业设置</w:t>
      </w:r>
      <w:r>
        <w:t>事故缓冲池。</w:t>
      </w:r>
    </w:p>
    <w:p w14:paraId="3F4044E0">
      <w:pPr>
        <w:bidi w:val="0"/>
      </w:pPr>
      <w:r>
        <w:t>本项目实施后三级防控系统将纳入公司三级废水防控体系中，一旦发生事故，立即启动废水三级防控措施。首先利用装置区、罐区围堰在一定程度上使污染雨水进入生产废水系统，不进入雨水系统；一旦消防废水、污染雨水进入了雨水系统，则关闭雨水口</w:t>
      </w:r>
      <w:r>
        <w:rPr>
          <w:rFonts w:hint="eastAsia"/>
        </w:rPr>
        <w:t>外排</w:t>
      </w:r>
      <w:r>
        <w:t>阀门，打开进入事故池阀门，使事故污水进入事故池存储，</w:t>
      </w:r>
      <w:r>
        <w:rPr>
          <w:rFonts w:hint="eastAsia"/>
        </w:rPr>
        <w:t>整个事故废水采用自流方案。</w:t>
      </w:r>
      <w:r>
        <w:t>待事故处理后将储存的事故废水限流排入污水处理厂，达标后排放。杜绝本项目事故废水直接进入地表水体。</w:t>
      </w:r>
    </w:p>
    <w:p w14:paraId="6AB32B6A">
      <w:pPr>
        <w:pStyle w:val="3"/>
        <w:keepNext/>
        <w:keepLines/>
        <w:pageBreakBefore w:val="0"/>
        <w:widowControl/>
        <w:kinsoku/>
        <w:wordWrap/>
        <w:overflowPunct/>
        <w:topLinePunct w:val="0"/>
        <w:autoSpaceDE/>
        <w:autoSpaceDN/>
        <w:bidi w:val="0"/>
        <w:adjustRightInd/>
        <w:snapToGrid/>
        <w:textAlignment w:val="auto"/>
        <w:rPr>
          <w:rFonts w:hint="default"/>
          <w:lang w:val="en-US" w:eastAsia="zh-CN"/>
        </w:rPr>
      </w:pPr>
      <w:bookmarkStart w:id="458" w:name="_Toc1270"/>
      <w:r>
        <w:rPr>
          <w:rFonts w:hint="eastAsia"/>
          <w:lang w:val="en-US" w:eastAsia="zh-CN"/>
        </w:rPr>
        <w:t>8.6事故应急预案</w:t>
      </w:r>
      <w:bookmarkEnd w:id="458"/>
    </w:p>
    <w:p w14:paraId="2021182F">
      <w:pPr>
        <w:pStyle w:val="5"/>
        <w:keepNext/>
        <w:keepLines/>
        <w:pageBreakBefore w:val="0"/>
        <w:widowControl/>
        <w:kinsoku/>
        <w:wordWrap/>
        <w:overflowPunct/>
        <w:topLinePunct w:val="0"/>
        <w:autoSpaceDE/>
        <w:autoSpaceDN/>
        <w:bidi w:val="0"/>
        <w:adjustRightInd/>
        <w:snapToGrid/>
        <w:spacing w:before="0" w:after="0"/>
        <w:textAlignment w:val="auto"/>
        <w:rPr>
          <w:rFonts w:hint="default"/>
          <w:lang w:val="en-US" w:eastAsia="zh-CN"/>
        </w:rPr>
      </w:pPr>
      <w:r>
        <w:rPr>
          <w:rFonts w:hint="eastAsia"/>
          <w:lang w:val="en-US" w:eastAsia="zh-CN"/>
        </w:rPr>
        <w:t>8.6.1应急预案基本要求</w:t>
      </w:r>
    </w:p>
    <w:p w14:paraId="5B65889E">
      <w:pPr>
        <w:rPr>
          <w:rFonts w:hint="default"/>
          <w:lang w:val="en-US" w:eastAsia="zh-CN"/>
        </w:rPr>
      </w:pPr>
      <w:r>
        <w:rPr>
          <w:rFonts w:hint="default"/>
          <w:lang w:val="en-US" w:eastAsia="zh-CN"/>
        </w:rPr>
        <w:t>风险事故应急预案的基本要求包括：科学性、实用性和权威性。风险事故的应急救援工作是一项科学性很强的工作，必须开展科学分析和论证，制定严密、统一、完整的应急预案；应急预案应符合项目的客观情况，具有实用、简单、易掌握等特性，便于实施；对事故处置过程中职责、权限、任务、工作标准、奖励与处罚等做出明确规定，使之成为企业的一项制度，确保其权威性。</w:t>
      </w:r>
    </w:p>
    <w:p w14:paraId="7A0610E9">
      <w:pPr>
        <w:pStyle w:val="5"/>
        <w:bidi w:val="0"/>
        <w:rPr>
          <w:rFonts w:hint="default"/>
          <w:lang w:val="en-US" w:eastAsia="zh-CN"/>
        </w:rPr>
      </w:pPr>
      <w:r>
        <w:rPr>
          <w:rFonts w:hint="eastAsia"/>
          <w:lang w:val="en-US" w:eastAsia="zh-CN"/>
        </w:rPr>
        <w:t>8.6.2风险事故处置措施</w:t>
      </w:r>
    </w:p>
    <w:p w14:paraId="5FA25A75">
      <w:pPr>
        <w:rPr>
          <w:rFonts w:hint="default"/>
          <w:lang w:val="en-US" w:eastAsia="zh-CN"/>
        </w:rPr>
      </w:pPr>
      <w:r>
        <w:rPr>
          <w:rFonts w:hint="default"/>
          <w:lang w:val="en-US" w:eastAsia="zh-CN"/>
        </w:rPr>
        <w:t>为了有效地处理风险事故，应有切实可行的处置措施。项目风险事故应急措施包括设备器材、事故现场指挥、救护及通讯等系统的建立、现场应急措施方案、事故危害监测队伍、现场撤离和善后措施方案等。</w:t>
      </w:r>
    </w:p>
    <w:p w14:paraId="4C560636">
      <w:pPr>
        <w:rPr>
          <w:rFonts w:hint="default"/>
          <w:lang w:val="en-US" w:eastAsia="zh-CN"/>
        </w:rPr>
      </w:pPr>
      <w:r>
        <w:rPr>
          <w:rFonts w:hint="eastAsia"/>
          <w:lang w:val="en-US" w:eastAsia="zh-CN"/>
        </w:rPr>
        <w:t>（1）</w:t>
      </w:r>
      <w:r>
        <w:rPr>
          <w:rFonts w:hint="default"/>
          <w:lang w:val="en-US" w:eastAsia="zh-CN"/>
        </w:rPr>
        <w:t>设立报警、通讯系统以及事故处置领导体系。</w:t>
      </w:r>
    </w:p>
    <w:p w14:paraId="7F9FE2A7">
      <w:pPr>
        <w:rPr>
          <w:rFonts w:hint="default"/>
          <w:lang w:val="en-US" w:eastAsia="zh-CN"/>
        </w:rPr>
      </w:pPr>
      <w:r>
        <w:rPr>
          <w:rFonts w:hint="eastAsia"/>
          <w:lang w:val="en-US" w:eastAsia="zh-CN"/>
        </w:rPr>
        <w:t>（2）</w:t>
      </w:r>
      <w:r>
        <w:rPr>
          <w:rFonts w:hint="default"/>
          <w:lang w:val="en-US" w:eastAsia="zh-CN"/>
        </w:rPr>
        <w:t>制定有效处理事故的应急行动方案，并得到有关部门的认可，能与有关部门有效配合。</w:t>
      </w:r>
    </w:p>
    <w:p w14:paraId="00ADEAD7">
      <w:pPr>
        <w:rPr>
          <w:rFonts w:hint="default"/>
          <w:lang w:val="en-US" w:eastAsia="zh-CN"/>
        </w:rPr>
      </w:pPr>
      <w:r>
        <w:rPr>
          <w:rFonts w:hint="eastAsia"/>
          <w:lang w:val="en-US" w:eastAsia="zh-CN"/>
        </w:rPr>
        <w:t>（3）</w:t>
      </w:r>
      <w:r>
        <w:rPr>
          <w:rFonts w:hint="default"/>
          <w:lang w:val="en-US" w:eastAsia="zh-CN"/>
        </w:rPr>
        <w:t>明确职责，并落实到单位和有关人员。</w:t>
      </w:r>
    </w:p>
    <w:p w14:paraId="712F136A">
      <w:pPr>
        <w:rPr>
          <w:rFonts w:hint="default"/>
          <w:lang w:val="en-US" w:eastAsia="zh-CN"/>
        </w:rPr>
      </w:pPr>
      <w:r>
        <w:rPr>
          <w:rFonts w:hint="eastAsia"/>
          <w:lang w:val="en-US" w:eastAsia="zh-CN"/>
        </w:rPr>
        <w:t>（4）</w:t>
      </w:r>
      <w:r>
        <w:rPr>
          <w:rFonts w:hint="default"/>
          <w:lang w:val="en-US" w:eastAsia="zh-CN"/>
        </w:rPr>
        <w:t>制定控制和减少事故影响范围、程度以及补救行动的实施计划。</w:t>
      </w:r>
    </w:p>
    <w:p w14:paraId="363B5D22">
      <w:pPr>
        <w:rPr>
          <w:rFonts w:hint="default"/>
          <w:lang w:val="en-US" w:eastAsia="zh-CN"/>
        </w:rPr>
      </w:pPr>
      <w:r>
        <w:rPr>
          <w:rFonts w:hint="eastAsia"/>
          <w:lang w:val="en-US" w:eastAsia="zh-CN"/>
        </w:rPr>
        <w:t>（5）</w:t>
      </w:r>
      <w:r>
        <w:rPr>
          <w:rFonts w:hint="default"/>
          <w:lang w:val="en-US" w:eastAsia="zh-CN"/>
        </w:rPr>
        <w:t>对事故现场管理以及事故处置全过程的监督，应由富有事故处置经验的人员或有关部门工作人员承担。</w:t>
      </w:r>
    </w:p>
    <w:p w14:paraId="35990275">
      <w:pPr>
        <w:rPr>
          <w:rFonts w:hint="eastAsia"/>
          <w:lang w:val="en-US" w:eastAsia="zh-CN"/>
        </w:rPr>
      </w:pPr>
      <w:r>
        <w:rPr>
          <w:rFonts w:hint="eastAsia"/>
          <w:lang w:val="en-US" w:eastAsia="zh-CN"/>
        </w:rPr>
        <w:t>（6）</w:t>
      </w:r>
      <w:r>
        <w:rPr>
          <w:rFonts w:hint="default"/>
          <w:lang w:val="en-US" w:eastAsia="zh-CN"/>
        </w:rPr>
        <w:t>为提高事故处置队伍的协同救援水平和实战能力，检验救援体系的应急综合运作状态，提高其实战水平，应进行应急救援演练。</w:t>
      </w:r>
      <w:r>
        <w:rPr>
          <w:rFonts w:hint="eastAsia"/>
          <w:lang w:val="en-US" w:eastAsia="zh-CN"/>
        </w:rPr>
        <w:t>应急预案主要内容如下表所示。</w:t>
      </w:r>
    </w:p>
    <w:p w14:paraId="2107AE05">
      <w:pPr>
        <w:pStyle w:val="73"/>
        <w:spacing w:line="240" w:lineRule="auto"/>
        <w:ind w:left="0" w:leftChars="0" w:firstLine="0" w:firstLineChars="0"/>
        <w:jc w:val="center"/>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表8-5应急预案主要内容</w:t>
      </w:r>
    </w:p>
    <w:tbl>
      <w:tblPr>
        <w:tblStyle w:val="53"/>
        <w:tblW w:w="4998"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705"/>
        <w:gridCol w:w="2937"/>
        <w:gridCol w:w="5300"/>
      </w:tblGrid>
      <w:tr w14:paraId="79AC8B5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94" w:type="pct"/>
            <w:tcBorders>
              <w:tl2br w:val="nil"/>
              <w:tr2bl w:val="nil"/>
            </w:tcBorders>
            <w:vAlign w:val="center"/>
          </w:tcPr>
          <w:p w14:paraId="7E5B6AF6">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序号</w:t>
            </w:r>
          </w:p>
        </w:tc>
        <w:tc>
          <w:tcPr>
            <w:tcW w:w="1642" w:type="pct"/>
            <w:tcBorders>
              <w:tl2br w:val="nil"/>
              <w:tr2bl w:val="nil"/>
            </w:tcBorders>
            <w:vAlign w:val="center"/>
          </w:tcPr>
          <w:p w14:paraId="419C5A0C">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项目</w:t>
            </w:r>
          </w:p>
        </w:tc>
        <w:tc>
          <w:tcPr>
            <w:tcW w:w="2963" w:type="pct"/>
            <w:tcBorders>
              <w:tl2br w:val="nil"/>
              <w:tr2bl w:val="nil"/>
            </w:tcBorders>
            <w:vAlign w:val="center"/>
          </w:tcPr>
          <w:p w14:paraId="35C6D562">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内容及要求</w:t>
            </w:r>
          </w:p>
        </w:tc>
      </w:tr>
      <w:tr w14:paraId="347FF38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94" w:type="pct"/>
            <w:tcBorders>
              <w:tl2br w:val="nil"/>
              <w:tr2bl w:val="nil"/>
            </w:tcBorders>
            <w:vAlign w:val="center"/>
          </w:tcPr>
          <w:p w14:paraId="0044D507">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w:t>
            </w:r>
          </w:p>
        </w:tc>
        <w:tc>
          <w:tcPr>
            <w:tcW w:w="1642" w:type="pct"/>
            <w:tcBorders>
              <w:tl2br w:val="nil"/>
              <w:tr2bl w:val="nil"/>
            </w:tcBorders>
            <w:vAlign w:val="center"/>
          </w:tcPr>
          <w:p w14:paraId="6B01757C">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应急计划区</w:t>
            </w:r>
          </w:p>
        </w:tc>
        <w:tc>
          <w:tcPr>
            <w:tcW w:w="2963" w:type="pct"/>
            <w:tcBorders>
              <w:tl2br w:val="nil"/>
              <w:tr2bl w:val="nil"/>
            </w:tcBorders>
            <w:vAlign w:val="center"/>
          </w:tcPr>
          <w:p w14:paraId="43BAC1ED">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危险目标、装置区、贮罐区、环境保护目标</w:t>
            </w:r>
          </w:p>
        </w:tc>
      </w:tr>
      <w:tr w14:paraId="7DE5DBB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94" w:type="pct"/>
            <w:tcBorders>
              <w:tl2br w:val="nil"/>
              <w:tr2bl w:val="nil"/>
            </w:tcBorders>
            <w:vAlign w:val="center"/>
          </w:tcPr>
          <w:p w14:paraId="13D591E4">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w:t>
            </w:r>
          </w:p>
        </w:tc>
        <w:tc>
          <w:tcPr>
            <w:tcW w:w="1642" w:type="pct"/>
            <w:tcBorders>
              <w:tl2br w:val="nil"/>
              <w:tr2bl w:val="nil"/>
            </w:tcBorders>
            <w:vAlign w:val="center"/>
          </w:tcPr>
          <w:p w14:paraId="094CC490">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应急组织机构、人员</w:t>
            </w:r>
          </w:p>
        </w:tc>
        <w:tc>
          <w:tcPr>
            <w:tcW w:w="2963" w:type="pct"/>
            <w:tcBorders>
              <w:tl2br w:val="nil"/>
              <w:tr2bl w:val="nil"/>
            </w:tcBorders>
            <w:vAlign w:val="center"/>
          </w:tcPr>
          <w:p w14:paraId="6B630B29">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工厂、地区应急组织机构、人员</w:t>
            </w:r>
          </w:p>
        </w:tc>
      </w:tr>
      <w:tr w14:paraId="523C1C1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94" w:type="pct"/>
            <w:tcBorders>
              <w:tl2br w:val="nil"/>
              <w:tr2bl w:val="nil"/>
            </w:tcBorders>
            <w:vAlign w:val="center"/>
          </w:tcPr>
          <w:p w14:paraId="76189E8E">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3</w:t>
            </w:r>
          </w:p>
        </w:tc>
        <w:tc>
          <w:tcPr>
            <w:tcW w:w="1642" w:type="pct"/>
            <w:tcBorders>
              <w:tl2br w:val="nil"/>
              <w:tr2bl w:val="nil"/>
            </w:tcBorders>
            <w:vAlign w:val="center"/>
          </w:tcPr>
          <w:p w14:paraId="70BE5957">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预案分级影响条件</w:t>
            </w:r>
          </w:p>
        </w:tc>
        <w:tc>
          <w:tcPr>
            <w:tcW w:w="2963" w:type="pct"/>
            <w:tcBorders>
              <w:tl2br w:val="nil"/>
              <w:tr2bl w:val="nil"/>
            </w:tcBorders>
            <w:vAlign w:val="center"/>
          </w:tcPr>
          <w:p w14:paraId="5B8BFCAC">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规定预案的级别和分级影响程序</w:t>
            </w:r>
          </w:p>
        </w:tc>
      </w:tr>
      <w:tr w14:paraId="3FB90D2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94" w:type="pct"/>
            <w:tcBorders>
              <w:tl2br w:val="nil"/>
              <w:tr2bl w:val="nil"/>
            </w:tcBorders>
            <w:vAlign w:val="center"/>
          </w:tcPr>
          <w:p w14:paraId="64632689">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4</w:t>
            </w:r>
          </w:p>
        </w:tc>
        <w:tc>
          <w:tcPr>
            <w:tcW w:w="1642" w:type="pct"/>
            <w:tcBorders>
              <w:tl2br w:val="nil"/>
              <w:tr2bl w:val="nil"/>
            </w:tcBorders>
            <w:vAlign w:val="center"/>
          </w:tcPr>
          <w:p w14:paraId="572CA82C">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应急救援保障</w:t>
            </w:r>
          </w:p>
        </w:tc>
        <w:tc>
          <w:tcPr>
            <w:tcW w:w="2963" w:type="pct"/>
            <w:tcBorders>
              <w:tl2br w:val="nil"/>
              <w:tr2bl w:val="nil"/>
            </w:tcBorders>
            <w:vAlign w:val="center"/>
          </w:tcPr>
          <w:p w14:paraId="4635C627">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应急设施，设备与器材等</w:t>
            </w:r>
          </w:p>
        </w:tc>
      </w:tr>
      <w:tr w14:paraId="15269E4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94" w:type="pct"/>
            <w:tcBorders>
              <w:tl2br w:val="nil"/>
              <w:tr2bl w:val="nil"/>
            </w:tcBorders>
            <w:vAlign w:val="center"/>
          </w:tcPr>
          <w:p w14:paraId="26BCDE70">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5</w:t>
            </w:r>
          </w:p>
        </w:tc>
        <w:tc>
          <w:tcPr>
            <w:tcW w:w="1642" w:type="pct"/>
            <w:tcBorders>
              <w:tl2br w:val="nil"/>
              <w:tr2bl w:val="nil"/>
            </w:tcBorders>
            <w:vAlign w:val="center"/>
          </w:tcPr>
          <w:p w14:paraId="2C1B63D2">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报警、通讯联络方式</w:t>
            </w:r>
          </w:p>
        </w:tc>
        <w:tc>
          <w:tcPr>
            <w:tcW w:w="2963" w:type="pct"/>
            <w:tcBorders>
              <w:tl2br w:val="nil"/>
              <w:tr2bl w:val="nil"/>
            </w:tcBorders>
            <w:vAlign w:val="center"/>
          </w:tcPr>
          <w:p w14:paraId="115AA564">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规定应急状态下的报警通讯方式、通知方式和交通保障、管制</w:t>
            </w:r>
          </w:p>
        </w:tc>
      </w:tr>
      <w:tr w14:paraId="0404638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94" w:type="pct"/>
            <w:tcBorders>
              <w:tl2br w:val="nil"/>
              <w:tr2bl w:val="nil"/>
            </w:tcBorders>
            <w:vAlign w:val="center"/>
          </w:tcPr>
          <w:p w14:paraId="3196F800">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6</w:t>
            </w:r>
          </w:p>
        </w:tc>
        <w:tc>
          <w:tcPr>
            <w:tcW w:w="1642" w:type="pct"/>
            <w:tcBorders>
              <w:tl2br w:val="nil"/>
              <w:tr2bl w:val="nil"/>
            </w:tcBorders>
            <w:vAlign w:val="center"/>
          </w:tcPr>
          <w:p w14:paraId="0A487B8B">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应急环境监测、抢救、救援及控制措施</w:t>
            </w:r>
          </w:p>
        </w:tc>
        <w:tc>
          <w:tcPr>
            <w:tcW w:w="2963" w:type="pct"/>
            <w:tcBorders>
              <w:tl2br w:val="nil"/>
              <w:tr2bl w:val="nil"/>
            </w:tcBorders>
            <w:vAlign w:val="center"/>
          </w:tcPr>
          <w:p w14:paraId="55992180">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由专业队伍负责对事故现场进行侦察监测，对事故性</w:t>
            </w:r>
          </w:p>
          <w:p w14:paraId="7A047DA8">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质、参数后果进行评估，为指挥部门提供决策依据。</w:t>
            </w:r>
          </w:p>
        </w:tc>
      </w:tr>
      <w:tr w14:paraId="2827283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94" w:type="pct"/>
            <w:tcBorders>
              <w:tl2br w:val="nil"/>
              <w:tr2bl w:val="nil"/>
            </w:tcBorders>
            <w:vAlign w:val="center"/>
          </w:tcPr>
          <w:p w14:paraId="42384F29">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7</w:t>
            </w:r>
          </w:p>
        </w:tc>
        <w:tc>
          <w:tcPr>
            <w:tcW w:w="1642" w:type="pct"/>
            <w:tcBorders>
              <w:tl2br w:val="nil"/>
              <w:tr2bl w:val="nil"/>
            </w:tcBorders>
            <w:vAlign w:val="center"/>
          </w:tcPr>
          <w:p w14:paraId="2C9F5DC7">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应急监测、防护措施、清除泄漏措施和器材</w:t>
            </w:r>
          </w:p>
        </w:tc>
        <w:tc>
          <w:tcPr>
            <w:tcW w:w="2963" w:type="pct"/>
            <w:tcBorders>
              <w:tl2br w:val="nil"/>
              <w:tr2bl w:val="nil"/>
            </w:tcBorders>
            <w:vAlign w:val="center"/>
          </w:tcPr>
          <w:p w14:paraId="3E7003E2">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事故现场、邻近区域、控制防火区域、控制清除污染措施及相设施。</w:t>
            </w:r>
          </w:p>
        </w:tc>
      </w:tr>
      <w:tr w14:paraId="4BD98C2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94" w:type="pct"/>
            <w:tcBorders>
              <w:tl2br w:val="nil"/>
              <w:tr2bl w:val="nil"/>
            </w:tcBorders>
            <w:vAlign w:val="center"/>
          </w:tcPr>
          <w:p w14:paraId="1F3B6240">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8</w:t>
            </w:r>
          </w:p>
        </w:tc>
        <w:tc>
          <w:tcPr>
            <w:tcW w:w="1642" w:type="pct"/>
            <w:tcBorders>
              <w:tl2br w:val="nil"/>
              <w:tr2bl w:val="nil"/>
            </w:tcBorders>
            <w:vAlign w:val="center"/>
          </w:tcPr>
          <w:p w14:paraId="3795921A">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人员紧急撤离、疏散，应急剂量控制、撤离组织计划</w:t>
            </w:r>
          </w:p>
        </w:tc>
        <w:tc>
          <w:tcPr>
            <w:tcW w:w="2963" w:type="pct"/>
            <w:tcBorders>
              <w:tl2br w:val="nil"/>
              <w:tr2bl w:val="nil"/>
            </w:tcBorders>
            <w:vAlign w:val="center"/>
          </w:tcPr>
          <w:p w14:paraId="05E4B85C">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事故现场、工厂邻近区、受事故影响的区域人员及公众对毒物应急剂量控制规定，撤离组织计划及救护，医疗救护与公众健康。</w:t>
            </w:r>
          </w:p>
        </w:tc>
      </w:tr>
      <w:tr w14:paraId="0E3E568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94" w:type="pct"/>
            <w:tcBorders>
              <w:tl2br w:val="nil"/>
              <w:tr2bl w:val="nil"/>
            </w:tcBorders>
            <w:vAlign w:val="center"/>
          </w:tcPr>
          <w:p w14:paraId="31A1F32B">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9</w:t>
            </w:r>
          </w:p>
        </w:tc>
        <w:tc>
          <w:tcPr>
            <w:tcW w:w="1642" w:type="pct"/>
            <w:tcBorders>
              <w:tl2br w:val="nil"/>
              <w:tr2bl w:val="nil"/>
            </w:tcBorders>
            <w:vAlign w:val="center"/>
          </w:tcPr>
          <w:p w14:paraId="3702C1F7">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事故应急救援关闭程序与恢复措施</w:t>
            </w:r>
          </w:p>
        </w:tc>
        <w:tc>
          <w:tcPr>
            <w:tcW w:w="2963" w:type="pct"/>
            <w:tcBorders>
              <w:tl2br w:val="nil"/>
              <w:tr2bl w:val="nil"/>
            </w:tcBorders>
            <w:vAlign w:val="center"/>
          </w:tcPr>
          <w:p w14:paraId="63390D21">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规定应急状态终止程序</w:t>
            </w:r>
          </w:p>
          <w:p w14:paraId="50F42172">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事故现场善后处理，恢复措施</w:t>
            </w:r>
          </w:p>
          <w:p w14:paraId="188B5200">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邻近区域解除事故警戒及善后恢复措施</w:t>
            </w:r>
          </w:p>
        </w:tc>
      </w:tr>
      <w:tr w14:paraId="5685028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94" w:type="pct"/>
            <w:tcBorders>
              <w:tl2br w:val="nil"/>
              <w:tr2bl w:val="nil"/>
            </w:tcBorders>
            <w:vAlign w:val="center"/>
          </w:tcPr>
          <w:p w14:paraId="05729123">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10</w:t>
            </w:r>
          </w:p>
        </w:tc>
        <w:tc>
          <w:tcPr>
            <w:tcW w:w="1642" w:type="pct"/>
            <w:tcBorders>
              <w:tl2br w:val="nil"/>
              <w:tr2bl w:val="nil"/>
            </w:tcBorders>
            <w:vAlign w:val="center"/>
          </w:tcPr>
          <w:p w14:paraId="67D2C3C4">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应急培训计划</w:t>
            </w:r>
          </w:p>
        </w:tc>
        <w:tc>
          <w:tcPr>
            <w:tcW w:w="2963" w:type="pct"/>
            <w:tcBorders>
              <w:tl2br w:val="nil"/>
              <w:tr2bl w:val="nil"/>
            </w:tcBorders>
            <w:vAlign w:val="center"/>
          </w:tcPr>
          <w:p w14:paraId="5BF04028">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应急计划制定后，平时安排人员培训与演练</w:t>
            </w:r>
          </w:p>
        </w:tc>
      </w:tr>
      <w:tr w14:paraId="6FCC555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94" w:type="pct"/>
            <w:tcBorders>
              <w:tl2br w:val="nil"/>
              <w:tr2bl w:val="nil"/>
            </w:tcBorders>
            <w:vAlign w:val="center"/>
          </w:tcPr>
          <w:p w14:paraId="571CAD45">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11</w:t>
            </w:r>
          </w:p>
        </w:tc>
        <w:tc>
          <w:tcPr>
            <w:tcW w:w="1642" w:type="pct"/>
            <w:tcBorders>
              <w:tl2br w:val="nil"/>
              <w:tr2bl w:val="nil"/>
            </w:tcBorders>
            <w:vAlign w:val="center"/>
          </w:tcPr>
          <w:p w14:paraId="1FE944B0">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公众教育和信息</w:t>
            </w:r>
          </w:p>
        </w:tc>
        <w:tc>
          <w:tcPr>
            <w:tcW w:w="2963" w:type="pct"/>
            <w:tcBorders>
              <w:tl2br w:val="nil"/>
              <w:tr2bl w:val="nil"/>
            </w:tcBorders>
            <w:vAlign w:val="center"/>
          </w:tcPr>
          <w:p w14:paraId="5E059576">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对工厂邻近地区开展公众教育，培训和发布有关信息</w:t>
            </w:r>
          </w:p>
        </w:tc>
      </w:tr>
    </w:tbl>
    <w:p w14:paraId="3802256B">
      <w:pPr>
        <w:pStyle w:val="3"/>
        <w:rPr>
          <w:color w:val="auto"/>
        </w:rPr>
      </w:pPr>
      <w:bookmarkStart w:id="459" w:name="_Toc13799"/>
      <w:r>
        <w:rPr>
          <w:rFonts w:hint="eastAsia"/>
          <w:color w:val="auto"/>
          <w:lang w:val="en-US" w:eastAsia="zh-CN"/>
        </w:rPr>
        <w:t>8</w:t>
      </w:r>
      <w:r>
        <w:rPr>
          <w:color w:val="auto"/>
        </w:rPr>
        <w:t>.</w:t>
      </w:r>
      <w:r>
        <w:rPr>
          <w:rFonts w:hint="eastAsia"/>
          <w:color w:val="auto"/>
          <w:lang w:val="en-US" w:eastAsia="zh-CN"/>
        </w:rPr>
        <w:t>7</w:t>
      </w:r>
      <w:r>
        <w:rPr>
          <w:color w:val="auto"/>
        </w:rPr>
        <w:t>分析结论</w:t>
      </w:r>
      <w:bookmarkEnd w:id="419"/>
      <w:bookmarkEnd w:id="420"/>
      <w:bookmarkEnd w:id="421"/>
      <w:bookmarkEnd w:id="459"/>
    </w:p>
    <w:p w14:paraId="0198A6FD">
      <w:pPr>
        <w:bidi w:val="0"/>
      </w:pPr>
      <w:r>
        <w:t>综上所述，本项目的环境风险值水平与同行业比较是可以接受的。在各环境风险防范措施落实到位的情况下，将可大大降低本项目的环境风险，最大程度减少对环境可能造成的危害。</w:t>
      </w:r>
    </w:p>
    <w:p w14:paraId="3F2FADC5">
      <w:pPr>
        <w:pStyle w:val="31"/>
        <w:adjustRightInd w:val="0"/>
        <w:snapToGrid w:val="0"/>
        <w:spacing w:after="0" w:line="240" w:lineRule="auto"/>
        <w:ind w:left="0" w:leftChars="0"/>
        <w:jc w:val="center"/>
        <w:rPr>
          <w:b/>
          <w:sz w:val="21"/>
          <w:szCs w:val="21"/>
          <w:highlight w:val="none"/>
        </w:rPr>
      </w:pPr>
    </w:p>
    <w:p w14:paraId="32DDE22B">
      <w:pPr>
        <w:pStyle w:val="31"/>
        <w:adjustRightInd w:val="0"/>
        <w:snapToGrid w:val="0"/>
        <w:spacing w:after="0" w:line="240" w:lineRule="auto"/>
        <w:ind w:left="0" w:leftChars="0"/>
        <w:jc w:val="center"/>
        <w:rPr>
          <w:b/>
          <w:sz w:val="21"/>
          <w:szCs w:val="21"/>
          <w:highlight w:val="none"/>
        </w:rPr>
      </w:pPr>
    </w:p>
    <w:p w14:paraId="0EE4CC3A">
      <w:pPr>
        <w:pStyle w:val="31"/>
        <w:adjustRightInd w:val="0"/>
        <w:snapToGrid w:val="0"/>
        <w:spacing w:after="0" w:line="240" w:lineRule="auto"/>
        <w:ind w:left="0" w:leftChars="0"/>
        <w:jc w:val="center"/>
        <w:rPr>
          <w:bCs/>
          <w:szCs w:val="22"/>
          <w:highlight w:val="none"/>
        </w:rPr>
      </w:pPr>
      <w:r>
        <w:rPr>
          <w:rFonts w:hint="eastAsia" w:ascii="黑体" w:hAnsi="黑体" w:eastAsia="黑体" w:cs="黑体"/>
          <w:b w:val="0"/>
          <w:bCs/>
          <w:sz w:val="21"/>
          <w:szCs w:val="21"/>
          <w:highlight w:val="none"/>
        </w:rPr>
        <w:t>表</w:t>
      </w:r>
      <w:r>
        <w:rPr>
          <w:rFonts w:hint="eastAsia" w:ascii="黑体" w:hAnsi="黑体" w:eastAsia="黑体" w:cs="黑体"/>
          <w:b w:val="0"/>
          <w:bCs/>
          <w:sz w:val="21"/>
          <w:szCs w:val="21"/>
          <w:highlight w:val="none"/>
          <w:lang w:val="en-US" w:eastAsia="zh-CN"/>
        </w:rPr>
        <w:t>8-6</w:t>
      </w:r>
      <w:r>
        <w:rPr>
          <w:rFonts w:hint="eastAsia" w:ascii="黑体" w:hAnsi="黑体" w:eastAsia="黑体" w:cs="黑体"/>
          <w:b w:val="0"/>
          <w:bCs/>
          <w:sz w:val="21"/>
          <w:szCs w:val="21"/>
          <w:highlight w:val="none"/>
        </w:rPr>
        <w:t>建设项目环境风险简单分析内容表</w:t>
      </w:r>
    </w:p>
    <w:tbl>
      <w:tblPr>
        <w:tblStyle w:val="52"/>
        <w:tblW w:w="5000" w:type="pct"/>
        <w:tblInd w:w="0" w:type="dxa"/>
        <w:tblLayout w:type="autofit"/>
        <w:tblCellMar>
          <w:top w:w="0" w:type="dxa"/>
          <w:left w:w="0" w:type="dxa"/>
          <w:bottom w:w="0" w:type="dxa"/>
          <w:right w:w="0" w:type="dxa"/>
        </w:tblCellMar>
      </w:tblPr>
      <w:tblGrid>
        <w:gridCol w:w="2084"/>
        <w:gridCol w:w="1486"/>
        <w:gridCol w:w="1322"/>
        <w:gridCol w:w="1072"/>
        <w:gridCol w:w="735"/>
        <w:gridCol w:w="2031"/>
      </w:tblGrid>
      <w:tr w14:paraId="453D4526">
        <w:tblPrEx>
          <w:tblCellMar>
            <w:top w:w="0" w:type="dxa"/>
            <w:left w:w="0" w:type="dxa"/>
            <w:bottom w:w="0" w:type="dxa"/>
            <w:right w:w="0" w:type="dxa"/>
          </w:tblCellMar>
        </w:tblPrEx>
        <w:trPr>
          <w:trHeight w:val="420" w:hRule="exact"/>
        </w:trPr>
        <w:tc>
          <w:tcPr>
            <w:tcW w:w="1194" w:type="pct"/>
            <w:tcBorders>
              <w:top w:val="single" w:color="000000" w:sz="10" w:space="0"/>
              <w:left w:val="nil"/>
              <w:bottom w:val="single" w:color="000000" w:sz="2" w:space="0"/>
              <w:right w:val="single" w:color="000000" w:sz="2" w:space="0"/>
            </w:tcBorders>
            <w:vAlign w:val="center"/>
          </w:tcPr>
          <w:p w14:paraId="1696F65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建</w:t>
            </w:r>
            <w:r>
              <w:rPr>
                <w:rFonts w:hint="eastAsia" w:ascii="宋体" w:hAnsi="宋体" w:eastAsia="宋体" w:cs="宋体"/>
                <w:spacing w:val="2"/>
                <w:sz w:val="21"/>
                <w:szCs w:val="21"/>
              </w:rPr>
              <w:t>设</w:t>
            </w:r>
            <w:r>
              <w:rPr>
                <w:rFonts w:hint="eastAsia" w:ascii="宋体" w:hAnsi="宋体" w:eastAsia="宋体" w:cs="宋体"/>
                <w:sz w:val="21"/>
                <w:szCs w:val="21"/>
              </w:rPr>
              <w:t>项</w:t>
            </w:r>
            <w:r>
              <w:rPr>
                <w:rFonts w:hint="eastAsia" w:ascii="宋体" w:hAnsi="宋体" w:eastAsia="宋体" w:cs="宋体"/>
                <w:spacing w:val="2"/>
                <w:sz w:val="21"/>
                <w:szCs w:val="21"/>
              </w:rPr>
              <w:t>目</w:t>
            </w:r>
            <w:r>
              <w:rPr>
                <w:rFonts w:hint="eastAsia" w:ascii="宋体" w:hAnsi="宋体" w:eastAsia="宋体" w:cs="宋体"/>
                <w:sz w:val="21"/>
                <w:szCs w:val="21"/>
              </w:rPr>
              <w:t>名称</w:t>
            </w:r>
          </w:p>
        </w:tc>
        <w:tc>
          <w:tcPr>
            <w:tcW w:w="3805" w:type="pct"/>
            <w:gridSpan w:val="5"/>
            <w:tcBorders>
              <w:top w:val="single" w:color="000000" w:sz="10" w:space="0"/>
              <w:left w:val="single" w:color="000000" w:sz="2" w:space="0"/>
              <w:bottom w:val="single" w:color="000000" w:sz="2" w:space="0"/>
              <w:right w:val="nil"/>
            </w:tcBorders>
            <w:vAlign w:val="center"/>
          </w:tcPr>
          <w:p w14:paraId="36B30F4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rPr>
            </w:pPr>
            <w:r>
              <w:rPr>
                <w:rFonts w:hint="eastAsia"/>
                <w:sz w:val="21"/>
                <w:szCs w:val="21"/>
                <w:lang w:eastAsia="zh-CN"/>
              </w:rPr>
              <w:t>本溪佰汇铜业有限公司环保型铜排表面处理自动生产线项目</w:t>
            </w:r>
          </w:p>
        </w:tc>
      </w:tr>
      <w:tr w14:paraId="760E111E">
        <w:tblPrEx>
          <w:tblCellMar>
            <w:top w:w="0" w:type="dxa"/>
            <w:left w:w="0" w:type="dxa"/>
            <w:bottom w:w="0" w:type="dxa"/>
            <w:right w:w="0" w:type="dxa"/>
          </w:tblCellMar>
        </w:tblPrEx>
        <w:trPr>
          <w:trHeight w:val="725" w:hRule="exact"/>
        </w:trPr>
        <w:tc>
          <w:tcPr>
            <w:tcW w:w="1194" w:type="pct"/>
            <w:tcBorders>
              <w:top w:val="single" w:color="000000" w:sz="2" w:space="0"/>
              <w:left w:val="nil"/>
              <w:bottom w:val="single" w:color="000000" w:sz="2" w:space="0"/>
              <w:right w:val="single" w:color="000000" w:sz="2" w:space="0"/>
            </w:tcBorders>
            <w:vAlign w:val="center"/>
          </w:tcPr>
          <w:p w14:paraId="734E4A1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建</w:t>
            </w:r>
            <w:r>
              <w:rPr>
                <w:rFonts w:hint="eastAsia" w:ascii="宋体" w:hAnsi="宋体" w:eastAsia="宋体" w:cs="宋体"/>
                <w:spacing w:val="2"/>
                <w:sz w:val="21"/>
                <w:szCs w:val="21"/>
              </w:rPr>
              <w:t>设</w:t>
            </w:r>
            <w:r>
              <w:rPr>
                <w:rFonts w:hint="eastAsia" w:ascii="宋体" w:hAnsi="宋体" w:eastAsia="宋体" w:cs="宋体"/>
                <w:sz w:val="21"/>
                <w:szCs w:val="21"/>
              </w:rPr>
              <w:t>地点</w:t>
            </w:r>
          </w:p>
        </w:tc>
        <w:tc>
          <w:tcPr>
            <w:tcW w:w="851" w:type="pct"/>
            <w:tcBorders>
              <w:top w:val="single" w:color="000000" w:sz="2" w:space="0"/>
              <w:left w:val="single" w:color="000000" w:sz="2" w:space="0"/>
              <w:bottom w:val="single" w:color="000000" w:sz="2" w:space="0"/>
              <w:right w:val="single" w:color="000000" w:sz="2" w:space="0"/>
            </w:tcBorders>
            <w:vAlign w:val="center"/>
          </w:tcPr>
          <w:p w14:paraId="7F6B82C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（辽宁</w:t>
            </w:r>
            <w:r>
              <w:rPr>
                <w:rFonts w:hint="eastAsia" w:ascii="宋体" w:hAnsi="宋体" w:eastAsia="宋体" w:cs="宋体"/>
                <w:spacing w:val="2"/>
                <w:sz w:val="21"/>
                <w:szCs w:val="21"/>
              </w:rPr>
              <w:t>）</w:t>
            </w:r>
            <w:r>
              <w:rPr>
                <w:rFonts w:hint="eastAsia" w:ascii="宋体" w:hAnsi="宋体" w:eastAsia="宋体" w:cs="宋体"/>
                <w:sz w:val="21"/>
                <w:szCs w:val="21"/>
              </w:rPr>
              <w:t>省</w:t>
            </w:r>
          </w:p>
        </w:tc>
        <w:tc>
          <w:tcPr>
            <w:tcW w:w="757" w:type="pct"/>
            <w:tcBorders>
              <w:top w:val="single" w:color="000000" w:sz="2" w:space="0"/>
              <w:left w:val="single" w:color="000000" w:sz="2" w:space="0"/>
              <w:bottom w:val="single" w:color="000000" w:sz="2" w:space="0"/>
              <w:right w:val="single" w:color="000000" w:sz="2" w:space="0"/>
            </w:tcBorders>
            <w:vAlign w:val="center"/>
          </w:tcPr>
          <w:p w14:paraId="5A3BDCE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w:t>
            </w:r>
            <w:r>
              <w:rPr>
                <w:rFonts w:hint="eastAsia"/>
                <w:sz w:val="21"/>
                <w:szCs w:val="21"/>
                <w:lang w:eastAsia="zh-CN"/>
              </w:rPr>
              <w:t>本溪</w:t>
            </w:r>
            <w:r>
              <w:rPr>
                <w:rFonts w:hint="eastAsia" w:ascii="宋体" w:hAnsi="宋体" w:eastAsia="宋体" w:cs="宋体"/>
                <w:spacing w:val="2"/>
                <w:sz w:val="21"/>
                <w:szCs w:val="21"/>
              </w:rPr>
              <w:t>）</w:t>
            </w:r>
            <w:r>
              <w:rPr>
                <w:rFonts w:hint="eastAsia" w:ascii="宋体" w:hAnsi="宋体" w:eastAsia="宋体" w:cs="宋体"/>
                <w:sz w:val="21"/>
                <w:szCs w:val="21"/>
              </w:rPr>
              <w:t>市</w:t>
            </w:r>
          </w:p>
        </w:tc>
        <w:tc>
          <w:tcPr>
            <w:tcW w:w="613" w:type="pct"/>
            <w:tcBorders>
              <w:top w:val="single" w:color="000000" w:sz="2" w:space="0"/>
              <w:left w:val="single" w:color="000000" w:sz="2" w:space="0"/>
              <w:bottom w:val="single" w:color="000000" w:sz="2" w:space="0"/>
              <w:right w:val="single" w:color="000000" w:sz="2" w:space="0"/>
            </w:tcBorders>
            <w:vAlign w:val="center"/>
          </w:tcPr>
          <w:p w14:paraId="5AE52A2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cs="宋体"/>
                <w:sz w:val="21"/>
                <w:szCs w:val="21"/>
                <w:lang w:eastAsia="zh-CN"/>
              </w:rPr>
              <w:t>溪湖</w:t>
            </w:r>
            <w:r>
              <w:rPr>
                <w:rFonts w:hint="eastAsia" w:ascii="宋体" w:hAnsi="宋体" w:eastAsia="宋体" w:cs="宋体"/>
                <w:spacing w:val="-72"/>
                <w:sz w:val="21"/>
                <w:szCs w:val="21"/>
              </w:rPr>
              <w:t>）</w:t>
            </w:r>
            <w:r>
              <w:rPr>
                <w:rFonts w:hint="eastAsia" w:ascii="宋体" w:hAnsi="宋体" w:eastAsia="宋体" w:cs="宋体"/>
                <w:sz w:val="21"/>
                <w:szCs w:val="21"/>
              </w:rPr>
              <w:t>区</w:t>
            </w:r>
          </w:p>
        </w:tc>
        <w:tc>
          <w:tcPr>
            <w:tcW w:w="421" w:type="pct"/>
            <w:tcBorders>
              <w:top w:val="single" w:color="000000" w:sz="2" w:space="0"/>
              <w:left w:val="single" w:color="000000" w:sz="2" w:space="0"/>
              <w:bottom w:val="single" w:color="000000" w:sz="2" w:space="0"/>
              <w:right w:val="single" w:color="000000" w:sz="2" w:space="0"/>
            </w:tcBorders>
            <w:vAlign w:val="center"/>
          </w:tcPr>
          <w:p w14:paraId="074D471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spacing w:val="2"/>
                <w:sz w:val="21"/>
                <w:szCs w:val="21"/>
              </w:rPr>
              <w:t>）</w:t>
            </w:r>
            <w:r>
              <w:rPr>
                <w:rFonts w:hint="eastAsia" w:ascii="宋体" w:hAnsi="宋体" w:eastAsia="宋体" w:cs="宋体"/>
                <w:sz w:val="21"/>
                <w:szCs w:val="21"/>
              </w:rPr>
              <w:t>县</w:t>
            </w:r>
          </w:p>
        </w:tc>
        <w:tc>
          <w:tcPr>
            <w:tcW w:w="1162" w:type="pct"/>
            <w:tcBorders>
              <w:top w:val="single" w:color="000000" w:sz="2" w:space="0"/>
              <w:left w:val="single" w:color="000000" w:sz="2" w:space="0"/>
              <w:bottom w:val="single" w:color="000000" w:sz="2" w:space="0"/>
              <w:right w:val="nil"/>
            </w:tcBorders>
            <w:vAlign w:val="center"/>
          </w:tcPr>
          <w:p w14:paraId="3983889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sz w:val="21"/>
                <w:szCs w:val="21"/>
                <w:lang w:eastAsia="zh-CN"/>
              </w:rPr>
              <w:t>辽宁（本溪湖）再生资源产业园区）园</w:t>
            </w:r>
            <w:r>
              <w:rPr>
                <w:rFonts w:hint="eastAsia" w:ascii="宋体" w:hAnsi="宋体" w:eastAsia="宋体" w:cs="宋体"/>
                <w:sz w:val="21"/>
                <w:szCs w:val="21"/>
              </w:rPr>
              <w:t>区</w:t>
            </w:r>
          </w:p>
        </w:tc>
      </w:tr>
      <w:tr w14:paraId="6F7D593A">
        <w:tblPrEx>
          <w:tblCellMar>
            <w:top w:w="0" w:type="dxa"/>
            <w:left w:w="0" w:type="dxa"/>
            <w:bottom w:w="0" w:type="dxa"/>
            <w:right w:w="0" w:type="dxa"/>
          </w:tblCellMar>
        </w:tblPrEx>
        <w:trPr>
          <w:trHeight w:val="410" w:hRule="exact"/>
        </w:trPr>
        <w:tc>
          <w:tcPr>
            <w:tcW w:w="1194" w:type="pct"/>
            <w:tcBorders>
              <w:top w:val="single" w:color="000000" w:sz="2" w:space="0"/>
              <w:left w:val="nil"/>
              <w:bottom w:val="single" w:color="000000" w:sz="2" w:space="0"/>
              <w:right w:val="single" w:color="000000" w:sz="2" w:space="0"/>
            </w:tcBorders>
            <w:vAlign w:val="center"/>
          </w:tcPr>
          <w:p w14:paraId="5119F12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地</w:t>
            </w:r>
            <w:r>
              <w:rPr>
                <w:rFonts w:hint="eastAsia" w:ascii="宋体" w:hAnsi="宋体" w:eastAsia="宋体" w:cs="宋体"/>
                <w:spacing w:val="2"/>
                <w:sz w:val="21"/>
                <w:szCs w:val="21"/>
              </w:rPr>
              <w:t>理</w:t>
            </w:r>
            <w:r>
              <w:rPr>
                <w:rFonts w:hint="eastAsia" w:ascii="宋体" w:hAnsi="宋体" w:eastAsia="宋体" w:cs="宋体"/>
                <w:sz w:val="21"/>
                <w:szCs w:val="21"/>
              </w:rPr>
              <w:t>坐标</w:t>
            </w:r>
          </w:p>
        </w:tc>
        <w:tc>
          <w:tcPr>
            <w:tcW w:w="851" w:type="pct"/>
            <w:tcBorders>
              <w:top w:val="single" w:color="000000" w:sz="2" w:space="0"/>
              <w:left w:val="single" w:color="000000" w:sz="2" w:space="0"/>
              <w:bottom w:val="single" w:color="000000" w:sz="2" w:space="0"/>
              <w:right w:val="single" w:color="000000" w:sz="2" w:space="0"/>
            </w:tcBorders>
            <w:vAlign w:val="center"/>
          </w:tcPr>
          <w:p w14:paraId="4418599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w w:val="99"/>
                <w:sz w:val="21"/>
                <w:szCs w:val="21"/>
              </w:rPr>
              <w:t>经度</w:t>
            </w:r>
          </w:p>
        </w:tc>
        <w:tc>
          <w:tcPr>
            <w:tcW w:w="1371" w:type="pct"/>
            <w:gridSpan w:val="2"/>
            <w:tcBorders>
              <w:top w:val="single" w:color="000000" w:sz="2" w:space="0"/>
              <w:left w:val="single" w:color="000000" w:sz="2" w:space="0"/>
              <w:bottom w:val="single" w:color="000000" w:sz="2" w:space="0"/>
              <w:right w:val="single" w:color="000000" w:sz="2" w:space="0"/>
            </w:tcBorders>
            <w:vAlign w:val="center"/>
          </w:tcPr>
          <w:p w14:paraId="7F5C8B1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pacing w:val="-4"/>
                <w:sz w:val="21"/>
                <w:szCs w:val="21"/>
              </w:rPr>
              <w:t>123.707420540</w:t>
            </w:r>
          </w:p>
        </w:tc>
        <w:tc>
          <w:tcPr>
            <w:tcW w:w="421" w:type="pct"/>
            <w:tcBorders>
              <w:top w:val="single" w:color="000000" w:sz="2" w:space="0"/>
              <w:left w:val="single" w:color="000000" w:sz="2" w:space="0"/>
              <w:bottom w:val="single" w:color="000000" w:sz="2" w:space="0"/>
              <w:right w:val="single" w:color="000000" w:sz="2" w:space="0"/>
            </w:tcBorders>
            <w:vAlign w:val="center"/>
          </w:tcPr>
          <w:p w14:paraId="53D0887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w w:val="99"/>
                <w:sz w:val="21"/>
                <w:szCs w:val="21"/>
              </w:rPr>
              <w:t>纬度</w:t>
            </w:r>
          </w:p>
        </w:tc>
        <w:tc>
          <w:tcPr>
            <w:tcW w:w="1162" w:type="pct"/>
            <w:tcBorders>
              <w:top w:val="single" w:color="000000" w:sz="2" w:space="0"/>
              <w:left w:val="single" w:color="000000" w:sz="2" w:space="0"/>
              <w:bottom w:val="single" w:color="000000" w:sz="2" w:space="0"/>
              <w:right w:val="nil"/>
            </w:tcBorders>
            <w:vAlign w:val="center"/>
          </w:tcPr>
          <w:p w14:paraId="229F38C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pacing w:val="-4"/>
                <w:sz w:val="21"/>
                <w:szCs w:val="21"/>
              </w:rPr>
              <w:t>41.308865707</w:t>
            </w:r>
          </w:p>
        </w:tc>
      </w:tr>
      <w:tr w14:paraId="40C7B6F9">
        <w:tblPrEx>
          <w:tblCellMar>
            <w:top w:w="0" w:type="dxa"/>
            <w:left w:w="0" w:type="dxa"/>
            <w:bottom w:w="0" w:type="dxa"/>
            <w:right w:w="0" w:type="dxa"/>
          </w:tblCellMar>
        </w:tblPrEx>
        <w:trPr>
          <w:trHeight w:val="737" w:hRule="exact"/>
        </w:trPr>
        <w:tc>
          <w:tcPr>
            <w:tcW w:w="1194" w:type="pct"/>
            <w:tcBorders>
              <w:top w:val="single" w:color="000000" w:sz="2" w:space="0"/>
              <w:left w:val="nil"/>
              <w:bottom w:val="single" w:color="000000" w:sz="2" w:space="0"/>
              <w:right w:val="single" w:color="000000" w:sz="2" w:space="0"/>
            </w:tcBorders>
            <w:vAlign w:val="center"/>
          </w:tcPr>
          <w:p w14:paraId="76800CD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主</w:t>
            </w:r>
            <w:r>
              <w:rPr>
                <w:rFonts w:hint="eastAsia" w:ascii="宋体" w:hAnsi="宋体" w:eastAsia="宋体" w:cs="宋体"/>
                <w:spacing w:val="2"/>
                <w:sz w:val="21"/>
                <w:szCs w:val="21"/>
              </w:rPr>
              <w:t>要</w:t>
            </w:r>
            <w:r>
              <w:rPr>
                <w:rFonts w:hint="eastAsia" w:ascii="宋体" w:hAnsi="宋体" w:eastAsia="宋体" w:cs="宋体"/>
                <w:sz w:val="21"/>
                <w:szCs w:val="21"/>
              </w:rPr>
              <w:t>危</w:t>
            </w:r>
            <w:r>
              <w:rPr>
                <w:rFonts w:hint="eastAsia" w:ascii="宋体" w:hAnsi="宋体" w:eastAsia="宋体" w:cs="宋体"/>
                <w:spacing w:val="2"/>
                <w:sz w:val="21"/>
                <w:szCs w:val="21"/>
              </w:rPr>
              <w:t>险</w:t>
            </w:r>
            <w:r>
              <w:rPr>
                <w:rFonts w:hint="eastAsia" w:ascii="宋体" w:hAnsi="宋体" w:eastAsia="宋体" w:cs="宋体"/>
                <w:sz w:val="21"/>
                <w:szCs w:val="21"/>
              </w:rPr>
              <w:t>物</w:t>
            </w:r>
            <w:r>
              <w:rPr>
                <w:rFonts w:hint="eastAsia" w:ascii="宋体" w:hAnsi="宋体" w:eastAsia="宋体" w:cs="宋体"/>
                <w:spacing w:val="2"/>
                <w:sz w:val="21"/>
                <w:szCs w:val="21"/>
              </w:rPr>
              <w:t>质</w:t>
            </w:r>
            <w:r>
              <w:rPr>
                <w:rFonts w:hint="eastAsia" w:ascii="宋体" w:hAnsi="宋体" w:eastAsia="宋体" w:cs="宋体"/>
                <w:sz w:val="21"/>
                <w:szCs w:val="21"/>
              </w:rPr>
              <w:t>及</w:t>
            </w:r>
            <w:r>
              <w:rPr>
                <w:rFonts w:hint="eastAsia" w:ascii="宋体" w:hAnsi="宋体" w:eastAsia="宋体" w:cs="宋体"/>
                <w:spacing w:val="2"/>
                <w:sz w:val="21"/>
                <w:szCs w:val="21"/>
              </w:rPr>
              <w:t>分</w:t>
            </w:r>
            <w:r>
              <w:rPr>
                <w:rFonts w:hint="eastAsia" w:ascii="宋体" w:hAnsi="宋体" w:eastAsia="宋体" w:cs="宋体"/>
                <w:sz w:val="21"/>
                <w:szCs w:val="21"/>
              </w:rPr>
              <w:t>布</w:t>
            </w:r>
          </w:p>
        </w:tc>
        <w:tc>
          <w:tcPr>
            <w:tcW w:w="3805" w:type="pct"/>
            <w:gridSpan w:val="5"/>
            <w:tcBorders>
              <w:top w:val="single" w:color="000000" w:sz="2" w:space="0"/>
              <w:left w:val="single" w:color="000000" w:sz="2" w:space="0"/>
              <w:bottom w:val="single" w:color="000000" w:sz="2" w:space="0"/>
              <w:right w:val="nil"/>
            </w:tcBorders>
            <w:vAlign w:val="center"/>
          </w:tcPr>
          <w:p w14:paraId="2FD01986">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本项目涉及的环境风险物质主要为生产过程中使用的原辅材料甲基磺酸，风险物质主要分布在生产车间。</w:t>
            </w:r>
          </w:p>
        </w:tc>
      </w:tr>
      <w:tr w14:paraId="00B32592">
        <w:tblPrEx>
          <w:tblCellMar>
            <w:top w:w="0" w:type="dxa"/>
            <w:left w:w="0" w:type="dxa"/>
            <w:bottom w:w="0" w:type="dxa"/>
            <w:right w:w="0" w:type="dxa"/>
          </w:tblCellMar>
        </w:tblPrEx>
        <w:trPr>
          <w:trHeight w:val="1534" w:hRule="exact"/>
        </w:trPr>
        <w:tc>
          <w:tcPr>
            <w:tcW w:w="1194" w:type="pct"/>
            <w:tcBorders>
              <w:top w:val="single" w:color="000000" w:sz="2" w:space="0"/>
              <w:left w:val="nil"/>
              <w:bottom w:val="single" w:color="000000" w:sz="2" w:space="0"/>
              <w:right w:val="single" w:color="000000" w:sz="2" w:space="0"/>
            </w:tcBorders>
            <w:vAlign w:val="center"/>
          </w:tcPr>
          <w:p w14:paraId="1137EDA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环</w:t>
            </w:r>
            <w:r>
              <w:rPr>
                <w:rFonts w:hint="eastAsia" w:ascii="宋体" w:hAnsi="宋体" w:eastAsia="宋体" w:cs="宋体"/>
                <w:spacing w:val="2"/>
                <w:sz w:val="21"/>
                <w:szCs w:val="21"/>
              </w:rPr>
              <w:t>境</w:t>
            </w:r>
            <w:r>
              <w:rPr>
                <w:rFonts w:hint="eastAsia" w:ascii="宋体" w:hAnsi="宋体" w:eastAsia="宋体" w:cs="宋体"/>
                <w:sz w:val="21"/>
                <w:szCs w:val="21"/>
              </w:rPr>
              <w:t>影</w:t>
            </w:r>
            <w:r>
              <w:rPr>
                <w:rFonts w:hint="eastAsia" w:ascii="宋体" w:hAnsi="宋体" w:eastAsia="宋体" w:cs="宋体"/>
                <w:spacing w:val="2"/>
                <w:sz w:val="21"/>
                <w:szCs w:val="21"/>
              </w:rPr>
              <w:t>响</w:t>
            </w:r>
            <w:r>
              <w:rPr>
                <w:rFonts w:hint="eastAsia" w:ascii="宋体" w:hAnsi="宋体" w:eastAsia="宋体" w:cs="宋体"/>
                <w:sz w:val="21"/>
                <w:szCs w:val="21"/>
              </w:rPr>
              <w:t>途</w:t>
            </w:r>
            <w:r>
              <w:rPr>
                <w:rFonts w:hint="eastAsia" w:ascii="宋体" w:hAnsi="宋体" w:eastAsia="宋体" w:cs="宋体"/>
                <w:spacing w:val="2"/>
                <w:sz w:val="21"/>
                <w:szCs w:val="21"/>
              </w:rPr>
              <w:t>径</w:t>
            </w:r>
            <w:r>
              <w:rPr>
                <w:rFonts w:hint="eastAsia" w:ascii="宋体" w:hAnsi="宋体" w:eastAsia="宋体" w:cs="宋体"/>
                <w:sz w:val="21"/>
                <w:szCs w:val="21"/>
              </w:rPr>
              <w:t>及</w:t>
            </w:r>
            <w:r>
              <w:rPr>
                <w:rFonts w:hint="eastAsia" w:ascii="宋体" w:hAnsi="宋体" w:eastAsia="宋体" w:cs="宋体"/>
                <w:spacing w:val="2"/>
                <w:sz w:val="21"/>
                <w:szCs w:val="21"/>
              </w:rPr>
              <w:t>危</w:t>
            </w:r>
            <w:r>
              <w:rPr>
                <w:rFonts w:hint="eastAsia" w:ascii="宋体" w:hAnsi="宋体" w:eastAsia="宋体" w:cs="宋体"/>
                <w:sz w:val="21"/>
                <w:szCs w:val="21"/>
              </w:rPr>
              <w:t>害后果（大气、地表水、</w:t>
            </w:r>
          </w:p>
          <w:p w14:paraId="708BAF4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地下水等）</w:t>
            </w:r>
          </w:p>
        </w:tc>
        <w:tc>
          <w:tcPr>
            <w:tcW w:w="3805" w:type="pct"/>
            <w:gridSpan w:val="5"/>
            <w:tcBorders>
              <w:top w:val="single" w:color="000000" w:sz="2" w:space="0"/>
              <w:left w:val="single" w:color="000000" w:sz="2" w:space="0"/>
              <w:bottom w:val="single" w:color="000000" w:sz="2" w:space="0"/>
              <w:right w:val="nil"/>
            </w:tcBorders>
            <w:vAlign w:val="center"/>
          </w:tcPr>
          <w:p w14:paraId="57B3358A">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1</w:t>
            </w:r>
            <w:r>
              <w:rPr>
                <w:rFonts w:hint="eastAsia" w:ascii="宋体" w:hAnsi="宋体" w:eastAsia="宋体" w:cs="宋体"/>
                <w:sz w:val="21"/>
                <w:szCs w:val="21"/>
                <w:lang w:eastAsia="zh-CN"/>
              </w:rPr>
              <w:t>）</w:t>
            </w:r>
            <w:r>
              <w:rPr>
                <w:rFonts w:hint="eastAsia" w:ascii="宋体" w:hAnsi="宋体" w:eastAsia="宋体" w:cs="宋体"/>
                <w:sz w:val="21"/>
                <w:szCs w:val="21"/>
              </w:rPr>
              <w:t>泄漏等事故产生的短时超量污染物特别是含</w:t>
            </w:r>
            <w:r>
              <w:rPr>
                <w:rFonts w:hint="eastAsia" w:ascii="宋体" w:hAnsi="宋体" w:eastAsia="宋体" w:cs="宋体"/>
                <w:sz w:val="21"/>
                <w:szCs w:val="21"/>
                <w:lang w:eastAsia="zh-CN"/>
              </w:rPr>
              <w:t>锡</w:t>
            </w:r>
            <w:r>
              <w:rPr>
                <w:rFonts w:hint="eastAsia" w:ascii="宋体" w:hAnsi="宋体" w:eastAsia="宋体" w:cs="宋体"/>
                <w:sz w:val="21"/>
                <w:szCs w:val="21"/>
              </w:rPr>
              <w:t>金属污染物的排放对项目周围地表水、地下水环境和土壤环境要素的影响；</w:t>
            </w:r>
          </w:p>
          <w:p w14:paraId="36DFD4D3">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2</w:t>
            </w:r>
            <w:r>
              <w:rPr>
                <w:rFonts w:hint="eastAsia" w:ascii="宋体" w:hAnsi="宋体" w:eastAsia="宋体" w:cs="宋体"/>
                <w:sz w:val="21"/>
                <w:szCs w:val="21"/>
                <w:lang w:eastAsia="zh-CN"/>
              </w:rPr>
              <w:t>）</w:t>
            </w:r>
            <w:r>
              <w:rPr>
                <w:rFonts w:hint="eastAsia" w:ascii="宋体" w:hAnsi="宋体" w:eastAsia="宋体" w:cs="宋体"/>
                <w:sz w:val="21"/>
                <w:szCs w:val="21"/>
              </w:rPr>
              <w:t>泄漏等事故和设备故障产生的废气对项目周围环境空气和人群健康的影响。</w:t>
            </w:r>
          </w:p>
        </w:tc>
      </w:tr>
      <w:tr w14:paraId="711FA928">
        <w:tblPrEx>
          <w:tblCellMar>
            <w:top w:w="0" w:type="dxa"/>
            <w:left w:w="0" w:type="dxa"/>
            <w:bottom w:w="0" w:type="dxa"/>
            <w:right w:w="0" w:type="dxa"/>
          </w:tblCellMar>
        </w:tblPrEx>
        <w:trPr>
          <w:trHeight w:val="1403" w:hRule="exact"/>
        </w:trPr>
        <w:tc>
          <w:tcPr>
            <w:tcW w:w="1194" w:type="pct"/>
            <w:tcBorders>
              <w:top w:val="single" w:color="000000" w:sz="2" w:space="0"/>
              <w:left w:val="nil"/>
              <w:bottom w:val="single" w:color="000000" w:sz="10" w:space="0"/>
              <w:right w:val="single" w:color="000000" w:sz="2" w:space="0"/>
            </w:tcBorders>
            <w:vAlign w:val="center"/>
          </w:tcPr>
          <w:p w14:paraId="44794A1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风险防范措施要求</w:t>
            </w:r>
          </w:p>
        </w:tc>
        <w:tc>
          <w:tcPr>
            <w:tcW w:w="3805" w:type="pct"/>
            <w:gridSpan w:val="5"/>
            <w:tcBorders>
              <w:top w:val="single" w:color="000000" w:sz="2" w:space="0"/>
              <w:left w:val="single" w:color="000000" w:sz="2" w:space="0"/>
              <w:bottom w:val="single" w:color="000000" w:sz="10" w:space="0"/>
              <w:right w:val="nil"/>
            </w:tcBorders>
            <w:vAlign w:val="center"/>
          </w:tcPr>
          <w:p w14:paraId="197BB39C">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sz w:val="21"/>
                <w:szCs w:val="21"/>
              </w:rPr>
            </w:pPr>
            <w:r>
              <w:rPr>
                <w:rFonts w:hint="eastAsia" w:ascii="宋体" w:hAnsi="宋体" w:eastAsia="宋体" w:cs="宋体"/>
                <w:sz w:val="21"/>
                <w:szCs w:val="21"/>
              </w:rPr>
              <w:t>设备定期检修，关键设备一用一备，定期巡查、巡查、调节、保养、维修，及时发现有可能引起的事故异常运行苗头，消除事故隐患。</w:t>
            </w:r>
          </w:p>
          <w:p w14:paraId="5773AA49">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sz w:val="21"/>
                <w:szCs w:val="21"/>
              </w:rPr>
            </w:pPr>
            <w:r>
              <w:rPr>
                <w:rFonts w:hint="eastAsia" w:ascii="宋体" w:hAnsi="宋体" w:eastAsia="宋体" w:cs="宋体"/>
                <w:sz w:val="21"/>
                <w:szCs w:val="21"/>
              </w:rPr>
              <w:t>加强职工培训，规范操作，建立完善的应急制度，定期开展应急事故培训。</w:t>
            </w:r>
          </w:p>
        </w:tc>
      </w:tr>
    </w:tbl>
    <w:p w14:paraId="6301AD64">
      <w:pPr>
        <w:pStyle w:val="31"/>
        <w:ind w:left="0" w:leftChars="0"/>
      </w:pPr>
    </w:p>
    <w:bookmarkEnd w:id="385"/>
    <w:p w14:paraId="2D041250">
      <w:pPr>
        <w:pStyle w:val="2"/>
        <w:kinsoku/>
        <w:wordWrap/>
        <w:overflowPunct/>
        <w:topLinePunct w:val="0"/>
        <w:bidi w:val="0"/>
        <w:adjustRightInd/>
        <w:snapToGrid/>
        <w:textAlignment w:val="auto"/>
        <w:rPr>
          <w:rFonts w:ascii="Times New Roman" w:hAnsi="Times New Roman" w:cs="Times New Roman"/>
          <w:color w:val="auto"/>
        </w:rPr>
      </w:pPr>
      <w:bookmarkStart w:id="460" w:name="_Toc25482"/>
      <w:r>
        <w:rPr>
          <w:rFonts w:hint="eastAsia" w:ascii="Times New Roman" w:hAnsi="Times New Roman" w:cs="Times New Roman"/>
          <w:color w:val="auto"/>
          <w:lang w:val="en-US" w:eastAsia="zh-CN"/>
        </w:rPr>
        <w:t>9</w:t>
      </w:r>
      <w:r>
        <w:rPr>
          <w:rFonts w:ascii="Times New Roman" w:hAnsi="Times New Roman" w:cs="Times New Roman"/>
          <w:color w:val="auto"/>
        </w:rPr>
        <w:t>污染防治对策与措施</w:t>
      </w:r>
      <w:bookmarkEnd w:id="460"/>
    </w:p>
    <w:p w14:paraId="3F70C74F">
      <w:pPr>
        <w:pStyle w:val="3"/>
        <w:kinsoku/>
        <w:wordWrap/>
        <w:overflowPunct/>
        <w:topLinePunct w:val="0"/>
        <w:bidi w:val="0"/>
        <w:adjustRightInd/>
        <w:snapToGrid/>
        <w:textAlignment w:val="auto"/>
      </w:pPr>
      <w:bookmarkStart w:id="461" w:name="_Toc28977"/>
      <w:r>
        <w:rPr>
          <w:rFonts w:hint="eastAsia"/>
          <w:lang w:val="en-US" w:eastAsia="zh-CN"/>
        </w:rPr>
        <w:t>9</w:t>
      </w:r>
      <w:r>
        <w:t>.1施工期污染防治措施分析</w:t>
      </w:r>
      <w:bookmarkEnd w:id="461"/>
    </w:p>
    <w:p w14:paraId="7EBC6170">
      <w:pPr>
        <w:pStyle w:val="5"/>
        <w:kinsoku/>
        <w:wordWrap/>
        <w:overflowPunct/>
        <w:topLinePunct w:val="0"/>
        <w:bidi w:val="0"/>
        <w:adjustRightInd/>
        <w:snapToGrid/>
        <w:spacing w:before="0" w:after="0"/>
        <w:textAlignment w:val="auto"/>
      </w:pPr>
      <w:r>
        <w:rPr>
          <w:rFonts w:hint="eastAsia"/>
          <w:lang w:val="en-US" w:eastAsia="zh-CN"/>
        </w:rPr>
        <w:t>9</w:t>
      </w:r>
      <w:r>
        <w:t>.1.1大气污染防治措施</w:t>
      </w:r>
    </w:p>
    <w:p w14:paraId="0F432F0F">
      <w:pPr>
        <w:kinsoku/>
        <w:wordWrap/>
        <w:overflowPunct/>
        <w:topLinePunct w:val="0"/>
        <w:autoSpaceDE w:val="0"/>
        <w:autoSpaceDN w:val="0"/>
        <w:bidi w:val="0"/>
        <w:adjustRightInd/>
        <w:snapToGrid/>
        <w:ind w:firstLine="480"/>
        <w:textAlignment w:val="auto"/>
      </w:pPr>
      <w:r>
        <w:t>（1）加强施工现场的管理，运送</w:t>
      </w:r>
      <w:r>
        <w:rPr>
          <w:rFonts w:hint="eastAsia"/>
          <w:lang w:eastAsia="zh-CN"/>
        </w:rPr>
        <w:t>建筑</w:t>
      </w:r>
      <w:r>
        <w:t>材料时不得超载，并应采取遮盖、密闭措施，以防泥土洒落，以减少起尘量；应统一存放容易飞散的物料时，并采取盖棚等防风遮挡措施。</w:t>
      </w:r>
    </w:p>
    <w:p w14:paraId="629ED33B">
      <w:pPr>
        <w:autoSpaceDE w:val="0"/>
        <w:autoSpaceDN w:val="0"/>
        <w:ind w:firstLine="480"/>
      </w:pPr>
      <w:r>
        <w:t>（2）采取洒水湿法抑尘；对施工场地内松散、干涸的表土，也应经常洒水防止粉尘。</w:t>
      </w:r>
    </w:p>
    <w:p w14:paraId="6A9F49B9">
      <w:pPr>
        <w:autoSpaceDE w:val="0"/>
        <w:autoSpaceDN w:val="0"/>
        <w:ind w:firstLine="480"/>
      </w:pPr>
      <w:r>
        <w:t>（3）运送易产生扬尘物质的车辆应实行密闭运输，避免在运输过程中发生遗撒或泄漏。出入施工工地的车辆，驶离工地前应清洗车轮及车身。</w:t>
      </w:r>
    </w:p>
    <w:p w14:paraId="0DABE9B5">
      <w:pPr>
        <w:autoSpaceDE w:val="0"/>
        <w:autoSpaceDN w:val="0"/>
        <w:ind w:firstLine="480"/>
      </w:pPr>
      <w:r>
        <w:t>（4）施工期间应加强管理，贯彻边施工、边防护的原则，施工现场要设置围栏，以减少施工扬尘的扩散，减轻对周围环境的影响；施工现场只存放回填的土方量，弃土要及时清运。晴天干燥季节对存土、铲土运输，要常洒水，以保持表 面湿润，减少扬尘产生量。</w:t>
      </w:r>
    </w:p>
    <w:p w14:paraId="06A37D5D">
      <w:pPr>
        <w:pStyle w:val="5"/>
        <w:rPr>
          <w:color w:val="auto"/>
        </w:rPr>
      </w:pPr>
      <w:r>
        <w:rPr>
          <w:rFonts w:hint="eastAsia"/>
          <w:color w:val="auto"/>
          <w:lang w:val="en-US" w:eastAsia="zh-CN"/>
        </w:rPr>
        <w:t>9</w:t>
      </w:r>
      <w:r>
        <w:rPr>
          <w:color w:val="auto"/>
        </w:rPr>
        <w:t>.1.2噪声污染防治措施</w:t>
      </w:r>
    </w:p>
    <w:p w14:paraId="27EAA0EC">
      <w:pPr>
        <w:autoSpaceDE w:val="0"/>
        <w:autoSpaceDN w:val="0"/>
        <w:ind w:firstLine="480"/>
      </w:pPr>
      <w:r>
        <w:t>（1）施工单位应注意施工机械保养和维护，维持施工机械低声级水平，为在较高声源附近工作时间较长的工人发放防声耳塞，并按《工业企业噪声控制设计规范》（GBJ87-85）中的有关规定，合理安排工作人员作业时间或进行工作轮换。对位置相对固定的机械设备，尽量在工棚内操作；不能进入棚内的，可采用围档之类的单面声屏障。噪声大的施工机械在夜间（22:00~8:00）停止施工。</w:t>
      </w:r>
    </w:p>
    <w:p w14:paraId="616C4AD1">
      <w:pPr>
        <w:autoSpaceDE w:val="0"/>
        <w:autoSpaceDN w:val="0"/>
        <w:ind w:firstLine="480"/>
      </w:pPr>
      <w:r>
        <w:t>（2）运输建筑材料的车辆，要做好车辆的维修保养工作，使车辆的噪声级维持在最低水平。加强运输车辆的管理，按规定组织车辆运输，合理规定运输通道。经过居民区时，车辆应限速行驶，减少鸣笛。</w:t>
      </w:r>
    </w:p>
    <w:p w14:paraId="3FE67C30">
      <w:pPr>
        <w:autoSpaceDE w:val="0"/>
        <w:autoSpaceDN w:val="0"/>
        <w:ind w:firstLine="480"/>
      </w:pPr>
      <w:r>
        <w:t>（3）据同类施工场地监测，昼间施工产生的噪声在距施工场地40m处和夜间施工产生的噪声距施工场地300m处均符合标准限值。因此，必须加强管理和调度，提高工效，合理安排施工，尽量不在夜间进行高噪声设备的施工作业，混凝土需要进行连续作业时应先做好人员、设备、场地、材料的准备工作，将搅拌 机运行时间压缩到最低限度。</w:t>
      </w:r>
    </w:p>
    <w:p w14:paraId="2E2CFD26">
      <w:pPr>
        <w:pStyle w:val="5"/>
        <w:rPr>
          <w:color w:val="auto"/>
        </w:rPr>
      </w:pPr>
      <w:r>
        <w:rPr>
          <w:rFonts w:hint="eastAsia"/>
          <w:color w:val="auto"/>
          <w:lang w:val="en-US" w:eastAsia="zh-CN"/>
        </w:rPr>
        <w:t>9</w:t>
      </w:r>
      <w:r>
        <w:rPr>
          <w:color w:val="auto"/>
        </w:rPr>
        <w:t>.1.3水污染防治措施</w:t>
      </w:r>
    </w:p>
    <w:p w14:paraId="24E01F94">
      <w:pPr>
        <w:ind w:firstLine="480" w:firstLineChars="200"/>
      </w:pPr>
      <w:bookmarkStart w:id="462" w:name="_Toc486060839"/>
      <w:r>
        <w:t>（1）施工人员的生活污水不得随地倾倒，以防流入取水地点。</w:t>
      </w:r>
    </w:p>
    <w:p w14:paraId="6086FA04">
      <w:pPr>
        <w:ind w:firstLine="480" w:firstLineChars="200"/>
      </w:pPr>
      <w:r>
        <w:t>（2）各类施工材料应有防雨遮雨设施，工程废料要及时运走。</w:t>
      </w:r>
    </w:p>
    <w:p w14:paraId="7A2B7B74">
      <w:pPr>
        <w:ind w:firstLine="480" w:firstLineChars="200"/>
      </w:pPr>
      <w:r>
        <w:t>（3）施工工地应采用围堰、挡网等措施，防止暴雨时造成水土流失影响周边水环境的水质。</w:t>
      </w:r>
    </w:p>
    <w:p w14:paraId="27865E3D">
      <w:pPr>
        <w:ind w:firstLine="480" w:firstLineChars="200"/>
      </w:pPr>
      <w:r>
        <w:t>（</w:t>
      </w:r>
      <w:r>
        <w:rPr>
          <w:rFonts w:hint="eastAsia"/>
          <w:lang w:val="en-US" w:eastAsia="zh-CN"/>
        </w:rPr>
        <w:t>4</w:t>
      </w:r>
      <w:r>
        <w:t>）在工程竣工以后，施工单位应立即拆除各种临时施工设施，并负责将工地剩余的建筑垃圾、工程渣土处理干净。</w:t>
      </w:r>
    </w:p>
    <w:p w14:paraId="4F5946BC">
      <w:pPr>
        <w:pStyle w:val="5"/>
        <w:rPr>
          <w:color w:val="auto"/>
        </w:rPr>
      </w:pPr>
      <w:r>
        <w:rPr>
          <w:rFonts w:hint="eastAsia"/>
          <w:color w:val="auto"/>
          <w:lang w:val="en-US" w:eastAsia="zh-CN"/>
        </w:rPr>
        <w:t>9</w:t>
      </w:r>
      <w:r>
        <w:rPr>
          <w:color w:val="auto"/>
        </w:rPr>
        <w:t>.1.</w:t>
      </w:r>
      <w:bookmarkEnd w:id="462"/>
      <w:r>
        <w:rPr>
          <w:color w:val="auto"/>
        </w:rPr>
        <w:t>4固体废物防治措施</w:t>
      </w:r>
    </w:p>
    <w:p w14:paraId="18991488">
      <w:pPr>
        <w:ind w:firstLine="480" w:firstLineChars="200"/>
      </w:pPr>
      <w:r>
        <w:t>（1）根据施工产生的施工垃圾和渣土的量，设置容量足够的、有围栏和覆盖设施的堆放场地，分类管理，可利用的渣土尽量在场址内周转，就地利用，以防污染水体和影响周围环境。</w:t>
      </w:r>
    </w:p>
    <w:p w14:paraId="23831355">
      <w:pPr>
        <w:ind w:firstLine="480" w:firstLineChars="200"/>
      </w:pPr>
      <w:r>
        <w:t>（2）生活垃圾与建筑垃圾分开堆放，及时清理，以免污染周围的环境。生活垃圾收集后，应及时由环卫部门分类进行处理。</w:t>
      </w:r>
    </w:p>
    <w:p w14:paraId="2D884D2A">
      <w:pPr>
        <w:ind w:firstLine="480" w:firstLineChars="200"/>
      </w:pPr>
      <w:r>
        <w:t>（3）对于可回收的施工垃圾，如：废旧钢材、木材、塑料等要分门别类的进行分</w:t>
      </w:r>
      <w:r>
        <w:rPr>
          <w:rFonts w:hint="eastAsia"/>
          <w:lang w:eastAsia="zh-CN"/>
        </w:rPr>
        <w:t>拣</w:t>
      </w:r>
      <w:bookmarkStart w:id="552" w:name="_GoBack"/>
      <w:bookmarkEnd w:id="552"/>
      <w:r>
        <w:t>，以便回收利用；对于不能回收的施工垃圾则放入垃圾站并及时清运。</w:t>
      </w:r>
    </w:p>
    <w:p w14:paraId="076381DF">
      <w:pPr>
        <w:pageBreakBefore w:val="0"/>
        <w:kinsoku/>
        <w:wordWrap/>
        <w:overflowPunct/>
        <w:topLinePunct w:val="0"/>
        <w:autoSpaceDE/>
        <w:autoSpaceDN/>
        <w:bidi w:val="0"/>
        <w:adjustRightInd/>
        <w:snapToGrid/>
        <w:ind w:firstLine="480" w:firstLineChars="200"/>
        <w:textAlignment w:val="auto"/>
      </w:pPr>
      <w:r>
        <w:t>（4）车辆运输散体物和废弃物时，必须密封、包扎、覆盖，不得沿途撒漏；运载土方的车辆必须在规定得时间内，按指定路段行驶。</w:t>
      </w:r>
    </w:p>
    <w:p w14:paraId="28247623">
      <w:pPr>
        <w:pStyle w:val="3"/>
        <w:pageBreakBefore w:val="0"/>
        <w:kinsoku/>
        <w:wordWrap/>
        <w:overflowPunct/>
        <w:topLinePunct w:val="0"/>
        <w:autoSpaceDE/>
        <w:autoSpaceDN/>
        <w:bidi w:val="0"/>
        <w:adjustRightInd/>
        <w:snapToGrid/>
        <w:textAlignment w:val="auto"/>
        <w:rPr>
          <w:highlight w:val="none"/>
        </w:rPr>
      </w:pPr>
      <w:bookmarkStart w:id="463" w:name="_Toc15546"/>
      <w:r>
        <w:rPr>
          <w:rFonts w:hint="eastAsia"/>
          <w:highlight w:val="none"/>
          <w:lang w:val="en-US" w:eastAsia="zh-CN"/>
        </w:rPr>
        <w:t>9</w:t>
      </w:r>
      <w:r>
        <w:rPr>
          <w:highlight w:val="none"/>
        </w:rPr>
        <w:t>.2营运期</w:t>
      </w:r>
      <w:r>
        <w:rPr>
          <w:rFonts w:hint="eastAsia"/>
          <w:highlight w:val="none"/>
          <w:lang w:eastAsia="zh-CN"/>
        </w:rPr>
        <w:t>废气</w:t>
      </w:r>
      <w:r>
        <w:rPr>
          <w:highlight w:val="none"/>
        </w:rPr>
        <w:t>污染防治措施</w:t>
      </w:r>
      <w:bookmarkEnd w:id="463"/>
    </w:p>
    <w:p w14:paraId="656E8AA3">
      <w:pPr>
        <w:pStyle w:val="5"/>
        <w:pageBreakBefore w:val="0"/>
        <w:kinsoku/>
        <w:wordWrap/>
        <w:overflowPunct/>
        <w:topLinePunct w:val="0"/>
        <w:autoSpaceDE/>
        <w:autoSpaceDN/>
        <w:bidi w:val="0"/>
        <w:adjustRightInd/>
        <w:snapToGrid/>
        <w:spacing w:before="0" w:after="0"/>
        <w:textAlignment w:val="auto"/>
        <w:rPr>
          <w:rFonts w:hint="default"/>
          <w:lang w:val="en-US" w:eastAsia="zh-CN"/>
        </w:rPr>
      </w:pPr>
      <w:r>
        <w:rPr>
          <w:rFonts w:hint="eastAsia"/>
          <w:lang w:val="en-US" w:eastAsia="zh-CN"/>
        </w:rPr>
        <w:t>9.2.1有组织排放废气</w:t>
      </w:r>
    </w:p>
    <w:p w14:paraId="2360A154">
      <w:pPr>
        <w:pageBreakBefore w:val="0"/>
        <w:kinsoku/>
        <w:wordWrap/>
        <w:overflowPunct/>
        <w:topLinePunct w:val="0"/>
        <w:autoSpaceDE/>
        <w:autoSpaceDN/>
        <w:bidi w:val="0"/>
        <w:adjustRightInd/>
        <w:snapToGrid/>
        <w:textAlignment w:val="auto"/>
        <w:rPr>
          <w:rFonts w:hint="eastAsia"/>
        </w:rPr>
      </w:pPr>
      <w:r>
        <w:rPr>
          <w:rFonts w:hint="eastAsia"/>
        </w:rPr>
        <w:t>项目运行期产生的废气主要为酸</w:t>
      </w:r>
      <w:r>
        <w:rPr>
          <w:rFonts w:hint="eastAsia"/>
          <w:lang w:eastAsia="zh-CN"/>
        </w:rPr>
        <w:t>性</w:t>
      </w:r>
      <w:r>
        <w:rPr>
          <w:rFonts w:hint="eastAsia"/>
        </w:rPr>
        <w:t>废气。酸性废气主要产生于镀锡生产过程，项目主要大气污染物是甲基磺酸。本项目废气污染的防治措施如下：</w:t>
      </w:r>
    </w:p>
    <w:p w14:paraId="39FF7396">
      <w:pPr>
        <w:bidi w:val="0"/>
        <w:rPr>
          <w:rFonts w:hint="default"/>
          <w:lang w:val="en-US" w:eastAsia="zh-CN"/>
        </w:rPr>
      </w:pPr>
      <w:r>
        <w:rPr>
          <w:rFonts w:hint="eastAsia"/>
        </w:rPr>
        <w:t>项目生产线酸</w:t>
      </w:r>
      <w:r>
        <w:rPr>
          <w:rFonts w:hint="eastAsia"/>
          <w:lang w:eastAsia="zh-CN"/>
        </w:rPr>
        <w:t>性</w:t>
      </w:r>
      <w:r>
        <w:rPr>
          <w:rFonts w:hint="eastAsia"/>
        </w:rPr>
        <w:t>废气由槽边抽风收集后，</w:t>
      </w:r>
      <w:r>
        <w:rPr>
          <w:rFonts w:hint="eastAsia"/>
          <w:lang w:val="en-US" w:eastAsia="zh-CN"/>
        </w:rPr>
        <w:t>企业设置酸性气体收集箱（</w:t>
      </w:r>
      <w:r>
        <w:rPr>
          <w:rFonts w:hint="eastAsia" w:ascii="宋体" w:hAnsi="宋体"/>
          <w:sz w:val="24"/>
          <w:szCs w:val="24"/>
          <w:lang w:eastAsia="zh-CN"/>
        </w:rPr>
        <w:t>1200*1200*1200mm</w:t>
      </w:r>
      <w:r>
        <w:rPr>
          <w:rFonts w:hint="eastAsia"/>
          <w:lang w:val="en-US" w:eastAsia="zh-CN"/>
        </w:rPr>
        <w:t>）处理生产过程中产生的酸性废气。收集箱内采用</w:t>
      </w:r>
      <w:r>
        <w:rPr>
          <w:rFonts w:hint="eastAsia" w:ascii="宋体" w:hAnsi="宋体"/>
          <w:sz w:val="24"/>
          <w:szCs w:val="24"/>
          <w:lang w:eastAsia="zh-CN"/>
        </w:rPr>
        <w:t>吸附滤料为SDG-2型酸气吸附剂，吸附剂外观为白色，柱状，是一种多种成分复合的化学吸附剂。SDG-2型吸附剂是一种比表面积较大的固体颗粒状无机物（该吸附剂为固体，废气治理过程中无废水产生），当被净化气体中的酸气扩散运动到达SDG吸附剂表面吸附力场时，便被固定在其表面上，然后与其中活性成分发生化学反应，生成一种新的中性盐物资而储存于SDG吸附剂结构中，SDG吸附剂对酸气的净化是一个多功能的中和作用。</w:t>
      </w:r>
    </w:p>
    <w:p w14:paraId="420679E4">
      <w:pPr>
        <w:bidi w:val="0"/>
        <w:rPr>
          <w:rFonts w:hint="eastAsia" w:eastAsia="宋体"/>
          <w:lang w:eastAsia="zh-CN"/>
        </w:rPr>
      </w:pPr>
      <w:r>
        <w:rPr>
          <w:rFonts w:hint="eastAsia"/>
        </w:rPr>
        <w:t>进入</w:t>
      </w:r>
      <w:r>
        <w:rPr>
          <w:rFonts w:hint="eastAsia"/>
          <w:lang w:eastAsia="zh-CN"/>
        </w:rPr>
        <w:t>废气处理装置</w:t>
      </w:r>
      <w:r>
        <w:rPr>
          <w:rFonts w:hint="eastAsia"/>
        </w:rPr>
        <w:t>进行处理，净化后废气引入车间排气筒高空排放，排气筒位于车间所在楼楼顶，高度为</w:t>
      </w:r>
      <w:r>
        <w:rPr>
          <w:rFonts w:hint="eastAsia"/>
          <w:lang w:val="en-US" w:eastAsia="zh-CN"/>
        </w:rPr>
        <w:t>1</w:t>
      </w:r>
      <w:r>
        <w:rPr>
          <w:rFonts w:hint="eastAsia"/>
        </w:rPr>
        <w:t>5m，直径0.6m。</w:t>
      </w:r>
      <w:r>
        <w:rPr>
          <w:rFonts w:hint="eastAsia"/>
          <w:lang w:eastAsia="zh-CN"/>
        </w:rPr>
        <w:t>项目废气处理工艺流程如下图所示。</w:t>
      </w:r>
    </w:p>
    <w:p w14:paraId="0344C9EA">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eastAsia="宋体"/>
          <w:lang w:eastAsia="zh-CN"/>
        </w:rPr>
      </w:pPr>
      <w:r>
        <w:rPr>
          <w:rFonts w:hint="eastAsia" w:eastAsia="宋体"/>
          <w:lang w:eastAsia="zh-CN"/>
        </w:rPr>
        <w:drawing>
          <wp:inline distT="0" distB="0" distL="114300" distR="114300">
            <wp:extent cx="5274945" cy="2993390"/>
            <wp:effectExtent l="0" t="0" r="1905" b="16510"/>
            <wp:docPr id="1" name="图片 1" descr="截图20200410140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截图20200410140059"/>
                    <pic:cNvPicPr>
                      <a:picLocks noChangeAspect="1"/>
                    </pic:cNvPicPr>
                  </pic:nvPicPr>
                  <pic:blipFill>
                    <a:blip r:embed="rId46"/>
                    <a:stretch>
                      <a:fillRect/>
                    </a:stretch>
                  </pic:blipFill>
                  <pic:spPr>
                    <a:xfrm>
                      <a:off x="0" y="0"/>
                      <a:ext cx="5274945" cy="2993390"/>
                    </a:xfrm>
                    <a:prstGeom prst="rect">
                      <a:avLst/>
                    </a:prstGeom>
                  </pic:spPr>
                </pic:pic>
              </a:graphicData>
            </a:graphic>
          </wp:inline>
        </w:drawing>
      </w:r>
    </w:p>
    <w:p w14:paraId="77DAAE88">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黑体" w:hAnsi="黑体" w:eastAsia="黑体" w:cs="黑体"/>
          <w:sz w:val="21"/>
          <w:szCs w:val="21"/>
          <w:lang w:val="en-US" w:eastAsia="zh-CN"/>
        </w:rPr>
      </w:pPr>
      <w:r>
        <w:rPr>
          <w:rFonts w:hint="eastAsia" w:ascii="黑体" w:hAnsi="黑体" w:eastAsia="黑体" w:cs="黑体"/>
          <w:sz w:val="21"/>
          <w:szCs w:val="21"/>
          <w:lang w:eastAsia="zh-CN"/>
        </w:rPr>
        <w:t>图</w:t>
      </w:r>
      <w:r>
        <w:rPr>
          <w:rFonts w:hint="eastAsia" w:ascii="黑体" w:hAnsi="黑体" w:eastAsia="黑体" w:cs="黑体"/>
          <w:sz w:val="21"/>
          <w:szCs w:val="21"/>
          <w:lang w:val="en-US" w:eastAsia="zh-CN"/>
        </w:rPr>
        <w:t>9-1废气处理工艺流程图</w:t>
      </w:r>
    </w:p>
    <w:p w14:paraId="5A82F3C2">
      <w:pPr>
        <w:pStyle w:val="5"/>
        <w:bidi w:val="0"/>
        <w:rPr>
          <w:rFonts w:hint="default"/>
          <w:lang w:val="en-US" w:eastAsia="zh-CN"/>
        </w:rPr>
      </w:pPr>
      <w:r>
        <w:rPr>
          <w:rFonts w:hint="eastAsia"/>
          <w:lang w:val="en-US" w:eastAsia="zh-CN"/>
        </w:rPr>
        <w:t>9.2.2无组织排放废气</w:t>
      </w:r>
    </w:p>
    <w:p w14:paraId="67853227">
      <w:pPr>
        <w:bidi w:val="0"/>
        <w:rPr>
          <w:rFonts w:hint="default"/>
          <w:lang w:val="en-US" w:eastAsia="zh-CN"/>
        </w:rPr>
      </w:pPr>
      <w:r>
        <w:rPr>
          <w:rFonts w:hint="default"/>
          <w:lang w:val="en-US" w:eastAsia="zh-CN"/>
        </w:rPr>
        <w:t>针对生产过程中无组织排放产生的废气，项目计划采取在车间加强通风，及时将酸</w:t>
      </w:r>
      <w:r>
        <w:rPr>
          <w:rFonts w:hint="eastAsia"/>
          <w:lang w:val="en-US" w:eastAsia="zh-CN"/>
        </w:rPr>
        <w:t>性</w:t>
      </w:r>
      <w:r>
        <w:rPr>
          <w:rFonts w:hint="default"/>
          <w:lang w:val="en-US" w:eastAsia="zh-CN"/>
        </w:rPr>
        <w:t>废气等无组织废气排出车间。在不进行生产时，对除油槽、镀锡槽进行加盖封闭，尽可能减少槽液中环境有害物质的挥发量。通过采取上述措施，确保废气污染物厂界浓度满足</w:t>
      </w:r>
      <w:r>
        <w:rPr>
          <w:rFonts w:hint="eastAsia"/>
        </w:rPr>
        <w:t>《</w:t>
      </w:r>
      <w:r>
        <w:rPr>
          <w:rFonts w:hint="eastAsia"/>
          <w:lang w:eastAsia="zh-CN"/>
        </w:rPr>
        <w:t>挥发性有机物无组织排放标准</w:t>
      </w:r>
      <w:r>
        <w:rPr>
          <w:rFonts w:hint="eastAsia"/>
        </w:rPr>
        <w:t>》（</w:t>
      </w:r>
      <w:r>
        <w:rPr>
          <w:rFonts w:hint="default"/>
        </w:rPr>
        <w:t>GB</w:t>
      </w:r>
      <w:r>
        <w:rPr>
          <w:rFonts w:hint="eastAsia"/>
          <w:lang w:val="en-US" w:eastAsia="zh-CN"/>
        </w:rPr>
        <w:t>37822-2019</w:t>
      </w:r>
      <w:r>
        <w:rPr>
          <w:rFonts w:hint="eastAsia"/>
        </w:rPr>
        <w:t>）标准</w:t>
      </w:r>
      <w:r>
        <w:rPr>
          <w:rFonts w:hint="eastAsia"/>
          <w:lang w:eastAsia="zh-CN"/>
        </w:rPr>
        <w:t>中企业厂区内</w:t>
      </w:r>
      <w:r>
        <w:rPr>
          <w:rFonts w:hint="eastAsia"/>
          <w:lang w:val="en-US" w:eastAsia="zh-CN"/>
        </w:rPr>
        <w:t>VOCs无组织排放限值要求</w:t>
      </w:r>
      <w:r>
        <w:rPr>
          <w:rFonts w:hint="default"/>
          <w:lang w:val="en-US" w:eastAsia="zh-CN"/>
        </w:rPr>
        <w:t>。</w:t>
      </w:r>
    </w:p>
    <w:p w14:paraId="5C788837">
      <w:pPr>
        <w:bidi w:val="0"/>
        <w:rPr>
          <w:rFonts w:hint="default"/>
          <w:lang w:val="en-US" w:eastAsia="zh-CN"/>
        </w:rPr>
      </w:pPr>
      <w:r>
        <w:rPr>
          <w:rFonts w:hint="default"/>
          <w:lang w:val="en-US" w:eastAsia="zh-CN"/>
        </w:rPr>
        <w:t>综上所述，本项目采取废气治理措施后能够使得大气污染物达标排放，所采用的废气治理措施均是常见和成熟的电镀废气治理工艺，废气治理措施具有经济、技术可行性。</w:t>
      </w:r>
    </w:p>
    <w:p w14:paraId="3BC0E456">
      <w:pPr>
        <w:pStyle w:val="3"/>
        <w:bidi w:val="0"/>
        <w:rPr>
          <w:rFonts w:hint="default"/>
          <w:lang w:val="en-US" w:eastAsia="zh-CN"/>
        </w:rPr>
      </w:pPr>
      <w:bookmarkStart w:id="464" w:name="_Toc5139"/>
      <w:r>
        <w:rPr>
          <w:rFonts w:hint="eastAsia"/>
          <w:lang w:val="en-US" w:eastAsia="zh-CN"/>
        </w:rPr>
        <w:t>9.3废水防治措施</w:t>
      </w:r>
      <w:bookmarkEnd w:id="464"/>
    </w:p>
    <w:p w14:paraId="08558331">
      <w:pPr>
        <w:pStyle w:val="5"/>
        <w:bidi w:val="0"/>
        <w:rPr>
          <w:rFonts w:hint="default"/>
          <w:lang w:val="en-US" w:eastAsia="zh-CN"/>
        </w:rPr>
      </w:pPr>
      <w:r>
        <w:rPr>
          <w:rFonts w:hint="eastAsia"/>
          <w:lang w:val="en-US" w:eastAsia="zh-CN"/>
        </w:rPr>
        <w:t>9.3.1生活污水治理措施</w:t>
      </w:r>
    </w:p>
    <w:p w14:paraId="6474D195">
      <w:pPr>
        <w:rPr>
          <w:rFonts w:hint="eastAsia"/>
          <w:lang w:val="en-US" w:eastAsia="zh-CN"/>
        </w:rPr>
      </w:pPr>
      <w:r>
        <w:rPr>
          <w:rFonts w:hint="eastAsia"/>
          <w:lang w:val="en-US" w:eastAsia="zh-CN"/>
        </w:rPr>
        <w:t>本项目投产后共有员工10人，生活用水量按每人每天50L计算，年工作天数300天，废水产生率已0.8计算，则项目建成运营后生活污水产生量约为120m3/a。生活污水主要污染物为SS、COD、BOD</w:t>
      </w:r>
      <w:r>
        <w:rPr>
          <w:rFonts w:hint="eastAsia"/>
          <w:vertAlign w:val="subscript"/>
          <w:lang w:val="en-US" w:eastAsia="zh-CN"/>
        </w:rPr>
        <w:t>5</w:t>
      </w:r>
      <w:r>
        <w:rPr>
          <w:rFonts w:hint="eastAsia"/>
          <w:lang w:val="en-US" w:eastAsia="zh-CN"/>
        </w:rPr>
        <w:t>和氨氮。项目产生的生活污水排入企业现有化粪池内，定期清掏，不外排。</w:t>
      </w:r>
    </w:p>
    <w:p w14:paraId="6D37537A">
      <w:pPr>
        <w:rPr>
          <w:rFonts w:hint="eastAsia"/>
          <w:lang w:val="en-US" w:eastAsia="zh-CN"/>
        </w:rPr>
      </w:pPr>
      <w:r>
        <w:rPr>
          <w:rFonts w:hint="eastAsia" w:ascii="Times New Roman" w:hAnsi="Times New Roman"/>
          <w:lang w:val="en-US" w:eastAsia="zh-CN"/>
        </w:rPr>
        <w:t>本溪佰汇铜业有限公司现有</w:t>
      </w:r>
      <w:r>
        <w:rPr>
          <w:rFonts w:hint="eastAsia"/>
          <w:lang w:val="en-US" w:eastAsia="zh-CN"/>
        </w:rPr>
        <w:t>员工46人，生活污水产生量为239.2t/a，企业设置200m</w:t>
      </w:r>
      <w:r>
        <w:rPr>
          <w:rFonts w:hint="eastAsia"/>
          <w:vertAlign w:val="superscript"/>
          <w:lang w:val="en-US" w:eastAsia="zh-CN"/>
        </w:rPr>
        <w:t>3</w:t>
      </w:r>
      <w:r>
        <w:rPr>
          <w:rFonts w:hint="eastAsia"/>
          <w:lang w:val="en-US" w:eastAsia="zh-CN"/>
        </w:rPr>
        <w:t>化粪池一座，每半年清掏一次，化粪池内最大污水贮存量为119.6t，剩余80.4m</w:t>
      </w:r>
      <w:r>
        <w:rPr>
          <w:rFonts w:hint="eastAsia"/>
          <w:vertAlign w:val="superscript"/>
          <w:lang w:val="en-US" w:eastAsia="zh-CN"/>
        </w:rPr>
        <w:t>3</w:t>
      </w:r>
      <w:r>
        <w:rPr>
          <w:rFonts w:hint="eastAsia"/>
          <w:lang w:val="en-US" w:eastAsia="zh-CN"/>
        </w:rPr>
        <w:t>容积，本项目生活污水产生量为60m</w:t>
      </w:r>
      <w:r>
        <w:rPr>
          <w:rFonts w:hint="eastAsia"/>
          <w:vertAlign w:val="superscript"/>
          <w:lang w:val="en-US" w:eastAsia="zh-CN"/>
        </w:rPr>
        <w:t>3</w:t>
      </w:r>
      <w:r>
        <w:rPr>
          <w:rFonts w:hint="eastAsia"/>
          <w:lang w:val="en-US" w:eastAsia="zh-CN"/>
        </w:rPr>
        <w:t>/半年，企业化粪池剩余容积能够满足本项目废水贮存量要求，因此依托原有化粪池可行。</w:t>
      </w:r>
    </w:p>
    <w:p w14:paraId="1E0A56A3">
      <w:pPr>
        <w:pStyle w:val="5"/>
        <w:bidi w:val="0"/>
        <w:rPr>
          <w:rFonts w:hint="default"/>
          <w:lang w:val="en-US" w:eastAsia="zh-CN"/>
        </w:rPr>
      </w:pPr>
      <w:r>
        <w:rPr>
          <w:rFonts w:hint="eastAsia"/>
          <w:lang w:val="en-US" w:eastAsia="zh-CN"/>
        </w:rPr>
        <w:t>9.3.2生产废水治理措施</w:t>
      </w:r>
    </w:p>
    <w:p w14:paraId="5ED5393B">
      <w:pPr>
        <w:bidi w:val="0"/>
        <w:rPr>
          <w:rFonts w:hint="eastAsia"/>
          <w:lang w:val="en-US" w:eastAsia="zh-CN"/>
        </w:rPr>
      </w:pPr>
      <w:r>
        <w:rPr>
          <w:rFonts w:hint="eastAsia"/>
          <w:lang w:val="en-US" w:eastAsia="zh-CN"/>
        </w:rPr>
        <w:t>本项目投产后产生废水主要包括：前处理废水（电镀生产线前处理脱脂废槽液、脱脂后水洗废水）、含锡废水（镀锡后水洗产生的含锡废水），项目废水产生情况如下表所示。</w:t>
      </w:r>
    </w:p>
    <w:p w14:paraId="41D3B697">
      <w:pPr>
        <w:pStyle w:val="72"/>
        <w:jc w:val="center"/>
        <w:rPr>
          <w:rFonts w:hint="eastAsia"/>
          <w:lang w:val="en-US" w:eastAsia="zh-CN"/>
        </w:rPr>
      </w:pPr>
      <w:r>
        <w:rPr>
          <w:rFonts w:hint="eastAsia" w:ascii="黑体" w:hAnsi="黑体" w:eastAsia="黑体" w:cs="黑体"/>
          <w:sz w:val="21"/>
          <w:szCs w:val="21"/>
          <w:lang w:val="en-US" w:eastAsia="zh-CN"/>
        </w:rPr>
        <w:t>表9-1项目生产废水产生情况t/a</w:t>
      </w:r>
    </w:p>
    <w:tbl>
      <w:tblPr>
        <w:tblStyle w:val="53"/>
        <w:tblW w:w="4998"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2234"/>
        <w:gridCol w:w="2236"/>
        <w:gridCol w:w="2236"/>
        <w:gridCol w:w="2236"/>
      </w:tblGrid>
      <w:tr w14:paraId="28F3049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49" w:type="pct"/>
            <w:tcBorders>
              <w:tl2br w:val="nil"/>
              <w:tr2bl w:val="nil"/>
            </w:tcBorders>
            <w:vAlign w:val="center"/>
          </w:tcPr>
          <w:p w14:paraId="68D38612">
            <w:pPr>
              <w:pStyle w:val="72"/>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产生环节</w:t>
            </w:r>
          </w:p>
        </w:tc>
        <w:tc>
          <w:tcPr>
            <w:tcW w:w="1250" w:type="pct"/>
            <w:tcBorders>
              <w:tl2br w:val="nil"/>
              <w:tr2bl w:val="nil"/>
            </w:tcBorders>
            <w:vAlign w:val="center"/>
          </w:tcPr>
          <w:p w14:paraId="14A1439D">
            <w:pPr>
              <w:pStyle w:val="72"/>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废水种类</w:t>
            </w:r>
          </w:p>
        </w:tc>
        <w:tc>
          <w:tcPr>
            <w:tcW w:w="1250" w:type="pct"/>
            <w:tcBorders>
              <w:tl2br w:val="nil"/>
              <w:tr2bl w:val="nil"/>
            </w:tcBorders>
            <w:vAlign w:val="center"/>
          </w:tcPr>
          <w:p w14:paraId="4184BE04">
            <w:pPr>
              <w:pStyle w:val="72"/>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废水量</w:t>
            </w:r>
          </w:p>
        </w:tc>
        <w:tc>
          <w:tcPr>
            <w:tcW w:w="1250" w:type="pct"/>
            <w:tcBorders>
              <w:tl2br w:val="nil"/>
              <w:tr2bl w:val="nil"/>
            </w:tcBorders>
            <w:vAlign w:val="center"/>
          </w:tcPr>
          <w:p w14:paraId="3720C258">
            <w:pPr>
              <w:pStyle w:val="72"/>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主要污染因子</w:t>
            </w:r>
          </w:p>
        </w:tc>
      </w:tr>
      <w:tr w14:paraId="58A1F75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49" w:type="pct"/>
            <w:tcBorders>
              <w:tl2br w:val="nil"/>
              <w:tr2bl w:val="nil"/>
            </w:tcBorders>
            <w:vAlign w:val="center"/>
          </w:tcPr>
          <w:p w14:paraId="4B599C0B">
            <w:pPr>
              <w:pStyle w:val="72"/>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电解脱脂</w:t>
            </w:r>
          </w:p>
        </w:tc>
        <w:tc>
          <w:tcPr>
            <w:tcW w:w="1250" w:type="pct"/>
            <w:vMerge w:val="restart"/>
            <w:tcBorders>
              <w:tl2br w:val="nil"/>
              <w:tr2bl w:val="nil"/>
            </w:tcBorders>
            <w:vAlign w:val="center"/>
          </w:tcPr>
          <w:p w14:paraId="302EE851">
            <w:pPr>
              <w:pStyle w:val="72"/>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前处理废水</w:t>
            </w:r>
          </w:p>
        </w:tc>
        <w:tc>
          <w:tcPr>
            <w:tcW w:w="1250" w:type="pct"/>
            <w:tcBorders>
              <w:tl2br w:val="nil"/>
              <w:tr2bl w:val="nil"/>
            </w:tcBorders>
            <w:vAlign w:val="center"/>
          </w:tcPr>
          <w:p w14:paraId="4329A25C">
            <w:pPr>
              <w:pStyle w:val="72"/>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6</w:t>
            </w:r>
          </w:p>
        </w:tc>
        <w:tc>
          <w:tcPr>
            <w:tcW w:w="1250" w:type="pct"/>
            <w:vMerge w:val="restart"/>
            <w:tcBorders>
              <w:tl2br w:val="nil"/>
              <w:tr2bl w:val="nil"/>
            </w:tcBorders>
            <w:vAlign w:val="center"/>
          </w:tcPr>
          <w:p w14:paraId="71D4F46F">
            <w:pPr>
              <w:pStyle w:val="72"/>
              <w:jc w:val="center"/>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pH、COD、SS、石油类</w:t>
            </w:r>
          </w:p>
        </w:tc>
      </w:tr>
      <w:tr w14:paraId="67DF16C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49" w:type="pct"/>
            <w:tcBorders>
              <w:tl2br w:val="nil"/>
              <w:tr2bl w:val="nil"/>
            </w:tcBorders>
            <w:vAlign w:val="center"/>
          </w:tcPr>
          <w:p w14:paraId="3A2F2F54">
            <w:pPr>
              <w:pStyle w:val="72"/>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电解脱脂后水洗</w:t>
            </w:r>
          </w:p>
        </w:tc>
        <w:tc>
          <w:tcPr>
            <w:tcW w:w="1250" w:type="pct"/>
            <w:vMerge w:val="continue"/>
            <w:tcBorders>
              <w:tl2br w:val="nil"/>
              <w:tr2bl w:val="nil"/>
            </w:tcBorders>
            <w:vAlign w:val="center"/>
          </w:tcPr>
          <w:p w14:paraId="4C2743FB">
            <w:pPr>
              <w:pStyle w:val="72"/>
              <w:jc w:val="center"/>
              <w:rPr>
                <w:rFonts w:hint="eastAsia" w:ascii="宋体" w:hAnsi="宋体" w:eastAsia="宋体" w:cs="宋体"/>
                <w:sz w:val="21"/>
                <w:szCs w:val="21"/>
                <w:vertAlign w:val="baseline"/>
                <w:lang w:val="en-US" w:eastAsia="zh-CN"/>
              </w:rPr>
            </w:pPr>
          </w:p>
        </w:tc>
        <w:tc>
          <w:tcPr>
            <w:tcW w:w="1250" w:type="pct"/>
            <w:tcBorders>
              <w:tl2br w:val="nil"/>
              <w:tr2bl w:val="nil"/>
            </w:tcBorders>
            <w:vAlign w:val="center"/>
          </w:tcPr>
          <w:p w14:paraId="02966019">
            <w:pPr>
              <w:pStyle w:val="72"/>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564</w:t>
            </w:r>
          </w:p>
        </w:tc>
        <w:tc>
          <w:tcPr>
            <w:tcW w:w="1250" w:type="pct"/>
            <w:vMerge w:val="continue"/>
            <w:tcBorders>
              <w:tl2br w:val="nil"/>
              <w:tr2bl w:val="nil"/>
            </w:tcBorders>
            <w:vAlign w:val="center"/>
          </w:tcPr>
          <w:p w14:paraId="1CA0DD00">
            <w:pPr>
              <w:pStyle w:val="72"/>
              <w:jc w:val="center"/>
              <w:rPr>
                <w:rFonts w:hint="eastAsia" w:ascii="宋体" w:hAnsi="宋体" w:eastAsia="宋体" w:cs="宋体"/>
                <w:sz w:val="21"/>
                <w:szCs w:val="21"/>
                <w:vertAlign w:val="baseline"/>
                <w:lang w:val="en-US" w:eastAsia="zh-CN"/>
              </w:rPr>
            </w:pPr>
          </w:p>
        </w:tc>
      </w:tr>
      <w:tr w14:paraId="17AA025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49" w:type="pct"/>
            <w:tcBorders>
              <w:tl2br w:val="nil"/>
              <w:tr2bl w:val="nil"/>
            </w:tcBorders>
            <w:vAlign w:val="center"/>
          </w:tcPr>
          <w:p w14:paraId="646D5263">
            <w:pPr>
              <w:pStyle w:val="72"/>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镀锡后水洗</w:t>
            </w:r>
          </w:p>
        </w:tc>
        <w:tc>
          <w:tcPr>
            <w:tcW w:w="1250" w:type="pct"/>
            <w:tcBorders>
              <w:tl2br w:val="nil"/>
              <w:tr2bl w:val="nil"/>
            </w:tcBorders>
            <w:vAlign w:val="center"/>
          </w:tcPr>
          <w:p w14:paraId="76C895B8">
            <w:pPr>
              <w:pStyle w:val="72"/>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含锡废水</w:t>
            </w:r>
          </w:p>
        </w:tc>
        <w:tc>
          <w:tcPr>
            <w:tcW w:w="1250" w:type="pct"/>
            <w:tcBorders>
              <w:tl2br w:val="nil"/>
              <w:tr2bl w:val="nil"/>
            </w:tcBorders>
            <w:vAlign w:val="center"/>
          </w:tcPr>
          <w:p w14:paraId="101E73FD">
            <w:pPr>
              <w:pStyle w:val="72"/>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423</w:t>
            </w:r>
          </w:p>
        </w:tc>
        <w:tc>
          <w:tcPr>
            <w:tcW w:w="1250" w:type="pct"/>
            <w:tcBorders>
              <w:tl2br w:val="nil"/>
              <w:tr2bl w:val="nil"/>
            </w:tcBorders>
            <w:vAlign w:val="center"/>
          </w:tcPr>
          <w:p w14:paraId="2671F3BD">
            <w:pPr>
              <w:pStyle w:val="72"/>
              <w:jc w:val="center"/>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pH、COD、总锡</w:t>
            </w:r>
          </w:p>
        </w:tc>
      </w:tr>
    </w:tbl>
    <w:p w14:paraId="41597380">
      <w:pPr>
        <w:rPr>
          <w:rFonts w:hint="default"/>
          <w:lang w:val="en-US" w:eastAsia="zh-CN"/>
        </w:rPr>
      </w:pPr>
      <w:r>
        <w:rPr>
          <w:rFonts w:hint="eastAsia"/>
          <w:lang w:val="en-US" w:eastAsia="zh-CN"/>
        </w:rPr>
        <w:t>项目生产废水污染物产生情况如下表所示。</w:t>
      </w:r>
    </w:p>
    <w:p w14:paraId="7CFFB754">
      <w:pPr>
        <w:pStyle w:val="72"/>
        <w:jc w:val="center"/>
        <w:rPr>
          <w:rFonts w:hint="eastAsia" w:ascii="黑体" w:hAnsi="黑体" w:eastAsia="黑体" w:cs="黑体"/>
          <w:sz w:val="21"/>
          <w:szCs w:val="21"/>
          <w:highlight w:val="none"/>
          <w:lang w:val="en-US" w:eastAsia="zh-CN"/>
        </w:rPr>
      </w:pPr>
      <w:r>
        <w:rPr>
          <w:rFonts w:hint="eastAsia" w:ascii="黑体" w:hAnsi="黑体" w:eastAsia="黑体" w:cs="黑体"/>
          <w:sz w:val="21"/>
          <w:szCs w:val="21"/>
          <w:highlight w:val="none"/>
          <w:lang w:val="en-US" w:eastAsia="zh-CN"/>
        </w:rPr>
        <w:t>表9-2生产废水污染物产生情况</w:t>
      </w:r>
    </w:p>
    <w:tbl>
      <w:tblPr>
        <w:tblStyle w:val="53"/>
        <w:tblW w:w="4998"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2234"/>
        <w:gridCol w:w="2236"/>
        <w:gridCol w:w="2236"/>
        <w:gridCol w:w="2236"/>
      </w:tblGrid>
      <w:tr w14:paraId="54DAC74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49" w:type="pct"/>
            <w:tcBorders>
              <w:tl2br w:val="nil"/>
              <w:tr2bl w:val="nil"/>
            </w:tcBorders>
            <w:vAlign w:val="center"/>
          </w:tcPr>
          <w:p w14:paraId="716EE372">
            <w:pPr>
              <w:pStyle w:val="72"/>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废水种类</w:t>
            </w:r>
          </w:p>
        </w:tc>
        <w:tc>
          <w:tcPr>
            <w:tcW w:w="1250" w:type="pct"/>
            <w:tcBorders>
              <w:tl2br w:val="nil"/>
              <w:tr2bl w:val="nil"/>
            </w:tcBorders>
            <w:vAlign w:val="center"/>
          </w:tcPr>
          <w:p w14:paraId="576F5E6D">
            <w:pPr>
              <w:pStyle w:val="72"/>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前处理废水</w:t>
            </w:r>
          </w:p>
        </w:tc>
        <w:tc>
          <w:tcPr>
            <w:tcW w:w="1250" w:type="pct"/>
            <w:tcBorders>
              <w:tl2br w:val="nil"/>
              <w:tr2bl w:val="nil"/>
            </w:tcBorders>
            <w:vAlign w:val="center"/>
          </w:tcPr>
          <w:p w14:paraId="17171ABE">
            <w:pPr>
              <w:pStyle w:val="72"/>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含锡废水</w:t>
            </w:r>
          </w:p>
        </w:tc>
        <w:tc>
          <w:tcPr>
            <w:tcW w:w="1250" w:type="pct"/>
            <w:tcBorders>
              <w:tl2br w:val="nil"/>
              <w:tr2bl w:val="nil"/>
            </w:tcBorders>
            <w:vAlign w:val="center"/>
          </w:tcPr>
          <w:p w14:paraId="569DEB15">
            <w:pPr>
              <w:pStyle w:val="72"/>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合计t/a</w:t>
            </w:r>
          </w:p>
        </w:tc>
      </w:tr>
      <w:tr w14:paraId="3ED4C80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49" w:type="pct"/>
            <w:tcBorders>
              <w:tl2br w:val="nil"/>
              <w:tr2bl w:val="nil"/>
            </w:tcBorders>
            <w:vAlign w:val="center"/>
          </w:tcPr>
          <w:p w14:paraId="4F3DF735">
            <w:pPr>
              <w:pStyle w:val="72"/>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废水量</w:t>
            </w:r>
          </w:p>
        </w:tc>
        <w:tc>
          <w:tcPr>
            <w:tcW w:w="1250" w:type="pct"/>
            <w:tcBorders>
              <w:tl2br w:val="nil"/>
              <w:tr2bl w:val="nil"/>
            </w:tcBorders>
            <w:vAlign w:val="center"/>
          </w:tcPr>
          <w:p w14:paraId="2ECFD0EF">
            <w:pPr>
              <w:pStyle w:val="72"/>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570t/a</w:t>
            </w:r>
          </w:p>
        </w:tc>
        <w:tc>
          <w:tcPr>
            <w:tcW w:w="1250" w:type="pct"/>
            <w:tcBorders>
              <w:tl2br w:val="nil"/>
              <w:tr2bl w:val="nil"/>
            </w:tcBorders>
            <w:vAlign w:val="center"/>
          </w:tcPr>
          <w:p w14:paraId="50382D83">
            <w:pPr>
              <w:pStyle w:val="72"/>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423t/a</w:t>
            </w:r>
          </w:p>
        </w:tc>
        <w:tc>
          <w:tcPr>
            <w:tcW w:w="1250" w:type="pct"/>
            <w:tcBorders>
              <w:tl2br w:val="nil"/>
              <w:tr2bl w:val="nil"/>
            </w:tcBorders>
            <w:vAlign w:val="center"/>
          </w:tcPr>
          <w:p w14:paraId="10084C33">
            <w:pPr>
              <w:pStyle w:val="72"/>
              <w:jc w:val="center"/>
              <w:rPr>
                <w:rFonts w:hint="default"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993</w:t>
            </w:r>
          </w:p>
        </w:tc>
      </w:tr>
      <w:tr w14:paraId="2E45E0B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49" w:type="pct"/>
            <w:tcBorders>
              <w:tl2br w:val="nil"/>
              <w:tr2bl w:val="nil"/>
            </w:tcBorders>
            <w:vAlign w:val="center"/>
          </w:tcPr>
          <w:p w14:paraId="692783FC">
            <w:pPr>
              <w:pStyle w:val="72"/>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COD</w:t>
            </w:r>
          </w:p>
        </w:tc>
        <w:tc>
          <w:tcPr>
            <w:tcW w:w="1250" w:type="pct"/>
            <w:tcBorders>
              <w:tl2br w:val="nil"/>
              <w:tr2bl w:val="nil"/>
            </w:tcBorders>
            <w:vAlign w:val="center"/>
          </w:tcPr>
          <w:p w14:paraId="431F7230">
            <w:pPr>
              <w:pStyle w:val="72"/>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90mg/L</w:t>
            </w:r>
          </w:p>
        </w:tc>
        <w:tc>
          <w:tcPr>
            <w:tcW w:w="1250" w:type="pct"/>
            <w:tcBorders>
              <w:tl2br w:val="nil"/>
              <w:tr2bl w:val="nil"/>
            </w:tcBorders>
            <w:vAlign w:val="center"/>
          </w:tcPr>
          <w:p w14:paraId="6348DA4D">
            <w:pPr>
              <w:pStyle w:val="72"/>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90mg/L</w:t>
            </w:r>
          </w:p>
        </w:tc>
        <w:tc>
          <w:tcPr>
            <w:tcW w:w="1250" w:type="pct"/>
            <w:tcBorders>
              <w:tl2br w:val="nil"/>
              <w:tr2bl w:val="nil"/>
            </w:tcBorders>
            <w:vAlign w:val="center"/>
          </w:tcPr>
          <w:p w14:paraId="3318813A">
            <w:pPr>
              <w:pStyle w:val="72"/>
              <w:jc w:val="center"/>
              <w:rPr>
                <w:rFonts w:hint="default"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0.089</w:t>
            </w:r>
          </w:p>
        </w:tc>
      </w:tr>
      <w:tr w14:paraId="06D2E60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49" w:type="pct"/>
            <w:tcBorders>
              <w:tl2br w:val="nil"/>
              <w:tr2bl w:val="nil"/>
            </w:tcBorders>
            <w:vAlign w:val="center"/>
          </w:tcPr>
          <w:p w14:paraId="5D90ACCC">
            <w:pPr>
              <w:pStyle w:val="72"/>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SS</w:t>
            </w:r>
          </w:p>
        </w:tc>
        <w:tc>
          <w:tcPr>
            <w:tcW w:w="1250" w:type="pct"/>
            <w:tcBorders>
              <w:tl2br w:val="nil"/>
              <w:tr2bl w:val="nil"/>
            </w:tcBorders>
            <w:vAlign w:val="center"/>
          </w:tcPr>
          <w:p w14:paraId="52082158">
            <w:pPr>
              <w:pStyle w:val="72"/>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100mg/L</w:t>
            </w:r>
          </w:p>
        </w:tc>
        <w:tc>
          <w:tcPr>
            <w:tcW w:w="1250" w:type="pct"/>
            <w:tcBorders>
              <w:tl2br w:val="nil"/>
              <w:tr2bl w:val="nil"/>
            </w:tcBorders>
            <w:vAlign w:val="center"/>
          </w:tcPr>
          <w:p w14:paraId="4B3AE08E">
            <w:pPr>
              <w:pStyle w:val="72"/>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w:t>
            </w:r>
          </w:p>
        </w:tc>
        <w:tc>
          <w:tcPr>
            <w:tcW w:w="1250" w:type="pct"/>
            <w:tcBorders>
              <w:tl2br w:val="nil"/>
              <w:tr2bl w:val="nil"/>
            </w:tcBorders>
            <w:vAlign w:val="center"/>
          </w:tcPr>
          <w:p w14:paraId="05DB1720">
            <w:pPr>
              <w:pStyle w:val="72"/>
              <w:jc w:val="center"/>
              <w:rPr>
                <w:rFonts w:hint="default"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0.057</w:t>
            </w:r>
          </w:p>
        </w:tc>
      </w:tr>
      <w:tr w14:paraId="459A67B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49" w:type="pct"/>
            <w:tcBorders>
              <w:tl2br w:val="nil"/>
              <w:tr2bl w:val="nil"/>
            </w:tcBorders>
            <w:vAlign w:val="center"/>
          </w:tcPr>
          <w:p w14:paraId="025E13D2">
            <w:pPr>
              <w:pStyle w:val="72"/>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石油类</w:t>
            </w:r>
          </w:p>
        </w:tc>
        <w:tc>
          <w:tcPr>
            <w:tcW w:w="1250" w:type="pct"/>
            <w:tcBorders>
              <w:tl2br w:val="nil"/>
              <w:tr2bl w:val="nil"/>
            </w:tcBorders>
            <w:vAlign w:val="center"/>
          </w:tcPr>
          <w:p w14:paraId="3C5ED86F">
            <w:pPr>
              <w:pStyle w:val="72"/>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15mg/L</w:t>
            </w:r>
          </w:p>
        </w:tc>
        <w:tc>
          <w:tcPr>
            <w:tcW w:w="1250" w:type="pct"/>
            <w:tcBorders>
              <w:tl2br w:val="nil"/>
              <w:tr2bl w:val="nil"/>
            </w:tcBorders>
            <w:vAlign w:val="center"/>
          </w:tcPr>
          <w:p w14:paraId="4595B860">
            <w:pPr>
              <w:pStyle w:val="72"/>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w:t>
            </w:r>
          </w:p>
        </w:tc>
        <w:tc>
          <w:tcPr>
            <w:tcW w:w="1250" w:type="pct"/>
            <w:tcBorders>
              <w:tl2br w:val="nil"/>
              <w:tr2bl w:val="nil"/>
            </w:tcBorders>
            <w:vAlign w:val="center"/>
          </w:tcPr>
          <w:p w14:paraId="750AA186">
            <w:pPr>
              <w:pStyle w:val="72"/>
              <w:jc w:val="center"/>
              <w:rPr>
                <w:rFonts w:hint="default"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0.0085</w:t>
            </w:r>
          </w:p>
        </w:tc>
      </w:tr>
      <w:tr w14:paraId="7CB9069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49" w:type="pct"/>
            <w:tcBorders>
              <w:tl2br w:val="nil"/>
              <w:tr2bl w:val="nil"/>
            </w:tcBorders>
            <w:vAlign w:val="center"/>
          </w:tcPr>
          <w:p w14:paraId="58F53BAB">
            <w:pPr>
              <w:pStyle w:val="72"/>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总锡</w:t>
            </w:r>
          </w:p>
        </w:tc>
        <w:tc>
          <w:tcPr>
            <w:tcW w:w="1250" w:type="pct"/>
            <w:tcBorders>
              <w:tl2br w:val="nil"/>
              <w:tr2bl w:val="nil"/>
            </w:tcBorders>
            <w:vAlign w:val="center"/>
          </w:tcPr>
          <w:p w14:paraId="551A6C0E">
            <w:pPr>
              <w:pStyle w:val="72"/>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w:t>
            </w:r>
          </w:p>
        </w:tc>
        <w:tc>
          <w:tcPr>
            <w:tcW w:w="1250" w:type="pct"/>
            <w:tcBorders>
              <w:tl2br w:val="nil"/>
              <w:tr2bl w:val="nil"/>
            </w:tcBorders>
            <w:vAlign w:val="center"/>
          </w:tcPr>
          <w:p w14:paraId="01AE5B8A">
            <w:pPr>
              <w:pStyle w:val="72"/>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5.0mg/L</w:t>
            </w:r>
          </w:p>
        </w:tc>
        <w:tc>
          <w:tcPr>
            <w:tcW w:w="1250" w:type="pct"/>
            <w:tcBorders>
              <w:tl2br w:val="nil"/>
              <w:tr2bl w:val="nil"/>
            </w:tcBorders>
            <w:vAlign w:val="center"/>
          </w:tcPr>
          <w:p w14:paraId="3A585869">
            <w:pPr>
              <w:pStyle w:val="72"/>
              <w:jc w:val="center"/>
              <w:rPr>
                <w:rFonts w:hint="default"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0.0021</w:t>
            </w:r>
          </w:p>
        </w:tc>
      </w:tr>
    </w:tbl>
    <w:p w14:paraId="2219F6DD">
      <w:pPr>
        <w:bidi w:val="0"/>
        <w:rPr>
          <w:rFonts w:hint="eastAsia"/>
          <w:lang w:val="en-US" w:eastAsia="zh-CN"/>
        </w:rPr>
      </w:pPr>
      <w:r>
        <w:rPr>
          <w:rFonts w:hint="eastAsia"/>
          <w:lang w:val="en-US" w:eastAsia="zh-CN"/>
        </w:rPr>
        <w:t>本项目设置废水处理设施，设施处理能力为10m</w:t>
      </w:r>
      <w:r>
        <w:rPr>
          <w:rFonts w:hint="eastAsia"/>
          <w:vertAlign w:val="superscript"/>
          <w:lang w:val="en-US" w:eastAsia="zh-CN"/>
        </w:rPr>
        <w:t>3</w:t>
      </w:r>
      <w:r>
        <w:rPr>
          <w:rFonts w:hint="eastAsia"/>
          <w:lang w:val="en-US" w:eastAsia="zh-CN"/>
        </w:rPr>
        <w:t>/d，项目日废水产生量约为3.3m</w:t>
      </w:r>
      <w:r>
        <w:rPr>
          <w:rFonts w:hint="eastAsia"/>
          <w:vertAlign w:val="superscript"/>
          <w:lang w:val="en-US" w:eastAsia="zh-CN"/>
        </w:rPr>
        <w:t>3</w:t>
      </w:r>
      <w:r>
        <w:rPr>
          <w:rFonts w:hint="eastAsia"/>
          <w:lang w:val="en-US" w:eastAsia="zh-CN"/>
        </w:rPr>
        <w:t>/d，污水处理设施设计能力能够满足日污水处理需要。本项目废水净化采用离子交换工艺，离子交换树脂是一种在交联聚合物结构中含有离子交换基团的功能高分子材料，其功能基可与水中的离子起交换反应，树脂含弱酸性基团，如羧基－COOH，能在水中离解出H+ 而呈酸性。树脂离解后余下的负电基团，如R-COO－(R为碳氢基团)，能与溶液中的其他阳离子吸附结合，从而产生阳离子交换作用。废水中的</w:t>
      </w:r>
      <w:r>
        <w:rPr>
          <w:rFonts w:hint="eastAsia"/>
          <w:lang w:eastAsia="zh-CN"/>
        </w:rPr>
        <w:t>亚锡</w:t>
      </w:r>
      <w:r>
        <w:rPr>
          <w:rFonts w:hint="eastAsia"/>
        </w:rPr>
        <w:t>离子</w:t>
      </w:r>
      <w:r>
        <w:rPr>
          <w:rFonts w:hint="eastAsia"/>
          <w:lang w:val="en-US" w:eastAsia="zh-CN"/>
        </w:rPr>
        <w:t>等可采用阳离子交换树脂吸附，同时企业设置混凝、沉淀装置，去除废水中石油类、SS，净化后废水回用于电镀水洗等工序，废水全部回用，不外排，对项目周围地表水体水环境影响极小。本项目废水处理工艺流程如下图所示。</w:t>
      </w:r>
    </w:p>
    <w:p w14:paraId="3942ABC7">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lang w:val="en-US" w:eastAsia="zh-CN"/>
        </w:rPr>
      </w:pPr>
      <w:r>
        <w:rPr>
          <w:rFonts w:hint="eastAsia"/>
          <w:lang w:val="en-US" w:eastAsia="zh-CN"/>
        </w:rPr>
        <w:drawing>
          <wp:inline distT="0" distB="0" distL="114300" distR="114300">
            <wp:extent cx="5274310" cy="853440"/>
            <wp:effectExtent l="0" t="0" r="2540" b="3810"/>
            <wp:docPr id="3" name="图片 3" descr="截图20200410145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截图20200410145530"/>
                    <pic:cNvPicPr>
                      <a:picLocks noChangeAspect="1"/>
                    </pic:cNvPicPr>
                  </pic:nvPicPr>
                  <pic:blipFill>
                    <a:blip r:embed="rId47"/>
                    <a:stretch>
                      <a:fillRect/>
                    </a:stretch>
                  </pic:blipFill>
                  <pic:spPr>
                    <a:xfrm>
                      <a:off x="0" y="0"/>
                      <a:ext cx="5274310" cy="853440"/>
                    </a:xfrm>
                    <a:prstGeom prst="rect">
                      <a:avLst/>
                    </a:prstGeom>
                  </pic:spPr>
                </pic:pic>
              </a:graphicData>
            </a:graphic>
          </wp:inline>
        </w:drawing>
      </w:r>
    </w:p>
    <w:p w14:paraId="14598E55">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图9-3废水处理工艺流程图</w:t>
      </w:r>
    </w:p>
    <w:p w14:paraId="3AEC9684">
      <w:pPr>
        <w:bidi w:val="0"/>
        <w:rPr>
          <w:rFonts w:hint="eastAsia"/>
          <w:lang w:val="en-US" w:eastAsia="zh-CN"/>
        </w:rPr>
      </w:pPr>
      <w:r>
        <w:rPr>
          <w:rFonts w:hint="eastAsia"/>
          <w:lang w:val="en-US" w:eastAsia="zh-CN"/>
        </w:rPr>
        <w:t>项目各污染治理措施对废水的净化效率及净化后水质如下表所示。</w:t>
      </w:r>
    </w:p>
    <w:p w14:paraId="7E46C575">
      <w:pPr>
        <w:pStyle w:val="72"/>
        <w:jc w:val="center"/>
        <w:rPr>
          <w:rFonts w:hint="eastAsia" w:ascii="黑体" w:hAnsi="黑体" w:eastAsia="黑体" w:cs="黑体"/>
          <w:sz w:val="21"/>
          <w:szCs w:val="21"/>
          <w:highlight w:val="none"/>
          <w:lang w:val="en-US" w:eastAsia="zh-CN"/>
        </w:rPr>
      </w:pPr>
      <w:r>
        <w:rPr>
          <w:rFonts w:hint="eastAsia" w:ascii="黑体" w:hAnsi="黑体" w:eastAsia="黑体" w:cs="黑体"/>
          <w:sz w:val="21"/>
          <w:szCs w:val="21"/>
          <w:highlight w:val="none"/>
          <w:lang w:val="en-US" w:eastAsia="zh-CN"/>
        </w:rPr>
        <w:t>表9-3废水治理设施效率及净化后水质汇总表</w:t>
      </w:r>
    </w:p>
    <w:tbl>
      <w:tblPr>
        <w:tblStyle w:val="53"/>
        <w:tblW w:w="4997"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596"/>
        <w:gridCol w:w="1601"/>
        <w:gridCol w:w="1197"/>
        <w:gridCol w:w="1081"/>
        <w:gridCol w:w="1359"/>
        <w:gridCol w:w="2107"/>
      </w:tblGrid>
      <w:tr w14:paraId="2E2B8DD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62" w:type="pct"/>
            <w:vMerge w:val="restart"/>
            <w:tcBorders>
              <w:tl2br w:val="nil"/>
              <w:tr2bl w:val="nil"/>
            </w:tcBorders>
            <w:vAlign w:val="center"/>
          </w:tcPr>
          <w:p w14:paraId="689E43A8">
            <w:pPr>
              <w:pStyle w:val="72"/>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污染因子</w:t>
            </w:r>
          </w:p>
        </w:tc>
        <w:tc>
          <w:tcPr>
            <w:tcW w:w="965" w:type="pct"/>
            <w:vMerge w:val="restart"/>
            <w:tcBorders>
              <w:tl2br w:val="nil"/>
              <w:tr2bl w:val="nil"/>
            </w:tcBorders>
            <w:vAlign w:val="center"/>
          </w:tcPr>
          <w:p w14:paraId="07999F06">
            <w:pPr>
              <w:pStyle w:val="72"/>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处理前污染因子浓度</w:t>
            </w:r>
          </w:p>
        </w:tc>
        <w:tc>
          <w:tcPr>
            <w:tcW w:w="1413" w:type="pct"/>
            <w:gridSpan w:val="2"/>
            <w:tcBorders>
              <w:tl2br w:val="nil"/>
              <w:tr2bl w:val="nil"/>
            </w:tcBorders>
            <w:vAlign w:val="center"/>
          </w:tcPr>
          <w:p w14:paraId="6365CB14">
            <w:pPr>
              <w:pStyle w:val="72"/>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治理设施处理效率</w:t>
            </w:r>
          </w:p>
        </w:tc>
        <w:tc>
          <w:tcPr>
            <w:tcW w:w="829" w:type="pct"/>
            <w:vMerge w:val="restart"/>
            <w:tcBorders>
              <w:tl2br w:val="nil"/>
              <w:tr2bl w:val="nil"/>
            </w:tcBorders>
            <w:vAlign w:val="center"/>
          </w:tcPr>
          <w:p w14:paraId="1A3B4CEB">
            <w:pPr>
              <w:pStyle w:val="72"/>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处理后污染因子浓度</w:t>
            </w:r>
          </w:p>
        </w:tc>
        <w:tc>
          <w:tcPr>
            <w:tcW w:w="829" w:type="pct"/>
            <w:vMerge w:val="restart"/>
            <w:tcBorders>
              <w:tl2br w:val="nil"/>
              <w:tr2bl w:val="nil"/>
            </w:tcBorders>
            <w:vAlign w:val="center"/>
          </w:tcPr>
          <w:p w14:paraId="38F492B4">
            <w:pPr>
              <w:pStyle w:val="72"/>
              <w:jc w:val="center"/>
              <w:rPr>
                <w:rFonts w:hint="default"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参照《城市污水再生利用 工业用水水质》（GB/T19923-2005）工艺与产品用水</w:t>
            </w:r>
          </w:p>
        </w:tc>
      </w:tr>
      <w:tr w14:paraId="0BBF56A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62" w:type="pct"/>
            <w:vMerge w:val="continue"/>
            <w:tcBorders>
              <w:tl2br w:val="nil"/>
              <w:tr2bl w:val="nil"/>
            </w:tcBorders>
            <w:vAlign w:val="center"/>
          </w:tcPr>
          <w:p w14:paraId="7F0C814E">
            <w:pPr>
              <w:pStyle w:val="72"/>
              <w:jc w:val="center"/>
              <w:rPr>
                <w:rFonts w:hint="eastAsia" w:ascii="宋体" w:hAnsi="宋体" w:eastAsia="宋体" w:cs="宋体"/>
                <w:sz w:val="21"/>
                <w:szCs w:val="21"/>
                <w:highlight w:val="none"/>
                <w:vertAlign w:val="baseline"/>
                <w:lang w:val="en-US" w:eastAsia="zh-CN"/>
              </w:rPr>
            </w:pPr>
          </w:p>
        </w:tc>
        <w:tc>
          <w:tcPr>
            <w:tcW w:w="965" w:type="pct"/>
            <w:vMerge w:val="continue"/>
            <w:tcBorders>
              <w:tl2br w:val="nil"/>
              <w:tr2bl w:val="nil"/>
            </w:tcBorders>
            <w:vAlign w:val="center"/>
          </w:tcPr>
          <w:p w14:paraId="01263237">
            <w:pPr>
              <w:pStyle w:val="72"/>
              <w:jc w:val="center"/>
              <w:rPr>
                <w:rFonts w:hint="eastAsia" w:ascii="宋体" w:hAnsi="宋体" w:eastAsia="宋体" w:cs="宋体"/>
                <w:sz w:val="21"/>
                <w:szCs w:val="21"/>
                <w:highlight w:val="none"/>
                <w:vertAlign w:val="baseline"/>
                <w:lang w:val="en-US" w:eastAsia="zh-CN"/>
              </w:rPr>
            </w:pPr>
          </w:p>
        </w:tc>
        <w:tc>
          <w:tcPr>
            <w:tcW w:w="739" w:type="pct"/>
            <w:tcBorders>
              <w:tl2br w:val="nil"/>
              <w:tr2bl w:val="nil"/>
            </w:tcBorders>
            <w:vAlign w:val="center"/>
          </w:tcPr>
          <w:p w14:paraId="42EA87B4">
            <w:pPr>
              <w:pStyle w:val="72"/>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混凝、沉淀</w:t>
            </w:r>
          </w:p>
        </w:tc>
        <w:tc>
          <w:tcPr>
            <w:tcW w:w="674" w:type="pct"/>
            <w:tcBorders>
              <w:tl2br w:val="nil"/>
              <w:tr2bl w:val="nil"/>
            </w:tcBorders>
            <w:vAlign w:val="center"/>
          </w:tcPr>
          <w:p w14:paraId="12D629DD">
            <w:pPr>
              <w:pStyle w:val="72"/>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离子交换</w:t>
            </w:r>
          </w:p>
        </w:tc>
        <w:tc>
          <w:tcPr>
            <w:tcW w:w="829" w:type="pct"/>
            <w:vMerge w:val="continue"/>
            <w:tcBorders>
              <w:tl2br w:val="nil"/>
              <w:tr2bl w:val="nil"/>
            </w:tcBorders>
            <w:vAlign w:val="center"/>
          </w:tcPr>
          <w:p w14:paraId="3B4E106F">
            <w:pPr>
              <w:pStyle w:val="72"/>
              <w:jc w:val="center"/>
              <w:rPr>
                <w:rFonts w:hint="eastAsia" w:ascii="宋体" w:hAnsi="宋体" w:eastAsia="宋体" w:cs="宋体"/>
                <w:sz w:val="21"/>
                <w:szCs w:val="21"/>
                <w:highlight w:val="none"/>
                <w:vertAlign w:val="baseline"/>
                <w:lang w:val="en-US" w:eastAsia="zh-CN"/>
              </w:rPr>
            </w:pPr>
          </w:p>
        </w:tc>
        <w:tc>
          <w:tcPr>
            <w:tcW w:w="829" w:type="pct"/>
            <w:vMerge w:val="continue"/>
            <w:tcBorders>
              <w:tl2br w:val="nil"/>
              <w:tr2bl w:val="nil"/>
            </w:tcBorders>
            <w:vAlign w:val="center"/>
          </w:tcPr>
          <w:p w14:paraId="4BA55D59">
            <w:pPr>
              <w:pStyle w:val="72"/>
              <w:jc w:val="center"/>
              <w:rPr>
                <w:rFonts w:hint="eastAsia" w:ascii="宋体" w:hAnsi="宋体" w:eastAsia="宋体" w:cs="宋体"/>
                <w:sz w:val="21"/>
                <w:szCs w:val="21"/>
                <w:highlight w:val="none"/>
                <w:vertAlign w:val="baseline"/>
                <w:lang w:val="en-US" w:eastAsia="zh-CN"/>
              </w:rPr>
            </w:pPr>
          </w:p>
        </w:tc>
      </w:tr>
      <w:tr w14:paraId="4AE1228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62" w:type="pct"/>
            <w:tcBorders>
              <w:tl2br w:val="nil"/>
              <w:tr2bl w:val="nil"/>
            </w:tcBorders>
            <w:vAlign w:val="center"/>
          </w:tcPr>
          <w:p w14:paraId="24F0C49D">
            <w:pPr>
              <w:pStyle w:val="72"/>
              <w:jc w:val="center"/>
              <w:rPr>
                <w:rFonts w:hint="eastAsia" w:ascii="宋体" w:hAnsi="宋体" w:eastAsia="宋体" w:cs="宋体"/>
                <w:kern w:val="2"/>
                <w:sz w:val="21"/>
                <w:szCs w:val="21"/>
                <w:highlight w:val="none"/>
                <w:vertAlign w:val="baseline"/>
                <w:lang w:val="en-US" w:eastAsia="zh-CN" w:bidi="ar-SA"/>
              </w:rPr>
            </w:pPr>
            <w:r>
              <w:rPr>
                <w:rFonts w:hint="eastAsia" w:ascii="宋体" w:hAnsi="宋体" w:eastAsia="宋体" w:cs="宋体"/>
                <w:sz w:val="21"/>
                <w:szCs w:val="21"/>
                <w:highlight w:val="none"/>
                <w:vertAlign w:val="baseline"/>
                <w:lang w:val="en-US" w:eastAsia="zh-CN"/>
              </w:rPr>
              <w:t>COD</w:t>
            </w:r>
          </w:p>
        </w:tc>
        <w:tc>
          <w:tcPr>
            <w:tcW w:w="965" w:type="pct"/>
            <w:tcBorders>
              <w:tl2br w:val="nil"/>
              <w:tr2bl w:val="nil"/>
            </w:tcBorders>
            <w:vAlign w:val="center"/>
          </w:tcPr>
          <w:p w14:paraId="1FA4028A">
            <w:pPr>
              <w:pStyle w:val="72"/>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90mg/L</w:t>
            </w:r>
          </w:p>
        </w:tc>
        <w:tc>
          <w:tcPr>
            <w:tcW w:w="739" w:type="pct"/>
            <w:tcBorders>
              <w:tl2br w:val="nil"/>
              <w:tr2bl w:val="nil"/>
            </w:tcBorders>
            <w:vAlign w:val="center"/>
          </w:tcPr>
          <w:p w14:paraId="5261A140">
            <w:pPr>
              <w:pStyle w:val="72"/>
              <w:jc w:val="center"/>
              <w:rPr>
                <w:rFonts w:hint="default"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40%</w:t>
            </w:r>
          </w:p>
        </w:tc>
        <w:tc>
          <w:tcPr>
            <w:tcW w:w="674" w:type="pct"/>
            <w:tcBorders>
              <w:tl2br w:val="nil"/>
              <w:tr2bl w:val="nil"/>
            </w:tcBorders>
            <w:vAlign w:val="center"/>
          </w:tcPr>
          <w:p w14:paraId="0CBC0039">
            <w:pPr>
              <w:pStyle w:val="72"/>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w:t>
            </w:r>
          </w:p>
        </w:tc>
        <w:tc>
          <w:tcPr>
            <w:tcW w:w="829" w:type="pct"/>
            <w:tcBorders>
              <w:tl2br w:val="nil"/>
              <w:tr2bl w:val="nil"/>
            </w:tcBorders>
            <w:vAlign w:val="center"/>
          </w:tcPr>
          <w:p w14:paraId="3F83F6FD">
            <w:pPr>
              <w:pStyle w:val="72"/>
              <w:jc w:val="center"/>
              <w:rPr>
                <w:rFonts w:hint="default"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54mg/L</w:t>
            </w:r>
          </w:p>
        </w:tc>
        <w:tc>
          <w:tcPr>
            <w:tcW w:w="829" w:type="pct"/>
            <w:tcBorders>
              <w:tl2br w:val="nil"/>
              <w:tr2bl w:val="nil"/>
            </w:tcBorders>
            <w:vAlign w:val="center"/>
          </w:tcPr>
          <w:p w14:paraId="2D745A45">
            <w:pPr>
              <w:pStyle w:val="72"/>
              <w:jc w:val="center"/>
              <w:rPr>
                <w:rFonts w:hint="default"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60mg/L</w:t>
            </w:r>
          </w:p>
        </w:tc>
      </w:tr>
      <w:tr w14:paraId="23916F9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89" w:hRule="atLeast"/>
        </w:trPr>
        <w:tc>
          <w:tcPr>
            <w:tcW w:w="962" w:type="pct"/>
            <w:tcBorders>
              <w:tl2br w:val="nil"/>
              <w:tr2bl w:val="nil"/>
            </w:tcBorders>
            <w:vAlign w:val="center"/>
          </w:tcPr>
          <w:p w14:paraId="07D6D422">
            <w:pPr>
              <w:pStyle w:val="72"/>
              <w:jc w:val="center"/>
              <w:rPr>
                <w:rFonts w:hint="eastAsia" w:ascii="宋体" w:hAnsi="宋体" w:eastAsia="宋体" w:cs="宋体"/>
                <w:kern w:val="2"/>
                <w:sz w:val="21"/>
                <w:szCs w:val="21"/>
                <w:highlight w:val="none"/>
                <w:vertAlign w:val="baseline"/>
                <w:lang w:val="en-US" w:eastAsia="zh-CN" w:bidi="ar-SA"/>
              </w:rPr>
            </w:pPr>
            <w:r>
              <w:rPr>
                <w:rFonts w:hint="eastAsia" w:ascii="宋体" w:hAnsi="宋体" w:eastAsia="宋体" w:cs="宋体"/>
                <w:sz w:val="21"/>
                <w:szCs w:val="21"/>
                <w:highlight w:val="none"/>
                <w:vertAlign w:val="baseline"/>
                <w:lang w:val="en-US" w:eastAsia="zh-CN"/>
              </w:rPr>
              <w:t>SS</w:t>
            </w:r>
          </w:p>
        </w:tc>
        <w:tc>
          <w:tcPr>
            <w:tcW w:w="965" w:type="pct"/>
            <w:tcBorders>
              <w:tl2br w:val="nil"/>
              <w:tr2bl w:val="nil"/>
            </w:tcBorders>
            <w:vAlign w:val="center"/>
          </w:tcPr>
          <w:p w14:paraId="1EBF2972">
            <w:pPr>
              <w:pStyle w:val="72"/>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100mg/L</w:t>
            </w:r>
          </w:p>
        </w:tc>
        <w:tc>
          <w:tcPr>
            <w:tcW w:w="739" w:type="pct"/>
            <w:tcBorders>
              <w:tl2br w:val="nil"/>
              <w:tr2bl w:val="nil"/>
            </w:tcBorders>
            <w:vAlign w:val="center"/>
          </w:tcPr>
          <w:p w14:paraId="1CF36B01">
            <w:pPr>
              <w:pStyle w:val="72"/>
              <w:jc w:val="center"/>
              <w:rPr>
                <w:rFonts w:hint="default"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60%</w:t>
            </w:r>
          </w:p>
        </w:tc>
        <w:tc>
          <w:tcPr>
            <w:tcW w:w="674" w:type="pct"/>
            <w:tcBorders>
              <w:tl2br w:val="nil"/>
              <w:tr2bl w:val="nil"/>
            </w:tcBorders>
            <w:vAlign w:val="center"/>
          </w:tcPr>
          <w:p w14:paraId="4B760179">
            <w:pPr>
              <w:pStyle w:val="72"/>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w:t>
            </w:r>
          </w:p>
        </w:tc>
        <w:tc>
          <w:tcPr>
            <w:tcW w:w="829" w:type="pct"/>
            <w:tcBorders>
              <w:tl2br w:val="nil"/>
              <w:tr2bl w:val="nil"/>
            </w:tcBorders>
            <w:vAlign w:val="center"/>
          </w:tcPr>
          <w:p w14:paraId="184DADB4">
            <w:pPr>
              <w:pStyle w:val="72"/>
              <w:jc w:val="center"/>
              <w:rPr>
                <w:rFonts w:hint="default"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40mg/L</w:t>
            </w:r>
          </w:p>
        </w:tc>
        <w:tc>
          <w:tcPr>
            <w:tcW w:w="829" w:type="pct"/>
            <w:tcBorders>
              <w:tl2br w:val="nil"/>
              <w:tr2bl w:val="nil"/>
            </w:tcBorders>
            <w:vAlign w:val="center"/>
          </w:tcPr>
          <w:p w14:paraId="5B0B3CAB">
            <w:pPr>
              <w:pStyle w:val="72"/>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w:t>
            </w:r>
          </w:p>
        </w:tc>
      </w:tr>
      <w:tr w14:paraId="1965897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62" w:type="pct"/>
            <w:tcBorders>
              <w:tl2br w:val="nil"/>
              <w:tr2bl w:val="nil"/>
            </w:tcBorders>
            <w:vAlign w:val="center"/>
          </w:tcPr>
          <w:p w14:paraId="03B4A44E">
            <w:pPr>
              <w:pStyle w:val="72"/>
              <w:jc w:val="center"/>
              <w:rPr>
                <w:rFonts w:hint="eastAsia" w:ascii="宋体" w:hAnsi="宋体" w:eastAsia="宋体" w:cs="宋体"/>
                <w:kern w:val="2"/>
                <w:sz w:val="21"/>
                <w:szCs w:val="21"/>
                <w:highlight w:val="none"/>
                <w:vertAlign w:val="baseline"/>
                <w:lang w:val="en-US" w:eastAsia="zh-CN" w:bidi="ar-SA"/>
              </w:rPr>
            </w:pPr>
            <w:r>
              <w:rPr>
                <w:rFonts w:hint="eastAsia" w:ascii="宋体" w:hAnsi="宋体" w:eastAsia="宋体" w:cs="宋体"/>
                <w:sz w:val="21"/>
                <w:szCs w:val="21"/>
                <w:highlight w:val="none"/>
                <w:vertAlign w:val="baseline"/>
                <w:lang w:val="en-US" w:eastAsia="zh-CN"/>
              </w:rPr>
              <w:t>石油类</w:t>
            </w:r>
          </w:p>
        </w:tc>
        <w:tc>
          <w:tcPr>
            <w:tcW w:w="965" w:type="pct"/>
            <w:tcBorders>
              <w:tl2br w:val="nil"/>
              <w:tr2bl w:val="nil"/>
            </w:tcBorders>
            <w:vAlign w:val="center"/>
          </w:tcPr>
          <w:p w14:paraId="210D3EC9">
            <w:pPr>
              <w:pStyle w:val="72"/>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15mg/L</w:t>
            </w:r>
          </w:p>
        </w:tc>
        <w:tc>
          <w:tcPr>
            <w:tcW w:w="739" w:type="pct"/>
            <w:tcBorders>
              <w:tl2br w:val="nil"/>
              <w:tr2bl w:val="nil"/>
            </w:tcBorders>
            <w:vAlign w:val="center"/>
          </w:tcPr>
          <w:p w14:paraId="1FE5F90E">
            <w:pPr>
              <w:pStyle w:val="72"/>
              <w:jc w:val="center"/>
              <w:rPr>
                <w:rFonts w:hint="default"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90%</w:t>
            </w:r>
          </w:p>
        </w:tc>
        <w:tc>
          <w:tcPr>
            <w:tcW w:w="674" w:type="pct"/>
            <w:tcBorders>
              <w:tl2br w:val="nil"/>
              <w:tr2bl w:val="nil"/>
            </w:tcBorders>
            <w:vAlign w:val="center"/>
          </w:tcPr>
          <w:p w14:paraId="66239B4E">
            <w:pPr>
              <w:pStyle w:val="72"/>
              <w:jc w:val="center"/>
              <w:rPr>
                <w:rFonts w:hint="default"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40%</w:t>
            </w:r>
          </w:p>
        </w:tc>
        <w:tc>
          <w:tcPr>
            <w:tcW w:w="829" w:type="pct"/>
            <w:tcBorders>
              <w:tl2br w:val="nil"/>
              <w:tr2bl w:val="nil"/>
            </w:tcBorders>
            <w:vAlign w:val="center"/>
          </w:tcPr>
          <w:p w14:paraId="5E78E5FD">
            <w:pPr>
              <w:pStyle w:val="72"/>
              <w:jc w:val="center"/>
              <w:rPr>
                <w:rFonts w:hint="default"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0.9mg/L</w:t>
            </w:r>
          </w:p>
        </w:tc>
        <w:tc>
          <w:tcPr>
            <w:tcW w:w="829" w:type="pct"/>
            <w:tcBorders>
              <w:tl2br w:val="nil"/>
              <w:tr2bl w:val="nil"/>
            </w:tcBorders>
            <w:vAlign w:val="center"/>
          </w:tcPr>
          <w:p w14:paraId="3E962D9E">
            <w:pPr>
              <w:pStyle w:val="72"/>
              <w:jc w:val="center"/>
              <w:rPr>
                <w:rFonts w:hint="default"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1mg/L</w:t>
            </w:r>
          </w:p>
        </w:tc>
      </w:tr>
      <w:tr w14:paraId="22546A0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62" w:type="pct"/>
            <w:tcBorders>
              <w:tl2br w:val="nil"/>
              <w:tr2bl w:val="nil"/>
            </w:tcBorders>
            <w:vAlign w:val="center"/>
          </w:tcPr>
          <w:p w14:paraId="7508B6AE">
            <w:pPr>
              <w:pStyle w:val="72"/>
              <w:jc w:val="center"/>
              <w:rPr>
                <w:rFonts w:hint="eastAsia" w:ascii="宋体" w:hAnsi="宋体" w:eastAsia="宋体" w:cs="宋体"/>
                <w:kern w:val="2"/>
                <w:sz w:val="21"/>
                <w:szCs w:val="21"/>
                <w:highlight w:val="none"/>
                <w:vertAlign w:val="baseline"/>
                <w:lang w:val="en-US" w:eastAsia="zh-CN" w:bidi="ar-SA"/>
              </w:rPr>
            </w:pPr>
            <w:r>
              <w:rPr>
                <w:rFonts w:hint="eastAsia" w:ascii="宋体" w:hAnsi="宋体" w:eastAsia="宋体" w:cs="宋体"/>
                <w:sz w:val="21"/>
                <w:szCs w:val="21"/>
                <w:highlight w:val="none"/>
                <w:vertAlign w:val="baseline"/>
                <w:lang w:val="en-US" w:eastAsia="zh-CN"/>
              </w:rPr>
              <w:t>总锡</w:t>
            </w:r>
          </w:p>
        </w:tc>
        <w:tc>
          <w:tcPr>
            <w:tcW w:w="965" w:type="pct"/>
            <w:tcBorders>
              <w:tl2br w:val="nil"/>
              <w:tr2bl w:val="nil"/>
            </w:tcBorders>
            <w:vAlign w:val="center"/>
          </w:tcPr>
          <w:p w14:paraId="59423924">
            <w:pPr>
              <w:pStyle w:val="72"/>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5.0mg/L</w:t>
            </w:r>
          </w:p>
        </w:tc>
        <w:tc>
          <w:tcPr>
            <w:tcW w:w="739" w:type="pct"/>
            <w:tcBorders>
              <w:tl2br w:val="nil"/>
              <w:tr2bl w:val="nil"/>
            </w:tcBorders>
            <w:vAlign w:val="center"/>
          </w:tcPr>
          <w:p w14:paraId="06A0C658">
            <w:pPr>
              <w:pStyle w:val="72"/>
              <w:jc w:val="center"/>
              <w:rPr>
                <w:rFonts w:hint="default"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w:t>
            </w:r>
          </w:p>
        </w:tc>
        <w:tc>
          <w:tcPr>
            <w:tcW w:w="674" w:type="pct"/>
            <w:tcBorders>
              <w:tl2br w:val="nil"/>
              <w:tr2bl w:val="nil"/>
            </w:tcBorders>
            <w:vAlign w:val="center"/>
          </w:tcPr>
          <w:p w14:paraId="10D47E22">
            <w:pPr>
              <w:pStyle w:val="72"/>
              <w:jc w:val="center"/>
              <w:rPr>
                <w:rFonts w:hint="default"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99%</w:t>
            </w:r>
          </w:p>
        </w:tc>
        <w:tc>
          <w:tcPr>
            <w:tcW w:w="829" w:type="pct"/>
            <w:tcBorders>
              <w:tl2br w:val="nil"/>
              <w:tr2bl w:val="nil"/>
            </w:tcBorders>
            <w:vAlign w:val="center"/>
          </w:tcPr>
          <w:p w14:paraId="398548E4">
            <w:pPr>
              <w:pStyle w:val="72"/>
              <w:jc w:val="center"/>
              <w:rPr>
                <w:rFonts w:hint="default"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0.05mg/L</w:t>
            </w:r>
          </w:p>
        </w:tc>
        <w:tc>
          <w:tcPr>
            <w:tcW w:w="829" w:type="pct"/>
            <w:tcBorders>
              <w:tl2br w:val="nil"/>
              <w:tr2bl w:val="nil"/>
            </w:tcBorders>
            <w:vAlign w:val="center"/>
          </w:tcPr>
          <w:p w14:paraId="7CB7EB03">
            <w:pPr>
              <w:pStyle w:val="72"/>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w:t>
            </w:r>
          </w:p>
        </w:tc>
      </w:tr>
    </w:tbl>
    <w:p w14:paraId="7EC11BC6">
      <w:pPr>
        <w:bidi w:val="0"/>
        <w:rPr>
          <w:rFonts w:hint="default" w:eastAsia="宋体"/>
          <w:lang w:val="en-US" w:eastAsia="zh-CN"/>
        </w:rPr>
      </w:pPr>
      <w:r>
        <w:rPr>
          <w:rFonts w:hint="eastAsia"/>
          <w:lang w:val="en-US" w:eastAsia="zh-CN"/>
        </w:rPr>
        <w:t>根据企业调查，本项目废水净化后水质能够满足企业废水回用标准。</w:t>
      </w:r>
    </w:p>
    <w:p w14:paraId="3CE766B5">
      <w:pPr>
        <w:pStyle w:val="3"/>
        <w:bidi w:val="0"/>
      </w:pPr>
      <w:bookmarkStart w:id="465" w:name="_Toc23008"/>
      <w:r>
        <w:rPr>
          <w:rFonts w:hint="eastAsia"/>
          <w:lang w:val="en-US" w:eastAsia="zh-CN"/>
        </w:rPr>
        <w:t>9</w:t>
      </w:r>
      <w:r>
        <w:t>.4营运期噪声治理措施</w:t>
      </w:r>
      <w:bookmarkEnd w:id="465"/>
    </w:p>
    <w:p w14:paraId="7F5EE718">
      <w:pPr>
        <w:bidi w:val="0"/>
        <w:rPr>
          <w:rFonts w:hint="eastAsia"/>
        </w:rPr>
      </w:pPr>
      <w:r>
        <w:rPr>
          <w:rFonts w:hint="eastAsia"/>
        </w:rPr>
        <w:t>本项目噪声污染防治拟采取的措施如下：</w:t>
      </w:r>
    </w:p>
    <w:p w14:paraId="1A1FE1C0">
      <w:pPr>
        <w:bidi w:val="0"/>
        <w:rPr>
          <w:rFonts w:hint="eastAsia"/>
        </w:rPr>
      </w:pPr>
      <w:r>
        <w:rPr>
          <w:rFonts w:hint="eastAsia"/>
          <w:lang w:eastAsia="zh-CN"/>
        </w:rPr>
        <w:t>（</w:t>
      </w:r>
      <w:r>
        <w:rPr>
          <w:rFonts w:hint="eastAsia"/>
          <w:lang w:val="en-US" w:eastAsia="zh-CN"/>
        </w:rPr>
        <w:t>1</w:t>
      </w:r>
      <w:r>
        <w:rPr>
          <w:rFonts w:hint="eastAsia"/>
          <w:lang w:eastAsia="zh-CN"/>
        </w:rPr>
        <w:t>）</w:t>
      </w:r>
      <w:r>
        <w:rPr>
          <w:rFonts w:hint="eastAsia"/>
        </w:rPr>
        <w:t>合理布局，将高噪声源尽量布置在远离厂界和噪声敏感点的位置。</w:t>
      </w:r>
    </w:p>
    <w:p w14:paraId="2749F869">
      <w:pPr>
        <w:bidi w:val="0"/>
        <w:rPr>
          <w:rFonts w:hint="eastAsia"/>
        </w:rPr>
      </w:pPr>
      <w:r>
        <w:rPr>
          <w:rFonts w:hint="eastAsia"/>
          <w:lang w:eastAsia="zh-CN"/>
        </w:rPr>
        <w:t>（</w:t>
      </w:r>
      <w:r>
        <w:rPr>
          <w:rFonts w:hint="eastAsia"/>
          <w:lang w:val="en-US" w:eastAsia="zh-CN"/>
        </w:rPr>
        <w:t>2</w:t>
      </w:r>
      <w:r>
        <w:rPr>
          <w:rFonts w:hint="eastAsia"/>
          <w:lang w:eastAsia="zh-CN"/>
        </w:rPr>
        <w:t>）</w:t>
      </w:r>
      <w:r>
        <w:rPr>
          <w:rFonts w:hint="eastAsia"/>
        </w:rPr>
        <w:t>生产设备尽量选取新型低噪声设备，定期进行维修，防止机械摩擦造成噪声污染。</w:t>
      </w:r>
    </w:p>
    <w:p w14:paraId="5DE1AD67">
      <w:pPr>
        <w:bidi w:val="0"/>
        <w:rPr>
          <w:rFonts w:hint="eastAsia"/>
        </w:rPr>
      </w:pPr>
      <w:r>
        <w:rPr>
          <w:rFonts w:hint="eastAsia"/>
          <w:lang w:eastAsia="zh-CN"/>
        </w:rPr>
        <w:t>（</w:t>
      </w:r>
      <w:r>
        <w:rPr>
          <w:rFonts w:hint="eastAsia"/>
          <w:lang w:val="en-US" w:eastAsia="zh-CN"/>
        </w:rPr>
        <w:t>3</w:t>
      </w:r>
      <w:r>
        <w:rPr>
          <w:rFonts w:hint="eastAsia"/>
          <w:lang w:eastAsia="zh-CN"/>
        </w:rPr>
        <w:t>）</w:t>
      </w:r>
      <w:r>
        <w:rPr>
          <w:rFonts w:hint="eastAsia"/>
        </w:rPr>
        <w:t>加强对各类噪声源的控制和管理，对于高噪设备必须进行隔声、减震、消声等降噪措施处理，减少噪声污染。</w:t>
      </w:r>
    </w:p>
    <w:p w14:paraId="6AEF8B36">
      <w:pPr>
        <w:bidi w:val="0"/>
        <w:rPr>
          <w:rFonts w:hint="eastAsia"/>
        </w:rPr>
      </w:pPr>
      <w:r>
        <w:rPr>
          <w:rFonts w:hint="eastAsia"/>
          <w:lang w:eastAsia="zh-CN"/>
        </w:rPr>
        <w:t>（</w:t>
      </w:r>
      <w:r>
        <w:rPr>
          <w:rFonts w:hint="eastAsia"/>
          <w:lang w:val="en-US" w:eastAsia="zh-CN"/>
        </w:rPr>
        <w:t>4</w:t>
      </w:r>
      <w:r>
        <w:rPr>
          <w:rFonts w:hint="eastAsia"/>
          <w:lang w:eastAsia="zh-CN"/>
        </w:rPr>
        <w:t>）</w:t>
      </w:r>
      <w:r>
        <w:rPr>
          <w:rFonts w:hint="eastAsia"/>
        </w:rPr>
        <w:t>在厂区周围设置绿化带，利用植物的屏蔽和吸收作用减低噪声污染。</w:t>
      </w:r>
    </w:p>
    <w:p w14:paraId="2AB6BFCA">
      <w:pPr>
        <w:bidi w:val="0"/>
      </w:pPr>
      <w:r>
        <w:rPr>
          <w:rFonts w:hint="eastAsia"/>
        </w:rPr>
        <w:t>采取上述措施后，项目运行后生产噪声对厂界声环境影响比较有限，经预测项目昼间（夜间不进行生产）厂界噪声预测值全部满足《工业企业厂界环境噪声排放标准》（GB12348-2008）</w:t>
      </w:r>
      <w:r>
        <w:rPr>
          <w:rFonts w:hint="eastAsia"/>
          <w:lang w:val="en-US" w:eastAsia="zh-CN"/>
        </w:rPr>
        <w:t>2</w:t>
      </w:r>
      <w:r>
        <w:rPr>
          <w:rFonts w:hint="eastAsia"/>
        </w:rPr>
        <w:t>类标准，不会对项目周围声环境现状造成明显影响，因此本项目噪声治理措施具有可行性。</w:t>
      </w:r>
    </w:p>
    <w:p w14:paraId="7F802C6F">
      <w:pPr>
        <w:pStyle w:val="3"/>
        <w:bidi w:val="0"/>
      </w:pPr>
      <w:bookmarkStart w:id="466" w:name="_Toc30687"/>
      <w:r>
        <w:rPr>
          <w:rFonts w:hint="eastAsia"/>
          <w:lang w:val="en-US" w:eastAsia="zh-CN"/>
        </w:rPr>
        <w:t>9</w:t>
      </w:r>
      <w:r>
        <w:t>.5营运期固体废物处理处置措施</w:t>
      </w:r>
      <w:bookmarkEnd w:id="466"/>
    </w:p>
    <w:p w14:paraId="14EB60F1">
      <w:pPr>
        <w:bidi w:val="0"/>
        <w:rPr>
          <w:rFonts w:hint="default"/>
          <w:lang w:val="en-US" w:eastAsia="zh-CN"/>
        </w:rPr>
      </w:pPr>
      <w:r>
        <w:rPr>
          <w:rFonts w:hint="eastAsia"/>
        </w:rPr>
        <w:t>本项目产生的固体废物包括一般固体废物和危险废物。一般固体废物为生活垃圾。危险固废</w:t>
      </w:r>
      <w:r>
        <w:rPr>
          <w:rFonts w:hint="default"/>
          <w:lang w:val="en-US" w:eastAsia="zh-CN"/>
        </w:rPr>
        <w:t>为废槽液</w:t>
      </w:r>
      <w:r>
        <w:rPr>
          <w:rFonts w:hint="eastAsia"/>
          <w:lang w:val="en-US" w:eastAsia="zh-CN"/>
        </w:rPr>
        <w:t>（电解脱脂槽）</w:t>
      </w:r>
      <w:r>
        <w:rPr>
          <w:rFonts w:hint="default"/>
          <w:lang w:val="en-US" w:eastAsia="zh-CN"/>
        </w:rPr>
        <w:t>、废吸收</w:t>
      </w:r>
      <w:r>
        <w:rPr>
          <w:rFonts w:hint="eastAsia"/>
          <w:lang w:val="en-US" w:eastAsia="zh-CN"/>
        </w:rPr>
        <w:t>剂（废气净化）</w:t>
      </w:r>
      <w:r>
        <w:rPr>
          <w:rFonts w:hint="default"/>
          <w:lang w:val="en-US" w:eastAsia="zh-CN"/>
        </w:rPr>
        <w:t>、电镀滤（废）渣和污泥、废过滤机滤芯</w:t>
      </w:r>
      <w:r>
        <w:rPr>
          <w:rFonts w:hint="eastAsia"/>
          <w:lang w:val="en-US" w:eastAsia="zh-CN"/>
        </w:rPr>
        <w:t>（槽液过滤）</w:t>
      </w:r>
      <w:r>
        <w:rPr>
          <w:rFonts w:hint="default"/>
          <w:lang w:val="en-US" w:eastAsia="zh-CN"/>
        </w:rPr>
        <w:t>、废交换树脂</w:t>
      </w:r>
      <w:r>
        <w:rPr>
          <w:rFonts w:hint="eastAsia"/>
          <w:lang w:val="en-US" w:eastAsia="zh-CN"/>
        </w:rPr>
        <w:t>（废水净化）</w:t>
      </w:r>
      <w:r>
        <w:rPr>
          <w:rFonts w:hint="default"/>
          <w:lang w:val="en-US" w:eastAsia="zh-CN"/>
        </w:rPr>
        <w:t>。</w:t>
      </w:r>
    </w:p>
    <w:p w14:paraId="31EB35DD">
      <w:pPr>
        <w:bidi w:val="0"/>
      </w:pPr>
      <w:r>
        <w:rPr>
          <w:rFonts w:hint="eastAsia"/>
          <w:lang w:val="en-US" w:eastAsia="zh-CN"/>
        </w:rPr>
        <w:t>企业按照《危险废物贮存污染控制标准》（GB18597-2001）（2013 年修改）和《一般工业固体废物贮存、处置场污染控制标准》（GB18599-2001）（2013 年修改）要求在生产车间内设置危险废物暂存间，暂存间为封闭设置，具有三防功能，地面采用混凝土硬化，并铺设有2mm厚的HDPE膜防渗层。对危险废物的收集、运输、处置全过程必须按照《危险废物污染防治技术政策》（原国家环保总局，环发〔2001〕199号）和《危险废物转移联单管理办法》提出的要求进行。综上所述，本项目固体废弃物均有合理的处置方案，对周围环境及人体基本不会产生影响，也不会造成二次污染，固废治理措施具有可行性。</w:t>
      </w:r>
    </w:p>
    <w:p w14:paraId="5E065077">
      <w:pPr>
        <w:pStyle w:val="3"/>
        <w:bidi w:val="0"/>
      </w:pPr>
      <w:bookmarkStart w:id="467" w:name="_Toc5851"/>
      <w:r>
        <w:rPr>
          <w:rFonts w:hint="eastAsia"/>
          <w:lang w:val="en-US" w:eastAsia="zh-CN"/>
        </w:rPr>
        <w:t>9</w:t>
      </w:r>
      <w:r>
        <w:t>.6营运期地下水</w:t>
      </w:r>
      <w:r>
        <w:rPr>
          <w:rFonts w:hint="eastAsia"/>
          <w:lang w:eastAsia="zh-CN"/>
        </w:rPr>
        <w:t>及土壤</w:t>
      </w:r>
      <w:r>
        <w:t>防治措施</w:t>
      </w:r>
      <w:bookmarkEnd w:id="467"/>
    </w:p>
    <w:p w14:paraId="379B1619">
      <w:pPr>
        <w:bidi w:val="0"/>
        <w:rPr>
          <w:rFonts w:hint="eastAsia"/>
        </w:rPr>
      </w:pPr>
      <w:r>
        <w:rPr>
          <w:rFonts w:hint="eastAsia"/>
        </w:rPr>
        <w:t>为防止废水渗漏污染土壤和地下水，企业计划在项目车间内的不同区域实施分</w:t>
      </w:r>
    </w:p>
    <w:p w14:paraId="02FCFAFC">
      <w:pPr>
        <w:bidi w:val="0"/>
        <w:rPr>
          <w:rFonts w:hint="eastAsia"/>
        </w:rPr>
      </w:pPr>
      <w:r>
        <w:rPr>
          <w:rFonts w:hint="eastAsia"/>
        </w:rPr>
        <w:t>区防腐防渗，根据企业的设计方案，整个生产车间地面和车间内侧从地面约高 1m的墙体表面将按照重点污染防治区防腐防渗规范进行施工，生产车间废水分类收集池按照特殊污染防治区进行施工。目前车间防渗工程已经完工。各污染防治区采取的具体防渗措施如下：</w:t>
      </w:r>
    </w:p>
    <w:p w14:paraId="75ABF994">
      <w:pPr>
        <w:bidi w:val="0"/>
        <w:rPr>
          <w:rFonts w:hint="eastAsia"/>
        </w:rPr>
      </w:pPr>
      <w:r>
        <w:rPr>
          <w:rFonts w:hint="eastAsia"/>
        </w:rPr>
        <w:t>1、重点污染防治区</w:t>
      </w:r>
    </w:p>
    <w:p w14:paraId="2183342C">
      <w:pPr>
        <w:bidi w:val="0"/>
        <w:rPr>
          <w:rFonts w:hint="eastAsia"/>
        </w:rPr>
      </w:pPr>
      <w:r>
        <w:rPr>
          <w:rFonts w:hint="eastAsia"/>
        </w:rPr>
        <w:t>本项目生产车间采用抗渗钢筋混凝土浇制地面底板，地面上采用三布五油工艺</w:t>
      </w:r>
    </w:p>
    <w:p w14:paraId="1DD4B125">
      <w:pPr>
        <w:bidi w:val="0"/>
        <w:rPr>
          <w:rFonts w:hint="eastAsia"/>
        </w:rPr>
      </w:pPr>
      <w:r>
        <w:rPr>
          <w:rFonts w:hint="eastAsia"/>
        </w:rPr>
        <w:t>进行防渗和防腐（三布五油：一道环氧树脂→一层玻璃纤维布→一道环氧树脂→一层玻璃纤维布→一道环氧树脂→一层玻璃纤维布→二道环氧树脂），然后在上面铺设花岗岩瓷砖，瓷砖之间的缝隙用环氧树脂填充，车间内侧从地面约高1m的墙体表面也做防渗防腐处理。车间地面和车间内侧从地面约高1m的墙体表面防渗系数不大于10</w:t>
      </w:r>
      <w:r>
        <w:rPr>
          <w:rFonts w:hint="eastAsia"/>
          <w:vertAlign w:val="superscript"/>
        </w:rPr>
        <w:t>−10</w:t>
      </w:r>
      <w:r>
        <w:rPr>
          <w:rFonts w:hint="eastAsia"/>
        </w:rPr>
        <w:t xml:space="preserve"> cm/s，防渗层厚度不小于2mm。</w:t>
      </w:r>
    </w:p>
    <w:p w14:paraId="02BB4A2D">
      <w:pPr>
        <w:numPr>
          <w:ilvl w:val="0"/>
          <w:numId w:val="10"/>
        </w:numPr>
        <w:bidi w:val="0"/>
        <w:ind w:left="0" w:leftChars="0" w:firstLine="480" w:firstLineChars="200"/>
        <w:rPr>
          <w:rFonts w:hint="eastAsia"/>
          <w:lang w:val="en-US" w:eastAsia="zh-CN"/>
        </w:rPr>
      </w:pPr>
      <w:r>
        <w:rPr>
          <w:rFonts w:hint="eastAsia"/>
          <w:lang w:val="en-US" w:eastAsia="zh-CN"/>
        </w:rPr>
        <w:t>特殊污染防治区</w:t>
      </w:r>
    </w:p>
    <w:p w14:paraId="1521387F">
      <w:pPr>
        <w:bidi w:val="0"/>
        <w:rPr>
          <w:rFonts w:hint="eastAsia"/>
          <w:lang w:val="en-US" w:eastAsia="zh-CN"/>
        </w:rPr>
      </w:pPr>
      <w:r>
        <w:rPr>
          <w:rFonts w:hint="eastAsia"/>
          <w:lang w:val="en-US" w:eastAsia="zh-CN"/>
        </w:rPr>
        <w:t>危险废物暂存区采用五布十油工艺进行防渗和防腐（五布十油：一道环氧树脂→一层玻璃纤维布→二道环氧树脂→一层玻璃纤维布→二道环氧树脂→一层玻璃纤维布→二道环氧树脂→一层玻璃纤维布→二道环氧树脂→一层玻璃纤维布→一道环氧树脂）。池体内部防渗系数不大于10</w:t>
      </w:r>
      <w:r>
        <w:rPr>
          <w:rFonts w:hint="eastAsia"/>
          <w:vertAlign w:val="superscript"/>
          <w:lang w:val="en-US" w:eastAsia="zh-CN"/>
        </w:rPr>
        <w:t>−12</w:t>
      </w:r>
      <w:r>
        <w:rPr>
          <w:rFonts w:hint="eastAsia"/>
          <w:lang w:val="en-US" w:eastAsia="zh-CN"/>
        </w:rPr>
        <w:t>cm/s，防渗层厚度不小于2mm。</w:t>
      </w:r>
    </w:p>
    <w:p w14:paraId="76101A60">
      <w:pPr>
        <w:bidi w:val="0"/>
        <w:rPr>
          <w:rFonts w:hint="eastAsia"/>
          <w:lang w:val="en-US" w:eastAsia="zh-CN"/>
        </w:rPr>
      </w:pPr>
      <w:r>
        <w:rPr>
          <w:rFonts w:hint="eastAsia"/>
          <w:lang w:val="en-US" w:eastAsia="zh-CN"/>
        </w:rPr>
        <w:t>项目分区防渗措施如下表所示。</w:t>
      </w:r>
    </w:p>
    <w:p w14:paraId="0E37A584">
      <w:pPr>
        <w:pStyle w:val="73"/>
        <w:spacing w:line="240" w:lineRule="auto"/>
        <w:ind w:left="0" w:leftChars="0" w:firstLine="0" w:firstLineChars="0"/>
        <w:jc w:val="center"/>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表9-4项目分区防渗措施一览表</w:t>
      </w:r>
    </w:p>
    <w:tbl>
      <w:tblPr>
        <w:tblStyle w:val="53"/>
        <w:tblW w:w="4997"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2000"/>
        <w:gridCol w:w="1145"/>
        <w:gridCol w:w="2217"/>
        <w:gridCol w:w="1789"/>
        <w:gridCol w:w="1790"/>
      </w:tblGrid>
      <w:tr w14:paraId="12D93C5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118" w:type="pct"/>
            <w:tcBorders>
              <w:tl2br w:val="nil"/>
              <w:tr2bl w:val="nil"/>
            </w:tcBorders>
            <w:vAlign w:val="center"/>
          </w:tcPr>
          <w:p w14:paraId="576ACB43">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防腐防渗区域</w:t>
            </w:r>
          </w:p>
        </w:tc>
        <w:tc>
          <w:tcPr>
            <w:tcW w:w="640" w:type="pct"/>
            <w:tcBorders>
              <w:tl2br w:val="nil"/>
              <w:tr2bl w:val="nil"/>
            </w:tcBorders>
            <w:vAlign w:val="center"/>
          </w:tcPr>
          <w:p w14:paraId="5B0BF400">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防渗级别</w:t>
            </w:r>
          </w:p>
        </w:tc>
        <w:tc>
          <w:tcPr>
            <w:tcW w:w="1239" w:type="pct"/>
            <w:tcBorders>
              <w:tl2br w:val="nil"/>
              <w:tr2bl w:val="nil"/>
            </w:tcBorders>
            <w:vAlign w:val="center"/>
          </w:tcPr>
          <w:p w14:paraId="22FE7EFE">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防腐防渗措施</w:t>
            </w:r>
          </w:p>
        </w:tc>
        <w:tc>
          <w:tcPr>
            <w:tcW w:w="1000" w:type="pct"/>
            <w:tcBorders>
              <w:tl2br w:val="nil"/>
              <w:tr2bl w:val="nil"/>
            </w:tcBorders>
            <w:vAlign w:val="center"/>
          </w:tcPr>
          <w:p w14:paraId="3FBDAC35">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防渗系数</w:t>
            </w:r>
          </w:p>
        </w:tc>
        <w:tc>
          <w:tcPr>
            <w:tcW w:w="1000" w:type="pct"/>
            <w:tcBorders>
              <w:tl2br w:val="nil"/>
              <w:tr2bl w:val="nil"/>
            </w:tcBorders>
            <w:vAlign w:val="center"/>
          </w:tcPr>
          <w:p w14:paraId="10865A5B">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防渗层厚度</w:t>
            </w:r>
          </w:p>
        </w:tc>
      </w:tr>
      <w:tr w14:paraId="264499A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118" w:type="pct"/>
            <w:tcBorders>
              <w:tl2br w:val="nil"/>
              <w:tr2bl w:val="nil"/>
            </w:tcBorders>
            <w:vAlign w:val="center"/>
          </w:tcPr>
          <w:p w14:paraId="05EDAC23">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生产车间地面</w:t>
            </w:r>
          </w:p>
        </w:tc>
        <w:tc>
          <w:tcPr>
            <w:tcW w:w="640" w:type="pct"/>
            <w:vMerge w:val="restart"/>
            <w:tcBorders>
              <w:tl2br w:val="nil"/>
              <w:tr2bl w:val="nil"/>
            </w:tcBorders>
            <w:vAlign w:val="center"/>
          </w:tcPr>
          <w:p w14:paraId="4519CED7">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重点污染防治区</w:t>
            </w:r>
          </w:p>
        </w:tc>
        <w:tc>
          <w:tcPr>
            <w:tcW w:w="1239" w:type="pct"/>
            <w:tcBorders>
              <w:tl2br w:val="nil"/>
              <w:tr2bl w:val="nil"/>
            </w:tcBorders>
            <w:vAlign w:val="center"/>
          </w:tcPr>
          <w:p w14:paraId="47991DAC">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抗渗钢筋混凝土+三布五油+花岗岩</w:t>
            </w:r>
          </w:p>
        </w:tc>
        <w:tc>
          <w:tcPr>
            <w:tcW w:w="1000" w:type="pct"/>
            <w:vMerge w:val="restart"/>
            <w:tcBorders>
              <w:tl2br w:val="nil"/>
              <w:tr2bl w:val="nil"/>
            </w:tcBorders>
            <w:vAlign w:val="center"/>
          </w:tcPr>
          <w:p w14:paraId="36345F33">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不大于10</w:t>
            </w:r>
            <w:r>
              <w:rPr>
                <w:rFonts w:hint="eastAsia" w:ascii="宋体" w:hAnsi="宋体" w:eastAsia="宋体" w:cs="宋体"/>
                <w:sz w:val="21"/>
                <w:szCs w:val="21"/>
                <w:vertAlign w:val="superscript"/>
                <w:lang w:val="en-US" w:eastAsia="zh-CN"/>
              </w:rPr>
              <w:t>-10</w:t>
            </w:r>
            <w:r>
              <w:rPr>
                <w:rFonts w:hint="eastAsia" w:ascii="宋体" w:hAnsi="宋体" w:eastAsia="宋体" w:cs="宋体"/>
                <w:sz w:val="21"/>
                <w:szCs w:val="21"/>
                <w:vertAlign w:val="baseline"/>
                <w:lang w:val="en-US" w:eastAsia="zh-CN"/>
              </w:rPr>
              <w:t>cm/s</w:t>
            </w:r>
          </w:p>
        </w:tc>
        <w:tc>
          <w:tcPr>
            <w:tcW w:w="1000" w:type="pct"/>
            <w:vMerge w:val="restart"/>
            <w:tcBorders>
              <w:tl2br w:val="nil"/>
              <w:tr2bl w:val="nil"/>
            </w:tcBorders>
            <w:vAlign w:val="center"/>
          </w:tcPr>
          <w:p w14:paraId="619DBD9D">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不小于2mm</w:t>
            </w:r>
          </w:p>
        </w:tc>
      </w:tr>
      <w:tr w14:paraId="316A0F9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118" w:type="pct"/>
            <w:tcBorders>
              <w:tl2br w:val="nil"/>
              <w:tr2bl w:val="nil"/>
            </w:tcBorders>
            <w:vAlign w:val="center"/>
          </w:tcPr>
          <w:p w14:paraId="2783784C">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车间内侧从地面约高1m的墙体表面</w:t>
            </w:r>
          </w:p>
        </w:tc>
        <w:tc>
          <w:tcPr>
            <w:tcW w:w="640" w:type="pct"/>
            <w:vMerge w:val="continue"/>
            <w:tcBorders>
              <w:tl2br w:val="nil"/>
              <w:tr2bl w:val="nil"/>
            </w:tcBorders>
            <w:vAlign w:val="center"/>
          </w:tcPr>
          <w:p w14:paraId="64C21D24">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p>
        </w:tc>
        <w:tc>
          <w:tcPr>
            <w:tcW w:w="1239" w:type="pct"/>
            <w:tcBorders>
              <w:tl2br w:val="nil"/>
              <w:tr2bl w:val="nil"/>
            </w:tcBorders>
            <w:vAlign w:val="center"/>
          </w:tcPr>
          <w:p w14:paraId="2B46C876">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三布五油</w:t>
            </w:r>
          </w:p>
        </w:tc>
        <w:tc>
          <w:tcPr>
            <w:tcW w:w="1000" w:type="pct"/>
            <w:vMerge w:val="continue"/>
            <w:tcBorders>
              <w:tl2br w:val="nil"/>
              <w:tr2bl w:val="nil"/>
            </w:tcBorders>
            <w:vAlign w:val="center"/>
          </w:tcPr>
          <w:p w14:paraId="713CFAB2">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p>
        </w:tc>
        <w:tc>
          <w:tcPr>
            <w:tcW w:w="1000" w:type="pct"/>
            <w:vMerge w:val="continue"/>
            <w:tcBorders>
              <w:tl2br w:val="nil"/>
              <w:tr2bl w:val="nil"/>
            </w:tcBorders>
            <w:vAlign w:val="center"/>
          </w:tcPr>
          <w:p w14:paraId="1C649D53">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p>
        </w:tc>
      </w:tr>
      <w:tr w14:paraId="7A1B3D1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118" w:type="pct"/>
            <w:tcBorders>
              <w:tl2br w:val="nil"/>
              <w:tr2bl w:val="nil"/>
            </w:tcBorders>
            <w:vAlign w:val="center"/>
          </w:tcPr>
          <w:p w14:paraId="195826B9">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危险废物暂存区</w:t>
            </w:r>
          </w:p>
        </w:tc>
        <w:tc>
          <w:tcPr>
            <w:tcW w:w="640" w:type="pct"/>
            <w:tcBorders>
              <w:tl2br w:val="nil"/>
              <w:tr2bl w:val="nil"/>
            </w:tcBorders>
            <w:vAlign w:val="center"/>
          </w:tcPr>
          <w:p w14:paraId="14323D01">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特殊污染防治区</w:t>
            </w:r>
          </w:p>
        </w:tc>
        <w:tc>
          <w:tcPr>
            <w:tcW w:w="1239" w:type="pct"/>
            <w:tcBorders>
              <w:tl2br w:val="nil"/>
              <w:tr2bl w:val="nil"/>
            </w:tcBorders>
            <w:vAlign w:val="center"/>
          </w:tcPr>
          <w:p w14:paraId="4A7C9FDD">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抗渗钢筋混凝土+五布十油</w:t>
            </w:r>
          </w:p>
        </w:tc>
        <w:tc>
          <w:tcPr>
            <w:tcW w:w="1000" w:type="pct"/>
            <w:tcBorders>
              <w:tl2br w:val="nil"/>
              <w:tr2bl w:val="nil"/>
            </w:tcBorders>
            <w:vAlign w:val="center"/>
          </w:tcPr>
          <w:p w14:paraId="16DDDB3F">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不大于10</w:t>
            </w:r>
            <w:r>
              <w:rPr>
                <w:rFonts w:hint="eastAsia" w:ascii="宋体" w:hAnsi="宋体" w:eastAsia="宋体" w:cs="宋体"/>
                <w:sz w:val="21"/>
                <w:szCs w:val="21"/>
                <w:vertAlign w:val="superscript"/>
                <w:lang w:val="en-US" w:eastAsia="zh-CN"/>
              </w:rPr>
              <w:t>-12</w:t>
            </w:r>
            <w:r>
              <w:rPr>
                <w:rFonts w:hint="eastAsia" w:ascii="宋体" w:hAnsi="宋体" w:eastAsia="宋体" w:cs="宋体"/>
                <w:sz w:val="21"/>
                <w:szCs w:val="21"/>
                <w:vertAlign w:val="baseline"/>
                <w:lang w:val="en-US" w:eastAsia="zh-CN"/>
              </w:rPr>
              <w:t>cm/s</w:t>
            </w:r>
          </w:p>
        </w:tc>
        <w:tc>
          <w:tcPr>
            <w:tcW w:w="1000" w:type="pct"/>
            <w:tcBorders>
              <w:tl2br w:val="nil"/>
              <w:tr2bl w:val="nil"/>
            </w:tcBorders>
            <w:vAlign w:val="center"/>
          </w:tcPr>
          <w:p w14:paraId="5D6EE349">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不小于2mm</w:t>
            </w:r>
          </w:p>
        </w:tc>
      </w:tr>
    </w:tbl>
    <w:p w14:paraId="315D9337">
      <w:pPr>
        <w:pStyle w:val="73"/>
        <w:ind w:left="0" w:leftChars="0" w:firstLine="0" w:firstLineChars="0"/>
        <w:jc w:val="center"/>
        <w:rPr>
          <w:rFonts w:hint="default" w:ascii="黑体" w:hAnsi="黑体" w:eastAsia="黑体" w:cs="黑体"/>
          <w:sz w:val="21"/>
          <w:szCs w:val="21"/>
          <w:highlight w:val="green"/>
          <w:lang w:val="en-US" w:eastAsia="zh-CN"/>
        </w:rPr>
        <w:sectPr>
          <w:headerReference r:id="rId11" w:type="default"/>
          <w:footerReference r:id="rId12" w:type="default"/>
          <w:pgSz w:w="11906" w:h="16838"/>
          <w:pgMar w:top="1814" w:right="1588" w:bottom="1588" w:left="1588"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205B03D2">
      <w:pPr>
        <w:pStyle w:val="73"/>
        <w:ind w:left="0" w:leftChars="0" w:firstLine="0" w:firstLineChars="0"/>
        <w:jc w:val="center"/>
        <w:rPr>
          <w:rFonts w:hint="default" w:ascii="黑体" w:hAnsi="黑体" w:eastAsia="黑体" w:cs="黑体"/>
          <w:sz w:val="21"/>
          <w:szCs w:val="21"/>
          <w:highlight w:val="none"/>
          <w:lang w:val="en-US" w:eastAsia="zh-CN"/>
        </w:rPr>
      </w:pPr>
      <w:r>
        <w:rPr>
          <w:rFonts w:hint="default" w:ascii="黑体" w:hAnsi="黑体" w:eastAsia="黑体" w:cs="黑体"/>
          <w:sz w:val="21"/>
          <w:szCs w:val="21"/>
          <w:highlight w:val="none"/>
          <w:lang w:val="en-US" w:eastAsia="zh-CN"/>
        </w:rPr>
        <w:drawing>
          <wp:inline distT="0" distB="0" distL="114300" distR="114300">
            <wp:extent cx="7982585" cy="4940300"/>
            <wp:effectExtent l="0" t="0" r="18415" b="12700"/>
            <wp:docPr id="55" name="图片 55" descr="截图20200522110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descr="截图20200522110012"/>
                    <pic:cNvPicPr>
                      <a:picLocks noChangeAspect="1"/>
                    </pic:cNvPicPr>
                  </pic:nvPicPr>
                  <pic:blipFill>
                    <a:blip r:embed="rId48"/>
                    <a:stretch>
                      <a:fillRect/>
                    </a:stretch>
                  </pic:blipFill>
                  <pic:spPr>
                    <a:xfrm>
                      <a:off x="0" y="0"/>
                      <a:ext cx="7982585" cy="4940300"/>
                    </a:xfrm>
                    <a:prstGeom prst="rect">
                      <a:avLst/>
                    </a:prstGeom>
                  </pic:spPr>
                </pic:pic>
              </a:graphicData>
            </a:graphic>
          </wp:inline>
        </w:drawing>
      </w:r>
    </w:p>
    <w:p w14:paraId="4A1E4DC4">
      <w:pPr>
        <w:pStyle w:val="73"/>
        <w:spacing w:line="240" w:lineRule="auto"/>
        <w:ind w:left="0" w:leftChars="0" w:firstLine="0" w:firstLineChars="0"/>
        <w:jc w:val="center"/>
        <w:rPr>
          <w:rFonts w:hint="default" w:ascii="黑体" w:hAnsi="黑体" w:eastAsia="黑体" w:cs="黑体"/>
          <w:sz w:val="21"/>
          <w:szCs w:val="21"/>
          <w:highlight w:val="none"/>
          <w:lang w:val="en-US" w:eastAsia="zh-CN"/>
        </w:rPr>
        <w:sectPr>
          <w:pgSz w:w="16838" w:h="11906" w:orient="landscape"/>
          <w:pgMar w:top="1588" w:right="1814" w:bottom="1588" w:left="1588" w:header="851" w:footer="992" w:gutter="0"/>
          <w:pgBorders>
            <w:top w:val="none" w:sz="0" w:space="0"/>
            <w:left w:val="none" w:sz="0" w:space="0"/>
            <w:bottom w:val="none" w:sz="0" w:space="0"/>
            <w:right w:val="none" w:sz="0" w:space="0"/>
          </w:pgBorders>
          <w:pgNumType w:fmt="decimal"/>
          <w:cols w:space="720" w:num="1"/>
          <w:docGrid w:type="lines" w:linePitch="312" w:charSpace="0"/>
        </w:sectPr>
      </w:pPr>
      <w:r>
        <w:rPr>
          <w:rFonts w:hint="eastAsia" w:ascii="黑体" w:hAnsi="黑体" w:eastAsia="黑体" w:cs="黑体"/>
          <w:sz w:val="21"/>
          <w:szCs w:val="21"/>
          <w:highlight w:val="none"/>
          <w:lang w:val="en-US" w:eastAsia="zh-CN"/>
        </w:rPr>
        <w:t>图9-4防渗分区图</w:t>
      </w:r>
    </w:p>
    <w:p w14:paraId="0CD31C4F">
      <w:pPr>
        <w:pStyle w:val="2"/>
        <w:bidi w:val="0"/>
      </w:pPr>
      <w:bookmarkStart w:id="468" w:name="_Toc308533896"/>
      <w:bookmarkStart w:id="469" w:name="_Toc14704"/>
      <w:bookmarkStart w:id="470" w:name="_Toc263833035"/>
      <w:r>
        <w:rPr>
          <w:rFonts w:hint="eastAsia"/>
          <w:lang w:val="en-US" w:eastAsia="zh-CN"/>
        </w:rPr>
        <w:t>10</w:t>
      </w:r>
      <w:r>
        <w:t>总量控制</w:t>
      </w:r>
      <w:bookmarkEnd w:id="468"/>
      <w:bookmarkEnd w:id="469"/>
      <w:bookmarkEnd w:id="470"/>
    </w:p>
    <w:p w14:paraId="654359A9">
      <w:pPr>
        <w:pStyle w:val="3"/>
        <w:kinsoku/>
        <w:wordWrap/>
        <w:overflowPunct/>
        <w:topLinePunct w:val="0"/>
        <w:autoSpaceDE/>
        <w:autoSpaceDN/>
        <w:bidi w:val="0"/>
        <w:adjustRightInd/>
        <w:snapToGrid/>
        <w:textAlignment w:val="auto"/>
      </w:pPr>
      <w:bookmarkStart w:id="471" w:name="_Toc21446"/>
      <w:bookmarkStart w:id="472" w:name="_Toc189385026"/>
      <w:r>
        <w:rPr>
          <w:rFonts w:hint="eastAsia"/>
          <w:lang w:val="en-US" w:eastAsia="zh-CN"/>
        </w:rPr>
        <w:t>10</w:t>
      </w:r>
      <w:r>
        <w:t>.1总量控制</w:t>
      </w:r>
      <w:r>
        <w:rPr>
          <w:rFonts w:hint="eastAsia"/>
          <w:lang w:eastAsia="zh-CN"/>
        </w:rPr>
        <w:t>目的及</w:t>
      </w:r>
      <w:r>
        <w:t>基本原则</w:t>
      </w:r>
      <w:bookmarkEnd w:id="471"/>
    </w:p>
    <w:p w14:paraId="03766E5D">
      <w:pPr>
        <w:kinsoku/>
        <w:wordWrap/>
        <w:overflowPunct/>
        <w:topLinePunct w:val="0"/>
        <w:autoSpaceDE/>
        <w:autoSpaceDN/>
        <w:bidi w:val="0"/>
        <w:adjustRightInd/>
        <w:snapToGrid/>
        <w:textAlignment w:val="auto"/>
        <w:rPr>
          <w:rFonts w:hint="eastAsia"/>
        </w:rPr>
      </w:pPr>
      <w:r>
        <w:rPr>
          <w:rFonts w:hint="eastAsia"/>
        </w:rPr>
        <w:t>实施主要污染物排放总量控制是我国环境保护工作的一项重大举措，是保证实现环境保护目标的客观要求，也是国民经济发展的需要，只有切切实实地把污染物排放总量控制在环境允许的范围之内，才能基本控制环境污染的加剧趋势，确保环境免遭污染。</w:t>
      </w:r>
    </w:p>
    <w:p w14:paraId="6FFC5363">
      <w:pPr>
        <w:bidi w:val="0"/>
        <w:rPr>
          <w:rFonts w:hint="eastAsia"/>
        </w:rPr>
      </w:pPr>
      <w:r>
        <w:rPr>
          <w:rFonts w:hint="eastAsia"/>
        </w:rPr>
        <w:t>总量控制原则：我国目前实行的是区域污染物排放总量目标控制，即区域排污量在一定时期内不得突破分配的污染物排放总量。</w:t>
      </w:r>
    </w:p>
    <w:p w14:paraId="2632112D">
      <w:pPr>
        <w:bidi w:val="0"/>
      </w:pPr>
      <w:r>
        <w:rPr>
          <w:rFonts w:hint="eastAsia"/>
        </w:rPr>
        <w:t>总量控制目的：通过对本项目污染物排放总量及控制途径分析，最大限度地减少各类污染物进入环境，以确保区域环境质量目标得到实现，达到项目建设的经济效益、环境效益和社会效益的三统一和区域经济的可持续发展。</w:t>
      </w:r>
    </w:p>
    <w:p w14:paraId="16FF7FBB">
      <w:pPr>
        <w:pStyle w:val="3"/>
        <w:rPr>
          <w:color w:val="auto"/>
        </w:rPr>
      </w:pPr>
      <w:bookmarkStart w:id="473" w:name="_Toc15473"/>
      <w:r>
        <w:rPr>
          <w:rFonts w:hint="eastAsia"/>
          <w:color w:val="auto"/>
          <w:lang w:val="en-US" w:eastAsia="zh-CN"/>
        </w:rPr>
        <w:t>10</w:t>
      </w:r>
      <w:r>
        <w:rPr>
          <w:color w:val="auto"/>
        </w:rPr>
        <w:t>.2总量控制因子</w:t>
      </w:r>
      <w:bookmarkEnd w:id="473"/>
    </w:p>
    <w:p w14:paraId="21D30DCC">
      <w:pPr>
        <w:bidi w:val="0"/>
        <w:rPr>
          <w:rFonts w:hint="eastAsia"/>
        </w:rPr>
      </w:pPr>
      <w:r>
        <w:t>根据《关于印发&lt;建设项目主要污染物排放总量指标审核及管理暂行办法&gt;的通知》（环境保护部，环发[2014]197号）以及《辽宁省环境保护厅关于贯彻执行环保部建设项目主要污染物排放总量指标审核及管理暂行办法的通知》（辽宁省环境保护厅，辽环发[2015]17号），结合本项目的特点，</w:t>
      </w:r>
      <w:r>
        <w:rPr>
          <w:rFonts w:hint="eastAsia"/>
        </w:rPr>
        <w:t>本项目排放的大气污染物主要为甲基磺酸，没有SO</w:t>
      </w:r>
      <w:r>
        <w:rPr>
          <w:rFonts w:hint="eastAsia"/>
          <w:vertAlign w:val="subscript"/>
        </w:rPr>
        <w:t>2</w:t>
      </w:r>
      <w:r>
        <w:rPr>
          <w:rFonts w:hint="eastAsia"/>
        </w:rPr>
        <w:t>和NO</w:t>
      </w:r>
      <w:r>
        <w:rPr>
          <w:rFonts w:hint="eastAsia"/>
          <w:vertAlign w:val="subscript"/>
        </w:rPr>
        <w:t>X</w:t>
      </w:r>
      <w:r>
        <w:rPr>
          <w:rFonts w:hint="eastAsia"/>
        </w:rPr>
        <w:t>，本次环评建议对本项目排放的甲基磺酸进行总量考核。结合项目排污特征，确定本项目总量控制因子为：</w:t>
      </w:r>
    </w:p>
    <w:p w14:paraId="01D16C34">
      <w:pPr>
        <w:bidi w:val="0"/>
      </w:pPr>
      <w:r>
        <w:rPr>
          <w:rFonts w:hint="eastAsia"/>
        </w:rPr>
        <w:t>废气（考核量）：甲基磺酸（以</w:t>
      </w:r>
      <w:r>
        <w:rPr>
          <w:rFonts w:hint="eastAsia"/>
          <w:lang w:val="en-US" w:eastAsia="zh-CN"/>
        </w:rPr>
        <w:t>TVOCs</w:t>
      </w:r>
      <w:r>
        <w:rPr>
          <w:rFonts w:hint="eastAsia"/>
        </w:rPr>
        <w:t>计）</w:t>
      </w:r>
      <w:r>
        <w:t>。</w:t>
      </w:r>
    </w:p>
    <w:p w14:paraId="74705C91">
      <w:pPr>
        <w:bidi w:val="0"/>
        <w:rPr>
          <w:rFonts w:hint="eastAsia"/>
          <w:lang w:eastAsia="zh-CN"/>
        </w:rPr>
      </w:pPr>
      <w:r>
        <w:rPr>
          <w:rFonts w:hint="eastAsia"/>
          <w:lang w:eastAsia="zh-CN"/>
        </w:rPr>
        <w:t>本项目废水经处理后全部回用，因此不核算废水排放总量。</w:t>
      </w:r>
    </w:p>
    <w:p w14:paraId="2D3EB984">
      <w:pPr>
        <w:pStyle w:val="3"/>
        <w:rPr>
          <w:color w:val="auto"/>
        </w:rPr>
      </w:pPr>
      <w:bookmarkStart w:id="474" w:name="_Toc24988"/>
      <w:bookmarkStart w:id="475" w:name="_Toc25538"/>
      <w:r>
        <w:rPr>
          <w:rFonts w:hint="eastAsia"/>
          <w:color w:val="auto"/>
          <w:lang w:val="en-US" w:eastAsia="zh-CN"/>
        </w:rPr>
        <w:t>10</w:t>
      </w:r>
      <w:r>
        <w:rPr>
          <w:color w:val="auto"/>
        </w:rPr>
        <w:t>.3总量控制指标</w:t>
      </w:r>
      <w:bookmarkEnd w:id="474"/>
      <w:bookmarkEnd w:id="475"/>
    </w:p>
    <w:p w14:paraId="08BD323C">
      <w:pPr>
        <w:adjustRightInd w:val="0"/>
        <w:snapToGrid w:val="0"/>
        <w:spacing w:line="240" w:lineRule="auto"/>
        <w:ind w:firstLine="420" w:firstLineChars="200"/>
        <w:jc w:val="center"/>
        <w:rPr>
          <w:b/>
          <w:bCs/>
          <w:sz w:val="21"/>
          <w:szCs w:val="21"/>
        </w:rPr>
      </w:pPr>
      <w:r>
        <w:rPr>
          <w:rFonts w:hint="eastAsia" w:ascii="黑体" w:hAnsi="黑体" w:eastAsia="黑体" w:cs="黑体"/>
          <w:b w:val="0"/>
          <w:bCs w:val="0"/>
          <w:sz w:val="21"/>
          <w:szCs w:val="21"/>
        </w:rPr>
        <w:t>表</w:t>
      </w:r>
      <w:r>
        <w:rPr>
          <w:rFonts w:hint="eastAsia" w:ascii="黑体" w:hAnsi="黑体" w:eastAsia="黑体" w:cs="黑体"/>
          <w:b w:val="0"/>
          <w:bCs w:val="0"/>
          <w:sz w:val="21"/>
          <w:szCs w:val="21"/>
          <w:lang w:val="en-US" w:eastAsia="zh-CN"/>
        </w:rPr>
        <w:t>10-1</w:t>
      </w:r>
      <w:r>
        <w:rPr>
          <w:rFonts w:hint="eastAsia" w:ascii="黑体" w:hAnsi="黑体" w:eastAsia="黑体" w:cs="黑体"/>
          <w:b w:val="0"/>
          <w:bCs w:val="0"/>
          <w:sz w:val="21"/>
          <w:szCs w:val="21"/>
        </w:rPr>
        <w:t>总量控制指标建议值  单位：t/a</w:t>
      </w:r>
    </w:p>
    <w:tbl>
      <w:tblPr>
        <w:tblStyle w:val="52"/>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2464"/>
        <w:gridCol w:w="2743"/>
        <w:gridCol w:w="3739"/>
      </w:tblGrid>
      <w:tr w14:paraId="3DAFAB2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1377" w:type="pct"/>
            <w:vAlign w:val="center"/>
          </w:tcPr>
          <w:p w14:paraId="4A7C33D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项目</w:t>
            </w:r>
          </w:p>
        </w:tc>
        <w:tc>
          <w:tcPr>
            <w:tcW w:w="1533" w:type="pct"/>
            <w:vAlign w:val="center"/>
          </w:tcPr>
          <w:p w14:paraId="4B04921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污染物名称</w:t>
            </w:r>
          </w:p>
        </w:tc>
        <w:tc>
          <w:tcPr>
            <w:tcW w:w="2089" w:type="pct"/>
            <w:vAlign w:val="center"/>
          </w:tcPr>
          <w:p w14:paraId="1310FFA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bCs/>
                <w:sz w:val="21"/>
                <w:szCs w:val="21"/>
                <w:highlight w:val="none"/>
              </w:rPr>
              <w:t>总量控制指标建议值</w:t>
            </w:r>
          </w:p>
        </w:tc>
      </w:tr>
      <w:tr w14:paraId="404CC98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1377" w:type="pct"/>
            <w:vAlign w:val="center"/>
          </w:tcPr>
          <w:p w14:paraId="12E7674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废气</w:t>
            </w:r>
          </w:p>
        </w:tc>
        <w:tc>
          <w:tcPr>
            <w:tcW w:w="1533" w:type="pct"/>
            <w:vAlign w:val="center"/>
          </w:tcPr>
          <w:p w14:paraId="7367281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甲基磺酸（以</w:t>
            </w:r>
            <w:r>
              <w:rPr>
                <w:rFonts w:hint="eastAsia" w:ascii="宋体" w:hAnsi="宋体" w:cs="宋体"/>
                <w:sz w:val="21"/>
                <w:szCs w:val="21"/>
                <w:lang w:val="en-US" w:eastAsia="zh-CN"/>
              </w:rPr>
              <w:t>TVOCs</w:t>
            </w:r>
            <w:r>
              <w:rPr>
                <w:rFonts w:hint="eastAsia" w:ascii="宋体" w:hAnsi="宋体" w:eastAsia="宋体" w:cs="宋体"/>
                <w:sz w:val="21"/>
                <w:szCs w:val="21"/>
              </w:rPr>
              <w:t>计）</w:t>
            </w:r>
          </w:p>
        </w:tc>
        <w:tc>
          <w:tcPr>
            <w:tcW w:w="2089" w:type="pct"/>
            <w:vAlign w:val="center"/>
          </w:tcPr>
          <w:p w14:paraId="03AD6773">
            <w:pPr>
              <w:pStyle w:val="196"/>
              <w:keepNext w:val="0"/>
              <w:keepLines w:val="0"/>
              <w:pageBreakBefore w:val="0"/>
              <w:widowControl w:val="0"/>
              <w:tabs>
                <w:tab w:val="left" w:pos="522"/>
                <w:tab w:val="left" w:pos="628"/>
                <w:tab w:val="left" w:pos="681"/>
                <w:tab w:val="left" w:pos="1200"/>
                <w:tab w:val="left" w:pos="1558"/>
                <w:tab w:val="left" w:pos="1884"/>
                <w:tab w:val="left" w:pos="1985"/>
              </w:tabs>
              <w:kinsoku/>
              <w:wordWrap/>
              <w:overflowPunct/>
              <w:topLinePunct w:val="0"/>
              <w:autoSpaceDE/>
              <w:autoSpaceDN/>
              <w:bidi w:val="0"/>
              <w:adjustRightInd w:val="0"/>
              <w:snapToGrid w:val="0"/>
              <w:spacing w:line="240" w:lineRule="auto"/>
              <w:ind w:firstLine="0" w:firstLineChars="0"/>
              <w:textAlignment w:val="auto"/>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1.059kg/a</w:t>
            </w:r>
          </w:p>
        </w:tc>
      </w:tr>
    </w:tbl>
    <w:p w14:paraId="2EF2E66B">
      <w:pPr>
        <w:pStyle w:val="2"/>
        <w:rPr>
          <w:rFonts w:ascii="Times New Roman" w:hAnsi="Times New Roman" w:cs="Times New Roman"/>
          <w:color w:val="auto"/>
        </w:rPr>
      </w:pPr>
      <w:bookmarkStart w:id="476" w:name="_Toc518"/>
      <w:r>
        <w:rPr>
          <w:rFonts w:ascii="Times New Roman" w:hAnsi="Times New Roman" w:cs="Times New Roman"/>
          <w:color w:val="auto"/>
        </w:rPr>
        <w:t>1</w:t>
      </w:r>
      <w:bookmarkEnd w:id="472"/>
      <w:bookmarkStart w:id="477" w:name="_Toc477422050"/>
      <w:r>
        <w:rPr>
          <w:rFonts w:hint="eastAsia" w:ascii="Times New Roman" w:hAnsi="Times New Roman" w:cs="Times New Roman"/>
          <w:color w:val="auto"/>
          <w:lang w:val="en-US" w:eastAsia="zh-CN"/>
        </w:rPr>
        <w:t>1</w:t>
      </w:r>
      <w:r>
        <w:rPr>
          <w:rFonts w:ascii="Times New Roman" w:hAnsi="Times New Roman" w:cs="Times New Roman"/>
          <w:color w:val="auto"/>
        </w:rPr>
        <w:t>环境影响经济损益分析</w:t>
      </w:r>
      <w:bookmarkEnd w:id="476"/>
      <w:bookmarkEnd w:id="477"/>
    </w:p>
    <w:p w14:paraId="3AEF1A5A">
      <w:pPr>
        <w:pStyle w:val="3"/>
        <w:rPr>
          <w:color w:val="auto"/>
        </w:rPr>
      </w:pPr>
      <w:bookmarkStart w:id="478" w:name="_Toc18635"/>
      <w:bookmarkStart w:id="479" w:name="_Toc25891"/>
      <w:bookmarkStart w:id="480" w:name="_Toc10425"/>
      <w:bookmarkStart w:id="481" w:name="_Toc24442"/>
      <w:r>
        <w:rPr>
          <w:color w:val="auto"/>
        </w:rPr>
        <w:t>1</w:t>
      </w:r>
      <w:r>
        <w:rPr>
          <w:rFonts w:hint="eastAsia"/>
          <w:color w:val="auto"/>
          <w:lang w:val="en-US" w:eastAsia="zh-CN"/>
        </w:rPr>
        <w:t>1</w:t>
      </w:r>
      <w:r>
        <w:rPr>
          <w:color w:val="auto"/>
        </w:rPr>
        <w:t>.1概述</w:t>
      </w:r>
      <w:bookmarkEnd w:id="478"/>
      <w:bookmarkEnd w:id="479"/>
      <w:bookmarkEnd w:id="480"/>
      <w:bookmarkEnd w:id="481"/>
    </w:p>
    <w:p w14:paraId="6A46AB7F">
      <w:pPr>
        <w:adjustRightInd w:val="0"/>
        <w:snapToGrid w:val="0"/>
        <w:ind w:firstLine="480" w:firstLineChars="200"/>
      </w:pPr>
      <w:r>
        <w:t>环境影响经济损益分析主要是评价建设项目实施后对环境造成的损失费用和采用各种环保治理措施带来的社会、经济和环境效益。环境损失费用主要有因污染物排放和污染事故造成对周围生态环境和人体健康影响的损失价值、资源能源的流失价值和维持各种环保治理设施而投入的运行、维修及管理费用等。环境经济收益主要包括实施各种环保措施后，对资源能源的回收与综合利用价值、减轻环境污染所带来的社会效益和环境效益。由于目前对于环境经济损益分析无统一的标准和成熟的方法及有关规范，使该项工作有一定难度。本次评价仅从上述内容中的某些方面作一定程度的描述和分析。</w:t>
      </w:r>
    </w:p>
    <w:p w14:paraId="0DE738B0">
      <w:pPr>
        <w:pStyle w:val="3"/>
        <w:rPr>
          <w:color w:val="auto"/>
        </w:rPr>
      </w:pPr>
      <w:bookmarkStart w:id="482" w:name="_Toc32662"/>
      <w:bookmarkStart w:id="483" w:name="_Toc19551"/>
      <w:bookmarkStart w:id="484" w:name="_Toc3592"/>
      <w:bookmarkStart w:id="485" w:name="_Toc12126"/>
      <w:bookmarkStart w:id="486" w:name="_Toc7596"/>
      <w:bookmarkStart w:id="487" w:name="_Toc15787"/>
      <w:bookmarkStart w:id="488" w:name="_Toc488409562"/>
      <w:bookmarkStart w:id="489" w:name="_Toc13754"/>
      <w:r>
        <w:rPr>
          <w:color w:val="auto"/>
        </w:rPr>
        <w:t>1</w:t>
      </w:r>
      <w:r>
        <w:rPr>
          <w:rFonts w:hint="eastAsia"/>
          <w:color w:val="auto"/>
          <w:lang w:val="en-US" w:eastAsia="zh-CN"/>
        </w:rPr>
        <w:t>1</w:t>
      </w:r>
      <w:r>
        <w:rPr>
          <w:color w:val="auto"/>
        </w:rPr>
        <w:t>.2环保</w:t>
      </w:r>
      <w:bookmarkEnd w:id="482"/>
      <w:bookmarkEnd w:id="483"/>
      <w:bookmarkEnd w:id="484"/>
      <w:bookmarkEnd w:id="485"/>
      <w:bookmarkEnd w:id="486"/>
      <w:bookmarkEnd w:id="487"/>
      <w:bookmarkEnd w:id="488"/>
      <w:r>
        <w:rPr>
          <w:color w:val="auto"/>
        </w:rPr>
        <w:t>投资</w:t>
      </w:r>
      <w:bookmarkEnd w:id="489"/>
    </w:p>
    <w:p w14:paraId="2B76FF19">
      <w:pPr>
        <w:ind w:firstLine="480" w:firstLineChars="200"/>
      </w:pPr>
      <w:r>
        <w:rPr>
          <w:rFonts w:hint="eastAsia"/>
          <w:lang w:eastAsia="zh-CN"/>
        </w:rPr>
        <w:t>本项目总投资</w:t>
      </w:r>
      <w:r>
        <w:rPr>
          <w:rFonts w:hint="eastAsia"/>
          <w:lang w:val="en-US" w:eastAsia="zh-CN"/>
        </w:rPr>
        <w:t>330万，环保投资49万，占总投资的14.85%</w:t>
      </w:r>
      <w:r>
        <w:t>。</w:t>
      </w:r>
    </w:p>
    <w:p w14:paraId="14AFD626">
      <w:pPr>
        <w:pStyle w:val="3"/>
        <w:rPr>
          <w:color w:val="auto"/>
        </w:rPr>
      </w:pPr>
      <w:bookmarkStart w:id="490" w:name="_Toc477422051"/>
      <w:bookmarkStart w:id="491" w:name="_Toc149"/>
      <w:r>
        <w:rPr>
          <w:color w:val="auto"/>
        </w:rPr>
        <w:t>1</w:t>
      </w:r>
      <w:r>
        <w:rPr>
          <w:rFonts w:hint="eastAsia"/>
          <w:color w:val="auto"/>
          <w:lang w:val="en-US" w:eastAsia="zh-CN"/>
        </w:rPr>
        <w:t>1</w:t>
      </w:r>
      <w:r>
        <w:rPr>
          <w:color w:val="auto"/>
        </w:rPr>
        <w:t>.3经济及社会效益分析</w:t>
      </w:r>
      <w:bookmarkEnd w:id="490"/>
      <w:bookmarkEnd w:id="491"/>
    </w:p>
    <w:p w14:paraId="37018C60">
      <w:pPr>
        <w:bidi w:val="0"/>
      </w:pPr>
      <w:r>
        <w:rPr>
          <w:rFonts w:hint="eastAsia"/>
        </w:rPr>
        <w:t>本项目的建设不仅企业能获得较好的经济效益，而且具有直接的社会效益。项目投产后将增加职工</w:t>
      </w:r>
      <w:r>
        <w:rPr>
          <w:rFonts w:hint="eastAsia"/>
          <w:lang w:val="en-US" w:eastAsia="zh-CN"/>
        </w:rPr>
        <w:t>10</w:t>
      </w:r>
      <w:r>
        <w:rPr>
          <w:rFonts w:hint="eastAsia"/>
        </w:rPr>
        <w:t>人，能在一定程度上缓解当地的就业压力。</w:t>
      </w:r>
    </w:p>
    <w:p w14:paraId="50D1F02A">
      <w:pPr>
        <w:pStyle w:val="3"/>
        <w:rPr>
          <w:color w:val="auto"/>
        </w:rPr>
      </w:pPr>
      <w:bookmarkStart w:id="492" w:name="_Toc10972"/>
      <w:r>
        <w:rPr>
          <w:color w:val="auto"/>
        </w:rPr>
        <w:t>1</w:t>
      </w:r>
      <w:r>
        <w:rPr>
          <w:rFonts w:hint="eastAsia"/>
          <w:color w:val="auto"/>
          <w:lang w:val="en-US" w:eastAsia="zh-CN"/>
        </w:rPr>
        <w:t>1</w:t>
      </w:r>
      <w:r>
        <w:rPr>
          <w:color w:val="auto"/>
        </w:rPr>
        <w:t>.4环保效益分析</w:t>
      </w:r>
      <w:bookmarkEnd w:id="492"/>
    </w:p>
    <w:p w14:paraId="53F8F586">
      <w:pPr>
        <w:bidi w:val="0"/>
        <w:rPr>
          <w:rFonts w:hint="eastAsia"/>
          <w:lang w:eastAsia="zh-CN"/>
        </w:rPr>
      </w:pPr>
      <w:r>
        <w:rPr>
          <w:rFonts w:hint="eastAsia"/>
        </w:rPr>
        <w:t>本项目在环保方面的需增加投入约</w:t>
      </w:r>
      <w:r>
        <w:rPr>
          <w:rFonts w:hint="eastAsia"/>
          <w:lang w:val="en-US" w:eastAsia="zh-CN"/>
        </w:rPr>
        <w:t>49</w:t>
      </w:r>
      <w:r>
        <w:rPr>
          <w:rFonts w:hint="eastAsia"/>
        </w:rPr>
        <w:t>万元人民币，占项目总投资的</w:t>
      </w:r>
      <w:r>
        <w:rPr>
          <w:rFonts w:hint="eastAsia"/>
          <w:lang w:val="en-US" w:eastAsia="zh-CN"/>
        </w:rPr>
        <w:t>14.85</w:t>
      </w:r>
      <w:r>
        <w:rPr>
          <w:rFonts w:hint="eastAsia"/>
        </w:rPr>
        <w:t>%。根据工程分析，采取环保措施后项目运行期污染物可以达到达标排放的要求。项目环保设施能满足有关污染治理方面的需要，投资合理。</w:t>
      </w:r>
      <w:r>
        <w:rPr>
          <w:rFonts w:hint="eastAsia"/>
          <w:lang w:eastAsia="zh-CN"/>
        </w:rPr>
        <w:t>具体项目环保投资情况如下表所示。</w:t>
      </w:r>
    </w:p>
    <w:p w14:paraId="58177797">
      <w:pPr>
        <w:pStyle w:val="73"/>
        <w:spacing w:line="240" w:lineRule="auto"/>
        <w:ind w:left="0" w:leftChars="0" w:firstLine="0" w:firstLineChars="0"/>
        <w:jc w:val="center"/>
        <w:rPr>
          <w:rFonts w:hint="eastAsia"/>
          <w:lang w:val="en-US" w:eastAsia="zh-CN"/>
        </w:rPr>
      </w:pPr>
      <w:r>
        <w:rPr>
          <w:rFonts w:hint="eastAsia" w:ascii="黑体" w:hAnsi="黑体" w:eastAsia="黑体" w:cs="黑体"/>
          <w:sz w:val="21"/>
          <w:szCs w:val="21"/>
          <w:lang w:eastAsia="zh-CN"/>
        </w:rPr>
        <w:t>表</w:t>
      </w:r>
      <w:r>
        <w:rPr>
          <w:rFonts w:hint="eastAsia" w:ascii="黑体" w:hAnsi="黑体" w:eastAsia="黑体" w:cs="黑体"/>
          <w:sz w:val="21"/>
          <w:szCs w:val="21"/>
          <w:lang w:val="en-US" w:eastAsia="zh-CN"/>
        </w:rPr>
        <w:t>11-1项目环保投资情况</w:t>
      </w:r>
    </w:p>
    <w:tbl>
      <w:tblPr>
        <w:tblStyle w:val="53"/>
        <w:tblW w:w="4997"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136"/>
        <w:gridCol w:w="767"/>
        <w:gridCol w:w="5170"/>
        <w:gridCol w:w="1238"/>
        <w:gridCol w:w="630"/>
      </w:tblGrid>
      <w:tr w14:paraId="21B0D75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064" w:type="pct"/>
            <w:gridSpan w:val="2"/>
            <w:tcBorders>
              <w:tl2br w:val="nil"/>
              <w:tr2bl w:val="nil"/>
            </w:tcBorders>
            <w:vAlign w:val="center"/>
          </w:tcPr>
          <w:p w14:paraId="4C70B9F8">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类别</w:t>
            </w:r>
          </w:p>
        </w:tc>
        <w:tc>
          <w:tcPr>
            <w:tcW w:w="2890" w:type="pct"/>
            <w:tcBorders>
              <w:tl2br w:val="nil"/>
              <w:tr2bl w:val="nil"/>
            </w:tcBorders>
            <w:vAlign w:val="center"/>
          </w:tcPr>
          <w:p w14:paraId="0FF65BC6">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拟采取的环保措施</w:t>
            </w:r>
          </w:p>
        </w:tc>
        <w:tc>
          <w:tcPr>
            <w:tcW w:w="692" w:type="pct"/>
            <w:tcBorders>
              <w:tl2br w:val="nil"/>
              <w:tr2bl w:val="nil"/>
            </w:tcBorders>
            <w:vAlign w:val="center"/>
          </w:tcPr>
          <w:p w14:paraId="18FB06B0">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投资费用</w:t>
            </w:r>
          </w:p>
        </w:tc>
        <w:tc>
          <w:tcPr>
            <w:tcW w:w="352" w:type="pct"/>
            <w:tcBorders>
              <w:tl2br w:val="nil"/>
              <w:tr2bl w:val="nil"/>
            </w:tcBorders>
            <w:vAlign w:val="center"/>
          </w:tcPr>
          <w:p w14:paraId="6406465B">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备注</w:t>
            </w:r>
          </w:p>
        </w:tc>
      </w:tr>
      <w:tr w14:paraId="0D29041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064" w:type="pct"/>
            <w:gridSpan w:val="2"/>
            <w:tcBorders>
              <w:tl2br w:val="nil"/>
              <w:tr2bl w:val="nil"/>
            </w:tcBorders>
            <w:vAlign w:val="center"/>
          </w:tcPr>
          <w:p w14:paraId="5F737993">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废气治理</w:t>
            </w:r>
          </w:p>
        </w:tc>
        <w:tc>
          <w:tcPr>
            <w:tcW w:w="2890" w:type="pct"/>
            <w:tcBorders>
              <w:tl2br w:val="nil"/>
              <w:tr2bl w:val="nil"/>
            </w:tcBorders>
            <w:vAlign w:val="center"/>
          </w:tcPr>
          <w:p w14:paraId="5B83DBD1">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rPr>
                <w:rFonts w:hint="default"/>
                <w:sz w:val="21"/>
                <w:szCs w:val="21"/>
                <w:vertAlign w:val="baseline"/>
                <w:lang w:val="en-US" w:eastAsia="zh-CN"/>
              </w:rPr>
            </w:pPr>
            <w:r>
              <w:rPr>
                <w:rFonts w:hint="eastAsia"/>
                <w:sz w:val="21"/>
                <w:szCs w:val="21"/>
                <w:vertAlign w:val="baseline"/>
                <w:lang w:val="en-US" w:eastAsia="zh-CN"/>
              </w:rPr>
              <w:t>配套建设酸性废气净化装置，废气经治理后经由15m高排气筒排放。</w:t>
            </w:r>
          </w:p>
        </w:tc>
        <w:tc>
          <w:tcPr>
            <w:tcW w:w="692" w:type="pct"/>
            <w:tcBorders>
              <w:tl2br w:val="nil"/>
              <w:tr2bl w:val="nil"/>
            </w:tcBorders>
            <w:vAlign w:val="center"/>
          </w:tcPr>
          <w:p w14:paraId="307B6078">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15</w:t>
            </w:r>
          </w:p>
        </w:tc>
        <w:tc>
          <w:tcPr>
            <w:tcW w:w="352" w:type="pct"/>
            <w:tcBorders>
              <w:tl2br w:val="nil"/>
              <w:tr2bl w:val="nil"/>
            </w:tcBorders>
            <w:vAlign w:val="center"/>
          </w:tcPr>
          <w:p w14:paraId="66A6EE62">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sz w:val="21"/>
                <w:szCs w:val="21"/>
                <w:vertAlign w:val="baseline"/>
                <w:lang w:val="en-US" w:eastAsia="zh-CN"/>
              </w:rPr>
            </w:pPr>
          </w:p>
        </w:tc>
      </w:tr>
      <w:tr w14:paraId="69A6C5F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35" w:type="pct"/>
            <w:vMerge w:val="restart"/>
            <w:tcBorders>
              <w:tl2br w:val="nil"/>
              <w:tr2bl w:val="nil"/>
            </w:tcBorders>
            <w:vAlign w:val="center"/>
          </w:tcPr>
          <w:p w14:paraId="32503F6F">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废水治理</w:t>
            </w:r>
          </w:p>
        </w:tc>
        <w:tc>
          <w:tcPr>
            <w:tcW w:w="428" w:type="pct"/>
            <w:tcBorders>
              <w:tl2br w:val="nil"/>
              <w:tr2bl w:val="nil"/>
            </w:tcBorders>
            <w:vAlign w:val="center"/>
          </w:tcPr>
          <w:p w14:paraId="72E38FEF">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sz w:val="21"/>
                <w:szCs w:val="21"/>
                <w:vertAlign w:val="baseline"/>
                <w:lang w:val="en-US" w:eastAsia="zh-CN"/>
              </w:rPr>
            </w:pPr>
            <w:r>
              <w:rPr>
                <w:rFonts w:hint="eastAsia"/>
                <w:sz w:val="21"/>
                <w:szCs w:val="21"/>
                <w:vertAlign w:val="baseline"/>
                <w:lang w:val="en-US" w:eastAsia="zh-CN"/>
              </w:rPr>
              <w:t>生产废水</w:t>
            </w:r>
          </w:p>
        </w:tc>
        <w:tc>
          <w:tcPr>
            <w:tcW w:w="2890" w:type="pct"/>
            <w:tcBorders>
              <w:tl2br w:val="nil"/>
              <w:tr2bl w:val="nil"/>
            </w:tcBorders>
            <w:vAlign w:val="center"/>
          </w:tcPr>
          <w:p w14:paraId="22B72267">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rPr>
                <w:rFonts w:hint="default"/>
                <w:sz w:val="21"/>
                <w:szCs w:val="21"/>
                <w:vertAlign w:val="baseline"/>
                <w:lang w:val="en-US" w:eastAsia="zh-CN"/>
              </w:rPr>
            </w:pPr>
            <w:r>
              <w:rPr>
                <w:rFonts w:hint="eastAsia"/>
                <w:sz w:val="21"/>
                <w:szCs w:val="21"/>
                <w:vertAlign w:val="baseline"/>
                <w:lang w:val="en-US" w:eastAsia="zh-CN"/>
              </w:rPr>
              <w:t>建设废水混凝沉淀、离子交换净化装置，生产废水经处理后全部回用，不外排。</w:t>
            </w:r>
          </w:p>
        </w:tc>
        <w:tc>
          <w:tcPr>
            <w:tcW w:w="692" w:type="pct"/>
            <w:tcBorders>
              <w:tl2br w:val="nil"/>
              <w:tr2bl w:val="nil"/>
            </w:tcBorders>
            <w:vAlign w:val="center"/>
          </w:tcPr>
          <w:p w14:paraId="479707F5">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20</w:t>
            </w:r>
          </w:p>
        </w:tc>
        <w:tc>
          <w:tcPr>
            <w:tcW w:w="352" w:type="pct"/>
            <w:tcBorders>
              <w:tl2br w:val="nil"/>
              <w:tr2bl w:val="nil"/>
            </w:tcBorders>
            <w:vAlign w:val="center"/>
          </w:tcPr>
          <w:p w14:paraId="55095E37">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sz w:val="21"/>
                <w:szCs w:val="21"/>
                <w:vertAlign w:val="baseline"/>
                <w:lang w:val="en-US" w:eastAsia="zh-CN"/>
              </w:rPr>
            </w:pPr>
          </w:p>
        </w:tc>
      </w:tr>
      <w:tr w14:paraId="1B65836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35" w:type="pct"/>
            <w:vMerge w:val="continue"/>
            <w:tcBorders>
              <w:tl2br w:val="nil"/>
              <w:tr2bl w:val="nil"/>
            </w:tcBorders>
            <w:vAlign w:val="center"/>
          </w:tcPr>
          <w:p w14:paraId="77B67497">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sz w:val="21"/>
                <w:szCs w:val="21"/>
                <w:vertAlign w:val="baseline"/>
                <w:lang w:val="en-US" w:eastAsia="zh-CN"/>
              </w:rPr>
            </w:pPr>
          </w:p>
        </w:tc>
        <w:tc>
          <w:tcPr>
            <w:tcW w:w="428" w:type="pct"/>
            <w:tcBorders>
              <w:tl2br w:val="nil"/>
              <w:tr2bl w:val="nil"/>
            </w:tcBorders>
            <w:vAlign w:val="center"/>
          </w:tcPr>
          <w:p w14:paraId="18684297">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生活污水</w:t>
            </w:r>
          </w:p>
        </w:tc>
        <w:tc>
          <w:tcPr>
            <w:tcW w:w="2890" w:type="pct"/>
            <w:tcBorders>
              <w:tl2br w:val="nil"/>
              <w:tr2bl w:val="nil"/>
            </w:tcBorders>
            <w:vAlign w:val="center"/>
          </w:tcPr>
          <w:p w14:paraId="705C0224">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依托厂区现有化肥池，定期清掏做农肥</w:t>
            </w:r>
          </w:p>
        </w:tc>
        <w:tc>
          <w:tcPr>
            <w:tcW w:w="692" w:type="pct"/>
            <w:tcBorders>
              <w:tl2br w:val="nil"/>
              <w:tr2bl w:val="nil"/>
            </w:tcBorders>
            <w:vAlign w:val="center"/>
          </w:tcPr>
          <w:p w14:paraId="51CE37AB">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0</w:t>
            </w:r>
          </w:p>
        </w:tc>
        <w:tc>
          <w:tcPr>
            <w:tcW w:w="352" w:type="pct"/>
            <w:tcBorders>
              <w:tl2br w:val="nil"/>
              <w:tr2bl w:val="nil"/>
            </w:tcBorders>
            <w:vAlign w:val="center"/>
          </w:tcPr>
          <w:p w14:paraId="4B407FF8">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sz w:val="21"/>
                <w:szCs w:val="21"/>
                <w:vertAlign w:val="baseline"/>
                <w:lang w:val="en-US" w:eastAsia="zh-CN"/>
              </w:rPr>
            </w:pPr>
          </w:p>
        </w:tc>
      </w:tr>
      <w:tr w14:paraId="7BE636E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064" w:type="pct"/>
            <w:gridSpan w:val="2"/>
            <w:tcBorders>
              <w:tl2br w:val="nil"/>
              <w:tr2bl w:val="nil"/>
            </w:tcBorders>
            <w:vAlign w:val="center"/>
          </w:tcPr>
          <w:p w14:paraId="2A4FC961">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sz w:val="21"/>
                <w:szCs w:val="21"/>
                <w:vertAlign w:val="baseline"/>
                <w:lang w:val="en-US" w:eastAsia="zh-CN"/>
              </w:rPr>
            </w:pPr>
            <w:r>
              <w:rPr>
                <w:rFonts w:hint="eastAsia"/>
                <w:sz w:val="21"/>
                <w:szCs w:val="21"/>
                <w:vertAlign w:val="baseline"/>
                <w:lang w:val="en-US" w:eastAsia="zh-CN"/>
              </w:rPr>
              <w:t>噪声</w:t>
            </w:r>
          </w:p>
        </w:tc>
        <w:tc>
          <w:tcPr>
            <w:tcW w:w="2890" w:type="pct"/>
            <w:tcBorders>
              <w:tl2br w:val="nil"/>
              <w:tr2bl w:val="nil"/>
            </w:tcBorders>
            <w:vAlign w:val="center"/>
          </w:tcPr>
          <w:p w14:paraId="25034D67">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sz w:val="21"/>
                <w:szCs w:val="21"/>
                <w:vertAlign w:val="baseline"/>
                <w:lang w:val="en-US" w:eastAsia="zh-CN"/>
              </w:rPr>
            </w:pPr>
            <w:r>
              <w:rPr>
                <w:rFonts w:hint="eastAsia"/>
                <w:sz w:val="21"/>
                <w:szCs w:val="21"/>
                <w:vertAlign w:val="baseline"/>
                <w:lang w:val="en-US" w:eastAsia="zh-CN"/>
              </w:rPr>
              <w:t>选用低噪声设备、采取厂房隔声、基础减震</w:t>
            </w:r>
          </w:p>
        </w:tc>
        <w:tc>
          <w:tcPr>
            <w:tcW w:w="692" w:type="pct"/>
            <w:tcBorders>
              <w:tl2br w:val="nil"/>
              <w:tr2bl w:val="nil"/>
            </w:tcBorders>
            <w:vAlign w:val="center"/>
          </w:tcPr>
          <w:p w14:paraId="567DE0CF">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1</w:t>
            </w:r>
          </w:p>
        </w:tc>
        <w:tc>
          <w:tcPr>
            <w:tcW w:w="352" w:type="pct"/>
            <w:tcBorders>
              <w:tl2br w:val="nil"/>
              <w:tr2bl w:val="nil"/>
            </w:tcBorders>
            <w:vAlign w:val="center"/>
          </w:tcPr>
          <w:p w14:paraId="2B860E16">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sz w:val="21"/>
                <w:szCs w:val="21"/>
                <w:vertAlign w:val="baseline"/>
                <w:lang w:val="en-US" w:eastAsia="zh-CN"/>
              </w:rPr>
            </w:pPr>
          </w:p>
        </w:tc>
      </w:tr>
      <w:tr w14:paraId="6D7C21F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064" w:type="pct"/>
            <w:gridSpan w:val="2"/>
            <w:tcBorders>
              <w:tl2br w:val="nil"/>
              <w:tr2bl w:val="nil"/>
            </w:tcBorders>
            <w:vAlign w:val="center"/>
          </w:tcPr>
          <w:p w14:paraId="63EB2443">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sz w:val="21"/>
                <w:szCs w:val="21"/>
                <w:vertAlign w:val="baseline"/>
                <w:lang w:val="en-US" w:eastAsia="zh-CN"/>
              </w:rPr>
            </w:pPr>
            <w:r>
              <w:rPr>
                <w:rFonts w:hint="eastAsia"/>
                <w:sz w:val="21"/>
                <w:szCs w:val="21"/>
                <w:vertAlign w:val="baseline"/>
                <w:lang w:val="en-US" w:eastAsia="zh-CN"/>
              </w:rPr>
              <w:t>固废</w:t>
            </w:r>
          </w:p>
        </w:tc>
        <w:tc>
          <w:tcPr>
            <w:tcW w:w="2890" w:type="pct"/>
            <w:tcBorders>
              <w:tl2br w:val="nil"/>
              <w:tr2bl w:val="nil"/>
            </w:tcBorders>
            <w:vAlign w:val="center"/>
          </w:tcPr>
          <w:p w14:paraId="6E91B372">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sz w:val="21"/>
                <w:szCs w:val="21"/>
                <w:vertAlign w:val="baseline"/>
                <w:lang w:val="en-US" w:eastAsia="zh-CN"/>
              </w:rPr>
            </w:pPr>
            <w:r>
              <w:rPr>
                <w:rFonts w:hint="eastAsia"/>
                <w:sz w:val="21"/>
                <w:szCs w:val="21"/>
                <w:vertAlign w:val="baseline"/>
                <w:lang w:val="en-US" w:eastAsia="zh-CN"/>
              </w:rPr>
              <w:t>固废分类收集、分类处置。车间设置危险固废暂间存储处，危险固废收集后存储于车间危险固废暂存间，定期交由资质单位处置。生活垃圾交由环卫处置。</w:t>
            </w:r>
          </w:p>
        </w:tc>
        <w:tc>
          <w:tcPr>
            <w:tcW w:w="692" w:type="pct"/>
            <w:tcBorders>
              <w:tl2br w:val="nil"/>
              <w:tr2bl w:val="nil"/>
            </w:tcBorders>
            <w:vAlign w:val="center"/>
          </w:tcPr>
          <w:p w14:paraId="73A7E751">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5</w:t>
            </w:r>
          </w:p>
        </w:tc>
        <w:tc>
          <w:tcPr>
            <w:tcW w:w="352" w:type="pct"/>
            <w:tcBorders>
              <w:tl2br w:val="nil"/>
              <w:tr2bl w:val="nil"/>
            </w:tcBorders>
            <w:vAlign w:val="center"/>
          </w:tcPr>
          <w:p w14:paraId="035B286E">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sz w:val="21"/>
                <w:szCs w:val="21"/>
                <w:vertAlign w:val="baseline"/>
                <w:lang w:val="en-US" w:eastAsia="zh-CN"/>
              </w:rPr>
            </w:pPr>
          </w:p>
        </w:tc>
      </w:tr>
      <w:tr w14:paraId="6FAAFE3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064" w:type="pct"/>
            <w:gridSpan w:val="2"/>
            <w:tcBorders>
              <w:tl2br w:val="nil"/>
              <w:tr2bl w:val="nil"/>
            </w:tcBorders>
            <w:vAlign w:val="center"/>
          </w:tcPr>
          <w:p w14:paraId="41FD62C3">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sz w:val="21"/>
                <w:szCs w:val="21"/>
                <w:vertAlign w:val="baseline"/>
                <w:lang w:val="en-US" w:eastAsia="zh-CN"/>
              </w:rPr>
            </w:pPr>
            <w:r>
              <w:rPr>
                <w:rFonts w:hint="eastAsia"/>
                <w:sz w:val="21"/>
                <w:szCs w:val="21"/>
                <w:vertAlign w:val="baseline"/>
                <w:lang w:val="en-US" w:eastAsia="zh-CN"/>
              </w:rPr>
              <w:t>风险事故防治</w:t>
            </w:r>
          </w:p>
        </w:tc>
        <w:tc>
          <w:tcPr>
            <w:tcW w:w="2890" w:type="pct"/>
            <w:tcBorders>
              <w:tl2br w:val="nil"/>
              <w:tr2bl w:val="nil"/>
            </w:tcBorders>
            <w:vAlign w:val="center"/>
          </w:tcPr>
          <w:p w14:paraId="45323FF9">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rPr>
                <w:rFonts w:hint="eastAsia"/>
                <w:sz w:val="21"/>
                <w:szCs w:val="21"/>
                <w:vertAlign w:val="baseline"/>
                <w:lang w:val="en-US" w:eastAsia="zh-CN"/>
              </w:rPr>
            </w:pPr>
            <w:r>
              <w:rPr>
                <w:rFonts w:hint="eastAsia"/>
                <w:sz w:val="21"/>
                <w:szCs w:val="21"/>
                <w:vertAlign w:val="baseline"/>
                <w:lang w:val="en-US" w:eastAsia="zh-CN"/>
              </w:rPr>
              <w:t>生产线周围应设置导流沟和相应的泄漏液体集</w:t>
            </w:r>
          </w:p>
          <w:p w14:paraId="2CEF7AB7">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sz w:val="21"/>
                <w:szCs w:val="21"/>
                <w:vertAlign w:val="baseline"/>
                <w:lang w:val="en-US" w:eastAsia="zh-CN"/>
              </w:rPr>
            </w:pPr>
            <w:r>
              <w:rPr>
                <w:rFonts w:hint="eastAsia"/>
                <w:sz w:val="21"/>
                <w:szCs w:val="21"/>
                <w:vertAlign w:val="baseline"/>
                <w:lang w:val="en-US" w:eastAsia="zh-CN"/>
              </w:rPr>
              <w:t>排设施，以确保发生槽体泄漏时泄漏液体能进入车间应急事故池。车间设置风险应急设备和器材，风险应急设备和器材定期更换。建立详细的环境风险应急预案，并定期演练。</w:t>
            </w:r>
          </w:p>
        </w:tc>
        <w:tc>
          <w:tcPr>
            <w:tcW w:w="692" w:type="pct"/>
            <w:tcBorders>
              <w:tl2br w:val="nil"/>
              <w:tr2bl w:val="nil"/>
            </w:tcBorders>
            <w:vAlign w:val="center"/>
          </w:tcPr>
          <w:p w14:paraId="3B983734">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3</w:t>
            </w:r>
          </w:p>
        </w:tc>
        <w:tc>
          <w:tcPr>
            <w:tcW w:w="352" w:type="pct"/>
            <w:tcBorders>
              <w:tl2br w:val="nil"/>
              <w:tr2bl w:val="nil"/>
            </w:tcBorders>
            <w:vAlign w:val="center"/>
          </w:tcPr>
          <w:p w14:paraId="144CB410">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sz w:val="21"/>
                <w:szCs w:val="21"/>
                <w:vertAlign w:val="baseline"/>
                <w:lang w:val="en-US" w:eastAsia="zh-CN"/>
              </w:rPr>
            </w:pPr>
          </w:p>
        </w:tc>
      </w:tr>
      <w:tr w14:paraId="5D45865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064" w:type="pct"/>
            <w:gridSpan w:val="2"/>
            <w:tcBorders>
              <w:tl2br w:val="nil"/>
              <w:tr2bl w:val="nil"/>
            </w:tcBorders>
            <w:vAlign w:val="center"/>
          </w:tcPr>
          <w:p w14:paraId="09364812">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sz w:val="21"/>
                <w:szCs w:val="21"/>
                <w:vertAlign w:val="baseline"/>
                <w:lang w:val="en-US" w:eastAsia="zh-CN"/>
              </w:rPr>
            </w:pPr>
            <w:r>
              <w:rPr>
                <w:rFonts w:hint="eastAsia"/>
                <w:sz w:val="21"/>
                <w:szCs w:val="21"/>
                <w:vertAlign w:val="baseline"/>
                <w:lang w:val="en-US" w:eastAsia="zh-CN"/>
              </w:rPr>
              <w:t>地下水、土壤</w:t>
            </w:r>
          </w:p>
        </w:tc>
        <w:tc>
          <w:tcPr>
            <w:tcW w:w="2890" w:type="pct"/>
            <w:tcBorders>
              <w:tl2br w:val="nil"/>
              <w:tr2bl w:val="nil"/>
            </w:tcBorders>
            <w:vAlign w:val="center"/>
          </w:tcPr>
          <w:p w14:paraId="1538723F">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sz w:val="21"/>
                <w:szCs w:val="21"/>
                <w:vertAlign w:val="baseline"/>
                <w:lang w:val="en-US" w:eastAsia="zh-CN"/>
              </w:rPr>
            </w:pPr>
            <w:r>
              <w:rPr>
                <w:rFonts w:hint="eastAsia"/>
                <w:sz w:val="21"/>
                <w:szCs w:val="21"/>
                <w:vertAlign w:val="baseline"/>
                <w:lang w:val="en-US" w:eastAsia="zh-CN"/>
              </w:rPr>
              <w:t>生产车间地面及车间内侧从地面约高1m的墙体表面按照重点防渗区做防渗处理。车间采取分区防渗措施。定期对废水收集管路、管路阀门进行维护检修。</w:t>
            </w:r>
          </w:p>
        </w:tc>
        <w:tc>
          <w:tcPr>
            <w:tcW w:w="692" w:type="pct"/>
            <w:tcBorders>
              <w:tl2br w:val="nil"/>
              <w:tr2bl w:val="nil"/>
            </w:tcBorders>
            <w:vAlign w:val="center"/>
          </w:tcPr>
          <w:p w14:paraId="74B5F359">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5</w:t>
            </w:r>
          </w:p>
        </w:tc>
        <w:tc>
          <w:tcPr>
            <w:tcW w:w="352" w:type="pct"/>
            <w:tcBorders>
              <w:tl2br w:val="nil"/>
              <w:tr2bl w:val="nil"/>
            </w:tcBorders>
            <w:vAlign w:val="center"/>
          </w:tcPr>
          <w:p w14:paraId="0AF6573D">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sz w:val="21"/>
                <w:szCs w:val="21"/>
                <w:vertAlign w:val="baseline"/>
                <w:lang w:val="en-US" w:eastAsia="zh-CN"/>
              </w:rPr>
            </w:pPr>
          </w:p>
        </w:tc>
      </w:tr>
      <w:tr w14:paraId="1F35113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954" w:type="pct"/>
            <w:gridSpan w:val="3"/>
            <w:tcBorders>
              <w:tl2br w:val="nil"/>
              <w:tr2bl w:val="nil"/>
            </w:tcBorders>
            <w:vAlign w:val="center"/>
          </w:tcPr>
          <w:p w14:paraId="745E3ED1">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sz w:val="21"/>
                <w:szCs w:val="21"/>
                <w:vertAlign w:val="baseline"/>
                <w:lang w:val="en-US" w:eastAsia="zh-CN"/>
              </w:rPr>
            </w:pPr>
            <w:r>
              <w:rPr>
                <w:rFonts w:hint="eastAsia"/>
                <w:sz w:val="21"/>
                <w:szCs w:val="21"/>
                <w:vertAlign w:val="baseline"/>
                <w:lang w:val="en-US" w:eastAsia="zh-CN"/>
              </w:rPr>
              <w:t>合计</w:t>
            </w:r>
          </w:p>
        </w:tc>
        <w:tc>
          <w:tcPr>
            <w:tcW w:w="692" w:type="pct"/>
            <w:tcBorders>
              <w:tl2br w:val="nil"/>
              <w:tr2bl w:val="nil"/>
            </w:tcBorders>
            <w:vAlign w:val="center"/>
          </w:tcPr>
          <w:p w14:paraId="4701D6D9">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49</w:t>
            </w:r>
          </w:p>
        </w:tc>
        <w:tc>
          <w:tcPr>
            <w:tcW w:w="352" w:type="pct"/>
            <w:tcBorders>
              <w:tl2br w:val="nil"/>
              <w:tr2bl w:val="nil"/>
            </w:tcBorders>
            <w:vAlign w:val="center"/>
          </w:tcPr>
          <w:p w14:paraId="31D2F1E3">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sz w:val="21"/>
                <w:szCs w:val="21"/>
                <w:vertAlign w:val="baseline"/>
                <w:lang w:val="en-US" w:eastAsia="zh-CN"/>
              </w:rPr>
            </w:pPr>
          </w:p>
        </w:tc>
      </w:tr>
    </w:tbl>
    <w:p w14:paraId="668869AF">
      <w:pPr>
        <w:pStyle w:val="3"/>
        <w:rPr>
          <w:color w:val="auto"/>
        </w:rPr>
      </w:pPr>
      <w:bookmarkStart w:id="493" w:name="_Toc10800"/>
      <w:r>
        <w:rPr>
          <w:color w:val="auto"/>
        </w:rPr>
        <w:t>1</w:t>
      </w:r>
      <w:r>
        <w:rPr>
          <w:rFonts w:hint="eastAsia"/>
          <w:color w:val="auto"/>
          <w:lang w:val="en-US" w:eastAsia="zh-CN"/>
        </w:rPr>
        <w:t>1</w:t>
      </w:r>
      <w:r>
        <w:rPr>
          <w:color w:val="auto"/>
        </w:rPr>
        <w:t>.5小结</w:t>
      </w:r>
      <w:bookmarkEnd w:id="493"/>
    </w:p>
    <w:p w14:paraId="28D5CB30">
      <w:pPr>
        <w:bidi w:val="0"/>
      </w:pPr>
      <w:r>
        <w:rPr>
          <w:rFonts w:hint="eastAsia"/>
        </w:rPr>
        <w:t>综上所述，本项目在污染治理和控制方面有较大的投入，通过基础设施建设，并在日常运行的前提下，均可保证各类污染物的达标排放。对预防和杜绝可能产生的潜在事故污染影响也能发挥明显的作用。因此，本项目环保投入比较合理，污染物经过各项设施处理后对周围环境影响比较小</w:t>
      </w:r>
      <w:r>
        <w:t>。</w:t>
      </w:r>
    </w:p>
    <w:p w14:paraId="2578F1DD">
      <w:pPr>
        <w:pStyle w:val="2"/>
        <w:kinsoku/>
        <w:wordWrap/>
        <w:overflowPunct/>
        <w:topLinePunct w:val="0"/>
        <w:autoSpaceDE/>
        <w:autoSpaceDN/>
        <w:bidi w:val="0"/>
        <w:adjustRightInd/>
        <w:snapToGrid/>
        <w:textAlignment w:val="auto"/>
      </w:pPr>
      <w:bookmarkStart w:id="494" w:name="_Toc5546"/>
      <w:bookmarkStart w:id="495" w:name="_Toc263833036"/>
      <w:bookmarkStart w:id="496" w:name="_Toc313972712"/>
      <w:bookmarkStart w:id="497" w:name="_Toc218232750"/>
      <w:r>
        <w:t>1</w:t>
      </w:r>
      <w:r>
        <w:rPr>
          <w:rFonts w:hint="eastAsia"/>
          <w:lang w:val="en-US" w:eastAsia="zh-CN"/>
        </w:rPr>
        <w:t>2</w:t>
      </w:r>
      <w:r>
        <w:t>环境管理及监测计划</w:t>
      </w:r>
      <w:bookmarkEnd w:id="494"/>
      <w:bookmarkEnd w:id="495"/>
      <w:bookmarkEnd w:id="496"/>
    </w:p>
    <w:p w14:paraId="52375ABC">
      <w:pPr>
        <w:numPr>
          <w:ilvl w:val="2"/>
          <w:numId w:val="11"/>
        </w:numPr>
        <w:kinsoku/>
        <w:wordWrap/>
        <w:overflowPunct/>
        <w:topLinePunct w:val="0"/>
        <w:autoSpaceDE/>
        <w:autoSpaceDN/>
        <w:bidi w:val="0"/>
        <w:adjustRightInd/>
        <w:snapToGrid/>
        <w:ind w:left="0" w:firstLine="480" w:firstLineChars="200"/>
        <w:textAlignment w:val="auto"/>
      </w:pPr>
      <w:r>
        <w:t>环境管理是项目建设者和企业管理工作的重要组成部分，其主要目的是通过环境管理工作的开展，促进项目业主积极并主动地预防和减缓各类环境问题的产生与发展，促进项目建设生态环境的良性循环。同时要制定出详尽的项目环境管理监控(管)计划并加以全面的实施，避免因管理不善而可能产生的各种环境风险和使得污染源超标排放。为此，在项目建设及投入运营期要贯彻落实国家、地方政府的有关规定及法规，正确处理好项目建设、发展与环境保护的辩证关系，从而真正使项目的建设达到可持续发展的战略目标。</w:t>
      </w:r>
    </w:p>
    <w:p w14:paraId="40AF3E60">
      <w:pPr>
        <w:numPr>
          <w:ilvl w:val="2"/>
          <w:numId w:val="11"/>
        </w:numPr>
        <w:kinsoku/>
        <w:wordWrap/>
        <w:overflowPunct/>
        <w:topLinePunct w:val="0"/>
        <w:autoSpaceDE/>
        <w:autoSpaceDN/>
        <w:bidi w:val="0"/>
        <w:adjustRightInd/>
        <w:snapToGrid/>
        <w:ind w:left="0" w:firstLine="480" w:firstLineChars="200"/>
        <w:textAlignment w:val="auto"/>
      </w:pPr>
      <w:r>
        <w:t>本环境管理和环境监测计划主要是依据本项目环评报告书中各专题提出的主要环境问题及环境保护措施与对策等，提出该项目环境管理及监测计划，供各级环保部门及企业对该项目实施环境管理时参考。</w:t>
      </w:r>
    </w:p>
    <w:p w14:paraId="223A92DC">
      <w:pPr>
        <w:pStyle w:val="3"/>
        <w:kinsoku/>
        <w:wordWrap/>
        <w:overflowPunct/>
        <w:topLinePunct w:val="0"/>
        <w:autoSpaceDE/>
        <w:autoSpaceDN/>
        <w:bidi w:val="0"/>
        <w:adjustRightInd/>
        <w:snapToGrid/>
        <w:textAlignment w:val="auto"/>
      </w:pPr>
      <w:bookmarkStart w:id="498" w:name="_Toc263833037"/>
      <w:bookmarkStart w:id="499" w:name="_Toc313972713"/>
      <w:bookmarkStart w:id="500" w:name="_Toc11015"/>
      <w:r>
        <w:t>1</w:t>
      </w:r>
      <w:r>
        <w:rPr>
          <w:rFonts w:hint="eastAsia"/>
          <w:lang w:val="en-US" w:eastAsia="zh-CN"/>
        </w:rPr>
        <w:t>2</w:t>
      </w:r>
      <w:r>
        <w:t>.1环境管理</w:t>
      </w:r>
      <w:bookmarkEnd w:id="498"/>
      <w:bookmarkEnd w:id="499"/>
      <w:bookmarkEnd w:id="500"/>
    </w:p>
    <w:p w14:paraId="2B572999">
      <w:pPr>
        <w:pStyle w:val="5"/>
        <w:kinsoku/>
        <w:wordWrap/>
        <w:overflowPunct/>
        <w:topLinePunct w:val="0"/>
        <w:autoSpaceDE/>
        <w:autoSpaceDN/>
        <w:bidi w:val="0"/>
        <w:adjustRightInd/>
        <w:snapToGrid/>
        <w:spacing w:before="0" w:after="0"/>
        <w:textAlignment w:val="auto"/>
        <w:rPr>
          <w:rFonts w:hint="default"/>
          <w:lang w:val="en-US" w:eastAsia="zh-CN"/>
        </w:rPr>
      </w:pPr>
      <w:r>
        <w:rPr>
          <w:rFonts w:hint="eastAsia"/>
          <w:lang w:val="en-US" w:eastAsia="zh-CN"/>
        </w:rPr>
        <w:t>12.1.1环境管理内容</w:t>
      </w:r>
    </w:p>
    <w:p w14:paraId="6445084C">
      <w:pPr>
        <w:kinsoku/>
        <w:wordWrap/>
        <w:overflowPunct/>
        <w:topLinePunct w:val="0"/>
        <w:autoSpaceDE/>
        <w:autoSpaceDN/>
        <w:bidi w:val="0"/>
        <w:adjustRightInd/>
        <w:snapToGrid/>
        <w:ind w:firstLine="480" w:firstLineChars="200"/>
        <w:textAlignment w:val="auto"/>
      </w:pPr>
      <w:r>
        <w:t>项目应设立环境管理机构，并聘请专业人员负责</w:t>
      </w:r>
      <w:r>
        <w:rPr>
          <w:rFonts w:hint="eastAsia"/>
          <w:lang w:eastAsia="zh-CN"/>
        </w:rPr>
        <w:t>环保</w:t>
      </w:r>
      <w:r>
        <w:t>设施运行期环境管理，制定实施各项环境管理制度，发现问题及时解决，并上报环保部门。环境管理机构主要职责为：</w:t>
      </w:r>
    </w:p>
    <w:p w14:paraId="1C37F69F">
      <w:pPr>
        <w:ind w:firstLine="480" w:firstLineChars="200"/>
      </w:pPr>
      <w:r>
        <w:t>(1)认真贯彻执行国家、省、市环保主管部门制定的有关环保法规、政策、条例，协调项目运行和环境保护的关系，并结合项目具体情况，制定全厂环境管理条例和章程。</w:t>
      </w:r>
    </w:p>
    <w:p w14:paraId="6CD95501">
      <w:pPr>
        <w:ind w:firstLine="480" w:firstLineChars="200"/>
      </w:pPr>
      <w:r>
        <w:t>(2)负责全厂的环保计划和规划，负责开展日常环境监测工作；“三废”排放状况的监督及不定期总结上报等工作。</w:t>
      </w:r>
    </w:p>
    <w:p w14:paraId="255BAE69">
      <w:pPr>
        <w:ind w:firstLine="480" w:firstLineChars="200"/>
      </w:pPr>
      <w:r>
        <w:t>(3)配合上级环保主管部门检查、监督工程配套建设的环保设备等的运行、维修和管理情况，监督本厂各污染物的排放状态。</w:t>
      </w:r>
    </w:p>
    <w:p w14:paraId="575B2120">
      <w:pPr>
        <w:ind w:firstLine="480" w:firstLineChars="200"/>
      </w:pPr>
      <w:r>
        <w:t>(4)检查落实安全消防措施</w:t>
      </w:r>
      <w:r>
        <w:rPr>
          <w:rFonts w:hint="eastAsia"/>
          <w:lang w:eastAsia="zh-CN"/>
        </w:rPr>
        <w:t>，</w:t>
      </w:r>
      <w:r>
        <w:t>开展环保安全管理教育和培训。</w:t>
      </w:r>
    </w:p>
    <w:p w14:paraId="19BCD561">
      <w:pPr>
        <w:ind w:firstLine="480" w:firstLineChars="200"/>
      </w:pPr>
      <w:r>
        <w:t>(5)加强环境监测仪器、设备的维护保养，确保监测工作正常运行。</w:t>
      </w:r>
    </w:p>
    <w:p w14:paraId="543061B6">
      <w:pPr>
        <w:ind w:firstLine="480" w:firstLineChars="200"/>
      </w:pPr>
      <w:r>
        <w:t>(6)参加本厂环境事件的调查、处理、协调工作。</w:t>
      </w:r>
    </w:p>
    <w:p w14:paraId="4F0A96DD">
      <w:pPr>
        <w:ind w:firstLine="480" w:firstLineChars="200"/>
      </w:pPr>
      <w:r>
        <w:t>(7)制定并落实全厂环境风险事故防范措施和事故应急预案。</w:t>
      </w:r>
    </w:p>
    <w:p w14:paraId="20785846">
      <w:pPr>
        <w:ind w:firstLine="480" w:firstLineChars="200"/>
      </w:pPr>
      <w:r>
        <w:t>(8)参加本厂的环境质量评价工作。</w:t>
      </w:r>
    </w:p>
    <w:p w14:paraId="7C939BDF">
      <w:pPr>
        <w:pStyle w:val="5"/>
        <w:bidi w:val="0"/>
        <w:rPr>
          <w:rFonts w:hint="default"/>
          <w:lang w:val="en-US" w:eastAsia="zh-CN"/>
        </w:rPr>
      </w:pPr>
      <w:r>
        <w:rPr>
          <w:rFonts w:hint="eastAsia"/>
          <w:lang w:val="en-US" w:eastAsia="zh-CN"/>
        </w:rPr>
        <w:t>12.1.2环境管理制度建立</w:t>
      </w:r>
    </w:p>
    <w:p w14:paraId="218B78BC">
      <w:pPr>
        <w:bidi w:val="0"/>
        <w:rPr>
          <w:rFonts w:hint="default"/>
          <w:lang w:val="en-US" w:eastAsia="zh-CN"/>
        </w:rPr>
      </w:pPr>
      <w:r>
        <w:rPr>
          <w:rFonts w:hint="default"/>
          <w:lang w:val="en-US" w:eastAsia="zh-CN"/>
        </w:rPr>
        <w:t>（1）报告制度</w:t>
      </w:r>
    </w:p>
    <w:p w14:paraId="66112BC2">
      <w:pPr>
        <w:bidi w:val="0"/>
        <w:rPr>
          <w:rFonts w:hint="default"/>
          <w:lang w:val="en-US" w:eastAsia="zh-CN"/>
        </w:rPr>
      </w:pPr>
      <w:r>
        <w:rPr>
          <w:rFonts w:hint="default"/>
          <w:lang w:val="en-US" w:eastAsia="zh-CN"/>
        </w:rPr>
        <w:t>按《建设项目环境保护管理条例》中第二十条和二十三条规定，本次建设项目在正式投产前，应向负责审批的环保部门提交“环境保护设施竣工验收报告”，经验收合格并发给“环境保护设施验收合格证”后，方可正式投入生产。</w:t>
      </w:r>
    </w:p>
    <w:p w14:paraId="405CCCB1">
      <w:pPr>
        <w:bidi w:val="0"/>
        <w:rPr>
          <w:rFonts w:hint="default"/>
          <w:lang w:val="en-US" w:eastAsia="zh-CN"/>
        </w:rPr>
      </w:pPr>
      <w:r>
        <w:rPr>
          <w:rFonts w:hint="default"/>
          <w:lang w:val="en-US" w:eastAsia="zh-CN"/>
        </w:rPr>
        <w:t>建设项目建成后，应严格执行月报制度。即每月向当地环保部门报告污染治理设施运行情况、污染物排放情况以及污染事故、污染纠纷等情况。</w:t>
      </w:r>
    </w:p>
    <w:p w14:paraId="1664ACE1">
      <w:pPr>
        <w:bidi w:val="0"/>
        <w:rPr>
          <w:rFonts w:hint="default"/>
          <w:lang w:val="en-US" w:eastAsia="zh-CN"/>
        </w:rPr>
      </w:pPr>
      <w:r>
        <w:rPr>
          <w:rFonts w:hint="default"/>
          <w:lang w:val="en-US" w:eastAsia="zh-CN"/>
        </w:rPr>
        <w:t>企业排污发生重大变化、污染治理设施改变或生产运行计划改变等都必须向当地环保部门申报，经审批同意后方可实施。</w:t>
      </w:r>
    </w:p>
    <w:p w14:paraId="7119BC44">
      <w:pPr>
        <w:bidi w:val="0"/>
        <w:rPr>
          <w:rFonts w:hint="default"/>
          <w:lang w:val="en-US" w:eastAsia="zh-CN"/>
        </w:rPr>
      </w:pPr>
      <w:r>
        <w:rPr>
          <w:rFonts w:hint="default"/>
          <w:lang w:val="en-US" w:eastAsia="zh-CN"/>
        </w:rPr>
        <w:t>（2）污染处理设施的管理制度</w:t>
      </w:r>
    </w:p>
    <w:p w14:paraId="570F1F7C">
      <w:pPr>
        <w:bidi w:val="0"/>
        <w:rPr>
          <w:rFonts w:hint="default"/>
          <w:lang w:val="en-US" w:eastAsia="zh-CN"/>
        </w:rPr>
      </w:pPr>
      <w:r>
        <w:rPr>
          <w:rFonts w:hint="default"/>
          <w:lang w:val="en-US" w:eastAsia="zh-CN"/>
        </w:rPr>
        <w:t>对污染治理设施和管理必须与生产经营活动一起纳入企业的日常管理中，要建立岗位责任制，制定操作规程，建立管理台帐。</w:t>
      </w:r>
    </w:p>
    <w:p w14:paraId="57E10570">
      <w:pPr>
        <w:bidi w:val="0"/>
        <w:rPr>
          <w:rFonts w:hint="default"/>
          <w:lang w:val="en-US" w:eastAsia="zh-CN"/>
        </w:rPr>
      </w:pPr>
      <w:r>
        <w:rPr>
          <w:rFonts w:hint="default"/>
          <w:lang w:val="en-US" w:eastAsia="zh-CN"/>
        </w:rPr>
        <w:t>（3）奖惩制度</w:t>
      </w:r>
    </w:p>
    <w:p w14:paraId="4CC2367F">
      <w:pPr>
        <w:bidi w:val="0"/>
        <w:rPr>
          <w:rFonts w:hint="default"/>
          <w:lang w:val="en-US" w:eastAsia="zh-CN"/>
        </w:rPr>
      </w:pPr>
      <w:r>
        <w:rPr>
          <w:rFonts w:hint="default"/>
          <w:lang w:val="en-US" w:eastAsia="zh-CN"/>
        </w:rPr>
        <w:t>企业应设置环境保护奖惩制度，对爱护环保设施，节能降耗、改善环境者给予奖励；对不按环保要求管理，造成环保设施损坏、环境污染和资源、能源浪费者予以重罚。</w:t>
      </w:r>
    </w:p>
    <w:p w14:paraId="3AB3897A">
      <w:pPr>
        <w:pStyle w:val="3"/>
        <w:rPr>
          <w:color w:val="auto"/>
        </w:rPr>
      </w:pPr>
      <w:bookmarkStart w:id="501" w:name="_Toc313972714"/>
      <w:bookmarkStart w:id="502" w:name="_Toc26371"/>
      <w:bookmarkStart w:id="503" w:name="_Toc263833038"/>
      <w:r>
        <w:rPr>
          <w:color w:val="auto"/>
        </w:rPr>
        <w:t>1</w:t>
      </w:r>
      <w:r>
        <w:rPr>
          <w:rFonts w:hint="eastAsia"/>
          <w:color w:val="auto"/>
          <w:lang w:val="en-US" w:eastAsia="zh-CN"/>
        </w:rPr>
        <w:t>2</w:t>
      </w:r>
      <w:r>
        <w:rPr>
          <w:color w:val="auto"/>
        </w:rPr>
        <w:t>.2环境监测计划</w:t>
      </w:r>
      <w:bookmarkEnd w:id="501"/>
      <w:bookmarkEnd w:id="502"/>
      <w:bookmarkEnd w:id="503"/>
    </w:p>
    <w:p w14:paraId="4540A062">
      <w:pPr>
        <w:pStyle w:val="5"/>
        <w:rPr>
          <w:color w:val="auto"/>
        </w:rPr>
      </w:pPr>
      <w:r>
        <w:rPr>
          <w:color w:val="auto"/>
        </w:rPr>
        <w:t>1</w:t>
      </w:r>
      <w:r>
        <w:rPr>
          <w:rFonts w:hint="eastAsia"/>
          <w:color w:val="auto"/>
          <w:lang w:val="en-US" w:eastAsia="zh-CN"/>
        </w:rPr>
        <w:t>2</w:t>
      </w:r>
      <w:r>
        <w:rPr>
          <w:color w:val="auto"/>
        </w:rPr>
        <w:t>.2.1 制定目的及原则</w:t>
      </w:r>
    </w:p>
    <w:p w14:paraId="5CECDF3E">
      <w:pPr>
        <w:ind w:firstLine="480" w:firstLineChars="200"/>
      </w:pPr>
      <w:r>
        <w:t>制定环境监测计划的目的是为了监督各项环保措施的落实执行情况，根据监测结果适时调整环境保护行动计划，为环保措施的实施时间和周期提供依据，为项目的后评价提供依据。制定的原则是根据预测的各个时期的主要环境影响及可能超标的工段和超标量而确定。</w:t>
      </w:r>
    </w:p>
    <w:p w14:paraId="6FD5E3BC">
      <w:pPr>
        <w:pStyle w:val="5"/>
        <w:rPr>
          <w:color w:val="auto"/>
        </w:rPr>
      </w:pPr>
      <w:r>
        <w:rPr>
          <w:color w:val="auto"/>
        </w:rPr>
        <w:t>1</w:t>
      </w:r>
      <w:r>
        <w:rPr>
          <w:rFonts w:hint="eastAsia"/>
          <w:color w:val="auto"/>
          <w:lang w:val="en-US" w:eastAsia="zh-CN"/>
        </w:rPr>
        <w:t>2</w:t>
      </w:r>
      <w:r>
        <w:rPr>
          <w:color w:val="auto"/>
        </w:rPr>
        <w:t>.2.2环境监测计划</w:t>
      </w:r>
    </w:p>
    <w:p w14:paraId="19237487">
      <w:pPr>
        <w:bidi w:val="0"/>
      </w:pPr>
      <w:r>
        <w:t>根据本项目工艺流程和产污情况，环境监测计划具体内容见下表。</w:t>
      </w:r>
    </w:p>
    <w:p w14:paraId="28E872E8">
      <w:pPr>
        <w:spacing w:line="360" w:lineRule="exact"/>
        <w:jc w:val="center"/>
        <w:rPr>
          <w:b/>
          <w:sz w:val="21"/>
          <w:szCs w:val="21"/>
        </w:rPr>
      </w:pPr>
    </w:p>
    <w:p w14:paraId="583F3FEE">
      <w:pPr>
        <w:spacing w:line="360" w:lineRule="exact"/>
        <w:jc w:val="center"/>
        <w:rPr>
          <w:b/>
          <w:sz w:val="21"/>
          <w:szCs w:val="21"/>
        </w:rPr>
      </w:pPr>
    </w:p>
    <w:p w14:paraId="0F739F32">
      <w:pPr>
        <w:pStyle w:val="31"/>
      </w:pPr>
    </w:p>
    <w:p w14:paraId="62E8BF86">
      <w:pPr>
        <w:spacing w:line="360" w:lineRule="exact"/>
        <w:jc w:val="center"/>
        <w:rPr>
          <w:rFonts w:hint="eastAsia" w:ascii="黑体" w:hAnsi="黑体" w:eastAsia="黑体" w:cs="黑体"/>
          <w:b w:val="0"/>
          <w:bCs/>
          <w:sz w:val="21"/>
          <w:szCs w:val="21"/>
        </w:rPr>
      </w:pPr>
      <w:r>
        <w:rPr>
          <w:rFonts w:hint="eastAsia" w:ascii="黑体" w:hAnsi="黑体" w:eastAsia="黑体" w:cs="黑体"/>
          <w:b w:val="0"/>
          <w:bCs/>
          <w:sz w:val="21"/>
          <w:szCs w:val="21"/>
        </w:rPr>
        <w:t>表</w:t>
      </w:r>
      <w:r>
        <w:rPr>
          <w:rFonts w:hint="eastAsia" w:ascii="黑体" w:hAnsi="黑体" w:eastAsia="黑体" w:cs="黑体"/>
          <w:b w:val="0"/>
          <w:bCs/>
          <w:sz w:val="21"/>
          <w:szCs w:val="21"/>
          <w:lang w:val="en-US" w:eastAsia="zh-CN"/>
        </w:rPr>
        <w:t>12-1</w:t>
      </w:r>
      <w:r>
        <w:rPr>
          <w:rFonts w:hint="eastAsia" w:ascii="黑体" w:hAnsi="黑体" w:eastAsia="黑体" w:cs="黑体"/>
          <w:b w:val="0"/>
          <w:bCs/>
          <w:sz w:val="21"/>
          <w:szCs w:val="21"/>
        </w:rPr>
        <w:t>环境监测点位、监测项目及监测频率一览表</w:t>
      </w:r>
    </w:p>
    <w:tbl>
      <w:tblPr>
        <w:tblStyle w:val="52"/>
        <w:tblW w:w="8804" w:type="dxa"/>
        <w:tblInd w:w="93"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866"/>
        <w:gridCol w:w="1883"/>
        <w:gridCol w:w="3395"/>
        <w:gridCol w:w="2660"/>
      </w:tblGrid>
      <w:tr w14:paraId="0FA551D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15" w:hRule="atLeast"/>
        </w:trPr>
        <w:tc>
          <w:tcPr>
            <w:tcW w:w="866" w:type="dxa"/>
            <w:shd w:val="clear" w:color="auto" w:fill="auto"/>
            <w:vAlign w:val="center"/>
          </w:tcPr>
          <w:p w14:paraId="703B14DB">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类别</w:t>
            </w:r>
          </w:p>
        </w:tc>
        <w:tc>
          <w:tcPr>
            <w:tcW w:w="1883" w:type="dxa"/>
            <w:shd w:val="clear" w:color="auto" w:fill="auto"/>
            <w:vAlign w:val="center"/>
          </w:tcPr>
          <w:p w14:paraId="6374CE16">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监测点位</w:t>
            </w:r>
          </w:p>
        </w:tc>
        <w:tc>
          <w:tcPr>
            <w:tcW w:w="3395" w:type="dxa"/>
            <w:shd w:val="clear" w:color="auto" w:fill="auto"/>
            <w:vAlign w:val="center"/>
          </w:tcPr>
          <w:p w14:paraId="5E0F86C3">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监测因子</w:t>
            </w:r>
          </w:p>
        </w:tc>
        <w:tc>
          <w:tcPr>
            <w:tcW w:w="2660" w:type="dxa"/>
            <w:shd w:val="clear" w:color="auto" w:fill="auto"/>
            <w:vAlign w:val="center"/>
          </w:tcPr>
          <w:p w14:paraId="7DC4E489">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监测频率</w:t>
            </w:r>
          </w:p>
        </w:tc>
      </w:tr>
      <w:tr w14:paraId="3377143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866" w:type="dxa"/>
            <w:shd w:val="clear" w:color="auto" w:fill="auto"/>
            <w:vAlign w:val="center"/>
          </w:tcPr>
          <w:p w14:paraId="71E1C089">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噪声</w:t>
            </w:r>
          </w:p>
        </w:tc>
        <w:tc>
          <w:tcPr>
            <w:tcW w:w="1883" w:type="dxa"/>
            <w:shd w:val="clear" w:color="auto" w:fill="auto"/>
            <w:vAlign w:val="center"/>
          </w:tcPr>
          <w:p w14:paraId="169FB213">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厂界四周外1米</w:t>
            </w:r>
          </w:p>
        </w:tc>
        <w:tc>
          <w:tcPr>
            <w:tcW w:w="3395" w:type="dxa"/>
            <w:shd w:val="clear" w:color="auto" w:fill="auto"/>
            <w:vAlign w:val="center"/>
          </w:tcPr>
          <w:p w14:paraId="482DB1C2">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等效A声级</w:t>
            </w:r>
          </w:p>
        </w:tc>
        <w:tc>
          <w:tcPr>
            <w:tcW w:w="2660" w:type="dxa"/>
            <w:shd w:val="clear" w:color="auto" w:fill="auto"/>
            <w:vAlign w:val="center"/>
          </w:tcPr>
          <w:p w14:paraId="7BC6E928">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每季度1次</w:t>
            </w:r>
          </w:p>
        </w:tc>
      </w:tr>
      <w:tr w14:paraId="1DAA676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866" w:type="dxa"/>
            <w:vMerge w:val="restart"/>
            <w:shd w:val="clear" w:color="auto" w:fill="auto"/>
            <w:vAlign w:val="center"/>
          </w:tcPr>
          <w:p w14:paraId="202F8CD6">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kern w:val="0"/>
                <w:sz w:val="21"/>
                <w:szCs w:val="21"/>
                <w:lang w:eastAsia="zh-CN"/>
              </w:rPr>
            </w:pPr>
            <w:r>
              <w:rPr>
                <w:rFonts w:hint="eastAsia" w:ascii="宋体" w:hAnsi="宋体" w:eastAsia="宋体" w:cs="宋体"/>
                <w:color w:val="000000"/>
                <w:kern w:val="0"/>
                <w:sz w:val="21"/>
                <w:szCs w:val="21"/>
                <w:lang w:eastAsia="zh-CN"/>
              </w:rPr>
              <w:t>废气</w:t>
            </w:r>
          </w:p>
        </w:tc>
        <w:tc>
          <w:tcPr>
            <w:tcW w:w="1883" w:type="dxa"/>
            <w:shd w:val="clear" w:color="auto" w:fill="auto"/>
            <w:vAlign w:val="center"/>
          </w:tcPr>
          <w:p w14:paraId="260DE96B">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项目排气筒</w:t>
            </w:r>
          </w:p>
          <w:p w14:paraId="66DE112A">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kern w:val="0"/>
                <w:sz w:val="21"/>
                <w:szCs w:val="21"/>
                <w:lang w:eastAsia="zh-CN"/>
              </w:rPr>
            </w:pPr>
            <w:r>
              <w:rPr>
                <w:rFonts w:hint="eastAsia" w:ascii="宋体" w:hAnsi="宋体" w:cs="宋体"/>
                <w:color w:val="000000"/>
                <w:kern w:val="0"/>
                <w:sz w:val="21"/>
                <w:szCs w:val="21"/>
                <w:lang w:eastAsia="zh-CN"/>
              </w:rPr>
              <w:t>（有组织）</w:t>
            </w:r>
          </w:p>
        </w:tc>
        <w:tc>
          <w:tcPr>
            <w:tcW w:w="3395" w:type="dxa"/>
            <w:shd w:val="clear" w:color="auto" w:fill="auto"/>
            <w:vAlign w:val="center"/>
          </w:tcPr>
          <w:p w14:paraId="29DCA3C2">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kern w:val="0"/>
                <w:sz w:val="21"/>
                <w:szCs w:val="21"/>
                <w:lang w:val="en-US" w:eastAsia="zh-CN"/>
              </w:rPr>
            </w:pPr>
            <w:r>
              <w:rPr>
                <w:rFonts w:hint="eastAsia" w:ascii="宋体" w:hAnsi="宋体" w:cs="宋体"/>
                <w:color w:val="000000"/>
                <w:kern w:val="0"/>
                <w:sz w:val="21"/>
                <w:szCs w:val="21"/>
                <w:lang w:val="en-US" w:eastAsia="zh-CN"/>
              </w:rPr>
              <w:t>TVOCs</w:t>
            </w:r>
          </w:p>
        </w:tc>
        <w:tc>
          <w:tcPr>
            <w:tcW w:w="2660" w:type="dxa"/>
            <w:shd w:val="clear" w:color="auto" w:fill="auto"/>
            <w:vAlign w:val="center"/>
          </w:tcPr>
          <w:p w14:paraId="410CB796">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每</w:t>
            </w:r>
            <w:r>
              <w:rPr>
                <w:rFonts w:hint="eastAsia" w:ascii="宋体" w:hAnsi="宋体" w:cs="宋体"/>
                <w:color w:val="000000"/>
                <w:kern w:val="0"/>
                <w:sz w:val="21"/>
                <w:szCs w:val="21"/>
                <w:lang w:eastAsia="zh-CN"/>
              </w:rPr>
              <w:t>半年</w:t>
            </w:r>
            <w:r>
              <w:rPr>
                <w:rFonts w:hint="eastAsia" w:ascii="宋体" w:hAnsi="宋体" w:eastAsia="宋体" w:cs="宋体"/>
                <w:color w:val="000000"/>
                <w:kern w:val="0"/>
                <w:sz w:val="21"/>
                <w:szCs w:val="21"/>
              </w:rPr>
              <w:t>一次</w:t>
            </w:r>
          </w:p>
        </w:tc>
      </w:tr>
      <w:tr w14:paraId="101699F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866" w:type="dxa"/>
            <w:vMerge w:val="continue"/>
            <w:shd w:val="clear" w:color="auto" w:fill="auto"/>
            <w:vAlign w:val="center"/>
          </w:tcPr>
          <w:p w14:paraId="4B68A6B7">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kern w:val="0"/>
                <w:sz w:val="21"/>
                <w:szCs w:val="21"/>
                <w:lang w:eastAsia="zh-CN"/>
              </w:rPr>
            </w:pPr>
          </w:p>
        </w:tc>
        <w:tc>
          <w:tcPr>
            <w:tcW w:w="1883" w:type="dxa"/>
            <w:shd w:val="clear" w:color="auto" w:fill="auto"/>
            <w:vAlign w:val="center"/>
          </w:tcPr>
          <w:p w14:paraId="0563C67C">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厂界监控点</w:t>
            </w:r>
          </w:p>
          <w:p w14:paraId="1EE67246">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kern w:val="0"/>
                <w:sz w:val="21"/>
                <w:szCs w:val="21"/>
                <w:lang w:eastAsia="zh-CN"/>
              </w:rPr>
            </w:pPr>
            <w:r>
              <w:rPr>
                <w:rFonts w:hint="eastAsia" w:ascii="宋体" w:hAnsi="宋体" w:cs="宋体"/>
                <w:color w:val="000000"/>
                <w:kern w:val="0"/>
                <w:sz w:val="21"/>
                <w:szCs w:val="21"/>
                <w:lang w:eastAsia="zh-CN"/>
              </w:rPr>
              <w:t>（无组织）</w:t>
            </w:r>
          </w:p>
        </w:tc>
        <w:tc>
          <w:tcPr>
            <w:tcW w:w="3395" w:type="dxa"/>
            <w:shd w:val="clear" w:color="auto" w:fill="auto"/>
            <w:vAlign w:val="center"/>
          </w:tcPr>
          <w:p w14:paraId="5571C6E2">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kern w:val="0"/>
                <w:sz w:val="21"/>
                <w:szCs w:val="21"/>
                <w:lang w:eastAsia="zh-CN"/>
              </w:rPr>
            </w:pPr>
            <w:r>
              <w:rPr>
                <w:rFonts w:hint="eastAsia" w:ascii="宋体" w:hAnsi="宋体" w:cs="宋体"/>
                <w:color w:val="000000"/>
                <w:kern w:val="0"/>
                <w:sz w:val="21"/>
                <w:szCs w:val="21"/>
                <w:lang w:val="en-US" w:eastAsia="zh-CN"/>
              </w:rPr>
              <w:t>TVOCs</w:t>
            </w:r>
          </w:p>
        </w:tc>
        <w:tc>
          <w:tcPr>
            <w:tcW w:w="2660" w:type="dxa"/>
            <w:shd w:val="clear" w:color="auto" w:fill="auto"/>
            <w:vAlign w:val="center"/>
          </w:tcPr>
          <w:p w14:paraId="4BDA5D95">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每</w:t>
            </w:r>
            <w:r>
              <w:rPr>
                <w:rFonts w:hint="eastAsia" w:ascii="宋体" w:hAnsi="宋体" w:cs="宋体"/>
                <w:color w:val="000000"/>
                <w:kern w:val="0"/>
                <w:sz w:val="21"/>
                <w:szCs w:val="21"/>
                <w:lang w:eastAsia="zh-CN"/>
              </w:rPr>
              <w:t>年</w:t>
            </w:r>
            <w:r>
              <w:rPr>
                <w:rFonts w:hint="eastAsia" w:ascii="宋体" w:hAnsi="宋体" w:eastAsia="宋体" w:cs="宋体"/>
                <w:color w:val="000000"/>
                <w:kern w:val="0"/>
                <w:sz w:val="21"/>
                <w:szCs w:val="21"/>
              </w:rPr>
              <w:t>一次</w:t>
            </w:r>
          </w:p>
        </w:tc>
      </w:tr>
      <w:tr w14:paraId="02E2355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866" w:type="dxa"/>
            <w:shd w:val="clear" w:color="auto" w:fill="auto"/>
            <w:vAlign w:val="center"/>
          </w:tcPr>
          <w:p w14:paraId="01E89CB7">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kern w:val="0"/>
                <w:sz w:val="21"/>
                <w:szCs w:val="21"/>
                <w:lang w:eastAsia="zh-CN"/>
              </w:rPr>
            </w:pPr>
            <w:r>
              <w:rPr>
                <w:rFonts w:hint="eastAsia" w:ascii="宋体" w:hAnsi="宋体" w:cs="宋体"/>
                <w:color w:val="000000"/>
                <w:kern w:val="0"/>
                <w:sz w:val="21"/>
                <w:szCs w:val="21"/>
                <w:lang w:eastAsia="zh-CN"/>
              </w:rPr>
              <w:t>废水</w:t>
            </w:r>
          </w:p>
        </w:tc>
        <w:tc>
          <w:tcPr>
            <w:tcW w:w="1883" w:type="dxa"/>
            <w:shd w:val="clear" w:color="auto" w:fill="auto"/>
            <w:vAlign w:val="center"/>
          </w:tcPr>
          <w:p w14:paraId="67C9522C">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s="宋体"/>
                <w:color w:val="000000"/>
                <w:kern w:val="0"/>
                <w:sz w:val="21"/>
                <w:szCs w:val="21"/>
                <w:lang w:eastAsia="zh-CN"/>
              </w:rPr>
            </w:pPr>
            <w:r>
              <w:rPr>
                <w:rFonts w:hint="eastAsia" w:ascii="宋体" w:hAnsi="宋体" w:cs="宋体"/>
                <w:color w:val="000000"/>
                <w:kern w:val="0"/>
                <w:sz w:val="21"/>
                <w:szCs w:val="21"/>
                <w:lang w:eastAsia="zh-CN"/>
              </w:rPr>
              <w:t>雨水排放口</w:t>
            </w:r>
          </w:p>
        </w:tc>
        <w:tc>
          <w:tcPr>
            <w:tcW w:w="3395" w:type="dxa"/>
            <w:shd w:val="clear" w:color="auto" w:fill="auto"/>
            <w:vAlign w:val="center"/>
          </w:tcPr>
          <w:p w14:paraId="791C299B">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kern w:val="0"/>
                <w:sz w:val="21"/>
                <w:szCs w:val="21"/>
                <w:lang w:val="en-US" w:eastAsia="zh-CN"/>
              </w:rPr>
            </w:pPr>
            <w:r>
              <w:rPr>
                <w:rFonts w:hint="eastAsia" w:ascii="宋体" w:hAnsi="宋体" w:cs="宋体"/>
                <w:color w:val="000000"/>
                <w:kern w:val="0"/>
                <w:sz w:val="21"/>
                <w:szCs w:val="21"/>
                <w:lang w:val="en-US" w:eastAsia="zh-CN"/>
              </w:rPr>
              <w:t>pH、悬浮物</w:t>
            </w:r>
          </w:p>
        </w:tc>
        <w:tc>
          <w:tcPr>
            <w:tcW w:w="2660" w:type="dxa"/>
            <w:shd w:val="clear" w:color="auto" w:fill="auto"/>
            <w:vAlign w:val="center"/>
          </w:tcPr>
          <w:p w14:paraId="567FC90D">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kern w:val="0"/>
                <w:sz w:val="21"/>
                <w:szCs w:val="21"/>
                <w:lang w:eastAsia="zh-CN"/>
              </w:rPr>
            </w:pPr>
            <w:r>
              <w:rPr>
                <w:rFonts w:hint="eastAsia" w:ascii="宋体" w:hAnsi="宋体" w:cs="宋体"/>
                <w:color w:val="000000"/>
                <w:kern w:val="0"/>
                <w:sz w:val="21"/>
                <w:szCs w:val="21"/>
                <w:lang w:eastAsia="zh-CN"/>
              </w:rPr>
              <w:t>雨水排放口有流动水排放时按日监测。若监测一年无异常情况，可放宽至季度开展一次监测</w:t>
            </w:r>
          </w:p>
        </w:tc>
      </w:tr>
      <w:tr w14:paraId="3BAFF94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866" w:type="dxa"/>
            <w:shd w:val="clear" w:color="auto" w:fill="auto"/>
            <w:vAlign w:val="center"/>
          </w:tcPr>
          <w:p w14:paraId="6DAC11E5">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土壤</w:t>
            </w:r>
          </w:p>
        </w:tc>
        <w:tc>
          <w:tcPr>
            <w:tcW w:w="1883" w:type="dxa"/>
            <w:shd w:val="clear" w:color="auto" w:fill="auto"/>
            <w:vAlign w:val="center"/>
          </w:tcPr>
          <w:p w14:paraId="0631E5B2">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eastAsia="zh-CN"/>
              </w:rPr>
              <w:t>车间附近</w:t>
            </w:r>
            <w:r>
              <w:rPr>
                <w:rFonts w:hint="eastAsia" w:ascii="宋体" w:hAnsi="宋体" w:eastAsia="宋体" w:cs="宋体"/>
                <w:color w:val="000000"/>
                <w:kern w:val="0"/>
                <w:sz w:val="21"/>
                <w:szCs w:val="21"/>
                <w:lang w:val="en-US" w:eastAsia="zh-CN"/>
              </w:rPr>
              <w:t>2个测点</w:t>
            </w:r>
          </w:p>
        </w:tc>
        <w:tc>
          <w:tcPr>
            <w:tcW w:w="3395" w:type="dxa"/>
            <w:shd w:val="clear" w:color="auto" w:fill="auto"/>
            <w:vAlign w:val="center"/>
          </w:tcPr>
          <w:p w14:paraId="33D0C7AB">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kern w:val="0"/>
                <w:sz w:val="21"/>
                <w:szCs w:val="21"/>
                <w:lang w:val="en-US" w:eastAsia="zh-CN"/>
              </w:rPr>
            </w:pPr>
            <w:r>
              <w:rPr>
                <w:rFonts w:hint="default" w:ascii="宋体" w:hAnsi="宋体" w:eastAsia="宋体" w:cs="宋体"/>
                <w:color w:val="000000"/>
                <w:kern w:val="0"/>
                <w:sz w:val="21"/>
                <w:szCs w:val="21"/>
                <w:lang w:val="en-US" w:eastAsia="zh-CN"/>
              </w:rPr>
              <w:t>pH、铬、镍、镉、</w:t>
            </w:r>
            <w:r>
              <w:rPr>
                <w:rFonts w:hint="eastAsia" w:ascii="宋体" w:hAnsi="宋体" w:cs="宋体"/>
                <w:color w:val="000000"/>
                <w:kern w:val="0"/>
                <w:sz w:val="21"/>
                <w:szCs w:val="21"/>
                <w:lang w:val="en-US" w:eastAsia="zh-CN"/>
              </w:rPr>
              <w:t>银、铅、汞、铜、锌</w:t>
            </w:r>
          </w:p>
        </w:tc>
        <w:tc>
          <w:tcPr>
            <w:tcW w:w="2660" w:type="dxa"/>
            <w:shd w:val="clear" w:color="auto" w:fill="auto"/>
            <w:vAlign w:val="center"/>
          </w:tcPr>
          <w:p w14:paraId="44325F34">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每年</w:t>
            </w:r>
            <w:r>
              <w:rPr>
                <w:rFonts w:hint="eastAsia" w:ascii="宋体" w:hAnsi="宋体" w:eastAsia="宋体" w:cs="宋体"/>
                <w:color w:val="000000"/>
                <w:kern w:val="0"/>
                <w:sz w:val="21"/>
                <w:szCs w:val="21"/>
                <w:lang w:val="en-US" w:eastAsia="zh-CN"/>
              </w:rPr>
              <w:t>1</w:t>
            </w:r>
            <w:r>
              <w:rPr>
                <w:rFonts w:hint="eastAsia" w:ascii="宋体" w:hAnsi="宋体" w:eastAsia="宋体" w:cs="宋体"/>
                <w:color w:val="000000"/>
                <w:kern w:val="0"/>
                <w:sz w:val="21"/>
                <w:szCs w:val="21"/>
              </w:rPr>
              <w:t>次</w:t>
            </w:r>
          </w:p>
        </w:tc>
      </w:tr>
      <w:tr w14:paraId="1DF9113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866" w:type="dxa"/>
            <w:shd w:val="clear" w:color="auto" w:fill="auto"/>
            <w:vAlign w:val="center"/>
          </w:tcPr>
          <w:p w14:paraId="196C6C94">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kern w:val="0"/>
                <w:sz w:val="21"/>
                <w:szCs w:val="21"/>
                <w:lang w:eastAsia="zh-CN"/>
              </w:rPr>
            </w:pPr>
            <w:r>
              <w:rPr>
                <w:rFonts w:hint="eastAsia" w:ascii="宋体" w:hAnsi="宋体" w:eastAsia="宋体" w:cs="宋体"/>
                <w:color w:val="000000"/>
                <w:kern w:val="0"/>
                <w:sz w:val="21"/>
                <w:szCs w:val="21"/>
                <w:lang w:eastAsia="zh-CN"/>
              </w:rPr>
              <w:t>地下水</w:t>
            </w:r>
          </w:p>
        </w:tc>
        <w:tc>
          <w:tcPr>
            <w:tcW w:w="1883" w:type="dxa"/>
            <w:shd w:val="clear" w:color="auto" w:fill="auto"/>
            <w:vAlign w:val="center"/>
          </w:tcPr>
          <w:p w14:paraId="25EEE7C0">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项目所在地附近地下水井</w:t>
            </w:r>
            <w:r>
              <w:rPr>
                <w:rFonts w:hint="eastAsia" w:ascii="宋体" w:hAnsi="宋体" w:eastAsia="宋体" w:cs="宋体"/>
                <w:color w:val="000000"/>
                <w:kern w:val="0"/>
                <w:sz w:val="21"/>
                <w:szCs w:val="21"/>
                <w:lang w:val="en-US" w:eastAsia="zh-CN"/>
              </w:rPr>
              <w:t>2个测点</w:t>
            </w:r>
          </w:p>
        </w:tc>
        <w:tc>
          <w:tcPr>
            <w:tcW w:w="3395" w:type="dxa"/>
            <w:shd w:val="clear" w:color="auto" w:fill="auto"/>
            <w:vAlign w:val="center"/>
          </w:tcPr>
          <w:p w14:paraId="018BBD53">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kern w:val="0"/>
                <w:sz w:val="21"/>
                <w:szCs w:val="21"/>
                <w:lang w:val="en-US" w:eastAsia="zh-CN"/>
              </w:rPr>
            </w:pPr>
            <w:r>
              <w:rPr>
                <w:rFonts w:hint="eastAsia" w:ascii="宋体" w:hAnsi="宋体" w:cs="宋体"/>
                <w:color w:val="000000"/>
                <w:kern w:val="0"/>
                <w:sz w:val="21"/>
                <w:szCs w:val="21"/>
                <w:lang w:eastAsia="zh-CN"/>
              </w:rPr>
              <w:t>水位、</w:t>
            </w:r>
            <w:r>
              <w:rPr>
                <w:rFonts w:hint="eastAsia" w:ascii="宋体" w:hAnsi="宋体" w:cs="宋体"/>
                <w:color w:val="000000"/>
                <w:kern w:val="0"/>
                <w:sz w:val="21"/>
                <w:szCs w:val="21"/>
                <w:lang w:val="en-US" w:eastAsia="zh-CN"/>
              </w:rPr>
              <w:t>pH、高锰酸盐指数、氰化物、总铬、六价铬、总铜、总锌、总镍、总铁</w:t>
            </w:r>
          </w:p>
        </w:tc>
        <w:tc>
          <w:tcPr>
            <w:tcW w:w="2660" w:type="dxa"/>
            <w:shd w:val="clear" w:color="auto" w:fill="auto"/>
            <w:vAlign w:val="center"/>
          </w:tcPr>
          <w:p w14:paraId="2697904E">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每年</w:t>
            </w:r>
            <w:r>
              <w:rPr>
                <w:rFonts w:hint="eastAsia" w:ascii="宋体" w:hAnsi="宋体" w:eastAsia="宋体" w:cs="宋体"/>
                <w:color w:val="000000"/>
                <w:kern w:val="0"/>
                <w:sz w:val="21"/>
                <w:szCs w:val="21"/>
                <w:lang w:val="en-US" w:eastAsia="zh-CN"/>
              </w:rPr>
              <w:t>1</w:t>
            </w:r>
            <w:r>
              <w:rPr>
                <w:rFonts w:hint="eastAsia" w:ascii="宋体" w:hAnsi="宋体" w:eastAsia="宋体" w:cs="宋体"/>
                <w:color w:val="000000"/>
                <w:kern w:val="0"/>
                <w:sz w:val="21"/>
                <w:szCs w:val="21"/>
              </w:rPr>
              <w:t>次</w:t>
            </w:r>
          </w:p>
        </w:tc>
      </w:tr>
    </w:tbl>
    <w:p w14:paraId="3AB090FE">
      <w:pPr>
        <w:bidi w:val="0"/>
        <w:rPr>
          <w:rFonts w:hint="default"/>
          <w:lang w:val="en-US" w:eastAsia="zh-CN"/>
        </w:rPr>
      </w:pPr>
      <w:r>
        <w:rPr>
          <w:rFonts w:hint="eastAsia"/>
          <w:lang w:val="en-US" w:eastAsia="zh-CN"/>
        </w:rPr>
        <w:t>相关监测频次参照《排污单位自行监测技术指南 电镀行业》（HJ985-2018）中相关要求。</w:t>
      </w:r>
    </w:p>
    <w:p w14:paraId="5CBF9146">
      <w:pPr>
        <w:pStyle w:val="5"/>
        <w:bidi w:val="0"/>
        <w:rPr>
          <w:rFonts w:hint="default"/>
          <w:lang w:val="en-US" w:eastAsia="zh-CN"/>
        </w:rPr>
      </w:pPr>
      <w:r>
        <w:rPr>
          <w:rFonts w:hint="eastAsia"/>
          <w:lang w:val="en-US" w:eastAsia="zh-CN"/>
        </w:rPr>
        <w:t>12.2.3事故应急监测计划</w:t>
      </w:r>
    </w:p>
    <w:p w14:paraId="250918A9">
      <w:pPr>
        <w:bidi w:val="0"/>
        <w:rPr>
          <w:rFonts w:hint="default"/>
          <w:lang w:val="en-US" w:eastAsia="zh-CN"/>
        </w:rPr>
      </w:pPr>
      <w:r>
        <w:rPr>
          <w:rFonts w:hint="default"/>
          <w:lang w:val="en-US" w:eastAsia="zh-CN"/>
        </w:rPr>
        <w:t>为及时有效了解项目事故对外环境的影响，便于上级部门的指挥和调度，发生较大污染事件时，应进行应急环境监测，可委托有资质单位进行环境监测，具体事故类型及相应的监测方案如下：</w:t>
      </w:r>
    </w:p>
    <w:p w14:paraId="09737E86">
      <w:pPr>
        <w:bidi w:val="0"/>
        <w:rPr>
          <w:rFonts w:hint="default"/>
          <w:lang w:val="en-US" w:eastAsia="zh-CN"/>
        </w:rPr>
      </w:pPr>
      <w:r>
        <w:rPr>
          <w:rFonts w:hint="default"/>
          <w:lang w:val="en-US" w:eastAsia="zh-CN"/>
        </w:rPr>
        <w:t>1、泄漏等事故废气排放</w:t>
      </w:r>
    </w:p>
    <w:p w14:paraId="28BBA6DD">
      <w:pPr>
        <w:bidi w:val="0"/>
        <w:rPr>
          <w:rFonts w:hint="default"/>
          <w:lang w:val="en-US" w:eastAsia="zh-CN"/>
        </w:rPr>
      </w:pPr>
      <w:r>
        <w:rPr>
          <w:rFonts w:hint="default"/>
          <w:lang w:val="en-US" w:eastAsia="zh-CN"/>
        </w:rPr>
        <w:t>在事故发生源的最近厂界上风向设置一个对照监测点，在其下风向厂界布设一个监测点，另外可根据事故发生发展状况和下风向敏感点的分布情况设置若干监测点。监测频率和监测因子视事故的具体情况而定。本项目主要涉及酸性有机废气。</w:t>
      </w:r>
    </w:p>
    <w:p w14:paraId="3B3D7EE0">
      <w:pPr>
        <w:bidi w:val="0"/>
        <w:rPr>
          <w:rFonts w:hint="default"/>
          <w:lang w:val="en-US" w:eastAsia="zh-CN"/>
        </w:rPr>
      </w:pPr>
      <w:r>
        <w:rPr>
          <w:rFonts w:hint="default"/>
          <w:lang w:val="en-US" w:eastAsia="zh-CN"/>
        </w:rPr>
        <w:t>2、废水事故排放</w:t>
      </w:r>
    </w:p>
    <w:p w14:paraId="316BF5EA">
      <w:pPr>
        <w:pageBreakBefore w:val="0"/>
        <w:kinsoku/>
        <w:wordWrap/>
        <w:overflowPunct/>
        <w:topLinePunct w:val="0"/>
        <w:autoSpaceDE/>
        <w:autoSpaceDN/>
        <w:bidi w:val="0"/>
        <w:adjustRightInd/>
        <w:snapToGrid/>
        <w:textAlignment w:val="auto"/>
        <w:rPr>
          <w:rFonts w:hint="default"/>
          <w:lang w:val="en-US" w:eastAsia="zh-CN"/>
        </w:rPr>
      </w:pPr>
      <w:r>
        <w:rPr>
          <w:rFonts w:hint="default"/>
          <w:lang w:val="en-US" w:eastAsia="zh-CN"/>
        </w:rPr>
        <w:t>当发生废水事故排放后，应在</w:t>
      </w:r>
      <w:r>
        <w:rPr>
          <w:rFonts w:hint="eastAsia"/>
          <w:lang w:val="en-US" w:eastAsia="zh-CN"/>
        </w:rPr>
        <w:t>事故排放点设置监测点位</w:t>
      </w:r>
      <w:r>
        <w:rPr>
          <w:rFonts w:hint="default"/>
          <w:lang w:val="en-US" w:eastAsia="zh-CN"/>
        </w:rPr>
        <w:t>，连续监测二天，每天三次。必要时根据废水事故情况，也可在雨水排口加测一点。</w:t>
      </w:r>
    </w:p>
    <w:p w14:paraId="3B263A6C">
      <w:pPr>
        <w:pStyle w:val="3"/>
        <w:keepNext/>
        <w:keepLines/>
        <w:pageBreakBefore w:val="0"/>
        <w:widowControl/>
        <w:kinsoku/>
        <w:wordWrap/>
        <w:overflowPunct/>
        <w:topLinePunct w:val="0"/>
        <w:autoSpaceDE/>
        <w:autoSpaceDN/>
        <w:bidi w:val="0"/>
        <w:adjustRightInd/>
        <w:snapToGrid/>
        <w:spacing w:line="360" w:lineRule="auto"/>
        <w:textAlignment w:val="auto"/>
        <w:rPr>
          <w:color w:val="auto"/>
        </w:rPr>
      </w:pPr>
      <w:bookmarkStart w:id="504" w:name="_Toc29834"/>
      <w:r>
        <w:rPr>
          <w:color w:val="auto"/>
        </w:rPr>
        <w:t>1</w:t>
      </w:r>
      <w:r>
        <w:rPr>
          <w:rFonts w:hint="eastAsia"/>
          <w:color w:val="auto"/>
          <w:lang w:val="en-US" w:eastAsia="zh-CN"/>
        </w:rPr>
        <w:t>2</w:t>
      </w:r>
      <w:r>
        <w:rPr>
          <w:color w:val="auto"/>
        </w:rPr>
        <w:t>.3排污口规范化设置</w:t>
      </w:r>
      <w:bookmarkEnd w:id="504"/>
    </w:p>
    <w:p w14:paraId="1B8CA84C">
      <w:pPr>
        <w:pageBreakBefore w:val="0"/>
        <w:kinsoku/>
        <w:wordWrap/>
        <w:overflowPunct/>
        <w:topLinePunct w:val="0"/>
        <w:autoSpaceDE/>
        <w:autoSpaceDN/>
        <w:bidi w:val="0"/>
        <w:adjustRightInd/>
        <w:snapToGrid/>
        <w:ind w:firstLine="480" w:firstLineChars="200"/>
        <w:textAlignment w:val="auto"/>
      </w:pPr>
      <w:r>
        <w:t>固定噪声源、固体废物贮存和排气筒必须按照国家和辽宁省的有关规定进行建设，应符合“一明显、二合理、三便于”的要求，即环保标志明显，排污口设置合理，便于采集样品、便于监测计量、便于公众参与和监督管理。同时要求按照国家环保总局制定的《环境保护图形标志实施细则（试行）》的规定，设置与排污口相应的图形标志牌。图形符号分为提示图形和警告图形符号两种，分别按GB15562.1-1995、GB15562.2-1995 执行。</w:t>
      </w:r>
    </w:p>
    <w:p w14:paraId="19706AC0">
      <w:pPr>
        <w:pStyle w:val="3"/>
        <w:rPr>
          <w:color w:val="auto"/>
        </w:rPr>
      </w:pPr>
      <w:bookmarkStart w:id="505" w:name="_Toc488409559"/>
      <w:bookmarkStart w:id="506" w:name="_Toc16905"/>
      <w:bookmarkStart w:id="507" w:name="_Toc21987"/>
      <w:bookmarkStart w:id="508" w:name="_Toc24352"/>
      <w:bookmarkStart w:id="509" w:name="_Toc10100"/>
      <w:bookmarkStart w:id="510" w:name="_Toc9842"/>
      <w:bookmarkStart w:id="511" w:name="_Toc20160"/>
      <w:bookmarkStart w:id="512" w:name="_Toc30493"/>
      <w:r>
        <w:rPr>
          <w:color w:val="auto"/>
        </w:rPr>
        <w:t>1</w:t>
      </w:r>
      <w:r>
        <w:rPr>
          <w:rFonts w:hint="eastAsia"/>
          <w:color w:val="auto"/>
          <w:lang w:val="en-US" w:eastAsia="zh-CN"/>
        </w:rPr>
        <w:t>2</w:t>
      </w:r>
      <w:r>
        <w:rPr>
          <w:color w:val="auto"/>
        </w:rPr>
        <w:t>.4“三同时”验收一览表</w:t>
      </w:r>
      <w:bookmarkEnd w:id="505"/>
      <w:bookmarkEnd w:id="506"/>
      <w:bookmarkEnd w:id="507"/>
      <w:bookmarkEnd w:id="508"/>
      <w:bookmarkEnd w:id="509"/>
      <w:bookmarkEnd w:id="510"/>
      <w:bookmarkEnd w:id="511"/>
      <w:bookmarkEnd w:id="512"/>
    </w:p>
    <w:p w14:paraId="62C70739">
      <w:pPr>
        <w:ind w:firstLine="480" w:firstLineChars="200"/>
      </w:pPr>
      <w:r>
        <w:t>本项目“三同时”验收内容见下表。</w:t>
      </w:r>
    </w:p>
    <w:p w14:paraId="6D0FC606">
      <w:pPr>
        <w:snapToGrid w:val="0"/>
        <w:spacing w:line="360" w:lineRule="exact"/>
        <w:jc w:val="center"/>
        <w:rPr>
          <w:b/>
          <w:sz w:val="21"/>
          <w:szCs w:val="21"/>
        </w:rPr>
      </w:pPr>
      <w:r>
        <w:rPr>
          <w:rFonts w:hint="eastAsia" w:ascii="黑体" w:hAnsi="黑体" w:eastAsia="黑体" w:cs="黑体"/>
          <w:b w:val="0"/>
          <w:bCs/>
          <w:sz w:val="21"/>
          <w:szCs w:val="21"/>
        </w:rPr>
        <w:t>表</w:t>
      </w:r>
      <w:r>
        <w:rPr>
          <w:rFonts w:hint="eastAsia" w:ascii="黑体" w:hAnsi="黑体" w:eastAsia="黑体" w:cs="黑体"/>
          <w:b w:val="0"/>
          <w:bCs/>
          <w:sz w:val="21"/>
          <w:szCs w:val="21"/>
          <w:lang w:val="en-US" w:eastAsia="zh-CN"/>
        </w:rPr>
        <w:t>12-2</w:t>
      </w:r>
      <w:r>
        <w:rPr>
          <w:rFonts w:hint="eastAsia" w:ascii="黑体" w:hAnsi="黑体" w:eastAsia="黑体" w:cs="黑体"/>
          <w:b w:val="0"/>
          <w:bCs/>
          <w:sz w:val="21"/>
          <w:szCs w:val="21"/>
        </w:rPr>
        <w:t>项目环保措施及“三同时”验收一览表</w:t>
      </w:r>
    </w:p>
    <w:tbl>
      <w:tblPr>
        <w:tblStyle w:val="52"/>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671"/>
        <w:gridCol w:w="789"/>
        <w:gridCol w:w="1024"/>
        <w:gridCol w:w="4251"/>
        <w:gridCol w:w="2211"/>
      </w:tblGrid>
      <w:tr w14:paraId="3EFB94A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2" w:hRule="atLeast"/>
          <w:tblHeader/>
        </w:trPr>
        <w:tc>
          <w:tcPr>
            <w:tcW w:w="375" w:type="pct"/>
            <w:shd w:val="clear" w:color="auto" w:fill="auto"/>
            <w:vAlign w:val="center"/>
          </w:tcPr>
          <w:p w14:paraId="368F3142">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类别</w:t>
            </w:r>
          </w:p>
        </w:tc>
        <w:tc>
          <w:tcPr>
            <w:tcW w:w="440" w:type="pct"/>
            <w:shd w:val="clear" w:color="auto" w:fill="auto"/>
            <w:vAlign w:val="center"/>
          </w:tcPr>
          <w:p w14:paraId="71854E16">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污染源</w:t>
            </w:r>
          </w:p>
        </w:tc>
        <w:tc>
          <w:tcPr>
            <w:tcW w:w="572" w:type="pct"/>
            <w:vAlign w:val="center"/>
          </w:tcPr>
          <w:p w14:paraId="55863266">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污染物</w:t>
            </w:r>
          </w:p>
        </w:tc>
        <w:tc>
          <w:tcPr>
            <w:tcW w:w="2375" w:type="pct"/>
            <w:shd w:val="clear" w:color="auto" w:fill="auto"/>
            <w:vAlign w:val="center"/>
          </w:tcPr>
          <w:p w14:paraId="536F432C">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应验收的防治设施</w:t>
            </w:r>
          </w:p>
        </w:tc>
        <w:tc>
          <w:tcPr>
            <w:tcW w:w="1235" w:type="pct"/>
            <w:shd w:val="clear" w:color="auto" w:fill="auto"/>
            <w:vAlign w:val="center"/>
          </w:tcPr>
          <w:p w14:paraId="2890DA55">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执行标准</w:t>
            </w:r>
          </w:p>
        </w:tc>
      </w:tr>
      <w:tr w14:paraId="6B963DE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375" w:type="pct"/>
            <w:shd w:val="clear" w:color="auto" w:fill="auto"/>
            <w:vAlign w:val="center"/>
          </w:tcPr>
          <w:p w14:paraId="6EA87B87">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废气</w:t>
            </w:r>
          </w:p>
        </w:tc>
        <w:tc>
          <w:tcPr>
            <w:tcW w:w="440" w:type="pct"/>
            <w:shd w:val="clear" w:color="auto" w:fill="auto"/>
            <w:vAlign w:val="center"/>
          </w:tcPr>
          <w:p w14:paraId="7391900D">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kern w:val="0"/>
                <w:sz w:val="21"/>
                <w:szCs w:val="21"/>
                <w:lang w:eastAsia="zh-CN"/>
              </w:rPr>
            </w:pPr>
            <w:r>
              <w:rPr>
                <w:rFonts w:hint="eastAsia" w:ascii="宋体" w:hAnsi="宋体" w:eastAsia="宋体" w:cs="宋体"/>
                <w:color w:val="000000"/>
                <w:kern w:val="0"/>
                <w:sz w:val="21"/>
                <w:szCs w:val="21"/>
                <w:lang w:eastAsia="zh-CN"/>
              </w:rPr>
              <w:t>电镀车间</w:t>
            </w:r>
          </w:p>
        </w:tc>
        <w:tc>
          <w:tcPr>
            <w:tcW w:w="572" w:type="pct"/>
            <w:vAlign w:val="center"/>
          </w:tcPr>
          <w:p w14:paraId="33C25ED5">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kern w:val="0"/>
                <w:sz w:val="21"/>
                <w:szCs w:val="21"/>
                <w:lang w:eastAsia="zh-CN"/>
              </w:rPr>
            </w:pPr>
            <w:r>
              <w:rPr>
                <w:rFonts w:hint="eastAsia" w:ascii="宋体" w:hAnsi="宋体" w:cs="宋体"/>
                <w:color w:val="000000"/>
                <w:kern w:val="0"/>
                <w:sz w:val="21"/>
                <w:szCs w:val="21"/>
                <w:lang w:val="en-US" w:eastAsia="zh-CN"/>
              </w:rPr>
              <w:t>TVOCs</w:t>
            </w:r>
          </w:p>
        </w:tc>
        <w:tc>
          <w:tcPr>
            <w:tcW w:w="2375" w:type="pct"/>
            <w:shd w:val="clear" w:color="auto" w:fill="auto"/>
            <w:vAlign w:val="center"/>
          </w:tcPr>
          <w:p w14:paraId="476FD9B4">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kern w:val="0"/>
                <w:sz w:val="21"/>
                <w:szCs w:val="21"/>
              </w:rPr>
            </w:pPr>
            <w:r>
              <w:rPr>
                <w:rFonts w:hint="eastAsia"/>
                <w:sz w:val="21"/>
                <w:szCs w:val="21"/>
                <w:vertAlign w:val="baseline"/>
                <w:lang w:val="en-US" w:eastAsia="zh-CN"/>
              </w:rPr>
              <w:t>配套建设酸性废气净化装置，废气经治理后经由15m高排气筒排放。</w:t>
            </w:r>
          </w:p>
        </w:tc>
        <w:tc>
          <w:tcPr>
            <w:tcW w:w="1235" w:type="pct"/>
            <w:shd w:val="clear" w:color="auto" w:fill="auto"/>
            <w:vAlign w:val="center"/>
          </w:tcPr>
          <w:p w14:paraId="0439A723">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kern w:val="0"/>
                <w:sz w:val="21"/>
                <w:szCs w:val="21"/>
              </w:rPr>
            </w:pPr>
            <w:r>
              <w:rPr>
                <w:rFonts w:hint="eastAsia" w:ascii="宋体" w:hAnsi="宋体" w:eastAsia="宋体" w:cs="宋体"/>
                <w:sz w:val="21"/>
                <w:szCs w:val="21"/>
                <w:lang w:eastAsia="zh-CN"/>
              </w:rPr>
              <w:t>《大气污染物综合排放标准》（</w:t>
            </w:r>
            <w:r>
              <w:rPr>
                <w:rFonts w:hint="eastAsia" w:ascii="宋体" w:hAnsi="宋体" w:eastAsia="宋体" w:cs="宋体"/>
                <w:sz w:val="21"/>
                <w:szCs w:val="21"/>
                <w:lang w:val="en-US" w:eastAsia="zh-CN"/>
              </w:rPr>
              <w:t>GB16297-1996</w:t>
            </w:r>
            <w:r>
              <w:rPr>
                <w:rFonts w:hint="eastAsia" w:ascii="宋体" w:hAnsi="宋体" w:eastAsia="宋体" w:cs="宋体"/>
                <w:sz w:val="21"/>
                <w:szCs w:val="21"/>
                <w:lang w:eastAsia="zh-CN"/>
              </w:rPr>
              <w:t>）</w:t>
            </w:r>
          </w:p>
        </w:tc>
      </w:tr>
      <w:tr w14:paraId="56E4955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2" w:hRule="atLeast"/>
        </w:trPr>
        <w:tc>
          <w:tcPr>
            <w:tcW w:w="816" w:type="pct"/>
            <w:gridSpan w:val="2"/>
            <w:shd w:val="clear" w:color="auto" w:fill="auto"/>
            <w:vAlign w:val="center"/>
          </w:tcPr>
          <w:p w14:paraId="110D5047">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噪声</w:t>
            </w:r>
          </w:p>
        </w:tc>
        <w:tc>
          <w:tcPr>
            <w:tcW w:w="572" w:type="pct"/>
            <w:vAlign w:val="center"/>
          </w:tcPr>
          <w:p w14:paraId="6D91F6C8">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Leq</w:t>
            </w:r>
          </w:p>
        </w:tc>
        <w:tc>
          <w:tcPr>
            <w:tcW w:w="2375" w:type="pct"/>
            <w:shd w:val="clear" w:color="auto" w:fill="auto"/>
            <w:vAlign w:val="center"/>
          </w:tcPr>
          <w:p w14:paraId="75D85F5F">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kern w:val="0"/>
                <w:sz w:val="21"/>
                <w:szCs w:val="21"/>
              </w:rPr>
            </w:pPr>
            <w:r>
              <w:rPr>
                <w:rFonts w:hint="eastAsia"/>
                <w:sz w:val="21"/>
                <w:szCs w:val="21"/>
                <w:vertAlign w:val="baseline"/>
                <w:lang w:val="en-US" w:eastAsia="zh-CN"/>
              </w:rPr>
              <w:t>选用低噪声设备、采取厂房隔声、基础减震</w:t>
            </w:r>
          </w:p>
        </w:tc>
        <w:tc>
          <w:tcPr>
            <w:tcW w:w="1235" w:type="pct"/>
            <w:shd w:val="clear" w:color="auto" w:fill="auto"/>
            <w:vAlign w:val="center"/>
          </w:tcPr>
          <w:p w14:paraId="56DFAB91">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kern w:val="0"/>
                <w:sz w:val="21"/>
                <w:szCs w:val="21"/>
              </w:rPr>
            </w:pPr>
            <w:r>
              <w:rPr>
                <w:rFonts w:hint="eastAsia" w:ascii="宋体" w:hAnsi="宋体" w:eastAsia="宋体" w:cs="宋体"/>
                <w:sz w:val="21"/>
                <w:szCs w:val="21"/>
                <w:lang w:eastAsia="zh-CN"/>
              </w:rPr>
              <w:t>《工业企业厂界环境噪声排放标准》（GB12348-2008）中</w:t>
            </w:r>
            <w:r>
              <w:rPr>
                <w:rFonts w:hint="eastAsia" w:ascii="宋体" w:hAnsi="宋体" w:eastAsia="宋体" w:cs="宋体"/>
                <w:sz w:val="21"/>
                <w:szCs w:val="21"/>
                <w:lang w:val="en-US" w:eastAsia="zh-CN"/>
              </w:rPr>
              <w:t>2</w:t>
            </w:r>
            <w:r>
              <w:rPr>
                <w:rFonts w:hint="eastAsia" w:ascii="宋体" w:hAnsi="宋体" w:eastAsia="宋体" w:cs="宋体"/>
                <w:sz w:val="21"/>
                <w:szCs w:val="21"/>
                <w:lang w:eastAsia="zh-CN"/>
              </w:rPr>
              <w:t>类标准</w:t>
            </w:r>
          </w:p>
        </w:tc>
      </w:tr>
      <w:tr w14:paraId="07D836C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032" w:hRule="atLeast"/>
        </w:trPr>
        <w:tc>
          <w:tcPr>
            <w:tcW w:w="816" w:type="pct"/>
            <w:gridSpan w:val="2"/>
            <w:shd w:val="clear" w:color="auto" w:fill="auto"/>
            <w:vAlign w:val="center"/>
          </w:tcPr>
          <w:p w14:paraId="3DDF3581">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固体废物</w:t>
            </w:r>
          </w:p>
        </w:tc>
        <w:tc>
          <w:tcPr>
            <w:tcW w:w="572" w:type="pct"/>
            <w:vAlign w:val="center"/>
          </w:tcPr>
          <w:p w14:paraId="4946771A">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w:t>
            </w:r>
          </w:p>
        </w:tc>
        <w:tc>
          <w:tcPr>
            <w:tcW w:w="2375" w:type="pct"/>
            <w:shd w:val="clear" w:color="auto" w:fill="auto"/>
            <w:vAlign w:val="center"/>
          </w:tcPr>
          <w:p w14:paraId="0052D6A8">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kern w:val="0"/>
                <w:sz w:val="21"/>
                <w:szCs w:val="21"/>
              </w:rPr>
            </w:pPr>
            <w:r>
              <w:rPr>
                <w:rFonts w:hint="eastAsia"/>
                <w:sz w:val="21"/>
                <w:szCs w:val="21"/>
                <w:vertAlign w:val="baseline"/>
                <w:lang w:val="en-US" w:eastAsia="zh-CN"/>
              </w:rPr>
              <w:t>固废分类收集、分类处置。车间设置危险固废暂时存储处，危险固废收集后存储于车间危险固废暂存间，定期交由资质单位处置。</w:t>
            </w:r>
          </w:p>
        </w:tc>
        <w:tc>
          <w:tcPr>
            <w:tcW w:w="1235" w:type="pct"/>
            <w:shd w:val="clear" w:color="auto" w:fill="auto"/>
            <w:vAlign w:val="center"/>
          </w:tcPr>
          <w:p w14:paraId="4900A092">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《危险废物贮存污染控制标准》（GB18597-2001）及其修改单</w:t>
            </w:r>
          </w:p>
        </w:tc>
      </w:tr>
      <w:tr w14:paraId="1AB3C85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816" w:type="pct"/>
            <w:gridSpan w:val="2"/>
            <w:vAlign w:val="center"/>
          </w:tcPr>
          <w:p w14:paraId="57639E08">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kern w:val="0"/>
                <w:sz w:val="21"/>
                <w:szCs w:val="21"/>
                <w:lang w:eastAsia="zh-CN"/>
              </w:rPr>
            </w:pPr>
            <w:r>
              <w:rPr>
                <w:rFonts w:hint="eastAsia" w:ascii="宋体" w:hAnsi="宋体" w:eastAsia="宋体" w:cs="宋体"/>
                <w:color w:val="000000"/>
                <w:kern w:val="0"/>
                <w:sz w:val="21"/>
                <w:szCs w:val="21"/>
              </w:rPr>
              <w:t>地下水</w:t>
            </w:r>
            <w:r>
              <w:rPr>
                <w:rFonts w:hint="eastAsia" w:ascii="宋体" w:hAnsi="宋体" w:eastAsia="宋体" w:cs="宋体"/>
                <w:color w:val="000000"/>
                <w:kern w:val="0"/>
                <w:sz w:val="21"/>
                <w:szCs w:val="21"/>
                <w:lang w:eastAsia="zh-CN"/>
              </w:rPr>
              <w:t>、土壤</w:t>
            </w:r>
          </w:p>
        </w:tc>
        <w:tc>
          <w:tcPr>
            <w:tcW w:w="572" w:type="pct"/>
            <w:vAlign w:val="center"/>
          </w:tcPr>
          <w:p w14:paraId="045CBA82">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w:t>
            </w:r>
          </w:p>
        </w:tc>
        <w:tc>
          <w:tcPr>
            <w:tcW w:w="2375" w:type="pct"/>
            <w:shd w:val="clear" w:color="auto" w:fill="auto"/>
            <w:vAlign w:val="center"/>
          </w:tcPr>
          <w:p w14:paraId="7E4D920D">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kern w:val="0"/>
                <w:sz w:val="21"/>
                <w:szCs w:val="21"/>
              </w:rPr>
            </w:pPr>
            <w:r>
              <w:rPr>
                <w:rFonts w:hint="eastAsia"/>
                <w:sz w:val="21"/>
                <w:szCs w:val="21"/>
                <w:vertAlign w:val="baseline"/>
                <w:lang w:val="en-US" w:eastAsia="zh-CN"/>
              </w:rPr>
              <w:t>生产车间地面及车间内侧从地面约高1m的墙体表面按照重点防渗区做防渗处理。车间采取分区防渗措施。定期对废水收集管路、管路阀门进行维护检修。</w:t>
            </w:r>
          </w:p>
        </w:tc>
        <w:tc>
          <w:tcPr>
            <w:tcW w:w="1235" w:type="pct"/>
            <w:shd w:val="clear" w:color="auto" w:fill="auto"/>
            <w:vAlign w:val="center"/>
          </w:tcPr>
          <w:p w14:paraId="10768ABF">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w:t>
            </w:r>
          </w:p>
        </w:tc>
      </w:tr>
    </w:tbl>
    <w:p w14:paraId="70499075">
      <w:pPr>
        <w:pStyle w:val="3"/>
        <w:bidi w:val="0"/>
        <w:rPr>
          <w:rFonts w:hint="default"/>
          <w:lang w:val="en-US" w:eastAsia="zh-CN"/>
        </w:rPr>
      </w:pPr>
      <w:bookmarkStart w:id="513" w:name="_Toc25709"/>
      <w:r>
        <w:rPr>
          <w:rFonts w:hint="eastAsia"/>
          <w:lang w:val="en-US" w:eastAsia="zh-CN"/>
        </w:rPr>
        <w:t>12.5污染物排放清单</w:t>
      </w:r>
      <w:bookmarkEnd w:id="513"/>
    </w:p>
    <w:p w14:paraId="3DA52E28">
      <w:pPr>
        <w:bidi w:val="0"/>
        <w:rPr>
          <w:rFonts w:hint="eastAsia"/>
          <w:lang w:eastAsia="zh-CN"/>
        </w:rPr>
        <w:sectPr>
          <w:pgSz w:w="11906" w:h="16838"/>
          <w:pgMar w:top="1814" w:right="1588" w:bottom="1588" w:left="1588" w:header="851" w:footer="992" w:gutter="0"/>
          <w:pgBorders>
            <w:top w:val="none" w:sz="0" w:space="0"/>
            <w:left w:val="none" w:sz="0" w:space="0"/>
            <w:bottom w:val="none" w:sz="0" w:space="0"/>
            <w:right w:val="none" w:sz="0" w:space="0"/>
          </w:pgBorders>
          <w:pgNumType w:fmt="decimal"/>
          <w:cols w:space="720" w:num="1"/>
          <w:docGrid w:type="lines" w:linePitch="312" w:charSpace="0"/>
        </w:sectPr>
      </w:pPr>
      <w:r>
        <w:rPr>
          <w:rFonts w:hint="eastAsia"/>
          <w:lang w:eastAsia="zh-CN"/>
        </w:rPr>
        <w:t>污染物排放清单如下表所示。</w:t>
      </w:r>
    </w:p>
    <w:p w14:paraId="60D9CAD0">
      <w:pPr>
        <w:pStyle w:val="31"/>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黑体" w:hAnsi="黑体" w:eastAsia="黑体" w:cs="黑体"/>
          <w:b w:val="0"/>
          <w:bCs/>
          <w:kern w:val="2"/>
          <w:sz w:val="21"/>
          <w:szCs w:val="21"/>
          <w:lang w:val="en-US" w:eastAsia="zh-CN" w:bidi="ar-SA"/>
        </w:rPr>
      </w:pPr>
      <w:r>
        <w:rPr>
          <w:rFonts w:hint="eastAsia" w:ascii="黑体" w:hAnsi="黑体" w:eastAsia="黑体" w:cs="黑体"/>
          <w:b w:val="0"/>
          <w:bCs/>
          <w:kern w:val="2"/>
          <w:sz w:val="21"/>
          <w:szCs w:val="21"/>
          <w:lang w:val="en-US" w:eastAsia="zh-CN" w:bidi="ar-SA"/>
        </w:rPr>
        <w:t>表12-3污染物排放清单</w:t>
      </w:r>
    </w:p>
    <w:tbl>
      <w:tblPr>
        <w:tblStyle w:val="53"/>
        <w:tblW w:w="0" w:type="auto"/>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784"/>
        <w:gridCol w:w="1388"/>
        <w:gridCol w:w="2410"/>
        <w:gridCol w:w="1047"/>
        <w:gridCol w:w="1445"/>
        <w:gridCol w:w="1896"/>
        <w:gridCol w:w="1331"/>
        <w:gridCol w:w="2190"/>
        <w:gridCol w:w="1161"/>
      </w:tblGrid>
      <w:tr w14:paraId="319D2B7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84" w:type="dxa"/>
            <w:tcBorders>
              <w:tl2br w:val="nil"/>
              <w:tr2bl w:val="nil"/>
            </w:tcBorders>
            <w:vAlign w:val="center"/>
          </w:tcPr>
          <w:p w14:paraId="63646875">
            <w:pPr>
              <w:pStyle w:val="31"/>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污染类别</w:t>
            </w:r>
          </w:p>
        </w:tc>
        <w:tc>
          <w:tcPr>
            <w:tcW w:w="1388" w:type="dxa"/>
            <w:tcBorders>
              <w:tl2br w:val="nil"/>
              <w:tr2bl w:val="nil"/>
            </w:tcBorders>
            <w:vAlign w:val="center"/>
          </w:tcPr>
          <w:p w14:paraId="6CAAB9DD">
            <w:pPr>
              <w:pStyle w:val="31"/>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项目</w:t>
            </w:r>
          </w:p>
        </w:tc>
        <w:tc>
          <w:tcPr>
            <w:tcW w:w="2410" w:type="dxa"/>
            <w:tcBorders>
              <w:tl2br w:val="nil"/>
              <w:tr2bl w:val="nil"/>
            </w:tcBorders>
            <w:vAlign w:val="center"/>
          </w:tcPr>
          <w:p w14:paraId="1E3B132A">
            <w:pPr>
              <w:pStyle w:val="31"/>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拟采取的环保设施</w:t>
            </w:r>
          </w:p>
        </w:tc>
        <w:tc>
          <w:tcPr>
            <w:tcW w:w="1047" w:type="dxa"/>
            <w:tcBorders>
              <w:tl2br w:val="nil"/>
              <w:tr2bl w:val="nil"/>
            </w:tcBorders>
            <w:vAlign w:val="center"/>
          </w:tcPr>
          <w:p w14:paraId="40BC4813">
            <w:pPr>
              <w:pStyle w:val="31"/>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污染物</w:t>
            </w:r>
          </w:p>
        </w:tc>
        <w:tc>
          <w:tcPr>
            <w:tcW w:w="1445" w:type="dxa"/>
            <w:tcBorders>
              <w:tl2br w:val="nil"/>
              <w:tr2bl w:val="nil"/>
            </w:tcBorders>
            <w:vAlign w:val="center"/>
          </w:tcPr>
          <w:p w14:paraId="31C7816D">
            <w:pPr>
              <w:pStyle w:val="31"/>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排放浓度</w:t>
            </w:r>
          </w:p>
        </w:tc>
        <w:tc>
          <w:tcPr>
            <w:tcW w:w="1896" w:type="dxa"/>
            <w:tcBorders>
              <w:tl2br w:val="nil"/>
              <w:tr2bl w:val="nil"/>
            </w:tcBorders>
            <w:vAlign w:val="center"/>
          </w:tcPr>
          <w:p w14:paraId="207154CF">
            <w:pPr>
              <w:pStyle w:val="31"/>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排放总量</w:t>
            </w:r>
          </w:p>
        </w:tc>
        <w:tc>
          <w:tcPr>
            <w:tcW w:w="1331" w:type="dxa"/>
            <w:tcBorders>
              <w:tl2br w:val="nil"/>
              <w:tr2bl w:val="nil"/>
            </w:tcBorders>
            <w:vAlign w:val="center"/>
          </w:tcPr>
          <w:p w14:paraId="25BF330B">
            <w:pPr>
              <w:pStyle w:val="31"/>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排放标准</w:t>
            </w:r>
          </w:p>
        </w:tc>
        <w:tc>
          <w:tcPr>
            <w:tcW w:w="2190" w:type="dxa"/>
            <w:tcBorders>
              <w:tl2br w:val="nil"/>
              <w:tr2bl w:val="nil"/>
            </w:tcBorders>
            <w:vAlign w:val="center"/>
          </w:tcPr>
          <w:p w14:paraId="68E695FB">
            <w:pPr>
              <w:pStyle w:val="31"/>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标准来源</w:t>
            </w:r>
          </w:p>
        </w:tc>
        <w:tc>
          <w:tcPr>
            <w:tcW w:w="1161" w:type="dxa"/>
            <w:tcBorders>
              <w:tl2br w:val="nil"/>
              <w:tr2bl w:val="nil"/>
            </w:tcBorders>
            <w:vAlign w:val="center"/>
          </w:tcPr>
          <w:p w14:paraId="5F813157">
            <w:pPr>
              <w:pStyle w:val="31"/>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排污口信息</w:t>
            </w:r>
          </w:p>
        </w:tc>
      </w:tr>
      <w:tr w14:paraId="311B7FE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84" w:type="dxa"/>
            <w:vMerge w:val="restart"/>
            <w:tcBorders>
              <w:tl2br w:val="nil"/>
              <w:tr2bl w:val="nil"/>
            </w:tcBorders>
            <w:vAlign w:val="center"/>
          </w:tcPr>
          <w:p w14:paraId="295ABEB6">
            <w:pPr>
              <w:pStyle w:val="31"/>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废气</w:t>
            </w:r>
          </w:p>
        </w:tc>
        <w:tc>
          <w:tcPr>
            <w:tcW w:w="1388" w:type="dxa"/>
            <w:tcBorders>
              <w:tl2br w:val="nil"/>
              <w:tr2bl w:val="nil"/>
            </w:tcBorders>
            <w:vAlign w:val="center"/>
          </w:tcPr>
          <w:p w14:paraId="61EE7E86">
            <w:pPr>
              <w:pStyle w:val="31"/>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eastAsia="宋体" w:cs="宋体"/>
                <w:kern w:val="2"/>
                <w:sz w:val="21"/>
                <w:szCs w:val="21"/>
                <w:vertAlign w:val="baseline"/>
                <w:lang w:val="en-US" w:eastAsia="zh-CN" w:bidi="ar-SA"/>
              </w:rPr>
              <w:t>电镀车间废气排气筒</w:t>
            </w:r>
          </w:p>
        </w:tc>
        <w:tc>
          <w:tcPr>
            <w:tcW w:w="2410" w:type="dxa"/>
            <w:tcBorders>
              <w:tl2br w:val="nil"/>
              <w:tr2bl w:val="nil"/>
            </w:tcBorders>
            <w:vAlign w:val="center"/>
          </w:tcPr>
          <w:p w14:paraId="06504E65">
            <w:pPr>
              <w:pStyle w:val="31"/>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eastAsia="宋体" w:cs="宋体"/>
                <w:kern w:val="2"/>
                <w:sz w:val="21"/>
                <w:szCs w:val="21"/>
                <w:vertAlign w:val="baseline"/>
                <w:lang w:val="en-US" w:eastAsia="zh-CN" w:bidi="ar-SA"/>
              </w:rPr>
              <w:t>设置酸性气体收集箱（1200*1200*1200mm）处理生产过程中产生的酸性废气。收集箱内采用吸附滤料为SDG-2型酸气吸附剂</w:t>
            </w:r>
          </w:p>
        </w:tc>
        <w:tc>
          <w:tcPr>
            <w:tcW w:w="1047" w:type="dxa"/>
            <w:tcBorders>
              <w:tl2br w:val="nil"/>
              <w:tr2bl w:val="nil"/>
            </w:tcBorders>
            <w:vAlign w:val="center"/>
          </w:tcPr>
          <w:p w14:paraId="1F4A7594">
            <w:pPr>
              <w:pStyle w:val="31"/>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甲基磺酸</w:t>
            </w:r>
          </w:p>
        </w:tc>
        <w:tc>
          <w:tcPr>
            <w:tcW w:w="1445" w:type="dxa"/>
            <w:tcBorders>
              <w:tl2br w:val="nil"/>
              <w:tr2bl w:val="nil"/>
            </w:tcBorders>
            <w:vAlign w:val="center"/>
          </w:tcPr>
          <w:p w14:paraId="1D61ED34">
            <w:pPr>
              <w:pStyle w:val="72"/>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0.0137mg/m</w:t>
            </w:r>
            <w:r>
              <w:rPr>
                <w:rFonts w:hint="eastAsia" w:ascii="宋体" w:hAnsi="宋体" w:eastAsia="宋体" w:cs="宋体"/>
                <w:sz w:val="21"/>
                <w:szCs w:val="21"/>
                <w:vertAlign w:val="superscript"/>
                <w:lang w:val="en-US" w:eastAsia="zh-CN"/>
              </w:rPr>
              <w:t>3</w:t>
            </w:r>
          </w:p>
        </w:tc>
        <w:tc>
          <w:tcPr>
            <w:tcW w:w="1896" w:type="dxa"/>
            <w:tcBorders>
              <w:tl2br w:val="nil"/>
              <w:tr2bl w:val="nil"/>
            </w:tcBorders>
            <w:vAlign w:val="center"/>
          </w:tcPr>
          <w:p w14:paraId="4736773D">
            <w:pPr>
              <w:pStyle w:val="72"/>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0.329</w:t>
            </w:r>
            <w:r>
              <w:rPr>
                <w:rFonts w:hint="eastAsia" w:ascii="宋体" w:hAnsi="宋体" w:eastAsia="宋体" w:cs="宋体"/>
                <w:kern w:val="2"/>
                <w:sz w:val="21"/>
                <w:szCs w:val="21"/>
                <w:vertAlign w:val="baseline"/>
                <w:lang w:val="en-US" w:eastAsia="zh-CN" w:bidi="ar-SA"/>
              </w:rPr>
              <w:t>kg/a</w:t>
            </w:r>
            <w:r>
              <w:rPr>
                <w:rFonts w:hint="eastAsia" w:ascii="宋体" w:hAnsi="宋体" w:eastAsia="宋体" w:cs="宋体"/>
                <w:sz w:val="21"/>
                <w:szCs w:val="21"/>
                <w:vertAlign w:val="baseline"/>
                <w:lang w:val="en-US" w:eastAsia="zh-CN"/>
              </w:rPr>
              <w:t>（0.000137kg/h）</w:t>
            </w:r>
          </w:p>
        </w:tc>
        <w:tc>
          <w:tcPr>
            <w:tcW w:w="1331" w:type="dxa"/>
            <w:tcBorders>
              <w:tl2br w:val="nil"/>
              <w:tr2bl w:val="nil"/>
            </w:tcBorders>
            <w:vAlign w:val="center"/>
          </w:tcPr>
          <w:p w14:paraId="0D55A47A">
            <w:pPr>
              <w:pStyle w:val="72"/>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120mg/m</w:t>
            </w:r>
            <w:r>
              <w:rPr>
                <w:rFonts w:hint="eastAsia" w:ascii="宋体" w:hAnsi="宋体" w:eastAsia="宋体" w:cs="宋体"/>
                <w:sz w:val="21"/>
                <w:szCs w:val="21"/>
                <w:vertAlign w:val="superscript"/>
                <w:lang w:val="en-US" w:eastAsia="zh-CN"/>
              </w:rPr>
              <w:t>3</w:t>
            </w:r>
          </w:p>
          <w:p w14:paraId="29E850A7">
            <w:pPr>
              <w:pStyle w:val="72"/>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10kg/h</w:t>
            </w:r>
          </w:p>
        </w:tc>
        <w:tc>
          <w:tcPr>
            <w:tcW w:w="2190" w:type="dxa"/>
            <w:tcBorders>
              <w:tl2br w:val="nil"/>
              <w:tr2bl w:val="nil"/>
            </w:tcBorders>
            <w:vAlign w:val="center"/>
          </w:tcPr>
          <w:p w14:paraId="50E344E8">
            <w:pPr>
              <w:pStyle w:val="31"/>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kern w:val="2"/>
                <w:sz w:val="21"/>
                <w:szCs w:val="21"/>
                <w:vertAlign w:val="baseline"/>
                <w:lang w:val="en-US" w:eastAsia="zh-CN" w:bidi="ar-SA"/>
              </w:rPr>
              <w:t>《大气污染物综合排放标准》（GB16297-1996）</w:t>
            </w:r>
          </w:p>
        </w:tc>
        <w:tc>
          <w:tcPr>
            <w:tcW w:w="1161" w:type="dxa"/>
            <w:tcBorders>
              <w:tl2br w:val="nil"/>
              <w:tr2bl w:val="nil"/>
            </w:tcBorders>
            <w:vAlign w:val="center"/>
          </w:tcPr>
          <w:p w14:paraId="1E0FB9F7">
            <w:pPr>
              <w:pStyle w:val="31"/>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15m高排气筒</w:t>
            </w:r>
          </w:p>
        </w:tc>
      </w:tr>
      <w:tr w14:paraId="36A19E4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84" w:type="dxa"/>
            <w:vMerge w:val="continue"/>
            <w:tcBorders>
              <w:tl2br w:val="nil"/>
              <w:tr2bl w:val="nil"/>
            </w:tcBorders>
            <w:vAlign w:val="center"/>
          </w:tcPr>
          <w:p w14:paraId="7D111620">
            <w:pPr>
              <w:pStyle w:val="31"/>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p>
        </w:tc>
        <w:tc>
          <w:tcPr>
            <w:tcW w:w="1388" w:type="dxa"/>
            <w:tcBorders>
              <w:tl2br w:val="nil"/>
              <w:tr2bl w:val="nil"/>
            </w:tcBorders>
            <w:vAlign w:val="center"/>
          </w:tcPr>
          <w:p w14:paraId="48DEE34A">
            <w:pPr>
              <w:pStyle w:val="31"/>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车间无组织废气</w:t>
            </w:r>
          </w:p>
        </w:tc>
        <w:tc>
          <w:tcPr>
            <w:tcW w:w="2410" w:type="dxa"/>
            <w:tcBorders>
              <w:tl2br w:val="nil"/>
              <w:tr2bl w:val="nil"/>
            </w:tcBorders>
            <w:vAlign w:val="center"/>
          </w:tcPr>
          <w:p w14:paraId="71E5CE24">
            <w:pPr>
              <w:pStyle w:val="31"/>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加强车间通风</w:t>
            </w:r>
          </w:p>
        </w:tc>
        <w:tc>
          <w:tcPr>
            <w:tcW w:w="1047" w:type="dxa"/>
            <w:tcBorders>
              <w:tl2br w:val="nil"/>
              <w:tr2bl w:val="nil"/>
            </w:tcBorders>
            <w:vAlign w:val="center"/>
          </w:tcPr>
          <w:p w14:paraId="68476256">
            <w:pPr>
              <w:pStyle w:val="31"/>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甲基磺酸</w:t>
            </w:r>
          </w:p>
        </w:tc>
        <w:tc>
          <w:tcPr>
            <w:tcW w:w="1445" w:type="dxa"/>
            <w:tcBorders>
              <w:tl2br w:val="nil"/>
              <w:tr2bl w:val="nil"/>
            </w:tcBorders>
            <w:vAlign w:val="center"/>
          </w:tcPr>
          <w:p w14:paraId="181B7D6F">
            <w:pPr>
              <w:pStyle w:val="31"/>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w:t>
            </w:r>
          </w:p>
        </w:tc>
        <w:tc>
          <w:tcPr>
            <w:tcW w:w="1896" w:type="dxa"/>
            <w:tcBorders>
              <w:tl2br w:val="nil"/>
              <w:tr2bl w:val="nil"/>
            </w:tcBorders>
            <w:vAlign w:val="center"/>
          </w:tcPr>
          <w:p w14:paraId="375A9EA5">
            <w:pPr>
              <w:pStyle w:val="31"/>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kern w:val="2"/>
                <w:sz w:val="21"/>
                <w:szCs w:val="21"/>
                <w:vertAlign w:val="baseline"/>
                <w:lang w:val="en-US" w:eastAsia="zh-CN" w:bidi="ar-SA"/>
              </w:rPr>
              <w:t>0.73kg/a</w:t>
            </w:r>
          </w:p>
        </w:tc>
        <w:tc>
          <w:tcPr>
            <w:tcW w:w="1331" w:type="dxa"/>
            <w:tcBorders>
              <w:tl2br w:val="nil"/>
              <w:tr2bl w:val="nil"/>
            </w:tcBorders>
            <w:vAlign w:val="center"/>
          </w:tcPr>
          <w:p w14:paraId="69A6ED8C">
            <w:pPr>
              <w:pStyle w:val="31"/>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kern w:val="2"/>
                <w:sz w:val="21"/>
                <w:szCs w:val="21"/>
                <w:vertAlign w:val="baseline"/>
                <w:lang w:val="en-US" w:eastAsia="zh-CN" w:bidi="ar-SA"/>
              </w:rPr>
              <w:t>4.0</w:t>
            </w:r>
            <w:r>
              <w:rPr>
                <w:rFonts w:hint="eastAsia" w:ascii="宋体" w:hAnsi="宋体" w:eastAsia="宋体" w:cs="宋体"/>
                <w:sz w:val="21"/>
                <w:szCs w:val="21"/>
                <w:vertAlign w:val="baseline"/>
                <w:lang w:val="en-US" w:eastAsia="zh-CN"/>
              </w:rPr>
              <w:t>mg/m</w:t>
            </w:r>
            <w:r>
              <w:rPr>
                <w:rFonts w:hint="eastAsia" w:ascii="宋体" w:hAnsi="宋体" w:eastAsia="宋体" w:cs="宋体"/>
                <w:sz w:val="21"/>
                <w:szCs w:val="21"/>
                <w:vertAlign w:val="superscript"/>
                <w:lang w:val="en-US" w:eastAsia="zh-CN"/>
              </w:rPr>
              <w:t>3</w:t>
            </w:r>
          </w:p>
        </w:tc>
        <w:tc>
          <w:tcPr>
            <w:tcW w:w="2190" w:type="dxa"/>
            <w:tcBorders>
              <w:tl2br w:val="nil"/>
              <w:tr2bl w:val="nil"/>
            </w:tcBorders>
            <w:vAlign w:val="center"/>
          </w:tcPr>
          <w:p w14:paraId="3A84E744">
            <w:pPr>
              <w:pStyle w:val="31"/>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kern w:val="2"/>
                <w:sz w:val="21"/>
                <w:szCs w:val="21"/>
                <w:vertAlign w:val="baseline"/>
                <w:lang w:val="en-US" w:eastAsia="zh-CN" w:bidi="ar-SA"/>
              </w:rPr>
              <w:t>《大气污染物综合排放标准》（GB16297-1996）</w:t>
            </w:r>
          </w:p>
        </w:tc>
        <w:tc>
          <w:tcPr>
            <w:tcW w:w="1161" w:type="dxa"/>
            <w:tcBorders>
              <w:tl2br w:val="nil"/>
              <w:tr2bl w:val="nil"/>
            </w:tcBorders>
            <w:vAlign w:val="center"/>
          </w:tcPr>
          <w:p w14:paraId="0752AD18">
            <w:pPr>
              <w:pStyle w:val="31"/>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w:t>
            </w:r>
          </w:p>
        </w:tc>
      </w:tr>
      <w:tr w14:paraId="3E2A037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84" w:type="dxa"/>
            <w:vMerge w:val="restart"/>
            <w:tcBorders>
              <w:tl2br w:val="nil"/>
              <w:tr2bl w:val="nil"/>
            </w:tcBorders>
            <w:vAlign w:val="center"/>
          </w:tcPr>
          <w:p w14:paraId="59F01071">
            <w:pPr>
              <w:pStyle w:val="31"/>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废水</w:t>
            </w:r>
          </w:p>
        </w:tc>
        <w:tc>
          <w:tcPr>
            <w:tcW w:w="1388" w:type="dxa"/>
            <w:tcBorders>
              <w:tl2br w:val="nil"/>
              <w:tr2bl w:val="nil"/>
            </w:tcBorders>
            <w:vAlign w:val="center"/>
          </w:tcPr>
          <w:p w14:paraId="24A20C68">
            <w:pPr>
              <w:pStyle w:val="72"/>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电解脱脂</w:t>
            </w:r>
          </w:p>
        </w:tc>
        <w:tc>
          <w:tcPr>
            <w:tcW w:w="2410" w:type="dxa"/>
            <w:vMerge w:val="restart"/>
            <w:tcBorders>
              <w:tl2br w:val="nil"/>
              <w:tr2bl w:val="nil"/>
            </w:tcBorders>
            <w:vAlign w:val="center"/>
          </w:tcPr>
          <w:p w14:paraId="2636F4C6">
            <w:pPr>
              <w:pStyle w:val="31"/>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kern w:val="2"/>
                <w:sz w:val="21"/>
                <w:szCs w:val="21"/>
                <w:vertAlign w:val="baseline"/>
                <w:lang w:val="en-US" w:eastAsia="zh-CN" w:bidi="ar-SA"/>
              </w:rPr>
              <w:t>设置废水处理设施，设施处理能力为10m3/d，废水净化采用离子交换工艺</w:t>
            </w:r>
          </w:p>
        </w:tc>
        <w:tc>
          <w:tcPr>
            <w:tcW w:w="1047" w:type="dxa"/>
            <w:tcBorders>
              <w:tl2br w:val="nil"/>
              <w:tr2bl w:val="nil"/>
            </w:tcBorders>
            <w:vAlign w:val="center"/>
          </w:tcPr>
          <w:p w14:paraId="6236771D">
            <w:pPr>
              <w:pStyle w:val="31"/>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pH、COD、SS、石油类</w:t>
            </w:r>
          </w:p>
        </w:tc>
        <w:tc>
          <w:tcPr>
            <w:tcW w:w="1445" w:type="dxa"/>
            <w:tcBorders>
              <w:tl2br w:val="nil"/>
              <w:tr2bl w:val="nil"/>
            </w:tcBorders>
            <w:vAlign w:val="center"/>
          </w:tcPr>
          <w:p w14:paraId="5B939A0E">
            <w:pPr>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w:t>
            </w:r>
          </w:p>
        </w:tc>
        <w:tc>
          <w:tcPr>
            <w:tcW w:w="1896" w:type="dxa"/>
            <w:tcBorders>
              <w:tl2br w:val="nil"/>
              <w:tr2bl w:val="nil"/>
            </w:tcBorders>
            <w:vAlign w:val="center"/>
          </w:tcPr>
          <w:p w14:paraId="0327FF25">
            <w:pPr>
              <w:pStyle w:val="31"/>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0</w:t>
            </w:r>
          </w:p>
        </w:tc>
        <w:tc>
          <w:tcPr>
            <w:tcW w:w="1331" w:type="dxa"/>
            <w:tcBorders>
              <w:tl2br w:val="nil"/>
              <w:tr2bl w:val="nil"/>
            </w:tcBorders>
            <w:vAlign w:val="center"/>
          </w:tcPr>
          <w:p w14:paraId="7DFA24B5">
            <w:pPr>
              <w:pStyle w:val="31"/>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w:t>
            </w:r>
          </w:p>
        </w:tc>
        <w:tc>
          <w:tcPr>
            <w:tcW w:w="2190" w:type="dxa"/>
            <w:tcBorders>
              <w:tl2br w:val="nil"/>
              <w:tr2bl w:val="nil"/>
            </w:tcBorders>
            <w:vAlign w:val="center"/>
          </w:tcPr>
          <w:p w14:paraId="688C5DC3">
            <w:pPr>
              <w:pStyle w:val="31"/>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w:t>
            </w:r>
          </w:p>
        </w:tc>
        <w:tc>
          <w:tcPr>
            <w:tcW w:w="1161" w:type="dxa"/>
            <w:tcBorders>
              <w:tl2br w:val="nil"/>
              <w:tr2bl w:val="nil"/>
            </w:tcBorders>
            <w:vAlign w:val="center"/>
          </w:tcPr>
          <w:p w14:paraId="6CBEAA9C">
            <w:pPr>
              <w:pStyle w:val="31"/>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w:t>
            </w:r>
          </w:p>
        </w:tc>
      </w:tr>
      <w:tr w14:paraId="13D148C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84" w:type="dxa"/>
            <w:vMerge w:val="continue"/>
            <w:tcBorders>
              <w:tl2br w:val="nil"/>
              <w:tr2bl w:val="nil"/>
            </w:tcBorders>
            <w:vAlign w:val="center"/>
          </w:tcPr>
          <w:p w14:paraId="40C9DC83">
            <w:pPr>
              <w:pStyle w:val="31"/>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p>
        </w:tc>
        <w:tc>
          <w:tcPr>
            <w:tcW w:w="1388" w:type="dxa"/>
            <w:tcBorders>
              <w:tl2br w:val="nil"/>
              <w:tr2bl w:val="nil"/>
            </w:tcBorders>
            <w:vAlign w:val="center"/>
          </w:tcPr>
          <w:p w14:paraId="3649C8D5">
            <w:pPr>
              <w:pStyle w:val="72"/>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电解脱脂后水洗</w:t>
            </w:r>
          </w:p>
        </w:tc>
        <w:tc>
          <w:tcPr>
            <w:tcW w:w="2410" w:type="dxa"/>
            <w:vMerge w:val="continue"/>
            <w:tcBorders>
              <w:tl2br w:val="nil"/>
              <w:tr2bl w:val="nil"/>
            </w:tcBorders>
            <w:vAlign w:val="center"/>
          </w:tcPr>
          <w:p w14:paraId="4D5A46B4">
            <w:pPr>
              <w:pStyle w:val="31"/>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p>
        </w:tc>
        <w:tc>
          <w:tcPr>
            <w:tcW w:w="1047" w:type="dxa"/>
            <w:tcBorders>
              <w:tl2br w:val="nil"/>
              <w:tr2bl w:val="nil"/>
            </w:tcBorders>
            <w:vAlign w:val="center"/>
          </w:tcPr>
          <w:p w14:paraId="4C11AAB2">
            <w:pPr>
              <w:pStyle w:val="31"/>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pH、COD、SS、石油类</w:t>
            </w:r>
          </w:p>
        </w:tc>
        <w:tc>
          <w:tcPr>
            <w:tcW w:w="1445" w:type="dxa"/>
            <w:tcBorders>
              <w:tl2br w:val="nil"/>
              <w:tr2bl w:val="nil"/>
            </w:tcBorders>
            <w:vAlign w:val="center"/>
          </w:tcPr>
          <w:p w14:paraId="01C29C5A">
            <w:pPr>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w:t>
            </w:r>
          </w:p>
        </w:tc>
        <w:tc>
          <w:tcPr>
            <w:tcW w:w="1896" w:type="dxa"/>
            <w:tcBorders>
              <w:tl2br w:val="nil"/>
              <w:tr2bl w:val="nil"/>
            </w:tcBorders>
            <w:vAlign w:val="center"/>
          </w:tcPr>
          <w:p w14:paraId="31C12073">
            <w:pPr>
              <w:pStyle w:val="31"/>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0</w:t>
            </w:r>
          </w:p>
        </w:tc>
        <w:tc>
          <w:tcPr>
            <w:tcW w:w="1331" w:type="dxa"/>
            <w:tcBorders>
              <w:tl2br w:val="nil"/>
              <w:tr2bl w:val="nil"/>
            </w:tcBorders>
            <w:vAlign w:val="center"/>
          </w:tcPr>
          <w:p w14:paraId="056C2259">
            <w:pPr>
              <w:pStyle w:val="31"/>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w:t>
            </w:r>
          </w:p>
        </w:tc>
        <w:tc>
          <w:tcPr>
            <w:tcW w:w="2190" w:type="dxa"/>
            <w:tcBorders>
              <w:tl2br w:val="nil"/>
              <w:tr2bl w:val="nil"/>
            </w:tcBorders>
            <w:vAlign w:val="center"/>
          </w:tcPr>
          <w:p w14:paraId="3A035CF0">
            <w:pPr>
              <w:pStyle w:val="31"/>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w:t>
            </w:r>
          </w:p>
        </w:tc>
        <w:tc>
          <w:tcPr>
            <w:tcW w:w="1161" w:type="dxa"/>
            <w:tcBorders>
              <w:tl2br w:val="nil"/>
              <w:tr2bl w:val="nil"/>
            </w:tcBorders>
            <w:vAlign w:val="center"/>
          </w:tcPr>
          <w:p w14:paraId="4BEC2569">
            <w:pPr>
              <w:pStyle w:val="31"/>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w:t>
            </w:r>
          </w:p>
        </w:tc>
      </w:tr>
      <w:tr w14:paraId="6F00E03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84" w:type="dxa"/>
            <w:vMerge w:val="continue"/>
            <w:tcBorders>
              <w:tl2br w:val="nil"/>
              <w:tr2bl w:val="nil"/>
            </w:tcBorders>
            <w:vAlign w:val="center"/>
          </w:tcPr>
          <w:p w14:paraId="2948810D">
            <w:pPr>
              <w:pStyle w:val="31"/>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p>
        </w:tc>
        <w:tc>
          <w:tcPr>
            <w:tcW w:w="1388" w:type="dxa"/>
            <w:tcBorders>
              <w:tl2br w:val="nil"/>
              <w:tr2bl w:val="nil"/>
            </w:tcBorders>
            <w:vAlign w:val="center"/>
          </w:tcPr>
          <w:p w14:paraId="5AAFB3EB">
            <w:pPr>
              <w:pStyle w:val="72"/>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镀锡后水洗</w:t>
            </w:r>
          </w:p>
        </w:tc>
        <w:tc>
          <w:tcPr>
            <w:tcW w:w="2410" w:type="dxa"/>
            <w:vMerge w:val="continue"/>
            <w:tcBorders>
              <w:tl2br w:val="nil"/>
              <w:tr2bl w:val="nil"/>
            </w:tcBorders>
            <w:vAlign w:val="center"/>
          </w:tcPr>
          <w:p w14:paraId="5FCE99D8">
            <w:pPr>
              <w:pStyle w:val="31"/>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p>
        </w:tc>
        <w:tc>
          <w:tcPr>
            <w:tcW w:w="1047" w:type="dxa"/>
            <w:tcBorders>
              <w:tl2br w:val="nil"/>
              <w:tr2bl w:val="nil"/>
            </w:tcBorders>
            <w:vAlign w:val="center"/>
          </w:tcPr>
          <w:p w14:paraId="0C2B71F8">
            <w:pPr>
              <w:pStyle w:val="31"/>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pH、COD、总锡</w:t>
            </w:r>
          </w:p>
        </w:tc>
        <w:tc>
          <w:tcPr>
            <w:tcW w:w="1445" w:type="dxa"/>
            <w:tcBorders>
              <w:tl2br w:val="nil"/>
              <w:tr2bl w:val="nil"/>
            </w:tcBorders>
            <w:vAlign w:val="center"/>
          </w:tcPr>
          <w:p w14:paraId="1581A07B">
            <w:pPr>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w:t>
            </w:r>
          </w:p>
        </w:tc>
        <w:tc>
          <w:tcPr>
            <w:tcW w:w="1896" w:type="dxa"/>
            <w:tcBorders>
              <w:tl2br w:val="nil"/>
              <w:tr2bl w:val="nil"/>
            </w:tcBorders>
            <w:vAlign w:val="center"/>
          </w:tcPr>
          <w:p w14:paraId="4E576FBE">
            <w:pPr>
              <w:pStyle w:val="31"/>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0</w:t>
            </w:r>
          </w:p>
        </w:tc>
        <w:tc>
          <w:tcPr>
            <w:tcW w:w="1331" w:type="dxa"/>
            <w:tcBorders>
              <w:tl2br w:val="nil"/>
              <w:tr2bl w:val="nil"/>
            </w:tcBorders>
            <w:vAlign w:val="center"/>
          </w:tcPr>
          <w:p w14:paraId="319CF411">
            <w:pPr>
              <w:pStyle w:val="31"/>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w:t>
            </w:r>
          </w:p>
        </w:tc>
        <w:tc>
          <w:tcPr>
            <w:tcW w:w="2190" w:type="dxa"/>
            <w:tcBorders>
              <w:tl2br w:val="nil"/>
              <w:tr2bl w:val="nil"/>
            </w:tcBorders>
            <w:vAlign w:val="center"/>
          </w:tcPr>
          <w:p w14:paraId="0E20DFED">
            <w:pPr>
              <w:pStyle w:val="31"/>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w:t>
            </w:r>
          </w:p>
        </w:tc>
        <w:tc>
          <w:tcPr>
            <w:tcW w:w="1161" w:type="dxa"/>
            <w:tcBorders>
              <w:tl2br w:val="nil"/>
              <w:tr2bl w:val="nil"/>
            </w:tcBorders>
            <w:vAlign w:val="center"/>
          </w:tcPr>
          <w:p w14:paraId="2626A4F2">
            <w:pPr>
              <w:pStyle w:val="31"/>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w:t>
            </w:r>
          </w:p>
        </w:tc>
      </w:tr>
      <w:tr w14:paraId="3AF8757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84" w:type="dxa"/>
            <w:vMerge w:val="restart"/>
            <w:tcBorders>
              <w:tl2br w:val="nil"/>
              <w:tr2bl w:val="nil"/>
            </w:tcBorders>
            <w:vAlign w:val="center"/>
          </w:tcPr>
          <w:p w14:paraId="28711A1A">
            <w:pPr>
              <w:pStyle w:val="31"/>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固体废物</w:t>
            </w:r>
          </w:p>
        </w:tc>
        <w:tc>
          <w:tcPr>
            <w:tcW w:w="1388" w:type="dxa"/>
            <w:vMerge w:val="restart"/>
            <w:tcBorders>
              <w:tl2br w:val="nil"/>
              <w:tr2bl w:val="nil"/>
            </w:tcBorders>
            <w:vAlign w:val="center"/>
          </w:tcPr>
          <w:p w14:paraId="222A1A90">
            <w:pPr>
              <w:pStyle w:val="72"/>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电镀生产车间</w:t>
            </w:r>
          </w:p>
        </w:tc>
        <w:tc>
          <w:tcPr>
            <w:tcW w:w="2410" w:type="dxa"/>
            <w:vMerge w:val="restart"/>
            <w:tcBorders>
              <w:tl2br w:val="nil"/>
              <w:tr2bl w:val="nil"/>
            </w:tcBorders>
            <w:vAlign w:val="center"/>
          </w:tcPr>
          <w:p w14:paraId="0B5A5FEA">
            <w:pPr>
              <w:pStyle w:val="31"/>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危险废物暂存间分类暂存后，交由资质单位统一处理</w:t>
            </w:r>
          </w:p>
        </w:tc>
        <w:tc>
          <w:tcPr>
            <w:tcW w:w="1047" w:type="dxa"/>
            <w:tcBorders>
              <w:tl2br w:val="nil"/>
              <w:tr2bl w:val="nil"/>
            </w:tcBorders>
            <w:vAlign w:val="center"/>
          </w:tcPr>
          <w:p w14:paraId="3BB7D63C">
            <w:pPr>
              <w:pStyle w:val="72"/>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highlight w:val="none"/>
                <w:lang w:val="en-US" w:eastAsia="zh-CN"/>
              </w:rPr>
              <w:t>废槽液</w:t>
            </w:r>
          </w:p>
        </w:tc>
        <w:tc>
          <w:tcPr>
            <w:tcW w:w="1445" w:type="dxa"/>
            <w:tcBorders>
              <w:tl2br w:val="nil"/>
              <w:tr2bl w:val="nil"/>
            </w:tcBorders>
            <w:vAlign w:val="center"/>
          </w:tcPr>
          <w:p w14:paraId="646B3EC8">
            <w:pPr>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w:t>
            </w:r>
          </w:p>
        </w:tc>
        <w:tc>
          <w:tcPr>
            <w:tcW w:w="1896" w:type="dxa"/>
            <w:tcBorders>
              <w:tl2br w:val="nil"/>
              <w:tr2bl w:val="nil"/>
            </w:tcBorders>
            <w:vAlign w:val="center"/>
          </w:tcPr>
          <w:p w14:paraId="39F91E03">
            <w:pPr>
              <w:pStyle w:val="72"/>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highlight w:val="none"/>
                <w:vertAlign w:val="baseline"/>
                <w:lang w:val="en-US" w:eastAsia="zh-CN"/>
              </w:rPr>
              <w:t>2</w:t>
            </w:r>
          </w:p>
        </w:tc>
        <w:tc>
          <w:tcPr>
            <w:tcW w:w="1331" w:type="dxa"/>
            <w:tcBorders>
              <w:tl2br w:val="nil"/>
              <w:tr2bl w:val="nil"/>
            </w:tcBorders>
            <w:vAlign w:val="center"/>
          </w:tcPr>
          <w:p w14:paraId="7B9EAFAF">
            <w:pPr>
              <w:pStyle w:val="31"/>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w:t>
            </w:r>
          </w:p>
        </w:tc>
        <w:tc>
          <w:tcPr>
            <w:tcW w:w="2190" w:type="dxa"/>
            <w:vMerge w:val="restart"/>
            <w:tcBorders>
              <w:tl2br w:val="nil"/>
              <w:tr2bl w:val="nil"/>
            </w:tcBorders>
            <w:vAlign w:val="center"/>
          </w:tcPr>
          <w:p w14:paraId="08A8E1D5">
            <w:pPr>
              <w:pStyle w:val="31"/>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w:t>
            </w:r>
          </w:p>
        </w:tc>
        <w:tc>
          <w:tcPr>
            <w:tcW w:w="1161" w:type="dxa"/>
            <w:vMerge w:val="restart"/>
            <w:tcBorders>
              <w:tl2br w:val="nil"/>
              <w:tr2bl w:val="nil"/>
            </w:tcBorders>
            <w:vAlign w:val="center"/>
          </w:tcPr>
          <w:p w14:paraId="1D0FFA36">
            <w:pPr>
              <w:pStyle w:val="31"/>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w:t>
            </w:r>
          </w:p>
        </w:tc>
      </w:tr>
      <w:tr w14:paraId="061CEAA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84" w:type="dxa"/>
            <w:vMerge w:val="continue"/>
            <w:tcBorders>
              <w:tl2br w:val="nil"/>
              <w:tr2bl w:val="nil"/>
            </w:tcBorders>
            <w:vAlign w:val="center"/>
          </w:tcPr>
          <w:p w14:paraId="5A28FF48">
            <w:pPr>
              <w:pStyle w:val="31"/>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p>
        </w:tc>
        <w:tc>
          <w:tcPr>
            <w:tcW w:w="1388" w:type="dxa"/>
            <w:vMerge w:val="continue"/>
            <w:tcBorders>
              <w:tl2br w:val="nil"/>
              <w:tr2bl w:val="nil"/>
            </w:tcBorders>
            <w:vAlign w:val="center"/>
          </w:tcPr>
          <w:p w14:paraId="7DBBE072">
            <w:pPr>
              <w:pStyle w:val="72"/>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p>
        </w:tc>
        <w:tc>
          <w:tcPr>
            <w:tcW w:w="2410" w:type="dxa"/>
            <w:vMerge w:val="continue"/>
            <w:tcBorders>
              <w:tl2br w:val="nil"/>
              <w:tr2bl w:val="nil"/>
            </w:tcBorders>
            <w:vAlign w:val="center"/>
          </w:tcPr>
          <w:p w14:paraId="0DAE0A9D">
            <w:pPr>
              <w:pStyle w:val="31"/>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p>
        </w:tc>
        <w:tc>
          <w:tcPr>
            <w:tcW w:w="1047" w:type="dxa"/>
            <w:tcBorders>
              <w:tl2br w:val="nil"/>
              <w:tr2bl w:val="nil"/>
            </w:tcBorders>
            <w:vAlign w:val="center"/>
          </w:tcPr>
          <w:p w14:paraId="5A476B51">
            <w:pPr>
              <w:pStyle w:val="72"/>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highlight w:val="none"/>
                <w:lang w:val="en-US" w:eastAsia="zh-CN"/>
              </w:rPr>
              <w:t>废吸收剂</w:t>
            </w:r>
          </w:p>
        </w:tc>
        <w:tc>
          <w:tcPr>
            <w:tcW w:w="1445" w:type="dxa"/>
            <w:tcBorders>
              <w:tl2br w:val="nil"/>
              <w:tr2bl w:val="nil"/>
            </w:tcBorders>
            <w:vAlign w:val="center"/>
          </w:tcPr>
          <w:p w14:paraId="0062C3B1">
            <w:pPr>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w:t>
            </w:r>
          </w:p>
        </w:tc>
        <w:tc>
          <w:tcPr>
            <w:tcW w:w="1896" w:type="dxa"/>
            <w:tcBorders>
              <w:tl2br w:val="nil"/>
              <w:tr2bl w:val="nil"/>
            </w:tcBorders>
            <w:vAlign w:val="center"/>
          </w:tcPr>
          <w:p w14:paraId="63424B1F">
            <w:pPr>
              <w:pStyle w:val="72"/>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highlight w:val="none"/>
                <w:vertAlign w:val="baseline"/>
                <w:lang w:val="en-US" w:eastAsia="zh-CN"/>
              </w:rPr>
              <w:t>0.1</w:t>
            </w:r>
          </w:p>
        </w:tc>
        <w:tc>
          <w:tcPr>
            <w:tcW w:w="1331" w:type="dxa"/>
            <w:tcBorders>
              <w:tl2br w:val="nil"/>
              <w:tr2bl w:val="nil"/>
            </w:tcBorders>
            <w:vAlign w:val="center"/>
          </w:tcPr>
          <w:p w14:paraId="640ACD8D">
            <w:pPr>
              <w:pStyle w:val="31"/>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w:t>
            </w:r>
          </w:p>
        </w:tc>
        <w:tc>
          <w:tcPr>
            <w:tcW w:w="2190" w:type="dxa"/>
            <w:vMerge w:val="continue"/>
            <w:tcBorders>
              <w:tl2br w:val="nil"/>
              <w:tr2bl w:val="nil"/>
            </w:tcBorders>
            <w:vAlign w:val="center"/>
          </w:tcPr>
          <w:p w14:paraId="6A6A43BD">
            <w:pPr>
              <w:pStyle w:val="31"/>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p>
        </w:tc>
        <w:tc>
          <w:tcPr>
            <w:tcW w:w="1161" w:type="dxa"/>
            <w:vMerge w:val="continue"/>
            <w:tcBorders>
              <w:tl2br w:val="nil"/>
              <w:tr2bl w:val="nil"/>
            </w:tcBorders>
            <w:vAlign w:val="center"/>
          </w:tcPr>
          <w:p w14:paraId="1E707F35">
            <w:pPr>
              <w:pStyle w:val="31"/>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p>
        </w:tc>
      </w:tr>
      <w:tr w14:paraId="1FF10D5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84" w:type="dxa"/>
            <w:vMerge w:val="continue"/>
            <w:tcBorders>
              <w:tl2br w:val="nil"/>
              <w:tr2bl w:val="nil"/>
            </w:tcBorders>
            <w:vAlign w:val="center"/>
          </w:tcPr>
          <w:p w14:paraId="75099211">
            <w:pPr>
              <w:pStyle w:val="31"/>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p>
        </w:tc>
        <w:tc>
          <w:tcPr>
            <w:tcW w:w="1388" w:type="dxa"/>
            <w:vMerge w:val="continue"/>
            <w:tcBorders>
              <w:tl2br w:val="nil"/>
              <w:tr2bl w:val="nil"/>
            </w:tcBorders>
            <w:vAlign w:val="center"/>
          </w:tcPr>
          <w:p w14:paraId="1C34500D">
            <w:pPr>
              <w:pStyle w:val="72"/>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p>
        </w:tc>
        <w:tc>
          <w:tcPr>
            <w:tcW w:w="2410" w:type="dxa"/>
            <w:vMerge w:val="continue"/>
            <w:tcBorders>
              <w:tl2br w:val="nil"/>
              <w:tr2bl w:val="nil"/>
            </w:tcBorders>
            <w:vAlign w:val="center"/>
          </w:tcPr>
          <w:p w14:paraId="242D9C39">
            <w:pPr>
              <w:pStyle w:val="31"/>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p>
        </w:tc>
        <w:tc>
          <w:tcPr>
            <w:tcW w:w="1047" w:type="dxa"/>
            <w:tcBorders>
              <w:tl2br w:val="nil"/>
              <w:tr2bl w:val="nil"/>
            </w:tcBorders>
            <w:vAlign w:val="center"/>
          </w:tcPr>
          <w:p w14:paraId="03491DBF">
            <w:pPr>
              <w:pStyle w:val="72"/>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highlight w:val="none"/>
                <w:lang w:val="en-US" w:eastAsia="zh-CN"/>
              </w:rPr>
              <w:t>电镀滤（废）渣和污泥</w:t>
            </w:r>
          </w:p>
        </w:tc>
        <w:tc>
          <w:tcPr>
            <w:tcW w:w="1445" w:type="dxa"/>
            <w:tcBorders>
              <w:tl2br w:val="nil"/>
              <w:tr2bl w:val="nil"/>
            </w:tcBorders>
            <w:vAlign w:val="center"/>
          </w:tcPr>
          <w:p w14:paraId="62BCDC11">
            <w:pPr>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w:t>
            </w:r>
          </w:p>
        </w:tc>
        <w:tc>
          <w:tcPr>
            <w:tcW w:w="1896" w:type="dxa"/>
            <w:tcBorders>
              <w:tl2br w:val="nil"/>
              <w:tr2bl w:val="nil"/>
            </w:tcBorders>
            <w:vAlign w:val="center"/>
          </w:tcPr>
          <w:p w14:paraId="4A7305C9">
            <w:pPr>
              <w:pStyle w:val="72"/>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highlight w:val="none"/>
                <w:vertAlign w:val="baseline"/>
                <w:lang w:val="en-US" w:eastAsia="zh-CN"/>
              </w:rPr>
              <w:t>0.74</w:t>
            </w:r>
          </w:p>
        </w:tc>
        <w:tc>
          <w:tcPr>
            <w:tcW w:w="1331" w:type="dxa"/>
            <w:tcBorders>
              <w:tl2br w:val="nil"/>
              <w:tr2bl w:val="nil"/>
            </w:tcBorders>
            <w:vAlign w:val="center"/>
          </w:tcPr>
          <w:p w14:paraId="3D49EF02">
            <w:pPr>
              <w:pStyle w:val="31"/>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w:t>
            </w:r>
          </w:p>
        </w:tc>
        <w:tc>
          <w:tcPr>
            <w:tcW w:w="2190" w:type="dxa"/>
            <w:vMerge w:val="continue"/>
            <w:tcBorders>
              <w:tl2br w:val="nil"/>
              <w:tr2bl w:val="nil"/>
            </w:tcBorders>
            <w:vAlign w:val="center"/>
          </w:tcPr>
          <w:p w14:paraId="7660A4B7">
            <w:pPr>
              <w:pStyle w:val="31"/>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p>
        </w:tc>
        <w:tc>
          <w:tcPr>
            <w:tcW w:w="1161" w:type="dxa"/>
            <w:vMerge w:val="continue"/>
            <w:tcBorders>
              <w:tl2br w:val="nil"/>
              <w:tr2bl w:val="nil"/>
            </w:tcBorders>
            <w:vAlign w:val="center"/>
          </w:tcPr>
          <w:p w14:paraId="17D608A2">
            <w:pPr>
              <w:pStyle w:val="31"/>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p>
        </w:tc>
      </w:tr>
      <w:tr w14:paraId="51EDCCA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84" w:type="dxa"/>
            <w:vMerge w:val="continue"/>
            <w:tcBorders>
              <w:tl2br w:val="nil"/>
              <w:tr2bl w:val="nil"/>
            </w:tcBorders>
            <w:vAlign w:val="center"/>
          </w:tcPr>
          <w:p w14:paraId="4C6F0C8F">
            <w:pPr>
              <w:pStyle w:val="31"/>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p>
        </w:tc>
        <w:tc>
          <w:tcPr>
            <w:tcW w:w="1388" w:type="dxa"/>
            <w:vMerge w:val="continue"/>
            <w:tcBorders>
              <w:tl2br w:val="nil"/>
              <w:tr2bl w:val="nil"/>
            </w:tcBorders>
            <w:vAlign w:val="center"/>
          </w:tcPr>
          <w:p w14:paraId="32F700CA">
            <w:pPr>
              <w:pStyle w:val="72"/>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p>
        </w:tc>
        <w:tc>
          <w:tcPr>
            <w:tcW w:w="2410" w:type="dxa"/>
            <w:vMerge w:val="continue"/>
            <w:tcBorders>
              <w:tl2br w:val="nil"/>
              <w:tr2bl w:val="nil"/>
            </w:tcBorders>
            <w:vAlign w:val="center"/>
          </w:tcPr>
          <w:p w14:paraId="739CE80D">
            <w:pPr>
              <w:pStyle w:val="31"/>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p>
        </w:tc>
        <w:tc>
          <w:tcPr>
            <w:tcW w:w="1047" w:type="dxa"/>
            <w:tcBorders>
              <w:tl2br w:val="nil"/>
              <w:tr2bl w:val="nil"/>
            </w:tcBorders>
            <w:vAlign w:val="center"/>
          </w:tcPr>
          <w:p w14:paraId="35D04B12">
            <w:pPr>
              <w:pStyle w:val="72"/>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highlight w:val="none"/>
                <w:lang w:val="en-US" w:eastAsia="zh-CN"/>
              </w:rPr>
              <w:t>废过滤机滤芯</w:t>
            </w:r>
          </w:p>
        </w:tc>
        <w:tc>
          <w:tcPr>
            <w:tcW w:w="1445" w:type="dxa"/>
            <w:tcBorders>
              <w:tl2br w:val="nil"/>
              <w:tr2bl w:val="nil"/>
            </w:tcBorders>
            <w:vAlign w:val="center"/>
          </w:tcPr>
          <w:p w14:paraId="766C1C94">
            <w:pPr>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w:t>
            </w:r>
          </w:p>
        </w:tc>
        <w:tc>
          <w:tcPr>
            <w:tcW w:w="1896" w:type="dxa"/>
            <w:tcBorders>
              <w:tl2br w:val="nil"/>
              <w:tr2bl w:val="nil"/>
            </w:tcBorders>
            <w:vAlign w:val="center"/>
          </w:tcPr>
          <w:p w14:paraId="7B9F8EFC">
            <w:pPr>
              <w:pStyle w:val="72"/>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highlight w:val="none"/>
                <w:vertAlign w:val="baseline"/>
                <w:lang w:val="en-US" w:eastAsia="zh-CN"/>
              </w:rPr>
              <w:t>0.7468</w:t>
            </w:r>
          </w:p>
        </w:tc>
        <w:tc>
          <w:tcPr>
            <w:tcW w:w="1331" w:type="dxa"/>
            <w:tcBorders>
              <w:tl2br w:val="nil"/>
              <w:tr2bl w:val="nil"/>
            </w:tcBorders>
            <w:vAlign w:val="center"/>
          </w:tcPr>
          <w:p w14:paraId="4E725C01">
            <w:pPr>
              <w:pStyle w:val="31"/>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w:t>
            </w:r>
          </w:p>
        </w:tc>
        <w:tc>
          <w:tcPr>
            <w:tcW w:w="2190" w:type="dxa"/>
            <w:vMerge w:val="continue"/>
            <w:tcBorders>
              <w:tl2br w:val="nil"/>
              <w:tr2bl w:val="nil"/>
            </w:tcBorders>
            <w:vAlign w:val="center"/>
          </w:tcPr>
          <w:p w14:paraId="38AA6E0C">
            <w:pPr>
              <w:pStyle w:val="31"/>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p>
        </w:tc>
        <w:tc>
          <w:tcPr>
            <w:tcW w:w="1161" w:type="dxa"/>
            <w:vMerge w:val="continue"/>
            <w:tcBorders>
              <w:tl2br w:val="nil"/>
              <w:tr2bl w:val="nil"/>
            </w:tcBorders>
            <w:vAlign w:val="center"/>
          </w:tcPr>
          <w:p w14:paraId="2E9D301E">
            <w:pPr>
              <w:pStyle w:val="31"/>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p>
        </w:tc>
      </w:tr>
      <w:tr w14:paraId="1DC9DBF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84" w:type="dxa"/>
            <w:vMerge w:val="continue"/>
            <w:tcBorders>
              <w:tl2br w:val="nil"/>
              <w:tr2bl w:val="nil"/>
            </w:tcBorders>
            <w:vAlign w:val="center"/>
          </w:tcPr>
          <w:p w14:paraId="22F7313D">
            <w:pPr>
              <w:pStyle w:val="31"/>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p>
        </w:tc>
        <w:tc>
          <w:tcPr>
            <w:tcW w:w="1388" w:type="dxa"/>
            <w:vMerge w:val="continue"/>
            <w:tcBorders>
              <w:tl2br w:val="nil"/>
              <w:tr2bl w:val="nil"/>
            </w:tcBorders>
            <w:vAlign w:val="center"/>
          </w:tcPr>
          <w:p w14:paraId="5D7CD578">
            <w:pPr>
              <w:pStyle w:val="72"/>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p>
        </w:tc>
        <w:tc>
          <w:tcPr>
            <w:tcW w:w="2410" w:type="dxa"/>
            <w:vMerge w:val="continue"/>
            <w:tcBorders>
              <w:tl2br w:val="nil"/>
              <w:tr2bl w:val="nil"/>
            </w:tcBorders>
            <w:vAlign w:val="center"/>
          </w:tcPr>
          <w:p w14:paraId="1EC9D3B3">
            <w:pPr>
              <w:pStyle w:val="31"/>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p>
        </w:tc>
        <w:tc>
          <w:tcPr>
            <w:tcW w:w="1047" w:type="dxa"/>
            <w:tcBorders>
              <w:tl2br w:val="nil"/>
              <w:tr2bl w:val="nil"/>
            </w:tcBorders>
            <w:vAlign w:val="center"/>
          </w:tcPr>
          <w:p w14:paraId="031BFCF6">
            <w:pPr>
              <w:pStyle w:val="72"/>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highlight w:val="none"/>
                <w:lang w:val="en-US" w:eastAsia="zh-CN"/>
              </w:rPr>
              <w:t>废交换树脂</w:t>
            </w:r>
          </w:p>
        </w:tc>
        <w:tc>
          <w:tcPr>
            <w:tcW w:w="1445" w:type="dxa"/>
            <w:tcBorders>
              <w:tl2br w:val="nil"/>
              <w:tr2bl w:val="nil"/>
            </w:tcBorders>
            <w:vAlign w:val="center"/>
          </w:tcPr>
          <w:p w14:paraId="0B91F5D7">
            <w:pPr>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w:t>
            </w:r>
          </w:p>
        </w:tc>
        <w:tc>
          <w:tcPr>
            <w:tcW w:w="1896" w:type="dxa"/>
            <w:tcBorders>
              <w:tl2br w:val="nil"/>
              <w:tr2bl w:val="nil"/>
            </w:tcBorders>
            <w:vAlign w:val="center"/>
          </w:tcPr>
          <w:p w14:paraId="3A6DD27C">
            <w:pPr>
              <w:pStyle w:val="72"/>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highlight w:val="none"/>
                <w:vertAlign w:val="baseline"/>
                <w:lang w:val="en-US" w:eastAsia="zh-CN"/>
              </w:rPr>
              <w:t>0.4</w:t>
            </w:r>
          </w:p>
        </w:tc>
        <w:tc>
          <w:tcPr>
            <w:tcW w:w="1331" w:type="dxa"/>
            <w:tcBorders>
              <w:tl2br w:val="nil"/>
              <w:tr2bl w:val="nil"/>
            </w:tcBorders>
            <w:vAlign w:val="center"/>
          </w:tcPr>
          <w:p w14:paraId="7BE4DA5D">
            <w:pPr>
              <w:pStyle w:val="31"/>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w:t>
            </w:r>
          </w:p>
        </w:tc>
        <w:tc>
          <w:tcPr>
            <w:tcW w:w="2190" w:type="dxa"/>
            <w:vMerge w:val="continue"/>
            <w:tcBorders>
              <w:tl2br w:val="nil"/>
              <w:tr2bl w:val="nil"/>
            </w:tcBorders>
            <w:vAlign w:val="center"/>
          </w:tcPr>
          <w:p w14:paraId="489CCE15">
            <w:pPr>
              <w:pStyle w:val="31"/>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p>
        </w:tc>
        <w:tc>
          <w:tcPr>
            <w:tcW w:w="1161" w:type="dxa"/>
            <w:vMerge w:val="continue"/>
            <w:tcBorders>
              <w:tl2br w:val="nil"/>
              <w:tr2bl w:val="nil"/>
            </w:tcBorders>
            <w:vAlign w:val="center"/>
          </w:tcPr>
          <w:p w14:paraId="5EE9DD36">
            <w:pPr>
              <w:pStyle w:val="31"/>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p>
        </w:tc>
      </w:tr>
      <w:tr w14:paraId="2D88D59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84" w:type="dxa"/>
            <w:tcBorders>
              <w:tl2br w:val="nil"/>
              <w:tr2bl w:val="nil"/>
            </w:tcBorders>
            <w:vAlign w:val="center"/>
          </w:tcPr>
          <w:p w14:paraId="4A88FB63">
            <w:pPr>
              <w:pStyle w:val="31"/>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厂界噪声</w:t>
            </w:r>
          </w:p>
        </w:tc>
        <w:tc>
          <w:tcPr>
            <w:tcW w:w="1388" w:type="dxa"/>
            <w:tcBorders>
              <w:tl2br w:val="nil"/>
              <w:tr2bl w:val="nil"/>
            </w:tcBorders>
            <w:vAlign w:val="center"/>
          </w:tcPr>
          <w:p w14:paraId="1D582661">
            <w:pPr>
              <w:pStyle w:val="72"/>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w:t>
            </w:r>
          </w:p>
        </w:tc>
        <w:tc>
          <w:tcPr>
            <w:tcW w:w="2410" w:type="dxa"/>
            <w:tcBorders>
              <w:tl2br w:val="nil"/>
              <w:tr2bl w:val="nil"/>
            </w:tcBorders>
            <w:vAlign w:val="center"/>
          </w:tcPr>
          <w:p w14:paraId="3A745AA1">
            <w:pPr>
              <w:pStyle w:val="31"/>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选用低噪声圣杯，减振、隔声等措施</w:t>
            </w:r>
          </w:p>
        </w:tc>
        <w:tc>
          <w:tcPr>
            <w:tcW w:w="1047" w:type="dxa"/>
            <w:tcBorders>
              <w:tl2br w:val="nil"/>
              <w:tr2bl w:val="nil"/>
            </w:tcBorders>
            <w:vAlign w:val="center"/>
          </w:tcPr>
          <w:p w14:paraId="4D872932">
            <w:pPr>
              <w:pStyle w:val="72"/>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噪声</w:t>
            </w:r>
          </w:p>
        </w:tc>
        <w:tc>
          <w:tcPr>
            <w:tcW w:w="1445" w:type="dxa"/>
            <w:tcBorders>
              <w:tl2br w:val="nil"/>
              <w:tr2bl w:val="nil"/>
            </w:tcBorders>
            <w:vAlign w:val="center"/>
          </w:tcPr>
          <w:p w14:paraId="30910B0B">
            <w:pPr>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宋体" w:hAnsi="宋体" w:eastAsia="宋体" w:cs="宋体"/>
                <w:sz w:val="21"/>
                <w:szCs w:val="21"/>
                <w:vertAlign w:val="baseline"/>
                <w:lang w:val="en-US" w:eastAsia="zh-CN"/>
              </w:rPr>
            </w:pPr>
            <w:r>
              <w:rPr>
                <w:rFonts w:hint="eastAsia" w:ascii="宋体" w:hAnsi="宋体" w:cs="宋体"/>
                <w:sz w:val="21"/>
                <w:szCs w:val="21"/>
                <w:vertAlign w:val="baseline"/>
                <w:lang w:val="en-US" w:eastAsia="zh-CN"/>
              </w:rPr>
              <w:t>33-53dB（A）</w:t>
            </w:r>
          </w:p>
        </w:tc>
        <w:tc>
          <w:tcPr>
            <w:tcW w:w="1896" w:type="dxa"/>
            <w:tcBorders>
              <w:tl2br w:val="nil"/>
              <w:tr2bl w:val="nil"/>
            </w:tcBorders>
            <w:vAlign w:val="center"/>
          </w:tcPr>
          <w:p w14:paraId="1831B6F8">
            <w:pPr>
              <w:pStyle w:val="72"/>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w:t>
            </w:r>
          </w:p>
        </w:tc>
        <w:tc>
          <w:tcPr>
            <w:tcW w:w="1331" w:type="dxa"/>
            <w:tcBorders>
              <w:tl2br w:val="nil"/>
              <w:tr2bl w:val="nil"/>
            </w:tcBorders>
            <w:vAlign w:val="center"/>
          </w:tcPr>
          <w:p w14:paraId="1EDB7C8C">
            <w:pPr>
              <w:pStyle w:val="31"/>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宋体" w:hAnsi="宋体" w:eastAsia="宋体" w:cs="宋体"/>
                <w:sz w:val="21"/>
                <w:szCs w:val="21"/>
                <w:vertAlign w:val="baseline"/>
                <w:lang w:val="en-US" w:eastAsia="zh-CN"/>
              </w:rPr>
            </w:pPr>
            <w:r>
              <w:rPr>
                <w:rFonts w:hint="eastAsia" w:ascii="宋体" w:hAnsi="宋体" w:cs="宋体"/>
                <w:sz w:val="21"/>
                <w:szCs w:val="21"/>
                <w:vertAlign w:val="baseline"/>
                <w:lang w:val="en-US" w:eastAsia="zh-CN"/>
              </w:rPr>
              <w:t>昼间60dB（A）夜间50dB（A）</w:t>
            </w:r>
          </w:p>
        </w:tc>
        <w:tc>
          <w:tcPr>
            <w:tcW w:w="2190" w:type="dxa"/>
            <w:tcBorders>
              <w:tl2br w:val="nil"/>
              <w:tr2bl w:val="nil"/>
            </w:tcBorders>
            <w:vAlign w:val="center"/>
          </w:tcPr>
          <w:p w14:paraId="66EA1F4D">
            <w:pPr>
              <w:pStyle w:val="31"/>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cs="宋体"/>
                <w:sz w:val="21"/>
                <w:szCs w:val="21"/>
                <w:vertAlign w:val="baseline"/>
                <w:lang w:val="en-US" w:eastAsia="zh-CN"/>
              </w:rPr>
              <w:t>《工业企业厂界环境噪声排放标准》（GB12348-2008）</w:t>
            </w:r>
          </w:p>
        </w:tc>
        <w:tc>
          <w:tcPr>
            <w:tcW w:w="1161" w:type="dxa"/>
            <w:tcBorders>
              <w:tl2br w:val="nil"/>
              <w:tr2bl w:val="nil"/>
            </w:tcBorders>
            <w:vAlign w:val="center"/>
          </w:tcPr>
          <w:p w14:paraId="595FFB2B">
            <w:pPr>
              <w:pStyle w:val="31"/>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w:t>
            </w:r>
          </w:p>
        </w:tc>
      </w:tr>
    </w:tbl>
    <w:p w14:paraId="58A2EBA2">
      <w:pPr>
        <w:rPr>
          <w:rFonts w:hint="default"/>
          <w:lang w:val="en-US" w:eastAsia="zh-CN"/>
        </w:rPr>
      </w:pPr>
    </w:p>
    <w:p w14:paraId="7DBA16ED">
      <w:pPr>
        <w:pStyle w:val="31"/>
        <w:rPr>
          <w:rFonts w:hint="default"/>
          <w:lang w:val="en-US" w:eastAsia="zh-CN"/>
        </w:rPr>
      </w:pPr>
    </w:p>
    <w:p w14:paraId="433FED2E">
      <w:pPr>
        <w:rPr>
          <w:rFonts w:hint="default"/>
          <w:lang w:val="en-US" w:eastAsia="zh-CN"/>
        </w:rPr>
      </w:pPr>
    </w:p>
    <w:p w14:paraId="36D0FADC">
      <w:pPr>
        <w:pStyle w:val="31"/>
        <w:rPr>
          <w:rFonts w:hint="default"/>
          <w:lang w:val="en-US" w:eastAsia="zh-CN"/>
        </w:rPr>
        <w:sectPr>
          <w:pgSz w:w="16838" w:h="11906" w:orient="landscape"/>
          <w:pgMar w:top="1588" w:right="1814" w:bottom="1588" w:left="1588" w:header="851" w:footer="992" w:gutter="0"/>
          <w:pgBorders>
            <w:top w:val="none" w:sz="0" w:space="0"/>
            <w:left w:val="none" w:sz="0" w:space="0"/>
            <w:bottom w:val="none" w:sz="0" w:space="0"/>
            <w:right w:val="none" w:sz="0" w:space="0"/>
          </w:pgBorders>
          <w:pgNumType w:fmt="decimal"/>
          <w:cols w:space="720" w:num="1"/>
          <w:docGrid w:type="lines" w:linePitch="312" w:charSpace="0"/>
        </w:sectPr>
      </w:pPr>
    </w:p>
    <w:bookmarkEnd w:id="386"/>
    <w:bookmarkEnd w:id="387"/>
    <w:bookmarkEnd w:id="497"/>
    <w:p w14:paraId="20E4D788">
      <w:pPr>
        <w:pStyle w:val="2"/>
        <w:rPr>
          <w:rFonts w:ascii="Times New Roman" w:hAnsi="Times New Roman" w:cs="Times New Roman"/>
          <w:color w:val="auto"/>
        </w:rPr>
      </w:pPr>
      <w:bookmarkStart w:id="514" w:name="_Toc17877"/>
      <w:bookmarkStart w:id="515" w:name="_Toc219601395"/>
      <w:bookmarkStart w:id="516" w:name="_Toc220299819"/>
      <w:bookmarkStart w:id="517" w:name="_Toc219563492"/>
      <w:bookmarkStart w:id="518" w:name="_Toc271705307"/>
      <w:bookmarkStart w:id="519" w:name="_Toc201648758"/>
      <w:bookmarkStart w:id="520" w:name="_Toc208640223"/>
      <w:bookmarkStart w:id="521" w:name="_Toc117389813"/>
      <w:bookmarkStart w:id="522" w:name="_Toc117396455"/>
      <w:bookmarkStart w:id="523" w:name="_Toc477422028"/>
      <w:bookmarkStart w:id="524" w:name="_Toc117068585"/>
      <w:bookmarkStart w:id="525" w:name="_Toc124134101"/>
      <w:r>
        <w:rPr>
          <w:rFonts w:ascii="Times New Roman" w:hAnsi="Times New Roman" w:cs="Times New Roman"/>
          <w:color w:val="auto"/>
        </w:rPr>
        <w:t>1</w:t>
      </w:r>
      <w:r>
        <w:rPr>
          <w:rFonts w:hint="eastAsia" w:ascii="Times New Roman" w:hAnsi="Times New Roman" w:cs="Times New Roman"/>
          <w:color w:val="auto"/>
          <w:lang w:val="en-US" w:eastAsia="zh-CN"/>
        </w:rPr>
        <w:t>3</w:t>
      </w:r>
      <w:r>
        <w:rPr>
          <w:rFonts w:ascii="Times New Roman" w:hAnsi="Times New Roman" w:cs="Times New Roman"/>
          <w:color w:val="auto"/>
        </w:rPr>
        <w:t>政策规划相容性分析</w:t>
      </w:r>
      <w:bookmarkEnd w:id="514"/>
      <w:bookmarkEnd w:id="515"/>
      <w:bookmarkEnd w:id="516"/>
      <w:bookmarkEnd w:id="517"/>
      <w:bookmarkEnd w:id="518"/>
    </w:p>
    <w:p w14:paraId="18F6D516">
      <w:pPr>
        <w:pStyle w:val="3"/>
        <w:rPr>
          <w:color w:val="auto"/>
        </w:rPr>
      </w:pPr>
      <w:bookmarkStart w:id="526" w:name="_Toc219563493"/>
      <w:bookmarkStart w:id="527" w:name="_Toc19525"/>
      <w:bookmarkStart w:id="528" w:name="_Toc219601396"/>
      <w:r>
        <w:rPr>
          <w:color w:val="auto"/>
        </w:rPr>
        <w:t>1</w:t>
      </w:r>
      <w:r>
        <w:rPr>
          <w:rFonts w:hint="eastAsia"/>
          <w:color w:val="auto"/>
          <w:lang w:val="en-US" w:eastAsia="zh-CN"/>
        </w:rPr>
        <w:t>3</w:t>
      </w:r>
      <w:r>
        <w:rPr>
          <w:color w:val="auto"/>
        </w:rPr>
        <w:t>.1产业政策符合性分析</w:t>
      </w:r>
      <w:bookmarkEnd w:id="526"/>
      <w:bookmarkEnd w:id="527"/>
      <w:bookmarkEnd w:id="528"/>
    </w:p>
    <w:p w14:paraId="7EC51142">
      <w:pPr>
        <w:ind w:firstLine="480" w:firstLineChars="200"/>
      </w:pPr>
      <w:r>
        <w:rPr>
          <w:rFonts w:hint="eastAsia"/>
        </w:rPr>
        <w:t>本项目属电镀表面处理加工项目，对照《产业结构调整指导目录（201</w:t>
      </w:r>
      <w:r>
        <w:rPr>
          <w:rFonts w:hint="eastAsia"/>
          <w:lang w:val="en-US" w:eastAsia="zh-CN"/>
        </w:rPr>
        <w:t>9</w:t>
      </w:r>
      <w:r>
        <w:rPr>
          <w:rFonts w:hint="eastAsia"/>
        </w:rPr>
        <w:t>年本）》可知，本项目不属于鼓励类、限制类和淘汰类范畴，视为允许类，与产业政策相符。本项目电镀生产工艺亦不属于国家工信部颁布的《部分工业行业淘汰落后生产工艺装备和产品指导目录（2010 年本）》中所列的含氰电镀工艺。故本项目的建设符合国家产业政策</w:t>
      </w:r>
      <w:r>
        <w:t>。</w:t>
      </w:r>
    </w:p>
    <w:p w14:paraId="4965B4AD">
      <w:pPr>
        <w:pStyle w:val="3"/>
        <w:rPr>
          <w:color w:val="auto"/>
        </w:rPr>
      </w:pPr>
      <w:bookmarkStart w:id="529" w:name="_Toc745"/>
      <w:r>
        <w:rPr>
          <w:color w:val="auto"/>
        </w:rPr>
        <w:t>1</w:t>
      </w:r>
      <w:r>
        <w:rPr>
          <w:rFonts w:hint="eastAsia"/>
          <w:color w:val="auto"/>
          <w:lang w:val="en-US" w:eastAsia="zh-CN"/>
        </w:rPr>
        <w:t>3</w:t>
      </w:r>
      <w:r>
        <w:rPr>
          <w:color w:val="auto"/>
        </w:rPr>
        <w:t>.</w:t>
      </w:r>
      <w:r>
        <w:rPr>
          <w:rFonts w:hint="eastAsia"/>
          <w:color w:val="auto"/>
          <w:lang w:val="en-US" w:eastAsia="zh-CN"/>
        </w:rPr>
        <w:t>2</w:t>
      </w:r>
      <w:r>
        <w:rPr>
          <w:color w:val="auto"/>
        </w:rPr>
        <w:t>“三线一单”符合性分析</w:t>
      </w:r>
      <w:bookmarkEnd w:id="529"/>
    </w:p>
    <w:p w14:paraId="02587DDD">
      <w:pPr>
        <w:ind w:firstLine="480" w:firstLineChars="200"/>
      </w:pPr>
      <w:r>
        <w:t>根据《关于以改善环境质量为核心加强环境影响评价管理的通知》（环环评[2016]150号）要求，判定本项目与“三线一单”符合性见表1</w:t>
      </w:r>
      <w:r>
        <w:rPr>
          <w:rFonts w:hint="eastAsia"/>
          <w:lang w:val="en-US" w:eastAsia="zh-CN"/>
        </w:rPr>
        <w:t>3-</w:t>
      </w:r>
      <w:r>
        <w:t>1。</w:t>
      </w:r>
    </w:p>
    <w:p w14:paraId="3BCD01AA">
      <w:pPr>
        <w:pStyle w:val="270"/>
        <w:spacing w:before="156"/>
        <w:ind w:firstLine="210" w:firstLineChars="100"/>
        <w:rPr>
          <w:rFonts w:hint="eastAsia" w:ascii="黑体" w:hAnsi="黑体" w:eastAsia="黑体" w:cs="黑体"/>
          <w:b w:val="0"/>
          <w:bCs w:val="0"/>
          <w:color w:val="auto"/>
          <w:shd w:val="clear" w:color="auto" w:fill="auto"/>
        </w:rPr>
      </w:pPr>
      <w:r>
        <w:rPr>
          <w:rFonts w:hint="eastAsia" w:ascii="黑体" w:hAnsi="黑体" w:eastAsia="黑体" w:cs="黑体"/>
          <w:b w:val="0"/>
          <w:bCs w:val="0"/>
          <w:color w:val="auto"/>
          <w:shd w:val="clear" w:color="auto" w:fill="auto"/>
        </w:rPr>
        <w:t>表</w:t>
      </w:r>
      <w:r>
        <w:rPr>
          <w:rFonts w:hint="eastAsia" w:ascii="黑体" w:hAnsi="黑体" w:eastAsia="黑体" w:cs="黑体"/>
          <w:b w:val="0"/>
          <w:bCs w:val="0"/>
          <w:color w:val="auto"/>
          <w:shd w:val="clear" w:color="auto" w:fill="auto"/>
          <w:lang w:val="en-US" w:eastAsia="zh-CN"/>
        </w:rPr>
        <w:t>13-1</w:t>
      </w:r>
      <w:r>
        <w:rPr>
          <w:rFonts w:hint="eastAsia" w:ascii="黑体" w:hAnsi="黑体" w:eastAsia="黑体" w:cs="黑体"/>
          <w:b w:val="0"/>
          <w:bCs w:val="0"/>
          <w:color w:val="auto"/>
          <w:shd w:val="clear" w:color="auto" w:fill="auto"/>
        </w:rPr>
        <w:t>“三线一单”符合性分析表</w:t>
      </w:r>
    </w:p>
    <w:tbl>
      <w:tblPr>
        <w:tblStyle w:val="52"/>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2918"/>
        <w:gridCol w:w="2625"/>
        <w:gridCol w:w="1135"/>
      </w:tblGrid>
      <w:tr w14:paraId="71CAE35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0" w:hRule="atLeast"/>
          <w:tblHeader/>
        </w:trPr>
        <w:tc>
          <w:tcPr>
            <w:tcW w:w="634" w:type="pct"/>
            <w:shd w:val="clear" w:color="auto" w:fill="auto"/>
            <w:vAlign w:val="center"/>
          </w:tcPr>
          <w:p w14:paraId="6D42CF76">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序号</w:t>
            </w:r>
          </w:p>
        </w:tc>
        <w:tc>
          <w:tcPr>
            <w:tcW w:w="634" w:type="pct"/>
            <w:shd w:val="clear" w:color="auto" w:fill="auto"/>
            <w:vAlign w:val="center"/>
          </w:tcPr>
          <w:p w14:paraId="6CAA4C8E">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内容</w:t>
            </w:r>
          </w:p>
        </w:tc>
        <w:tc>
          <w:tcPr>
            <w:tcW w:w="1631" w:type="pct"/>
            <w:shd w:val="clear" w:color="auto" w:fill="auto"/>
            <w:vAlign w:val="center"/>
          </w:tcPr>
          <w:p w14:paraId="12DA7DA1">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要求</w:t>
            </w:r>
          </w:p>
        </w:tc>
        <w:tc>
          <w:tcPr>
            <w:tcW w:w="1467" w:type="pct"/>
            <w:shd w:val="clear" w:color="auto" w:fill="auto"/>
            <w:vAlign w:val="center"/>
          </w:tcPr>
          <w:p w14:paraId="745D864A">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项目情况</w:t>
            </w:r>
          </w:p>
        </w:tc>
        <w:tc>
          <w:tcPr>
            <w:tcW w:w="634" w:type="pct"/>
            <w:shd w:val="clear" w:color="auto" w:fill="auto"/>
            <w:vAlign w:val="center"/>
          </w:tcPr>
          <w:p w14:paraId="279D5151">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符合性</w:t>
            </w:r>
          </w:p>
        </w:tc>
      </w:tr>
      <w:tr w14:paraId="153CC75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65" w:hRule="atLeast"/>
        </w:trPr>
        <w:tc>
          <w:tcPr>
            <w:tcW w:w="634" w:type="pct"/>
            <w:shd w:val="clear" w:color="auto" w:fill="auto"/>
            <w:vAlign w:val="center"/>
          </w:tcPr>
          <w:p w14:paraId="703464A1">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w:t>
            </w:r>
          </w:p>
        </w:tc>
        <w:tc>
          <w:tcPr>
            <w:tcW w:w="634" w:type="pct"/>
            <w:shd w:val="clear" w:color="auto" w:fill="auto"/>
            <w:vAlign w:val="center"/>
          </w:tcPr>
          <w:p w14:paraId="60D2FBAE">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生态保护红线</w:t>
            </w:r>
          </w:p>
        </w:tc>
        <w:tc>
          <w:tcPr>
            <w:tcW w:w="1631" w:type="pct"/>
            <w:shd w:val="clear" w:color="auto" w:fill="auto"/>
            <w:vAlign w:val="center"/>
          </w:tcPr>
          <w:p w14:paraId="77A6A906">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生态保护红线是生态空间范围内具有特殊重要生态功能必须实行强制性严格保护的区域。在生态保护红线范围内，严控各类开发建设活动，依法不予审批新建工业项目和矿产开发项目的环评文件</w:t>
            </w:r>
          </w:p>
        </w:tc>
        <w:tc>
          <w:tcPr>
            <w:tcW w:w="1467" w:type="pct"/>
            <w:shd w:val="clear" w:color="auto" w:fill="auto"/>
            <w:vAlign w:val="center"/>
          </w:tcPr>
          <w:p w14:paraId="7C6F13EE">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本项目位于</w:t>
            </w:r>
            <w:r>
              <w:rPr>
                <w:rFonts w:hint="eastAsia" w:ascii="宋体" w:hAnsi="宋体" w:eastAsia="宋体" w:cs="宋体"/>
                <w:color w:val="000000"/>
                <w:kern w:val="0"/>
                <w:sz w:val="21"/>
                <w:szCs w:val="21"/>
                <w:lang w:eastAsia="zh-CN"/>
              </w:rPr>
              <w:t>本溪市溪湖区本溪佰汇铜业厂区</w:t>
            </w:r>
            <w:r>
              <w:rPr>
                <w:rFonts w:hint="eastAsia" w:ascii="宋体" w:hAnsi="宋体" w:eastAsia="宋体" w:cs="宋体"/>
                <w:color w:val="000000"/>
                <w:kern w:val="0"/>
                <w:sz w:val="21"/>
                <w:szCs w:val="21"/>
              </w:rPr>
              <w:t>内，用地为建设用地，不在生态保护红线范围内</w:t>
            </w:r>
          </w:p>
        </w:tc>
        <w:tc>
          <w:tcPr>
            <w:tcW w:w="634" w:type="pct"/>
            <w:shd w:val="clear" w:color="auto" w:fill="auto"/>
            <w:vAlign w:val="center"/>
          </w:tcPr>
          <w:p w14:paraId="7A0C29AD">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符合</w:t>
            </w:r>
          </w:p>
        </w:tc>
      </w:tr>
      <w:tr w14:paraId="318B985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55" w:hRule="atLeast"/>
        </w:trPr>
        <w:tc>
          <w:tcPr>
            <w:tcW w:w="634" w:type="pct"/>
            <w:shd w:val="clear" w:color="auto" w:fill="auto"/>
            <w:vAlign w:val="center"/>
          </w:tcPr>
          <w:p w14:paraId="27C02CFB">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w:t>
            </w:r>
          </w:p>
        </w:tc>
        <w:tc>
          <w:tcPr>
            <w:tcW w:w="634" w:type="pct"/>
            <w:shd w:val="clear" w:color="auto" w:fill="auto"/>
            <w:vAlign w:val="center"/>
          </w:tcPr>
          <w:p w14:paraId="61631572">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环境质量底线</w:t>
            </w:r>
          </w:p>
        </w:tc>
        <w:tc>
          <w:tcPr>
            <w:tcW w:w="1631" w:type="pct"/>
            <w:shd w:val="clear" w:color="auto" w:fill="auto"/>
            <w:vAlign w:val="center"/>
          </w:tcPr>
          <w:p w14:paraId="3AF4D1D1">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环境质量现状超标地区以及未达环境质量目标考核要求的地区上新项目将受到限制；对环境质量现状超标的地区，项目拟采取的措施不能满足区域环境质量改善管理要求的，依法不予审批其环评文件</w:t>
            </w:r>
          </w:p>
        </w:tc>
        <w:tc>
          <w:tcPr>
            <w:tcW w:w="1467" w:type="pct"/>
            <w:shd w:val="clear" w:color="auto" w:fill="auto"/>
            <w:vAlign w:val="center"/>
          </w:tcPr>
          <w:p w14:paraId="03DC3318">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项目所采取污染防治措施合理可行，各污染物达标排放，可保持现有各项环境质量不下降</w:t>
            </w:r>
          </w:p>
        </w:tc>
        <w:tc>
          <w:tcPr>
            <w:tcW w:w="634" w:type="pct"/>
            <w:shd w:val="clear" w:color="auto" w:fill="auto"/>
            <w:vAlign w:val="center"/>
          </w:tcPr>
          <w:p w14:paraId="57F59049">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符合</w:t>
            </w:r>
          </w:p>
        </w:tc>
      </w:tr>
      <w:tr w14:paraId="17B5D7F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975" w:hRule="atLeast"/>
        </w:trPr>
        <w:tc>
          <w:tcPr>
            <w:tcW w:w="634" w:type="pct"/>
            <w:shd w:val="clear" w:color="auto" w:fill="auto"/>
            <w:vAlign w:val="center"/>
          </w:tcPr>
          <w:p w14:paraId="1678C53C">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w:t>
            </w:r>
          </w:p>
        </w:tc>
        <w:tc>
          <w:tcPr>
            <w:tcW w:w="634" w:type="pct"/>
            <w:shd w:val="clear" w:color="auto" w:fill="auto"/>
            <w:vAlign w:val="center"/>
          </w:tcPr>
          <w:p w14:paraId="034A41D8">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资源利用上线</w:t>
            </w:r>
          </w:p>
        </w:tc>
        <w:tc>
          <w:tcPr>
            <w:tcW w:w="1631" w:type="pct"/>
            <w:shd w:val="clear" w:color="auto" w:fill="auto"/>
            <w:vAlign w:val="center"/>
          </w:tcPr>
          <w:p w14:paraId="3D40AD75">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依据有关资源利用上线要求，即各地区能源、水、土地等资源消耗是不得突破的“天花板”</w:t>
            </w:r>
          </w:p>
        </w:tc>
        <w:tc>
          <w:tcPr>
            <w:tcW w:w="1467" w:type="pct"/>
            <w:shd w:val="clear" w:color="auto" w:fill="auto"/>
            <w:vAlign w:val="center"/>
          </w:tcPr>
          <w:p w14:paraId="46EEDBF9">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项目不使用高能耗能源。本项目不属于高污染、高能耗、高水耗的建设项目，符合资源利用上线的要求。</w:t>
            </w:r>
          </w:p>
        </w:tc>
        <w:tc>
          <w:tcPr>
            <w:tcW w:w="634" w:type="pct"/>
            <w:shd w:val="clear" w:color="auto" w:fill="auto"/>
            <w:vAlign w:val="center"/>
          </w:tcPr>
          <w:p w14:paraId="116F523E">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符合</w:t>
            </w:r>
          </w:p>
        </w:tc>
      </w:tr>
      <w:tr w14:paraId="3CD10E5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20" w:hRule="atLeast"/>
        </w:trPr>
        <w:tc>
          <w:tcPr>
            <w:tcW w:w="634" w:type="pct"/>
            <w:shd w:val="clear" w:color="auto" w:fill="auto"/>
            <w:vAlign w:val="center"/>
          </w:tcPr>
          <w:p w14:paraId="7C0582B8">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4</w:t>
            </w:r>
          </w:p>
        </w:tc>
        <w:tc>
          <w:tcPr>
            <w:tcW w:w="634" w:type="pct"/>
            <w:shd w:val="clear" w:color="auto" w:fill="auto"/>
            <w:vAlign w:val="center"/>
          </w:tcPr>
          <w:p w14:paraId="0FE62FB9">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环境准入负面清单</w:t>
            </w:r>
          </w:p>
        </w:tc>
        <w:tc>
          <w:tcPr>
            <w:tcW w:w="1631" w:type="pct"/>
            <w:shd w:val="clear" w:color="auto" w:fill="auto"/>
            <w:vAlign w:val="center"/>
          </w:tcPr>
          <w:p w14:paraId="46BA15A8">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环境准入负面清单是基于生态保护红线、环境质量底线和资源利用上线，以清单方式列出的禁止、限制等差别化环境准入条件和要求。要在规划环评清单式管理试点的基础上，从布局选址、资源利用效率、资源配置方式等方面入手，制定环境准入负面清单，充分发挥负面清单对产业发展和项目准入的指导和约束作用</w:t>
            </w:r>
          </w:p>
        </w:tc>
        <w:tc>
          <w:tcPr>
            <w:tcW w:w="1467" w:type="pct"/>
            <w:shd w:val="clear" w:color="auto" w:fill="auto"/>
            <w:vAlign w:val="center"/>
          </w:tcPr>
          <w:p w14:paraId="57FEB36F">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项目不在负面清单范围内；项目符合国家和地方产业政策</w:t>
            </w:r>
          </w:p>
        </w:tc>
        <w:tc>
          <w:tcPr>
            <w:tcW w:w="634" w:type="pct"/>
            <w:shd w:val="clear" w:color="auto" w:fill="auto"/>
            <w:vAlign w:val="center"/>
          </w:tcPr>
          <w:p w14:paraId="274150FF">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符合</w:t>
            </w:r>
          </w:p>
        </w:tc>
      </w:tr>
    </w:tbl>
    <w:p w14:paraId="3DFE131C">
      <w:pPr>
        <w:pStyle w:val="31"/>
        <w:spacing w:after="0" w:line="240" w:lineRule="auto"/>
        <w:ind w:left="0" w:leftChars="0"/>
      </w:pPr>
    </w:p>
    <w:p w14:paraId="5A5560A1">
      <w:pPr>
        <w:pStyle w:val="3"/>
        <w:bidi w:val="0"/>
      </w:pPr>
      <w:bookmarkStart w:id="530" w:name="_Toc25427"/>
      <w:r>
        <w:t>1</w:t>
      </w:r>
      <w:r>
        <w:rPr>
          <w:rFonts w:hint="eastAsia"/>
          <w:lang w:val="en-US" w:eastAsia="zh-CN"/>
        </w:rPr>
        <w:t>3</w:t>
      </w:r>
      <w:r>
        <w:t>.</w:t>
      </w:r>
      <w:r>
        <w:rPr>
          <w:rFonts w:hint="eastAsia"/>
          <w:lang w:val="en-US" w:eastAsia="zh-CN"/>
        </w:rPr>
        <w:t>3项目建设与《电镀行业规范条件》相符性分析</w:t>
      </w:r>
      <w:bookmarkEnd w:id="530"/>
    </w:p>
    <w:p w14:paraId="7F4E4FE4">
      <w:pPr>
        <w:rPr>
          <w:rFonts w:hint="eastAsia"/>
          <w:lang w:val="en-US" w:eastAsia="zh-CN"/>
        </w:rPr>
      </w:pPr>
      <w:r>
        <w:rPr>
          <w:rFonts w:hint="eastAsia"/>
          <w:lang w:val="en-US" w:eastAsia="zh-CN"/>
        </w:rPr>
        <w:t>项目与《电镀行业规范条件》相符性分析如下表所示。</w:t>
      </w:r>
    </w:p>
    <w:p w14:paraId="589E19F2">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黑体" w:hAnsi="黑体" w:eastAsia="黑体" w:cs="黑体"/>
          <w:sz w:val="21"/>
          <w:szCs w:val="21"/>
          <w:lang w:val="en-US" w:eastAsia="zh-CN"/>
        </w:rPr>
      </w:pPr>
      <w:r>
        <w:rPr>
          <w:rFonts w:hint="eastAsia" w:ascii="黑体" w:hAnsi="黑体" w:eastAsia="黑体" w:cs="黑体"/>
          <w:b w:val="0"/>
          <w:bCs w:val="0"/>
          <w:color w:val="auto"/>
          <w:kern w:val="2"/>
          <w:sz w:val="21"/>
          <w:szCs w:val="32"/>
          <w:shd w:val="clear" w:color="auto" w:fill="auto"/>
          <w:lang w:val="en-US" w:eastAsia="zh-CN" w:bidi="ar-SA"/>
        </w:rPr>
        <w:t>表13-2电镀行业相符性分析</w:t>
      </w:r>
    </w:p>
    <w:tbl>
      <w:tblPr>
        <w:tblStyle w:val="53"/>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566"/>
        <w:gridCol w:w="1174"/>
        <w:gridCol w:w="4965"/>
        <w:gridCol w:w="2237"/>
      </w:tblGrid>
      <w:tr w14:paraId="22DA8D6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17" w:type="pct"/>
            <w:tcBorders>
              <w:tl2br w:val="nil"/>
              <w:tr2bl w:val="nil"/>
            </w:tcBorders>
            <w:vAlign w:val="center"/>
          </w:tcPr>
          <w:p w14:paraId="49F55968">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序号</w:t>
            </w:r>
          </w:p>
        </w:tc>
        <w:tc>
          <w:tcPr>
            <w:tcW w:w="656" w:type="pct"/>
            <w:tcBorders>
              <w:tl2br w:val="nil"/>
              <w:tr2bl w:val="nil"/>
            </w:tcBorders>
            <w:vAlign w:val="center"/>
          </w:tcPr>
          <w:p w14:paraId="4A419322">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项目</w:t>
            </w:r>
          </w:p>
        </w:tc>
        <w:tc>
          <w:tcPr>
            <w:tcW w:w="2775" w:type="pct"/>
            <w:tcBorders>
              <w:tl2br w:val="nil"/>
              <w:tr2bl w:val="nil"/>
            </w:tcBorders>
            <w:vAlign w:val="center"/>
          </w:tcPr>
          <w:p w14:paraId="75D30705">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《电镀行业规范条件》</w:t>
            </w:r>
          </w:p>
        </w:tc>
        <w:tc>
          <w:tcPr>
            <w:tcW w:w="1250" w:type="pct"/>
            <w:tcBorders>
              <w:tl2br w:val="nil"/>
              <w:tr2bl w:val="nil"/>
            </w:tcBorders>
            <w:vAlign w:val="center"/>
          </w:tcPr>
          <w:p w14:paraId="05215B87">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本项目</w:t>
            </w:r>
          </w:p>
        </w:tc>
      </w:tr>
      <w:tr w14:paraId="397EE1B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17" w:type="pct"/>
            <w:tcBorders>
              <w:tl2br w:val="nil"/>
              <w:tr2bl w:val="nil"/>
            </w:tcBorders>
            <w:vAlign w:val="center"/>
          </w:tcPr>
          <w:p w14:paraId="5829BA61">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w:t>
            </w:r>
          </w:p>
        </w:tc>
        <w:tc>
          <w:tcPr>
            <w:tcW w:w="656" w:type="pct"/>
            <w:tcBorders>
              <w:tl2br w:val="nil"/>
              <w:tr2bl w:val="nil"/>
            </w:tcBorders>
            <w:vAlign w:val="center"/>
          </w:tcPr>
          <w:p w14:paraId="50B3FAD1">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产业布局</w:t>
            </w:r>
          </w:p>
        </w:tc>
        <w:tc>
          <w:tcPr>
            <w:tcW w:w="2775" w:type="pct"/>
            <w:tcBorders>
              <w:tl2br w:val="nil"/>
              <w:tr2bl w:val="nil"/>
            </w:tcBorders>
            <w:vAlign w:val="center"/>
          </w:tcPr>
          <w:p w14:paraId="4B8D3680">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根据资源、能源状况和市场需求，科学规划行业发展。新、改、扩建项目必须符合国家产业政策，项目选址应符合产业规划、环境保护规划、土地利用规划、环境功能区划以及其他相关规划要求。</w:t>
            </w:r>
          </w:p>
        </w:tc>
        <w:tc>
          <w:tcPr>
            <w:tcW w:w="1250" w:type="pct"/>
            <w:tcBorders>
              <w:tl2br w:val="nil"/>
              <w:tr2bl w:val="nil"/>
            </w:tcBorders>
            <w:vAlign w:val="center"/>
          </w:tcPr>
          <w:p w14:paraId="583A2325">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符合国家和地方产业政策、符合《重金属污染综合防治“十二五”规划》</w:t>
            </w:r>
          </w:p>
        </w:tc>
      </w:tr>
      <w:tr w14:paraId="0B992AE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17" w:type="pct"/>
            <w:tcBorders>
              <w:tl2br w:val="nil"/>
              <w:tr2bl w:val="nil"/>
            </w:tcBorders>
            <w:vAlign w:val="center"/>
          </w:tcPr>
          <w:p w14:paraId="22B8E9E0">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w:t>
            </w:r>
          </w:p>
        </w:tc>
        <w:tc>
          <w:tcPr>
            <w:tcW w:w="656" w:type="pct"/>
            <w:tcBorders>
              <w:tl2br w:val="nil"/>
              <w:tr2bl w:val="nil"/>
            </w:tcBorders>
            <w:vAlign w:val="center"/>
          </w:tcPr>
          <w:p w14:paraId="0B4FFC70">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工艺和装备</w:t>
            </w:r>
          </w:p>
        </w:tc>
        <w:tc>
          <w:tcPr>
            <w:tcW w:w="2775" w:type="pct"/>
            <w:tcBorders>
              <w:tl2br w:val="nil"/>
              <w:tr2bl w:val="nil"/>
            </w:tcBorders>
            <w:vAlign w:val="center"/>
          </w:tcPr>
          <w:p w14:paraId="7A6DCF33">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生产区域地面防腐、防渗、防积液，生产线有槽间收集遗洒镀液和清洗液装置。生产线配有多级逆流漂洗、喷淋等节水装置及槽液回收装置。根据加工零部件的品种、数量等优先选用高效低耗连续式处理设备，并达到《电镀行业清洁生产评价指标体系》（试行）中二级指标以上水平。</w:t>
            </w:r>
          </w:p>
        </w:tc>
        <w:tc>
          <w:tcPr>
            <w:tcW w:w="1250" w:type="pct"/>
            <w:tcBorders>
              <w:tl2br w:val="nil"/>
              <w:tr2bl w:val="nil"/>
            </w:tcBorders>
            <w:vAlign w:val="center"/>
          </w:tcPr>
          <w:p w14:paraId="3AFE8626">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本项目生产区域设置设置防腐、防渗。生产线配套建设水洗工序，槽液循环使用不外排。生产设备均选用低耗能设备，达到《电镀行业清洁生产评价指标体系》（试行）中二级指标以上水平</w:t>
            </w:r>
            <w:r>
              <w:rPr>
                <w:rFonts w:hint="eastAsia" w:ascii="宋体" w:hAnsi="宋体" w:cs="宋体"/>
                <w:sz w:val="21"/>
                <w:szCs w:val="21"/>
                <w:vertAlign w:val="baseline"/>
                <w:lang w:val="en-US" w:eastAsia="zh-CN"/>
              </w:rPr>
              <w:t>。</w:t>
            </w:r>
          </w:p>
        </w:tc>
      </w:tr>
      <w:tr w14:paraId="6571CC0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17" w:type="pct"/>
            <w:tcBorders>
              <w:tl2br w:val="nil"/>
              <w:tr2bl w:val="nil"/>
            </w:tcBorders>
            <w:vAlign w:val="center"/>
          </w:tcPr>
          <w:p w14:paraId="4160E3C5">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3</w:t>
            </w:r>
          </w:p>
        </w:tc>
        <w:tc>
          <w:tcPr>
            <w:tcW w:w="656" w:type="pct"/>
            <w:tcBorders>
              <w:tl2br w:val="nil"/>
              <w:tr2bl w:val="nil"/>
            </w:tcBorders>
            <w:vAlign w:val="center"/>
          </w:tcPr>
          <w:p w14:paraId="4CECEE21">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资源消耗</w:t>
            </w:r>
          </w:p>
        </w:tc>
        <w:tc>
          <w:tcPr>
            <w:tcW w:w="2775" w:type="pct"/>
            <w:tcBorders>
              <w:tl2br w:val="nil"/>
              <w:tr2bl w:val="nil"/>
            </w:tcBorders>
            <w:vAlign w:val="center"/>
          </w:tcPr>
          <w:p w14:paraId="49861B16">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有重金属和水资源循环利用设施。镀铜、镀镍、镀硬铬以及镀贵金属等生产线配备工艺技术成熟的带出液回收槽等回收设施。水的重复利用率在30%以上。</w:t>
            </w:r>
          </w:p>
        </w:tc>
        <w:tc>
          <w:tcPr>
            <w:tcW w:w="1250" w:type="pct"/>
            <w:tcBorders>
              <w:tl2br w:val="nil"/>
              <w:tr2bl w:val="nil"/>
            </w:tcBorders>
            <w:vAlign w:val="center"/>
          </w:tcPr>
          <w:p w14:paraId="5279A5B4">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本项目生产废水全部循环使用，不外排。</w:t>
            </w:r>
          </w:p>
        </w:tc>
      </w:tr>
      <w:tr w14:paraId="5FD9FA6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17" w:type="pct"/>
            <w:tcBorders>
              <w:tl2br w:val="nil"/>
              <w:tr2bl w:val="nil"/>
            </w:tcBorders>
            <w:vAlign w:val="center"/>
          </w:tcPr>
          <w:p w14:paraId="6744BD21">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4</w:t>
            </w:r>
          </w:p>
        </w:tc>
        <w:tc>
          <w:tcPr>
            <w:tcW w:w="656" w:type="pct"/>
            <w:tcBorders>
              <w:tl2br w:val="nil"/>
              <w:tr2bl w:val="nil"/>
            </w:tcBorders>
            <w:vAlign w:val="center"/>
          </w:tcPr>
          <w:p w14:paraId="637AE573">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环境保护</w:t>
            </w:r>
          </w:p>
        </w:tc>
        <w:tc>
          <w:tcPr>
            <w:tcW w:w="2775" w:type="pct"/>
            <w:tcBorders>
              <w:tl2br w:val="nil"/>
              <w:tr2bl w:val="nil"/>
            </w:tcBorders>
            <w:vAlign w:val="center"/>
          </w:tcPr>
          <w:p w14:paraId="1830409F">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有废气净化装置、废水处理设施，废气和废水的排放符合相关排放标准。危险废物按照《国家危险废物名录》和《危险废物贮存污染控制标准》（GB18597）设置规范的分类收集容器进行分类收集。厂界噪声应符合《工业企业厂界噪声标准》（GB12348）要求。</w:t>
            </w:r>
          </w:p>
        </w:tc>
        <w:tc>
          <w:tcPr>
            <w:tcW w:w="1250" w:type="pct"/>
            <w:tcBorders>
              <w:tl2br w:val="nil"/>
              <w:tr2bl w:val="nil"/>
            </w:tcBorders>
            <w:vAlign w:val="center"/>
          </w:tcPr>
          <w:p w14:paraId="0800501F">
            <w:pPr>
              <w:pStyle w:val="7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企业配套建设废气、废水处理设施，废气达标排放，废水全部回用不外排。</w:t>
            </w:r>
          </w:p>
        </w:tc>
      </w:tr>
    </w:tbl>
    <w:p w14:paraId="499EB5F7">
      <w:pPr>
        <w:pStyle w:val="3"/>
        <w:rPr>
          <w:color w:val="auto"/>
        </w:rPr>
      </w:pPr>
      <w:bookmarkStart w:id="531" w:name="_Toc20095"/>
      <w:bookmarkStart w:id="532" w:name="_Toc219601397"/>
      <w:bookmarkStart w:id="533" w:name="_Toc219563494"/>
      <w:r>
        <w:rPr>
          <w:color w:val="auto"/>
        </w:rPr>
        <w:t>1</w:t>
      </w:r>
      <w:r>
        <w:rPr>
          <w:rFonts w:hint="eastAsia"/>
          <w:color w:val="auto"/>
          <w:lang w:val="en-US" w:eastAsia="zh-CN"/>
        </w:rPr>
        <w:t>3</w:t>
      </w:r>
      <w:r>
        <w:rPr>
          <w:color w:val="auto"/>
        </w:rPr>
        <w:t>.</w:t>
      </w:r>
      <w:r>
        <w:rPr>
          <w:rFonts w:hint="eastAsia"/>
          <w:color w:val="auto"/>
          <w:lang w:val="en-US" w:eastAsia="zh-CN"/>
        </w:rPr>
        <w:t>4</w:t>
      </w:r>
      <w:r>
        <w:rPr>
          <w:rFonts w:hint="eastAsia"/>
          <w:color w:val="auto"/>
          <w:lang w:eastAsia="zh-CN"/>
        </w:rPr>
        <w:t>环境可行</w:t>
      </w:r>
      <w:r>
        <w:rPr>
          <w:color w:val="auto"/>
        </w:rPr>
        <w:t>性分析</w:t>
      </w:r>
      <w:bookmarkEnd w:id="531"/>
    </w:p>
    <w:p w14:paraId="59363E71">
      <w:pPr>
        <w:bidi w:val="0"/>
        <w:rPr>
          <w:rFonts w:hint="eastAsia"/>
        </w:rPr>
      </w:pPr>
      <w:r>
        <w:rPr>
          <w:rFonts w:hint="eastAsia"/>
        </w:rPr>
        <w:t>本项目生产中将有废水、废气、噪声、固废等污染物产生和排放。建设项目投入约</w:t>
      </w:r>
      <w:r>
        <w:rPr>
          <w:rFonts w:hint="eastAsia"/>
          <w:lang w:val="en-US" w:eastAsia="zh-CN"/>
        </w:rPr>
        <w:t>49</w:t>
      </w:r>
      <w:r>
        <w:rPr>
          <w:rFonts w:hint="eastAsia"/>
        </w:rPr>
        <w:t>万元用于本项目污染</w:t>
      </w:r>
      <w:r>
        <w:rPr>
          <w:rFonts w:hint="eastAsia"/>
          <w:lang w:eastAsia="zh-CN"/>
        </w:rPr>
        <w:t>物的治理</w:t>
      </w:r>
      <w:r>
        <w:rPr>
          <w:rFonts w:hint="eastAsia"/>
        </w:rPr>
        <w:t>。本项目所采取的措施能有效地控制各类污染物的排放，各污染因子排放浓度均低于有关标准限值，项目各类固体废物均可得到有效处置或利用，实现区域零排放。</w:t>
      </w:r>
    </w:p>
    <w:p w14:paraId="4B24B385">
      <w:pPr>
        <w:bidi w:val="0"/>
        <w:rPr>
          <w:rFonts w:hint="eastAsia"/>
        </w:rPr>
      </w:pPr>
      <w:r>
        <w:rPr>
          <w:rFonts w:hint="eastAsia"/>
        </w:rPr>
        <w:t>环境影响预测结果表明，项目正常生产情况下，本项目废气、废水污染物及噪声达标排放，本项目的建设运营不会改变所在区域的环境功能，评价区水气声等环境质量仍可维持现状功能。</w:t>
      </w:r>
    </w:p>
    <w:p w14:paraId="6E2A5BB0">
      <w:pPr>
        <w:pStyle w:val="3"/>
        <w:bidi w:val="0"/>
        <w:rPr>
          <w:rFonts w:hint="default"/>
          <w:lang w:val="en-US" w:eastAsia="zh-CN"/>
        </w:rPr>
      </w:pPr>
      <w:bookmarkStart w:id="534" w:name="_Toc23408"/>
      <w:r>
        <w:rPr>
          <w:rFonts w:hint="eastAsia"/>
          <w:lang w:val="en-US" w:eastAsia="zh-CN"/>
        </w:rPr>
        <w:t>13.5园区准入条件相符性分析</w:t>
      </w:r>
      <w:bookmarkEnd w:id="534"/>
    </w:p>
    <w:p w14:paraId="42675A79">
      <w:pPr>
        <w:bidi w:val="0"/>
        <w:rPr>
          <w:rFonts w:hint="eastAsia" w:eastAsia="宋体"/>
          <w:lang w:val="en-US" w:eastAsia="zh-CN"/>
        </w:rPr>
        <w:sectPr>
          <w:pgSz w:w="11906" w:h="16838"/>
          <w:pgMar w:top="1814" w:right="1588" w:bottom="1588" w:left="1588" w:header="851" w:footer="992" w:gutter="0"/>
          <w:pgBorders>
            <w:top w:val="none" w:sz="0" w:space="0"/>
            <w:left w:val="none" w:sz="0" w:space="0"/>
            <w:bottom w:val="none" w:sz="0" w:space="0"/>
            <w:right w:val="none" w:sz="0" w:space="0"/>
          </w:pgBorders>
          <w:pgNumType w:fmt="decimal"/>
          <w:cols w:space="720" w:num="1"/>
          <w:docGrid w:type="lines" w:linePitch="312" w:charSpace="0"/>
        </w:sectPr>
      </w:pPr>
      <w:r>
        <w:rPr>
          <w:rFonts w:hint="eastAsia"/>
          <w:lang w:val="en-US" w:eastAsia="zh-CN"/>
        </w:rPr>
        <w:t>本项目位于本溪佰汇铜业有限公司现有厂区内，厂区位于辽宁（本溪湖）再生资源产业园区内，园区与2012年8月编制《辽宁（本溪湖）再生资源产业园总体规划环境影响报告书》，并于2012年10月24日由辽宁省环境保护厅出具“关于辽宁（本溪湖）再生资源产业园总体规划环境影响报告书的审查意见”（辽环函[2012]435号），</w:t>
      </w:r>
      <w:r>
        <w:rPr>
          <w:rFonts w:hint="eastAsia"/>
        </w:rPr>
        <w:t>园区总规划面积78平方米公里，可建设用地20平方米公里，包括废钢铁加工区、尾矿建材区、冶金渣利用区、煤矸石利用区、粉煤灰利用区、矿冶设备加工修复区、废油处理区和物流园区八个功能区</w:t>
      </w:r>
      <w:r>
        <w:rPr>
          <w:rFonts w:hint="eastAsia"/>
          <w:lang w:eastAsia="zh-CN"/>
        </w:rPr>
        <w:t>，</w:t>
      </w:r>
      <w:r>
        <w:rPr>
          <w:rFonts w:hint="eastAsia"/>
        </w:rPr>
        <w:t>以再生循环产业和废钢铁产业为重点，积极引进科技含量高、工艺先进的资源再利用项目，以经济繁荣、科技发达、环境优美、产业结构合理为目标</w:t>
      </w:r>
      <w:r>
        <w:rPr>
          <w:rFonts w:hint="eastAsia"/>
          <w:lang w:eastAsia="zh-CN"/>
        </w:rPr>
        <w:t>。本项目为铜件表面处理项目，项目采用先进工艺，配套建设废气、废水处理装置，废水经处理后全部回用不外排，废气经处理后达标排放，符合园区准入条件。</w:t>
      </w:r>
    </w:p>
    <w:bookmarkEnd w:id="11"/>
    <w:bookmarkEnd w:id="12"/>
    <w:bookmarkEnd w:id="13"/>
    <w:bookmarkEnd w:id="519"/>
    <w:bookmarkEnd w:id="520"/>
    <w:bookmarkEnd w:id="521"/>
    <w:bookmarkEnd w:id="522"/>
    <w:bookmarkEnd w:id="523"/>
    <w:bookmarkEnd w:id="524"/>
    <w:bookmarkEnd w:id="525"/>
    <w:bookmarkEnd w:id="532"/>
    <w:bookmarkEnd w:id="533"/>
    <w:p w14:paraId="0E13CC5E">
      <w:pPr>
        <w:pStyle w:val="2"/>
        <w:bidi w:val="0"/>
      </w:pPr>
      <w:bookmarkStart w:id="535" w:name="_Toc218232756"/>
      <w:bookmarkStart w:id="536" w:name="_Toc11823"/>
      <w:r>
        <w:t>1</w:t>
      </w:r>
      <w:r>
        <w:rPr>
          <w:rFonts w:hint="eastAsia"/>
          <w:lang w:val="en-US" w:eastAsia="zh-CN"/>
        </w:rPr>
        <w:t>4</w:t>
      </w:r>
      <w:r>
        <w:t>结论</w:t>
      </w:r>
      <w:bookmarkEnd w:id="535"/>
      <w:bookmarkEnd w:id="536"/>
    </w:p>
    <w:p w14:paraId="07A093DF">
      <w:pPr>
        <w:pStyle w:val="3"/>
        <w:rPr>
          <w:color w:val="auto"/>
        </w:rPr>
      </w:pPr>
      <w:bookmarkStart w:id="537" w:name="_Toc218232757"/>
      <w:bookmarkStart w:id="538" w:name="_Toc23147"/>
      <w:r>
        <w:rPr>
          <w:color w:val="auto"/>
        </w:rPr>
        <w:t>1</w:t>
      </w:r>
      <w:r>
        <w:rPr>
          <w:rFonts w:hint="eastAsia"/>
          <w:color w:val="auto"/>
          <w:lang w:val="en-US" w:eastAsia="zh-CN"/>
        </w:rPr>
        <w:t>4</w:t>
      </w:r>
      <w:r>
        <w:rPr>
          <w:color w:val="auto"/>
        </w:rPr>
        <w:t>.1工程概述</w:t>
      </w:r>
      <w:bookmarkEnd w:id="537"/>
      <w:bookmarkEnd w:id="538"/>
    </w:p>
    <w:p w14:paraId="30483F26">
      <w:pPr>
        <w:kinsoku/>
        <w:wordWrap/>
        <w:overflowPunct/>
        <w:topLinePunct w:val="0"/>
        <w:autoSpaceDE/>
        <w:autoSpaceDN/>
        <w:bidi w:val="0"/>
        <w:adjustRightInd/>
        <w:snapToGrid/>
        <w:textAlignment w:val="auto"/>
        <w:rPr>
          <w:rFonts w:hint="eastAsia" w:eastAsia="宋体"/>
          <w:lang w:eastAsia="zh-CN"/>
        </w:rPr>
      </w:pPr>
      <w:r>
        <w:rPr>
          <w:rFonts w:hint="eastAsia"/>
          <w:lang w:eastAsia="zh-CN"/>
        </w:rPr>
        <w:t>本溪佰汇铜业有限公司计划投资</w:t>
      </w:r>
      <w:r>
        <w:rPr>
          <w:rFonts w:hint="eastAsia"/>
          <w:lang w:val="en-US" w:eastAsia="zh-CN"/>
        </w:rPr>
        <w:t>330</w:t>
      </w:r>
      <w:r>
        <w:t>万元</w:t>
      </w:r>
      <w:r>
        <w:rPr>
          <w:rFonts w:hint="eastAsia"/>
          <w:lang w:eastAsia="zh-CN"/>
        </w:rPr>
        <w:t>建设环保型铜排表面处理自动生产线项目，项目位于本溪市溪湖区东风街道办事处新合村，本溪佰汇铜业有限公司现有标准化厂房内，</w:t>
      </w:r>
      <w:r>
        <w:t>项目劳动定员1</w:t>
      </w:r>
      <w:r>
        <w:rPr>
          <w:rFonts w:hint="eastAsia"/>
          <w:lang w:val="en-US" w:eastAsia="zh-CN"/>
        </w:rPr>
        <w:t>0</w:t>
      </w:r>
      <w:r>
        <w:t>人，全年运行3</w:t>
      </w:r>
      <w:r>
        <w:rPr>
          <w:rFonts w:hint="eastAsia"/>
          <w:lang w:val="en-US" w:eastAsia="zh-CN"/>
        </w:rPr>
        <w:t>00</w:t>
      </w:r>
      <w:r>
        <w:t>天，</w:t>
      </w:r>
      <w:r>
        <w:rPr>
          <w:rFonts w:hint="eastAsia"/>
          <w:lang w:eastAsia="zh-CN"/>
        </w:rPr>
        <w:t>白班制</w:t>
      </w:r>
      <w:r>
        <w:t>，8小时/班。</w:t>
      </w:r>
    </w:p>
    <w:p w14:paraId="0B3F982F">
      <w:pPr>
        <w:pStyle w:val="3"/>
        <w:rPr>
          <w:color w:val="auto"/>
        </w:rPr>
      </w:pPr>
      <w:bookmarkStart w:id="539" w:name="_Toc29885"/>
      <w:r>
        <w:rPr>
          <w:color w:val="auto"/>
        </w:rPr>
        <w:t>1</w:t>
      </w:r>
      <w:r>
        <w:rPr>
          <w:rFonts w:hint="eastAsia"/>
          <w:color w:val="auto"/>
          <w:lang w:val="en-US" w:eastAsia="zh-CN"/>
        </w:rPr>
        <w:t>4</w:t>
      </w:r>
      <w:r>
        <w:rPr>
          <w:color w:val="auto"/>
        </w:rPr>
        <w:t>.2产业政策相符性</w:t>
      </w:r>
      <w:bookmarkEnd w:id="539"/>
    </w:p>
    <w:p w14:paraId="14B8BD42">
      <w:pPr>
        <w:ind w:firstLine="480" w:firstLineChars="200"/>
      </w:pPr>
      <w:bookmarkStart w:id="540" w:name="_Toc218232759"/>
      <w:r>
        <w:rPr>
          <w:rFonts w:hint="eastAsia"/>
        </w:rPr>
        <w:t>本项目属电镀表面处理加工项目，对照《产业结构调整指导目录（201</w:t>
      </w:r>
      <w:r>
        <w:rPr>
          <w:rFonts w:hint="eastAsia"/>
          <w:lang w:val="en-US" w:eastAsia="zh-CN"/>
        </w:rPr>
        <w:t>9</w:t>
      </w:r>
      <w:r>
        <w:rPr>
          <w:rFonts w:hint="eastAsia"/>
        </w:rPr>
        <w:t>年本）》可知，本项目不属于鼓励类、限制类和淘汰类范畴，视为允许类，与产业政策相符。本项目电镀生产工艺亦不属于国家工信部颁布的《部分工业行业淘汰落后生产工艺装备和产品指导目录（2010 年本）》中所列的含氰电镀工艺。故本项目的建设符合国家产业政策</w:t>
      </w:r>
      <w:r>
        <w:t>。</w:t>
      </w:r>
    </w:p>
    <w:p w14:paraId="0F5ADBCF">
      <w:pPr>
        <w:pStyle w:val="3"/>
        <w:rPr>
          <w:color w:val="auto"/>
        </w:rPr>
      </w:pPr>
      <w:bookmarkStart w:id="541" w:name="_Toc25443"/>
      <w:r>
        <w:rPr>
          <w:color w:val="auto"/>
        </w:rPr>
        <w:t>1</w:t>
      </w:r>
      <w:r>
        <w:rPr>
          <w:rFonts w:hint="eastAsia"/>
          <w:color w:val="auto"/>
          <w:lang w:val="en-US" w:eastAsia="zh-CN"/>
        </w:rPr>
        <w:t>4</w:t>
      </w:r>
      <w:r>
        <w:rPr>
          <w:color w:val="auto"/>
        </w:rPr>
        <w:t>.3</w:t>
      </w:r>
      <w:bookmarkEnd w:id="540"/>
      <w:r>
        <w:rPr>
          <w:color w:val="auto"/>
        </w:rPr>
        <w:t>环境质量现状</w:t>
      </w:r>
      <w:bookmarkEnd w:id="541"/>
    </w:p>
    <w:p w14:paraId="25535034">
      <w:pPr>
        <w:ind w:firstLine="480" w:firstLineChars="200"/>
        <w:rPr>
          <w:bCs/>
        </w:rPr>
      </w:pPr>
      <w:r>
        <w:rPr>
          <w:bCs/>
        </w:rPr>
        <w:t xml:space="preserve">（1）环境空气 </w:t>
      </w:r>
    </w:p>
    <w:p w14:paraId="0F5BB6AF">
      <w:pPr>
        <w:bidi w:val="0"/>
      </w:pPr>
      <w:r>
        <w:rPr>
          <w:rFonts w:hint="default" w:ascii="Times New Roman" w:hAnsi="Times New Roman" w:cs="Times New Roman"/>
          <w:b w:val="0"/>
          <w:bCs/>
          <w:spacing w:val="4"/>
          <w:kern w:val="0"/>
          <w:szCs w:val="24"/>
        </w:rPr>
        <w:t>2018年，本溪市城区环境空气中各污染物浓度均满足国家《环境空气质量标准</w:t>
      </w:r>
      <w:r>
        <w:rPr>
          <w:rFonts w:hint="default"/>
        </w:rPr>
        <w:t>》（GB3095-2012）及修改单中二级标准，所以项目所在区域属于达标区</w:t>
      </w:r>
      <w:r>
        <w:t>。</w:t>
      </w:r>
    </w:p>
    <w:p w14:paraId="37478282">
      <w:pPr>
        <w:bidi w:val="0"/>
      </w:pPr>
      <w:r>
        <w:t>（2）地表水</w:t>
      </w:r>
    </w:p>
    <w:p w14:paraId="19D3B449">
      <w:pPr>
        <w:bidi w:val="0"/>
        <w:rPr>
          <w:rFonts w:hint="default"/>
        </w:rPr>
      </w:pPr>
      <w:r>
        <w:t>本项目所在</w:t>
      </w:r>
      <w:r>
        <w:rPr>
          <w:rFonts w:hint="eastAsia"/>
          <w:lang w:eastAsia="zh-CN"/>
        </w:rPr>
        <w:t>区域水体</w:t>
      </w:r>
      <w:r>
        <w:t>的</w:t>
      </w:r>
      <w:r>
        <w:rPr>
          <w:rFonts w:hint="eastAsia"/>
          <w:lang w:eastAsia="zh-CN"/>
        </w:rPr>
        <w:t>太子</w:t>
      </w:r>
      <w:r>
        <w:t>河执行《地表水环境质量标准》（GB3838-2002）中</w:t>
      </w:r>
      <w:r>
        <w:rPr>
          <w:rFonts w:hint="eastAsia"/>
        </w:rPr>
        <w:t>Ⅳ</w:t>
      </w:r>
      <w:r>
        <w:t>类标准</w:t>
      </w:r>
      <w:r>
        <w:rPr>
          <w:rFonts w:hint="eastAsia"/>
          <w:lang w:eastAsia="zh-CN"/>
        </w:rPr>
        <w:t>，地表水环境质量引用《</w:t>
      </w:r>
      <w:r>
        <w:rPr>
          <w:rFonts w:hint="default"/>
        </w:rPr>
        <w:t>2018年本溪市</w:t>
      </w:r>
      <w:r>
        <w:rPr>
          <w:rFonts w:hint="eastAsia"/>
          <w:lang w:eastAsia="zh-CN"/>
        </w:rPr>
        <w:t>环境质量简报》中兴安断面相关资料。</w:t>
      </w:r>
      <w:r>
        <w:rPr>
          <w:rFonts w:hint="eastAsia"/>
        </w:rPr>
        <w:t>兴安断面位于太子河入辽阳境之前，为控制断面，控制太子河流出本溪城区的水质状况，水质评价执行国家《地表水环境质量标准》</w:t>
      </w:r>
      <w:r>
        <w:t>（GB</w:t>
      </w:r>
      <w:r>
        <w:rPr>
          <w:rFonts w:hint="eastAsia"/>
        </w:rPr>
        <w:t xml:space="preserve"> </w:t>
      </w:r>
      <w:r>
        <w:t>3838-2002）Ⅳ</w:t>
      </w:r>
      <w:r>
        <w:rPr>
          <w:rFonts w:hint="eastAsia"/>
        </w:rPr>
        <w:t>类标准。2018年兴安断面各项指标年均值达标，水质为</w:t>
      </w:r>
      <w:r>
        <w:t>Ⅳ</w:t>
      </w:r>
      <w:r>
        <w:rPr>
          <w:rFonts w:hint="eastAsia"/>
        </w:rPr>
        <w:t>类</w:t>
      </w:r>
      <w:r>
        <w:rPr>
          <w:rFonts w:hint="default"/>
        </w:rPr>
        <w:t>。</w:t>
      </w:r>
    </w:p>
    <w:p w14:paraId="0BF82222">
      <w:pPr>
        <w:bidi w:val="0"/>
      </w:pPr>
      <w:r>
        <w:t>（3）地下水</w:t>
      </w:r>
    </w:p>
    <w:p w14:paraId="72D0E3B0">
      <w:pPr>
        <w:bidi w:val="0"/>
      </w:pPr>
      <w:r>
        <w:t>本项目委托</w:t>
      </w:r>
      <w:r>
        <w:rPr>
          <w:rFonts w:hint="default"/>
          <w:lang w:val="en-US" w:eastAsia="zh-CN"/>
        </w:rPr>
        <w:t>辽宁嘉良检测技术工程有限公司</w:t>
      </w:r>
      <w:r>
        <w:t>对项目</w:t>
      </w:r>
      <w:r>
        <w:rPr>
          <w:rFonts w:hint="eastAsia"/>
          <w:lang w:eastAsia="zh-CN"/>
        </w:rPr>
        <w:t>所在区域地下水</w:t>
      </w:r>
      <w:r>
        <w:t>环境质量进行了现状监测，监测结果表明，</w:t>
      </w:r>
      <w:r>
        <w:rPr>
          <w:rFonts w:hint="eastAsia"/>
          <w:lang w:val="en-US" w:eastAsia="zh-CN"/>
        </w:rPr>
        <w:t>本项目地下水监测点位各因子均满足</w:t>
      </w:r>
      <w:r>
        <w:t>地下水质量标准执行《地下水质量标准》（GB/T 14848-2017）中</w:t>
      </w:r>
      <w:r>
        <w:fldChar w:fldCharType="begin"/>
      </w:r>
      <w:r>
        <w:instrText xml:space="preserve"> = 3 \* ROMAN \* MERGEFORMAT </w:instrText>
      </w:r>
      <w:r>
        <w:fldChar w:fldCharType="separate"/>
      </w:r>
      <w:r>
        <w:t>III</w:t>
      </w:r>
      <w:r>
        <w:fldChar w:fldCharType="end"/>
      </w:r>
      <w:r>
        <w:t>类标准</w:t>
      </w:r>
      <w:r>
        <w:rPr>
          <w:rFonts w:hint="eastAsia"/>
          <w:lang w:eastAsia="zh-CN"/>
        </w:rPr>
        <w:t>限值要求</w:t>
      </w:r>
      <w:r>
        <w:t>。</w:t>
      </w:r>
    </w:p>
    <w:p w14:paraId="0562B729">
      <w:pPr>
        <w:bidi w:val="0"/>
      </w:pPr>
      <w:r>
        <w:t>（4）声环境</w:t>
      </w:r>
    </w:p>
    <w:p w14:paraId="1F2F2544">
      <w:pPr>
        <w:bidi w:val="0"/>
      </w:pPr>
      <w:r>
        <w:t>本项目委托</w:t>
      </w:r>
      <w:r>
        <w:rPr>
          <w:rFonts w:hint="default"/>
          <w:lang w:val="en-US" w:eastAsia="zh-CN"/>
        </w:rPr>
        <w:t>辽宁嘉良检测技术工程有限公司</w:t>
      </w:r>
      <w:r>
        <w:t>对项目厂界声环境质量进行了现状监测，监测结果表明，项目厂界四周声环境质量满足《声环境质量标准》(GB3096-2008)中</w:t>
      </w:r>
      <w:r>
        <w:rPr>
          <w:rFonts w:hint="eastAsia"/>
          <w:lang w:val="en-US" w:eastAsia="zh-CN"/>
        </w:rPr>
        <w:t>2</w:t>
      </w:r>
      <w:r>
        <w:t>类标准要求。</w:t>
      </w:r>
    </w:p>
    <w:p w14:paraId="311D9308">
      <w:pPr>
        <w:bidi w:val="0"/>
      </w:pPr>
      <w:r>
        <w:rPr>
          <w:rFonts w:hint="eastAsia"/>
        </w:rPr>
        <w:t>（5）土壤环境</w:t>
      </w:r>
    </w:p>
    <w:p w14:paraId="136D362D">
      <w:pPr>
        <w:bidi w:val="0"/>
      </w:pPr>
      <w:r>
        <w:t>本项目委托</w:t>
      </w:r>
      <w:r>
        <w:rPr>
          <w:rFonts w:hint="default"/>
          <w:lang w:val="en-US" w:eastAsia="zh-CN"/>
        </w:rPr>
        <w:t>辽宁嘉良检测技术工程有限公司</w:t>
      </w:r>
      <w:r>
        <w:rPr>
          <w:rFonts w:hint="eastAsia"/>
        </w:rPr>
        <w:t>对项目场地的土壤环境质量进行了现状监测，监测点位土壤环境质量满足《土壤环境质量 建设用地土壤污染风险管控标准（试行）》（GB36600-2018）中第二类用地筛选值标准要求。</w:t>
      </w:r>
    </w:p>
    <w:p w14:paraId="3FF0B334">
      <w:pPr>
        <w:pStyle w:val="3"/>
        <w:rPr>
          <w:color w:val="auto"/>
        </w:rPr>
      </w:pPr>
      <w:bookmarkStart w:id="542" w:name="_Toc20112"/>
      <w:r>
        <w:rPr>
          <w:color w:val="auto"/>
        </w:rPr>
        <w:t>1</w:t>
      </w:r>
      <w:r>
        <w:rPr>
          <w:rFonts w:hint="eastAsia"/>
          <w:color w:val="auto"/>
          <w:lang w:val="en-US" w:eastAsia="zh-CN"/>
        </w:rPr>
        <w:t>4</w:t>
      </w:r>
      <w:r>
        <w:rPr>
          <w:color w:val="auto"/>
        </w:rPr>
        <w:t>.4营运期环境影响及措施</w:t>
      </w:r>
      <w:bookmarkEnd w:id="542"/>
    </w:p>
    <w:p w14:paraId="6523FDFD">
      <w:pPr>
        <w:pStyle w:val="5"/>
        <w:rPr>
          <w:color w:val="auto"/>
        </w:rPr>
      </w:pPr>
      <w:r>
        <w:rPr>
          <w:color w:val="auto"/>
        </w:rPr>
        <w:t>1</w:t>
      </w:r>
      <w:r>
        <w:rPr>
          <w:rFonts w:hint="eastAsia"/>
          <w:color w:val="auto"/>
          <w:lang w:val="en-US" w:eastAsia="zh-CN"/>
        </w:rPr>
        <w:t>4</w:t>
      </w:r>
      <w:r>
        <w:rPr>
          <w:color w:val="auto"/>
        </w:rPr>
        <w:t>.4.1废气</w:t>
      </w:r>
    </w:p>
    <w:p w14:paraId="3F4D8AEC">
      <w:pPr>
        <w:bidi w:val="0"/>
        <w:rPr>
          <w:rFonts w:hint="eastAsia" w:eastAsia="宋体"/>
          <w:lang w:eastAsia="zh-CN"/>
        </w:rPr>
      </w:pPr>
      <w:r>
        <w:rPr>
          <w:rFonts w:hint="eastAsia"/>
        </w:rPr>
        <w:t>项目运行期产生的废气主要为</w:t>
      </w:r>
      <w:r>
        <w:rPr>
          <w:rFonts w:hint="eastAsia"/>
          <w:lang w:eastAsia="zh-CN"/>
        </w:rPr>
        <w:t>酸性</w:t>
      </w:r>
      <w:r>
        <w:rPr>
          <w:rFonts w:hint="eastAsia"/>
        </w:rPr>
        <w:t>废气。酸性废气主要产生于镀锡生产过程，项目主要大气污染物是甲基磺酸。</w:t>
      </w:r>
      <w:r>
        <w:rPr>
          <w:rFonts w:hint="eastAsia"/>
          <w:lang w:val="en-US" w:eastAsia="zh-CN"/>
        </w:rPr>
        <w:t>企业设置酸性气体收集箱处理生产过程中产生的酸性废气。</w:t>
      </w:r>
      <w:r>
        <w:rPr>
          <w:rFonts w:hint="eastAsia"/>
        </w:rPr>
        <w:t>净化后废气引入车间排气筒高空排放</w:t>
      </w:r>
      <w:r>
        <w:rPr>
          <w:rFonts w:hint="eastAsia"/>
          <w:lang w:eastAsia="zh-CN"/>
        </w:rPr>
        <w:t>。</w:t>
      </w:r>
    </w:p>
    <w:p w14:paraId="5CF6A783">
      <w:pPr>
        <w:bidi w:val="0"/>
        <w:rPr>
          <w:rFonts w:hint="default"/>
          <w:lang w:val="en-US" w:eastAsia="zh-CN"/>
        </w:rPr>
      </w:pPr>
      <w:r>
        <w:rPr>
          <w:rFonts w:hint="default"/>
          <w:lang w:val="en-US" w:eastAsia="zh-CN"/>
        </w:rPr>
        <w:t>针对生产过程中无组织排放产生的废气，项目计划采取在车间加强通风，及时将</w:t>
      </w:r>
      <w:r>
        <w:rPr>
          <w:rFonts w:hint="eastAsia"/>
          <w:lang w:val="en-US" w:eastAsia="zh-CN"/>
        </w:rPr>
        <w:t>酸性</w:t>
      </w:r>
      <w:r>
        <w:rPr>
          <w:rFonts w:hint="default"/>
          <w:lang w:val="en-US" w:eastAsia="zh-CN"/>
        </w:rPr>
        <w:t>废气等无组织废气排出车间。通过采取上述措施，确保废气污染物厂界浓度满足《大气污染物综合排放标准》（GB16297-1996）表2中非甲烷总烃监控浓度限值的要求。</w:t>
      </w:r>
    </w:p>
    <w:p w14:paraId="2CD625D7">
      <w:pPr>
        <w:bidi w:val="0"/>
        <w:rPr>
          <w:rFonts w:hint="default"/>
          <w:lang w:val="en-US" w:eastAsia="zh-CN"/>
        </w:rPr>
      </w:pPr>
      <w:r>
        <w:rPr>
          <w:rFonts w:hint="default"/>
          <w:lang w:val="en-US" w:eastAsia="zh-CN"/>
        </w:rPr>
        <w:t>综上所述，本项目采取废气治理措施后能够使得大气污染物达标排放，所采用的废气治理措施均是常见和成熟的电镀废气治理工艺，废气治理措施具有经济、技术可行性。</w:t>
      </w:r>
    </w:p>
    <w:p w14:paraId="2AA8CBCA">
      <w:pPr>
        <w:pStyle w:val="5"/>
        <w:rPr>
          <w:color w:val="auto"/>
        </w:rPr>
      </w:pPr>
      <w:r>
        <w:rPr>
          <w:color w:val="auto"/>
        </w:rPr>
        <w:t>1</w:t>
      </w:r>
      <w:r>
        <w:rPr>
          <w:rFonts w:hint="eastAsia"/>
          <w:color w:val="auto"/>
          <w:lang w:val="en-US" w:eastAsia="zh-CN"/>
        </w:rPr>
        <w:t>4</w:t>
      </w:r>
      <w:r>
        <w:rPr>
          <w:color w:val="auto"/>
        </w:rPr>
        <w:t>.4.2废水</w:t>
      </w:r>
    </w:p>
    <w:p w14:paraId="3B4D8D73">
      <w:pPr>
        <w:bidi w:val="0"/>
        <w:rPr>
          <w:rFonts w:hint="eastAsia"/>
          <w:lang w:val="en-US" w:eastAsia="zh-CN"/>
        </w:rPr>
      </w:pPr>
      <w:r>
        <w:rPr>
          <w:rFonts w:hint="eastAsia"/>
          <w:lang w:val="en-US" w:eastAsia="zh-CN"/>
        </w:rPr>
        <w:t>本项目投产后产生废水主要包括：前处理废水（电镀生产线前处理脱脂废槽液、脱脂后水洗废水）、含锡废水（镀锡后水洗产生的含锡废水）。</w:t>
      </w:r>
    </w:p>
    <w:p w14:paraId="65BF2DC8">
      <w:pPr>
        <w:ind w:firstLine="480" w:firstLineChars="200"/>
      </w:pPr>
      <w:r>
        <w:rPr>
          <w:rFonts w:hint="eastAsia"/>
          <w:lang w:val="en-US" w:eastAsia="zh-CN"/>
        </w:rPr>
        <w:t>本项目废水净化采用离子交换工艺，净化后废水回用于电镀水洗等工序，废水全部回用，不外排，对项目周围地表水体水环境影响极小。</w:t>
      </w:r>
    </w:p>
    <w:p w14:paraId="03B9A1BA">
      <w:pPr>
        <w:pStyle w:val="5"/>
        <w:rPr>
          <w:color w:val="auto"/>
        </w:rPr>
      </w:pPr>
      <w:r>
        <w:rPr>
          <w:color w:val="auto"/>
        </w:rPr>
        <w:t>1</w:t>
      </w:r>
      <w:r>
        <w:rPr>
          <w:rFonts w:hint="eastAsia"/>
          <w:color w:val="auto"/>
          <w:lang w:val="en-US" w:eastAsia="zh-CN"/>
        </w:rPr>
        <w:t>4</w:t>
      </w:r>
      <w:r>
        <w:rPr>
          <w:color w:val="auto"/>
        </w:rPr>
        <w:t>.4.3噪声</w:t>
      </w:r>
    </w:p>
    <w:p w14:paraId="75CB36FF">
      <w:pPr>
        <w:ind w:firstLine="480" w:firstLineChars="200"/>
      </w:pPr>
      <w:r>
        <w:t>营运期噪声源主要包括</w:t>
      </w:r>
      <w:r>
        <w:rPr>
          <w:rFonts w:hint="eastAsia"/>
          <w:lang w:eastAsia="zh-CN"/>
        </w:rPr>
        <w:t>水泵、风机</w:t>
      </w:r>
      <w:r>
        <w:t>等，</w:t>
      </w:r>
      <w:r>
        <w:rPr>
          <w:rFonts w:hint="eastAsia"/>
          <w:lang w:eastAsia="zh-CN"/>
        </w:rPr>
        <w:t>采取厂房隔声、设备减震等措施后，</w:t>
      </w:r>
      <w:r>
        <w:rPr>
          <w:rFonts w:hint="eastAsia"/>
        </w:rPr>
        <w:t>项目运行后生产噪声对厂界声环境影响比较有限，经预测项目昼间（夜间不进行生产）厂界噪声预测值全部满足《工业企业厂界环境噪声排放标准》（GB12348-2008）</w:t>
      </w:r>
      <w:r>
        <w:rPr>
          <w:rFonts w:hint="eastAsia"/>
          <w:lang w:val="en-US" w:eastAsia="zh-CN"/>
        </w:rPr>
        <w:t>2</w:t>
      </w:r>
      <w:r>
        <w:rPr>
          <w:rFonts w:hint="eastAsia"/>
        </w:rPr>
        <w:t>类标准，不会对项目周围声环境现状造成明显影响，因此本项目噪声治理措施具有可行性</w:t>
      </w:r>
      <w:r>
        <w:t>。</w:t>
      </w:r>
    </w:p>
    <w:p w14:paraId="0920CA19">
      <w:pPr>
        <w:pStyle w:val="5"/>
        <w:rPr>
          <w:color w:val="auto"/>
        </w:rPr>
      </w:pPr>
      <w:r>
        <w:rPr>
          <w:color w:val="auto"/>
        </w:rPr>
        <w:t>1</w:t>
      </w:r>
      <w:r>
        <w:rPr>
          <w:rFonts w:hint="eastAsia"/>
          <w:color w:val="auto"/>
          <w:lang w:val="en-US" w:eastAsia="zh-CN"/>
        </w:rPr>
        <w:t>4</w:t>
      </w:r>
      <w:r>
        <w:rPr>
          <w:color w:val="auto"/>
        </w:rPr>
        <w:t>.4.4固体废弃物</w:t>
      </w:r>
    </w:p>
    <w:p w14:paraId="1108C284">
      <w:pPr>
        <w:bidi w:val="0"/>
        <w:rPr>
          <w:rFonts w:hint="default"/>
          <w:lang w:val="en-US" w:eastAsia="zh-CN"/>
        </w:rPr>
      </w:pPr>
      <w:r>
        <w:rPr>
          <w:rFonts w:hint="eastAsia"/>
        </w:rPr>
        <w:t>本项目产生的固体废物包括一般固体废物和危险废物。一般固体废物为生活垃圾。危险固废</w:t>
      </w:r>
      <w:r>
        <w:rPr>
          <w:rFonts w:hint="default"/>
          <w:lang w:val="en-US" w:eastAsia="zh-CN"/>
        </w:rPr>
        <w:t>为废槽液</w:t>
      </w:r>
      <w:r>
        <w:rPr>
          <w:rFonts w:hint="eastAsia"/>
          <w:lang w:val="en-US" w:eastAsia="zh-CN"/>
        </w:rPr>
        <w:t>（电解脱脂槽）</w:t>
      </w:r>
      <w:r>
        <w:rPr>
          <w:rFonts w:hint="default"/>
          <w:lang w:val="en-US" w:eastAsia="zh-CN"/>
        </w:rPr>
        <w:t>、废吸收</w:t>
      </w:r>
      <w:r>
        <w:rPr>
          <w:rFonts w:hint="eastAsia"/>
          <w:lang w:val="en-US" w:eastAsia="zh-CN"/>
        </w:rPr>
        <w:t>剂（废气净化）</w:t>
      </w:r>
      <w:r>
        <w:rPr>
          <w:rFonts w:hint="default"/>
          <w:lang w:val="en-US" w:eastAsia="zh-CN"/>
        </w:rPr>
        <w:t>、电镀滤（废）渣和污泥、废过滤机滤芯</w:t>
      </w:r>
      <w:r>
        <w:rPr>
          <w:rFonts w:hint="eastAsia"/>
          <w:lang w:val="en-US" w:eastAsia="zh-CN"/>
        </w:rPr>
        <w:t>（槽液过滤）</w:t>
      </w:r>
      <w:r>
        <w:rPr>
          <w:rFonts w:hint="default"/>
          <w:lang w:val="en-US" w:eastAsia="zh-CN"/>
        </w:rPr>
        <w:t>、废交换树脂</w:t>
      </w:r>
      <w:r>
        <w:rPr>
          <w:rFonts w:hint="eastAsia"/>
          <w:lang w:val="en-US" w:eastAsia="zh-CN"/>
        </w:rPr>
        <w:t>（废水净化）</w:t>
      </w:r>
      <w:r>
        <w:rPr>
          <w:rFonts w:hint="default"/>
          <w:lang w:val="en-US" w:eastAsia="zh-CN"/>
        </w:rPr>
        <w:t>。</w:t>
      </w:r>
    </w:p>
    <w:p w14:paraId="44A499B1">
      <w:pPr>
        <w:bidi w:val="0"/>
      </w:pPr>
      <w:r>
        <w:rPr>
          <w:rFonts w:hint="eastAsia"/>
          <w:lang w:val="en-US" w:eastAsia="zh-CN"/>
        </w:rPr>
        <w:t>企业按照《危险废物贮存污染控制标准》（GB18597-2001）（2013 年修改）和《一般工业固体废物贮存、处置场污染控制标准》（GB18599-2001）（2013 年修改）要求在生产车间内设置危险废物暂存间，暂存间为封闭设置，具有三防功能，地面采用混凝土硬化，并铺设有2mm厚的HDPE膜防渗层。对危险废物的收集、运输、处置全过程必须按照《危险废物污染防治技术政策》（原国家环保总局，环发〔2001〕199号）和《危险废物转移联单管理办法》提出的要求进行。综上所述，本项目固体废弃物均有合理的处置方案，对周围环境及人体基本不会产生影响，也不会造成二次污染，固废治理措施具有可行性。</w:t>
      </w:r>
    </w:p>
    <w:p w14:paraId="594EDB8A">
      <w:pPr>
        <w:pStyle w:val="5"/>
        <w:rPr>
          <w:color w:val="auto"/>
        </w:rPr>
      </w:pPr>
      <w:r>
        <w:rPr>
          <w:color w:val="auto"/>
        </w:rPr>
        <w:t>1</w:t>
      </w:r>
      <w:r>
        <w:rPr>
          <w:rFonts w:hint="eastAsia"/>
          <w:color w:val="auto"/>
          <w:lang w:val="en-US" w:eastAsia="zh-CN"/>
        </w:rPr>
        <w:t>4</w:t>
      </w:r>
      <w:r>
        <w:rPr>
          <w:color w:val="auto"/>
        </w:rPr>
        <w:t>.4.</w:t>
      </w:r>
      <w:r>
        <w:rPr>
          <w:rFonts w:hint="eastAsia"/>
          <w:color w:val="auto"/>
          <w:lang w:val="en-US" w:eastAsia="zh-CN"/>
        </w:rPr>
        <w:t>5</w:t>
      </w:r>
      <w:r>
        <w:rPr>
          <w:color w:val="auto"/>
        </w:rPr>
        <w:t>地下水</w:t>
      </w:r>
      <w:r>
        <w:rPr>
          <w:rFonts w:hint="eastAsia"/>
          <w:color w:val="auto"/>
          <w:lang w:eastAsia="zh-CN"/>
        </w:rPr>
        <w:t>及土壤</w:t>
      </w:r>
    </w:p>
    <w:p w14:paraId="691645D3">
      <w:pPr>
        <w:bidi w:val="0"/>
        <w:rPr>
          <w:rFonts w:hint="eastAsia" w:eastAsia="宋体" w:cs="Times New Roman"/>
          <w:lang w:eastAsia="zh-CN"/>
        </w:rPr>
      </w:pPr>
      <w:r>
        <w:rPr>
          <w:rFonts w:hint="eastAsia"/>
        </w:rPr>
        <w:t>为防止废水渗漏污染土壤和地下水，企业计划在项目车间内的不同区域实施分区防腐防渗，根据企业的设计方案，整个生产车间地面和车间内侧从地面约高 1m的墙体表面将按照重点污染防治区防腐防渗规范进行施工，生产车间废水分类收集池按照特殊污染防治区进行施工</w:t>
      </w:r>
      <w:r>
        <w:rPr>
          <w:rFonts w:cs="Times New Roman"/>
        </w:rPr>
        <w:t>。</w:t>
      </w:r>
      <w:r>
        <w:rPr>
          <w:rFonts w:hint="eastAsia" w:cs="Times New Roman"/>
          <w:lang w:eastAsia="zh-CN"/>
        </w:rPr>
        <w:t>经防渗处理后，项目运行对地下水、土壤影响较小。</w:t>
      </w:r>
    </w:p>
    <w:p w14:paraId="4EB30F4D">
      <w:pPr>
        <w:pStyle w:val="3"/>
        <w:rPr>
          <w:color w:val="auto"/>
        </w:rPr>
      </w:pPr>
      <w:bookmarkStart w:id="543" w:name="_Toc22494"/>
      <w:r>
        <w:rPr>
          <w:color w:val="auto"/>
        </w:rPr>
        <w:t>1</w:t>
      </w:r>
      <w:r>
        <w:rPr>
          <w:rFonts w:hint="eastAsia"/>
          <w:color w:val="auto"/>
          <w:lang w:val="en-US" w:eastAsia="zh-CN"/>
        </w:rPr>
        <w:t>4</w:t>
      </w:r>
      <w:r>
        <w:rPr>
          <w:color w:val="auto"/>
        </w:rPr>
        <w:t>.5环境风险分析</w:t>
      </w:r>
      <w:bookmarkEnd w:id="543"/>
    </w:p>
    <w:p w14:paraId="0E998030">
      <w:pPr>
        <w:bidi w:val="0"/>
        <w:rPr>
          <w:rFonts w:hint="eastAsia"/>
        </w:rPr>
      </w:pPr>
      <w:r>
        <w:rPr>
          <w:rFonts w:hint="eastAsia"/>
        </w:rPr>
        <w:t>本项目车间设置有危险化学品暂时存放处，项目生产所需要的化学品由企业定期外购，存放于车间化学品暂时存放处。项目</w:t>
      </w:r>
      <w:r>
        <w:rPr>
          <w:rFonts w:hint="eastAsia"/>
          <w:lang w:eastAsia="zh-CN"/>
        </w:rPr>
        <w:t>生产废水经处理后全部回用，不外排</w:t>
      </w:r>
      <w:r>
        <w:rPr>
          <w:rFonts w:hint="eastAsia"/>
        </w:rPr>
        <w:t>。本项目车间设置有应急事故</w:t>
      </w:r>
      <w:r>
        <w:rPr>
          <w:rFonts w:hint="eastAsia"/>
          <w:lang w:eastAsia="zh-CN"/>
        </w:rPr>
        <w:t>储罐</w:t>
      </w:r>
      <w:r>
        <w:rPr>
          <w:rFonts w:hint="eastAsia"/>
        </w:rPr>
        <w:t>，可以满足车间槽液泄漏或废水处理设施发生故障时车间废水应急储存需要。因此，本项目的风险因数在于生产过程中，本次环评将针对车间内生产过程的化学品使用情况进行环境风险评价。环境风险评价应把事故引起厂（场）界外人群的伤害、环境质量的恶化及对生态系统影响的预测和防护作为评价工作重点。环境风险评价的关注点是事故对厂（场）界外环境的影响。因此本次评价的重点是分析生产过程中有毒有害物质的泄漏对厂界外的环境影响。</w:t>
      </w:r>
    </w:p>
    <w:p w14:paraId="7FDBF071">
      <w:pPr>
        <w:bidi w:val="0"/>
      </w:pPr>
      <w:r>
        <w:t>本项目的环境风险值水平与同行业比较是可以接受的。在各环境风险防范措施落实到位的情况下，将可大大降低本项目的环境风险，最大程度减少对环境可能造成的危害。</w:t>
      </w:r>
    </w:p>
    <w:p w14:paraId="3C364902">
      <w:pPr>
        <w:pStyle w:val="3"/>
        <w:rPr>
          <w:color w:val="auto"/>
        </w:rPr>
      </w:pPr>
      <w:bookmarkStart w:id="544" w:name="_Toc19173"/>
      <w:r>
        <w:rPr>
          <w:color w:val="auto"/>
        </w:rPr>
        <w:t>1</w:t>
      </w:r>
      <w:r>
        <w:rPr>
          <w:rFonts w:hint="eastAsia"/>
          <w:color w:val="auto"/>
          <w:lang w:val="en-US" w:eastAsia="zh-CN"/>
        </w:rPr>
        <w:t>4</w:t>
      </w:r>
      <w:r>
        <w:rPr>
          <w:color w:val="auto"/>
        </w:rPr>
        <w:t>.6总量控制</w:t>
      </w:r>
      <w:bookmarkEnd w:id="544"/>
    </w:p>
    <w:p w14:paraId="56FD067A">
      <w:pPr>
        <w:bidi w:val="0"/>
        <w:rPr>
          <w:rFonts w:hint="eastAsia"/>
        </w:rPr>
      </w:pPr>
      <w:bookmarkStart w:id="545" w:name="_Toc218232761"/>
      <w:r>
        <w:t>根据《关于印发&lt;建设项目主要污染物排放总量指标审核及管理暂行办法&gt;的通知》（环境保护部，环发[2014]197号）以及《辽宁省环境保护厅关于贯彻执行环保部建设项目主要污染物排放总量指标审核及管理暂行办法的通知》（辽宁省环境保护厅，辽环发[2015]17号），结合本项目的特点，</w:t>
      </w:r>
      <w:r>
        <w:rPr>
          <w:rFonts w:hint="eastAsia"/>
        </w:rPr>
        <w:t>本项目排放的大气污染物主要为甲基磺酸，没有SO</w:t>
      </w:r>
      <w:r>
        <w:rPr>
          <w:rFonts w:hint="eastAsia"/>
          <w:vertAlign w:val="subscript"/>
        </w:rPr>
        <w:t>2</w:t>
      </w:r>
      <w:r>
        <w:rPr>
          <w:rFonts w:hint="eastAsia"/>
        </w:rPr>
        <w:t>和NO</w:t>
      </w:r>
      <w:r>
        <w:rPr>
          <w:rFonts w:hint="eastAsia"/>
          <w:vertAlign w:val="subscript"/>
        </w:rPr>
        <w:t>X</w:t>
      </w:r>
      <w:r>
        <w:rPr>
          <w:rFonts w:hint="eastAsia"/>
        </w:rPr>
        <w:t>，本次环评建议对本项目排放的甲基磺酸进行总量考核。结合项目排污特征，确定本项目总量控制因子为：</w:t>
      </w:r>
    </w:p>
    <w:p w14:paraId="4E1E55EA">
      <w:pPr>
        <w:bidi w:val="0"/>
      </w:pPr>
      <w:r>
        <w:rPr>
          <w:rFonts w:hint="eastAsia"/>
        </w:rPr>
        <w:t>废气（考核量）：甲基磺酸（以</w:t>
      </w:r>
      <w:r>
        <w:rPr>
          <w:rFonts w:hint="eastAsia"/>
          <w:lang w:val="en-US" w:eastAsia="zh-CN"/>
        </w:rPr>
        <w:t>TVOCs</w:t>
      </w:r>
      <w:r>
        <w:rPr>
          <w:rFonts w:hint="eastAsia"/>
        </w:rPr>
        <w:t>计）</w:t>
      </w:r>
      <w:r>
        <w:rPr>
          <w:rFonts w:hint="eastAsia"/>
          <w:lang w:val="en-US" w:eastAsia="zh-CN"/>
        </w:rPr>
        <w:t>1.059kg/a</w:t>
      </w:r>
      <w:r>
        <w:t>。</w:t>
      </w:r>
    </w:p>
    <w:p w14:paraId="537EC33C">
      <w:pPr>
        <w:bidi w:val="0"/>
        <w:rPr>
          <w:rFonts w:hint="eastAsia"/>
          <w:lang w:eastAsia="zh-CN"/>
        </w:rPr>
      </w:pPr>
      <w:r>
        <w:rPr>
          <w:rFonts w:hint="eastAsia"/>
          <w:lang w:eastAsia="zh-CN"/>
        </w:rPr>
        <w:t>本项目废水经处理后全部回用，因此不核算废水排放总量。</w:t>
      </w:r>
    </w:p>
    <w:bookmarkEnd w:id="545"/>
    <w:p w14:paraId="65C4E580">
      <w:pPr>
        <w:pStyle w:val="3"/>
        <w:bidi w:val="0"/>
      </w:pPr>
      <w:bookmarkStart w:id="546" w:name="_Toc218232762"/>
      <w:bookmarkStart w:id="547" w:name="_Toc13997"/>
      <w:r>
        <w:t>1</w:t>
      </w:r>
      <w:r>
        <w:rPr>
          <w:rFonts w:hint="eastAsia"/>
          <w:lang w:val="en-US" w:eastAsia="zh-CN"/>
        </w:rPr>
        <w:t>4</w:t>
      </w:r>
      <w:r>
        <w:t>.7环</w:t>
      </w:r>
      <w:bookmarkEnd w:id="546"/>
      <w:r>
        <w:t>保投资</w:t>
      </w:r>
      <w:bookmarkEnd w:id="547"/>
    </w:p>
    <w:p w14:paraId="30533699">
      <w:pPr>
        <w:ind w:firstLine="480" w:firstLineChars="200"/>
      </w:pPr>
      <w:bookmarkStart w:id="548" w:name="_Toc218232763"/>
      <w:r>
        <w:rPr>
          <w:rFonts w:hint="eastAsia"/>
          <w:lang w:eastAsia="zh-CN"/>
        </w:rPr>
        <w:t>本项目总投资</w:t>
      </w:r>
      <w:r>
        <w:rPr>
          <w:rFonts w:hint="eastAsia"/>
          <w:lang w:val="en-US" w:eastAsia="zh-CN"/>
        </w:rPr>
        <w:t>330万，环保投资49万，占总投资的14.85%</w:t>
      </w:r>
      <w:r>
        <w:t>。</w:t>
      </w:r>
    </w:p>
    <w:p w14:paraId="23DE675D">
      <w:pPr>
        <w:pStyle w:val="3"/>
        <w:bidi w:val="0"/>
      </w:pPr>
      <w:bookmarkStart w:id="549" w:name="_Toc4011"/>
      <w:r>
        <w:t>1</w:t>
      </w:r>
      <w:r>
        <w:rPr>
          <w:rFonts w:hint="eastAsia"/>
          <w:lang w:val="en-US" w:eastAsia="zh-CN"/>
        </w:rPr>
        <w:t>4</w:t>
      </w:r>
      <w:r>
        <w:t>.8公众参与</w:t>
      </w:r>
      <w:bookmarkEnd w:id="549"/>
    </w:p>
    <w:p w14:paraId="40CC3EE5">
      <w:pPr>
        <w:ind w:firstLine="480" w:firstLineChars="200"/>
        <w:jc w:val="left"/>
      </w:pPr>
      <w:r>
        <w:rPr>
          <w:rFonts w:hint="eastAsia"/>
        </w:rPr>
        <w:t>本次公众参与在公示网站附加了公众意见表的网络链接，并通过网络平台、所在地公众易于知悉的场所等方式同步公开项目环境信息。其中公众意见表针对与本项目环境影响和环境保护措施有关的建议和意见进行调查，在征求意见期间公众未通过任何形式提出任何意见。项目运行后，要严格做好预防，最大限度的减少对环境带来的影响。</w:t>
      </w:r>
    </w:p>
    <w:p w14:paraId="31DED83C">
      <w:pPr>
        <w:pStyle w:val="3"/>
        <w:rPr>
          <w:color w:val="auto"/>
        </w:rPr>
      </w:pPr>
      <w:bookmarkStart w:id="550" w:name="_Toc12000"/>
      <w:r>
        <w:rPr>
          <w:color w:val="auto"/>
        </w:rPr>
        <w:t>1</w:t>
      </w:r>
      <w:r>
        <w:rPr>
          <w:rFonts w:hint="eastAsia"/>
          <w:color w:val="auto"/>
          <w:lang w:val="en-US" w:eastAsia="zh-CN"/>
        </w:rPr>
        <w:t>4</w:t>
      </w:r>
      <w:r>
        <w:rPr>
          <w:color w:val="auto"/>
        </w:rPr>
        <w:t>.</w:t>
      </w:r>
      <w:bookmarkEnd w:id="548"/>
      <w:bookmarkStart w:id="551" w:name="_Toc218232764"/>
      <w:r>
        <w:rPr>
          <w:color w:val="auto"/>
        </w:rPr>
        <w:t>9总结论</w:t>
      </w:r>
      <w:bookmarkEnd w:id="550"/>
      <w:bookmarkEnd w:id="551"/>
    </w:p>
    <w:p w14:paraId="1D86BC8B">
      <w:pPr>
        <w:ind w:firstLine="480" w:firstLineChars="200"/>
      </w:pPr>
      <w:r>
        <w:t>综上所述，本项目符合国家产业政策、环保政策及有关的法律、法规，企业要严格按照环评要求进行建设，在认真落实环境影响评价报告书中提出的各项污染防治措施的基础上，该项目从环保角度建设可行。</w:t>
      </w:r>
    </w:p>
    <w:p w14:paraId="0443DFD4">
      <w:pPr>
        <w:ind w:firstLine="480" w:firstLineChars="200"/>
        <w:sectPr>
          <w:headerReference r:id="rId13" w:type="default"/>
          <w:pgSz w:w="11906" w:h="16838"/>
          <w:pgMar w:top="1814" w:right="1588" w:bottom="1588" w:left="1588"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19374935">
      <w:pPr>
        <w:pStyle w:val="5"/>
        <w:bidi w:val="0"/>
        <w:rPr>
          <w:rFonts w:hint="default"/>
          <w:lang w:val="en-US" w:eastAsia="zh-CN"/>
        </w:rPr>
      </w:pPr>
      <w:r>
        <w:rPr>
          <w:rFonts w:hint="eastAsia"/>
          <w:lang w:eastAsia="zh-CN"/>
        </w:rPr>
        <w:t>附件</w:t>
      </w:r>
      <w:r>
        <w:rPr>
          <w:rFonts w:hint="eastAsia"/>
          <w:lang w:val="en-US" w:eastAsia="zh-CN"/>
        </w:rPr>
        <w:t>1企业投资备案文件</w:t>
      </w:r>
    </w:p>
    <w:p w14:paraId="521CFCB9">
      <w:pPr>
        <w:pStyle w:val="14"/>
        <w:rPr>
          <w:rFonts w:hint="default"/>
          <w:lang w:val="en-US" w:eastAsia="zh-CN"/>
        </w:rPr>
      </w:pPr>
      <w:r>
        <w:rPr>
          <w:rFonts w:hint="default"/>
          <w:lang w:val="en-US" w:eastAsia="zh-CN"/>
        </w:rPr>
        <w:drawing>
          <wp:inline distT="0" distB="0" distL="114300" distR="114300">
            <wp:extent cx="4834255" cy="6922770"/>
            <wp:effectExtent l="0" t="0" r="4445" b="11430"/>
            <wp:docPr id="14" name="图片 14" descr="微信图片_20200324141506_meitu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微信图片_20200324141506_meitu_1"/>
                    <pic:cNvPicPr>
                      <a:picLocks noChangeAspect="1"/>
                    </pic:cNvPicPr>
                  </pic:nvPicPr>
                  <pic:blipFill>
                    <a:blip r:embed="rId49"/>
                    <a:stretch>
                      <a:fillRect/>
                    </a:stretch>
                  </pic:blipFill>
                  <pic:spPr>
                    <a:xfrm>
                      <a:off x="0" y="0"/>
                      <a:ext cx="4834255" cy="6922770"/>
                    </a:xfrm>
                    <a:prstGeom prst="rect">
                      <a:avLst/>
                    </a:prstGeom>
                  </pic:spPr>
                </pic:pic>
              </a:graphicData>
            </a:graphic>
          </wp:inline>
        </w:drawing>
      </w:r>
    </w:p>
    <w:p w14:paraId="2EF4DBF4">
      <w:pPr>
        <w:pStyle w:val="14"/>
        <w:rPr>
          <w:rFonts w:hint="default"/>
          <w:lang w:val="en-US" w:eastAsia="zh-CN"/>
        </w:rPr>
      </w:pPr>
    </w:p>
    <w:p w14:paraId="1A949991">
      <w:pPr>
        <w:pStyle w:val="14"/>
        <w:rPr>
          <w:rFonts w:hint="default"/>
          <w:lang w:val="en-US" w:eastAsia="zh-CN"/>
        </w:rPr>
      </w:pPr>
    </w:p>
    <w:p w14:paraId="46411C73">
      <w:pPr>
        <w:pStyle w:val="14"/>
        <w:rPr>
          <w:rFonts w:hint="default"/>
          <w:lang w:val="en-US" w:eastAsia="zh-CN"/>
        </w:rPr>
      </w:pPr>
    </w:p>
    <w:p w14:paraId="46268C79">
      <w:pPr>
        <w:pStyle w:val="5"/>
        <w:bidi w:val="0"/>
        <w:rPr>
          <w:rFonts w:hint="default"/>
          <w:lang w:val="en-US" w:eastAsia="zh-CN"/>
        </w:rPr>
      </w:pPr>
      <w:r>
        <w:rPr>
          <w:rFonts w:hint="eastAsia"/>
          <w:lang w:val="en-US" w:eastAsia="zh-CN"/>
        </w:rPr>
        <w:t>附件2原有项目环评批复文件</w:t>
      </w:r>
    </w:p>
    <w:p w14:paraId="3D737686">
      <w:pPr>
        <w:pStyle w:val="72"/>
        <w:rPr>
          <w:rFonts w:hint="default"/>
          <w:lang w:val="en-US" w:eastAsia="zh-CN"/>
        </w:rPr>
        <w:sectPr>
          <w:pgSz w:w="11906" w:h="16838"/>
          <w:pgMar w:top="1814" w:right="1588" w:bottom="1588" w:left="1588" w:header="851" w:footer="992" w:gutter="0"/>
          <w:pgBorders>
            <w:top w:val="none" w:sz="0" w:space="0"/>
            <w:left w:val="none" w:sz="0" w:space="0"/>
            <w:bottom w:val="none" w:sz="0" w:space="0"/>
            <w:right w:val="none" w:sz="0" w:space="0"/>
          </w:pgBorders>
          <w:pgNumType w:fmt="decimal"/>
          <w:cols w:space="720" w:num="1"/>
          <w:docGrid w:type="lines" w:linePitch="312" w:charSpace="0"/>
        </w:sectPr>
      </w:pPr>
      <w:r>
        <w:rPr>
          <w:rFonts w:hint="default"/>
          <w:lang w:val="en-US" w:eastAsia="zh-CN"/>
        </w:rPr>
        <w:drawing>
          <wp:inline distT="0" distB="0" distL="114300" distR="114300">
            <wp:extent cx="5539740" cy="7529195"/>
            <wp:effectExtent l="0" t="0" r="3810" b="14605"/>
            <wp:docPr id="37" name="图片 37" descr="Scan_meitu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Scan_meitu_1"/>
                    <pic:cNvPicPr>
                      <a:picLocks noChangeAspect="1"/>
                    </pic:cNvPicPr>
                  </pic:nvPicPr>
                  <pic:blipFill>
                    <a:blip r:embed="rId50"/>
                    <a:stretch>
                      <a:fillRect/>
                    </a:stretch>
                  </pic:blipFill>
                  <pic:spPr>
                    <a:xfrm>
                      <a:off x="0" y="0"/>
                      <a:ext cx="5539740" cy="7529195"/>
                    </a:xfrm>
                    <a:prstGeom prst="rect">
                      <a:avLst/>
                    </a:prstGeom>
                  </pic:spPr>
                </pic:pic>
              </a:graphicData>
            </a:graphic>
          </wp:inline>
        </w:drawing>
      </w:r>
      <w:r>
        <w:rPr>
          <w:rFonts w:hint="default"/>
          <w:lang w:val="en-US" w:eastAsia="zh-CN"/>
        </w:rPr>
        <w:drawing>
          <wp:inline distT="0" distB="0" distL="114300" distR="114300">
            <wp:extent cx="5535295" cy="7760335"/>
            <wp:effectExtent l="0" t="0" r="8255" b="12065"/>
            <wp:docPr id="35" name="图片 35" descr="Scan1_meitu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Scan1_meitu_2"/>
                    <pic:cNvPicPr>
                      <a:picLocks noChangeAspect="1"/>
                    </pic:cNvPicPr>
                  </pic:nvPicPr>
                  <pic:blipFill>
                    <a:blip r:embed="rId51"/>
                    <a:stretch>
                      <a:fillRect/>
                    </a:stretch>
                  </pic:blipFill>
                  <pic:spPr>
                    <a:xfrm>
                      <a:off x="0" y="0"/>
                      <a:ext cx="5535295" cy="7760335"/>
                    </a:xfrm>
                    <a:prstGeom prst="rect">
                      <a:avLst/>
                    </a:prstGeom>
                  </pic:spPr>
                </pic:pic>
              </a:graphicData>
            </a:graphic>
          </wp:inline>
        </w:drawing>
      </w:r>
    </w:p>
    <w:p w14:paraId="7690C8CE">
      <w:pPr>
        <w:pStyle w:val="72"/>
        <w:rPr>
          <w:rFonts w:hint="eastAsia" w:eastAsia="仿宋_GB2312"/>
          <w:lang w:eastAsia="zh-CN"/>
        </w:rPr>
      </w:pPr>
      <w:r>
        <w:rPr>
          <w:rFonts w:hint="eastAsia" w:eastAsia="仿宋_GB2312"/>
          <w:lang w:eastAsia="zh-CN"/>
        </w:rPr>
        <w:drawing>
          <wp:inline distT="0" distB="0" distL="114300" distR="114300">
            <wp:extent cx="5542915" cy="7835265"/>
            <wp:effectExtent l="0" t="0" r="635" b="13335"/>
            <wp:docPr id="39" name="图片 39"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descr="2"/>
                    <pic:cNvPicPr>
                      <a:picLocks noChangeAspect="1"/>
                    </pic:cNvPicPr>
                  </pic:nvPicPr>
                  <pic:blipFill>
                    <a:blip r:embed="rId52"/>
                    <a:stretch>
                      <a:fillRect/>
                    </a:stretch>
                  </pic:blipFill>
                  <pic:spPr>
                    <a:xfrm>
                      <a:off x="0" y="0"/>
                      <a:ext cx="5542915" cy="7835265"/>
                    </a:xfrm>
                    <a:prstGeom prst="rect">
                      <a:avLst/>
                    </a:prstGeom>
                  </pic:spPr>
                </pic:pic>
              </a:graphicData>
            </a:graphic>
          </wp:inline>
        </w:drawing>
      </w:r>
    </w:p>
    <w:p w14:paraId="6A3010F1">
      <w:pPr>
        <w:pStyle w:val="72"/>
        <w:rPr>
          <w:rFonts w:hint="eastAsia" w:eastAsia="仿宋_GB2312"/>
          <w:lang w:eastAsia="zh-CN"/>
        </w:rPr>
      </w:pPr>
    </w:p>
    <w:p w14:paraId="4E2F4917">
      <w:pPr>
        <w:pStyle w:val="72"/>
        <w:rPr>
          <w:rFonts w:hint="eastAsia" w:eastAsia="仿宋_GB2312"/>
          <w:lang w:eastAsia="zh-CN"/>
        </w:rPr>
      </w:pPr>
    </w:p>
    <w:p w14:paraId="5D9B1623">
      <w:pPr>
        <w:pStyle w:val="72"/>
        <w:rPr>
          <w:rFonts w:hint="eastAsia" w:eastAsia="仿宋_GB2312"/>
          <w:lang w:eastAsia="zh-CN"/>
        </w:rPr>
      </w:pPr>
    </w:p>
    <w:p w14:paraId="35751C0F">
      <w:pPr>
        <w:pStyle w:val="5"/>
        <w:bidi w:val="0"/>
        <w:rPr>
          <w:rFonts w:hint="default"/>
          <w:lang w:val="en-US" w:eastAsia="zh-CN"/>
        </w:rPr>
      </w:pPr>
      <w:r>
        <w:rPr>
          <w:rFonts w:hint="eastAsia"/>
          <w:lang w:eastAsia="zh-CN"/>
        </w:rPr>
        <w:t>附件</w:t>
      </w:r>
      <w:r>
        <w:rPr>
          <w:rFonts w:hint="eastAsia"/>
          <w:lang w:val="en-US" w:eastAsia="zh-CN"/>
        </w:rPr>
        <w:t>3监测报告</w:t>
      </w:r>
    </w:p>
    <w:p w14:paraId="12CFC397">
      <w:r>
        <w:drawing>
          <wp:inline distT="0" distB="0" distL="114300" distR="114300">
            <wp:extent cx="5537835" cy="7954645"/>
            <wp:effectExtent l="0" t="0" r="5715" b="8255"/>
            <wp:docPr id="1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3"/>
                    <pic:cNvPicPr>
                      <a:picLocks noChangeAspect="1"/>
                    </pic:cNvPicPr>
                  </pic:nvPicPr>
                  <pic:blipFill>
                    <a:blip r:embed="rId53"/>
                    <a:stretch>
                      <a:fillRect/>
                    </a:stretch>
                  </pic:blipFill>
                  <pic:spPr>
                    <a:xfrm>
                      <a:off x="0" y="0"/>
                      <a:ext cx="5537835" cy="7954645"/>
                    </a:xfrm>
                    <a:prstGeom prst="rect">
                      <a:avLst/>
                    </a:prstGeom>
                    <a:noFill/>
                    <a:ln>
                      <a:noFill/>
                    </a:ln>
                  </pic:spPr>
                </pic:pic>
              </a:graphicData>
            </a:graphic>
          </wp:inline>
        </w:drawing>
      </w:r>
      <w:r>
        <w:drawing>
          <wp:inline distT="0" distB="0" distL="114300" distR="114300">
            <wp:extent cx="5541010" cy="7719695"/>
            <wp:effectExtent l="0" t="0" r="2540" b="14605"/>
            <wp:docPr id="1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4"/>
                    <pic:cNvPicPr>
                      <a:picLocks noChangeAspect="1"/>
                    </pic:cNvPicPr>
                  </pic:nvPicPr>
                  <pic:blipFill>
                    <a:blip r:embed="rId54"/>
                    <a:stretch>
                      <a:fillRect/>
                    </a:stretch>
                  </pic:blipFill>
                  <pic:spPr>
                    <a:xfrm>
                      <a:off x="0" y="0"/>
                      <a:ext cx="5541010" cy="7719695"/>
                    </a:xfrm>
                    <a:prstGeom prst="rect">
                      <a:avLst/>
                    </a:prstGeom>
                    <a:noFill/>
                    <a:ln>
                      <a:noFill/>
                    </a:ln>
                  </pic:spPr>
                </pic:pic>
              </a:graphicData>
            </a:graphic>
          </wp:inline>
        </w:drawing>
      </w:r>
      <w:r>
        <w:drawing>
          <wp:inline distT="0" distB="0" distL="114300" distR="114300">
            <wp:extent cx="5537835" cy="7743825"/>
            <wp:effectExtent l="0" t="0" r="5715" b="9525"/>
            <wp:docPr id="1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5"/>
                    <pic:cNvPicPr>
                      <a:picLocks noChangeAspect="1"/>
                    </pic:cNvPicPr>
                  </pic:nvPicPr>
                  <pic:blipFill>
                    <a:blip r:embed="rId55"/>
                    <a:stretch>
                      <a:fillRect/>
                    </a:stretch>
                  </pic:blipFill>
                  <pic:spPr>
                    <a:xfrm>
                      <a:off x="0" y="0"/>
                      <a:ext cx="5537835" cy="7743825"/>
                    </a:xfrm>
                    <a:prstGeom prst="rect">
                      <a:avLst/>
                    </a:prstGeom>
                    <a:noFill/>
                    <a:ln>
                      <a:noFill/>
                    </a:ln>
                  </pic:spPr>
                </pic:pic>
              </a:graphicData>
            </a:graphic>
          </wp:inline>
        </w:drawing>
      </w:r>
      <w:r>
        <w:drawing>
          <wp:inline distT="0" distB="0" distL="114300" distR="114300">
            <wp:extent cx="5542280" cy="7932420"/>
            <wp:effectExtent l="0" t="0" r="1270" b="11430"/>
            <wp:docPr id="1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6"/>
                    <pic:cNvPicPr>
                      <a:picLocks noChangeAspect="1"/>
                    </pic:cNvPicPr>
                  </pic:nvPicPr>
                  <pic:blipFill>
                    <a:blip r:embed="rId56"/>
                    <a:stretch>
                      <a:fillRect/>
                    </a:stretch>
                  </pic:blipFill>
                  <pic:spPr>
                    <a:xfrm>
                      <a:off x="0" y="0"/>
                      <a:ext cx="5542280" cy="7932420"/>
                    </a:xfrm>
                    <a:prstGeom prst="rect">
                      <a:avLst/>
                    </a:prstGeom>
                    <a:noFill/>
                    <a:ln>
                      <a:noFill/>
                    </a:ln>
                  </pic:spPr>
                </pic:pic>
              </a:graphicData>
            </a:graphic>
          </wp:inline>
        </w:drawing>
      </w:r>
      <w:r>
        <w:drawing>
          <wp:inline distT="0" distB="0" distL="114300" distR="114300">
            <wp:extent cx="5541010" cy="7607935"/>
            <wp:effectExtent l="0" t="0" r="2540" b="12065"/>
            <wp:docPr id="2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7"/>
                    <pic:cNvPicPr>
                      <a:picLocks noChangeAspect="1"/>
                    </pic:cNvPicPr>
                  </pic:nvPicPr>
                  <pic:blipFill>
                    <a:blip r:embed="rId57"/>
                    <a:stretch>
                      <a:fillRect/>
                    </a:stretch>
                  </pic:blipFill>
                  <pic:spPr>
                    <a:xfrm>
                      <a:off x="0" y="0"/>
                      <a:ext cx="5541010" cy="7607935"/>
                    </a:xfrm>
                    <a:prstGeom prst="rect">
                      <a:avLst/>
                    </a:prstGeom>
                    <a:noFill/>
                    <a:ln>
                      <a:noFill/>
                    </a:ln>
                  </pic:spPr>
                </pic:pic>
              </a:graphicData>
            </a:graphic>
          </wp:inline>
        </w:drawing>
      </w:r>
      <w:r>
        <w:drawing>
          <wp:inline distT="0" distB="0" distL="114300" distR="114300">
            <wp:extent cx="5542280" cy="7656830"/>
            <wp:effectExtent l="0" t="0" r="1270" b="1270"/>
            <wp:docPr id="3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8"/>
                    <pic:cNvPicPr>
                      <a:picLocks noChangeAspect="1"/>
                    </pic:cNvPicPr>
                  </pic:nvPicPr>
                  <pic:blipFill>
                    <a:blip r:embed="rId58"/>
                    <a:stretch>
                      <a:fillRect/>
                    </a:stretch>
                  </pic:blipFill>
                  <pic:spPr>
                    <a:xfrm>
                      <a:off x="0" y="0"/>
                      <a:ext cx="5542280" cy="7656830"/>
                    </a:xfrm>
                    <a:prstGeom prst="rect">
                      <a:avLst/>
                    </a:prstGeom>
                    <a:noFill/>
                    <a:ln>
                      <a:noFill/>
                    </a:ln>
                  </pic:spPr>
                </pic:pic>
              </a:graphicData>
            </a:graphic>
          </wp:inline>
        </w:drawing>
      </w:r>
      <w:r>
        <w:drawing>
          <wp:inline distT="0" distB="0" distL="114300" distR="114300">
            <wp:extent cx="5542915" cy="7842250"/>
            <wp:effectExtent l="0" t="0" r="635" b="6350"/>
            <wp:docPr id="34"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9"/>
                    <pic:cNvPicPr>
                      <a:picLocks noChangeAspect="1"/>
                    </pic:cNvPicPr>
                  </pic:nvPicPr>
                  <pic:blipFill>
                    <a:blip r:embed="rId59"/>
                    <a:stretch>
                      <a:fillRect/>
                    </a:stretch>
                  </pic:blipFill>
                  <pic:spPr>
                    <a:xfrm>
                      <a:off x="0" y="0"/>
                      <a:ext cx="5542915" cy="7842250"/>
                    </a:xfrm>
                    <a:prstGeom prst="rect">
                      <a:avLst/>
                    </a:prstGeom>
                    <a:noFill/>
                    <a:ln>
                      <a:noFill/>
                    </a:ln>
                  </pic:spPr>
                </pic:pic>
              </a:graphicData>
            </a:graphic>
          </wp:inline>
        </w:drawing>
      </w:r>
      <w:r>
        <w:drawing>
          <wp:inline distT="0" distB="0" distL="114300" distR="114300">
            <wp:extent cx="5541010" cy="7589520"/>
            <wp:effectExtent l="0" t="0" r="2540" b="11430"/>
            <wp:docPr id="38"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10"/>
                    <pic:cNvPicPr>
                      <a:picLocks noChangeAspect="1"/>
                    </pic:cNvPicPr>
                  </pic:nvPicPr>
                  <pic:blipFill>
                    <a:blip r:embed="rId60"/>
                    <a:stretch>
                      <a:fillRect/>
                    </a:stretch>
                  </pic:blipFill>
                  <pic:spPr>
                    <a:xfrm>
                      <a:off x="0" y="0"/>
                      <a:ext cx="5541010" cy="7589520"/>
                    </a:xfrm>
                    <a:prstGeom prst="rect">
                      <a:avLst/>
                    </a:prstGeom>
                    <a:noFill/>
                    <a:ln>
                      <a:noFill/>
                    </a:ln>
                  </pic:spPr>
                </pic:pic>
              </a:graphicData>
            </a:graphic>
          </wp:inline>
        </w:drawing>
      </w:r>
      <w:r>
        <w:drawing>
          <wp:inline distT="0" distB="0" distL="114300" distR="114300">
            <wp:extent cx="5542280" cy="7547610"/>
            <wp:effectExtent l="0" t="0" r="1270" b="15240"/>
            <wp:docPr id="40"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11"/>
                    <pic:cNvPicPr>
                      <a:picLocks noChangeAspect="1"/>
                    </pic:cNvPicPr>
                  </pic:nvPicPr>
                  <pic:blipFill>
                    <a:blip r:embed="rId61"/>
                    <a:stretch>
                      <a:fillRect/>
                    </a:stretch>
                  </pic:blipFill>
                  <pic:spPr>
                    <a:xfrm>
                      <a:off x="0" y="0"/>
                      <a:ext cx="5542280" cy="7547610"/>
                    </a:xfrm>
                    <a:prstGeom prst="rect">
                      <a:avLst/>
                    </a:prstGeom>
                    <a:noFill/>
                    <a:ln>
                      <a:noFill/>
                    </a:ln>
                  </pic:spPr>
                </pic:pic>
              </a:graphicData>
            </a:graphic>
          </wp:inline>
        </w:drawing>
      </w:r>
      <w:r>
        <w:drawing>
          <wp:inline distT="0" distB="0" distL="114300" distR="114300">
            <wp:extent cx="5539105" cy="7838440"/>
            <wp:effectExtent l="0" t="0" r="4445" b="10160"/>
            <wp:docPr id="41"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12"/>
                    <pic:cNvPicPr>
                      <a:picLocks noChangeAspect="1"/>
                    </pic:cNvPicPr>
                  </pic:nvPicPr>
                  <pic:blipFill>
                    <a:blip r:embed="rId62"/>
                    <a:stretch>
                      <a:fillRect/>
                    </a:stretch>
                  </pic:blipFill>
                  <pic:spPr>
                    <a:xfrm>
                      <a:off x="0" y="0"/>
                      <a:ext cx="5539105" cy="7838440"/>
                    </a:xfrm>
                    <a:prstGeom prst="rect">
                      <a:avLst/>
                    </a:prstGeom>
                    <a:noFill/>
                    <a:ln>
                      <a:noFill/>
                    </a:ln>
                  </pic:spPr>
                </pic:pic>
              </a:graphicData>
            </a:graphic>
          </wp:inline>
        </w:drawing>
      </w:r>
      <w:r>
        <w:drawing>
          <wp:inline distT="0" distB="0" distL="114300" distR="114300">
            <wp:extent cx="5540375" cy="7879080"/>
            <wp:effectExtent l="0" t="0" r="3175" b="7620"/>
            <wp:docPr id="42"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13"/>
                    <pic:cNvPicPr>
                      <a:picLocks noChangeAspect="1"/>
                    </pic:cNvPicPr>
                  </pic:nvPicPr>
                  <pic:blipFill>
                    <a:blip r:embed="rId63"/>
                    <a:stretch>
                      <a:fillRect/>
                    </a:stretch>
                  </pic:blipFill>
                  <pic:spPr>
                    <a:xfrm>
                      <a:off x="0" y="0"/>
                      <a:ext cx="5540375" cy="7879080"/>
                    </a:xfrm>
                    <a:prstGeom prst="rect">
                      <a:avLst/>
                    </a:prstGeom>
                    <a:noFill/>
                    <a:ln>
                      <a:noFill/>
                    </a:ln>
                  </pic:spPr>
                </pic:pic>
              </a:graphicData>
            </a:graphic>
          </wp:inline>
        </w:drawing>
      </w:r>
      <w:r>
        <w:drawing>
          <wp:inline distT="0" distB="0" distL="114300" distR="114300">
            <wp:extent cx="5541645" cy="7726680"/>
            <wp:effectExtent l="0" t="0" r="1905" b="7620"/>
            <wp:docPr id="43"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14"/>
                    <pic:cNvPicPr>
                      <a:picLocks noChangeAspect="1"/>
                    </pic:cNvPicPr>
                  </pic:nvPicPr>
                  <pic:blipFill>
                    <a:blip r:embed="rId64"/>
                    <a:stretch>
                      <a:fillRect/>
                    </a:stretch>
                  </pic:blipFill>
                  <pic:spPr>
                    <a:xfrm>
                      <a:off x="0" y="0"/>
                      <a:ext cx="5541645" cy="7726680"/>
                    </a:xfrm>
                    <a:prstGeom prst="rect">
                      <a:avLst/>
                    </a:prstGeom>
                    <a:noFill/>
                    <a:ln>
                      <a:noFill/>
                    </a:ln>
                  </pic:spPr>
                </pic:pic>
              </a:graphicData>
            </a:graphic>
          </wp:inline>
        </w:drawing>
      </w:r>
      <w:r>
        <w:drawing>
          <wp:inline distT="0" distB="0" distL="114300" distR="114300">
            <wp:extent cx="5543550" cy="8038465"/>
            <wp:effectExtent l="0" t="0" r="0" b="635"/>
            <wp:docPr id="44"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15"/>
                    <pic:cNvPicPr>
                      <a:picLocks noChangeAspect="1"/>
                    </pic:cNvPicPr>
                  </pic:nvPicPr>
                  <pic:blipFill>
                    <a:blip r:embed="rId65"/>
                    <a:stretch>
                      <a:fillRect/>
                    </a:stretch>
                  </pic:blipFill>
                  <pic:spPr>
                    <a:xfrm>
                      <a:off x="0" y="0"/>
                      <a:ext cx="5543550" cy="8038465"/>
                    </a:xfrm>
                    <a:prstGeom prst="rect">
                      <a:avLst/>
                    </a:prstGeom>
                    <a:noFill/>
                    <a:ln>
                      <a:noFill/>
                    </a:ln>
                  </pic:spPr>
                </pic:pic>
              </a:graphicData>
            </a:graphic>
          </wp:inline>
        </w:drawing>
      </w:r>
      <w:r>
        <w:drawing>
          <wp:inline distT="0" distB="0" distL="114300" distR="114300">
            <wp:extent cx="5539740" cy="7567930"/>
            <wp:effectExtent l="0" t="0" r="3810" b="13970"/>
            <wp:docPr id="45"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16"/>
                    <pic:cNvPicPr>
                      <a:picLocks noChangeAspect="1"/>
                    </pic:cNvPicPr>
                  </pic:nvPicPr>
                  <pic:blipFill>
                    <a:blip r:embed="rId66"/>
                    <a:stretch>
                      <a:fillRect/>
                    </a:stretch>
                  </pic:blipFill>
                  <pic:spPr>
                    <a:xfrm>
                      <a:off x="0" y="0"/>
                      <a:ext cx="5539740" cy="7567930"/>
                    </a:xfrm>
                    <a:prstGeom prst="rect">
                      <a:avLst/>
                    </a:prstGeom>
                    <a:noFill/>
                    <a:ln>
                      <a:noFill/>
                    </a:ln>
                  </pic:spPr>
                </pic:pic>
              </a:graphicData>
            </a:graphic>
          </wp:inline>
        </w:drawing>
      </w:r>
      <w:r>
        <w:drawing>
          <wp:inline distT="0" distB="0" distL="114300" distR="114300">
            <wp:extent cx="5540375" cy="7824470"/>
            <wp:effectExtent l="0" t="0" r="3175" b="5080"/>
            <wp:docPr id="46"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17"/>
                    <pic:cNvPicPr>
                      <a:picLocks noChangeAspect="1"/>
                    </pic:cNvPicPr>
                  </pic:nvPicPr>
                  <pic:blipFill>
                    <a:blip r:embed="rId67"/>
                    <a:stretch>
                      <a:fillRect/>
                    </a:stretch>
                  </pic:blipFill>
                  <pic:spPr>
                    <a:xfrm>
                      <a:off x="0" y="0"/>
                      <a:ext cx="5540375" cy="7824470"/>
                    </a:xfrm>
                    <a:prstGeom prst="rect">
                      <a:avLst/>
                    </a:prstGeom>
                    <a:noFill/>
                    <a:ln>
                      <a:noFill/>
                    </a:ln>
                  </pic:spPr>
                </pic:pic>
              </a:graphicData>
            </a:graphic>
          </wp:inline>
        </w:drawing>
      </w:r>
      <w:r>
        <w:drawing>
          <wp:inline distT="0" distB="0" distL="114300" distR="114300">
            <wp:extent cx="5542280" cy="7857490"/>
            <wp:effectExtent l="0" t="0" r="1270" b="10160"/>
            <wp:docPr id="47"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18"/>
                    <pic:cNvPicPr>
                      <a:picLocks noChangeAspect="1"/>
                    </pic:cNvPicPr>
                  </pic:nvPicPr>
                  <pic:blipFill>
                    <a:blip r:embed="rId68"/>
                    <a:stretch>
                      <a:fillRect/>
                    </a:stretch>
                  </pic:blipFill>
                  <pic:spPr>
                    <a:xfrm>
                      <a:off x="0" y="0"/>
                      <a:ext cx="5542280" cy="7857490"/>
                    </a:xfrm>
                    <a:prstGeom prst="rect">
                      <a:avLst/>
                    </a:prstGeom>
                    <a:noFill/>
                    <a:ln>
                      <a:noFill/>
                    </a:ln>
                  </pic:spPr>
                </pic:pic>
              </a:graphicData>
            </a:graphic>
          </wp:inline>
        </w:drawing>
      </w:r>
      <w:r>
        <w:drawing>
          <wp:inline distT="0" distB="0" distL="114300" distR="114300">
            <wp:extent cx="5541645" cy="7892415"/>
            <wp:effectExtent l="0" t="0" r="1905" b="13335"/>
            <wp:docPr id="48"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19"/>
                    <pic:cNvPicPr>
                      <a:picLocks noChangeAspect="1"/>
                    </pic:cNvPicPr>
                  </pic:nvPicPr>
                  <pic:blipFill>
                    <a:blip r:embed="rId69"/>
                    <a:stretch>
                      <a:fillRect/>
                    </a:stretch>
                  </pic:blipFill>
                  <pic:spPr>
                    <a:xfrm>
                      <a:off x="0" y="0"/>
                      <a:ext cx="5541645" cy="7892415"/>
                    </a:xfrm>
                    <a:prstGeom prst="rect">
                      <a:avLst/>
                    </a:prstGeom>
                    <a:noFill/>
                    <a:ln>
                      <a:noFill/>
                    </a:ln>
                  </pic:spPr>
                </pic:pic>
              </a:graphicData>
            </a:graphic>
          </wp:inline>
        </w:drawing>
      </w:r>
    </w:p>
    <w:p w14:paraId="7BDAC05B">
      <w:pPr>
        <w:pStyle w:val="22"/>
      </w:pPr>
    </w:p>
    <w:p w14:paraId="23EDD4B0">
      <w:pPr>
        <w:pStyle w:val="5"/>
        <w:bidi w:val="0"/>
        <w:rPr>
          <w:rFonts w:hint="eastAsia"/>
          <w:lang w:val="en-US" w:eastAsia="zh-CN"/>
        </w:rPr>
      </w:pPr>
      <w:r>
        <w:rPr>
          <w:rFonts w:hint="eastAsia"/>
          <w:lang w:eastAsia="zh-CN"/>
        </w:rPr>
        <w:t>附件</w:t>
      </w:r>
      <w:r>
        <w:rPr>
          <w:rFonts w:hint="eastAsia"/>
          <w:lang w:val="en-US" w:eastAsia="zh-CN"/>
        </w:rPr>
        <w:t>4委托书</w:t>
      </w:r>
    </w:p>
    <w:p w14:paraId="3140D87E">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黑体" w:hAnsi="宋体" w:eastAsia="黑体" w:cs="Times New Roman"/>
          <w:color w:val="auto"/>
          <w:sz w:val="36"/>
          <w:szCs w:val="32"/>
        </w:rPr>
      </w:pPr>
    </w:p>
    <w:p w14:paraId="035E5C1B">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黑体" w:hAnsi="宋体" w:eastAsia="黑体" w:cs="Times New Roman"/>
          <w:color w:val="auto"/>
          <w:sz w:val="36"/>
          <w:szCs w:val="32"/>
        </w:rPr>
      </w:pPr>
      <w:r>
        <w:rPr>
          <w:rFonts w:hint="eastAsia" w:ascii="黑体" w:hAnsi="宋体" w:eastAsia="黑体" w:cs="Times New Roman"/>
          <w:color w:val="auto"/>
          <w:sz w:val="36"/>
          <w:szCs w:val="32"/>
        </w:rPr>
        <w:t>关于</w:t>
      </w:r>
      <w:r>
        <w:rPr>
          <w:rFonts w:hint="eastAsia" w:ascii="黑体" w:hAnsi="宋体" w:eastAsia="黑体" w:cs="Times New Roman"/>
          <w:color w:val="auto"/>
          <w:sz w:val="36"/>
          <w:szCs w:val="32"/>
          <w:lang w:eastAsia="zh-CN"/>
        </w:rPr>
        <w:t>本溪佰汇铜业有限公司环保型铜排表面处理自动生产线项目</w:t>
      </w:r>
      <w:r>
        <w:rPr>
          <w:rFonts w:hint="eastAsia" w:ascii="黑体" w:hAnsi="宋体" w:eastAsia="黑体" w:cs="Times New Roman"/>
          <w:color w:val="auto"/>
          <w:sz w:val="36"/>
          <w:szCs w:val="32"/>
        </w:rPr>
        <w:t>编制环境影响报告书的委托书</w:t>
      </w:r>
    </w:p>
    <w:p w14:paraId="6D30DAB8">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Ansi="宋体"/>
          <w:color w:val="auto"/>
          <w:sz w:val="32"/>
          <w:szCs w:val="32"/>
        </w:rPr>
      </w:pPr>
    </w:p>
    <w:p w14:paraId="46D49262">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0" w:firstLineChars="0"/>
        <w:textAlignment w:val="auto"/>
        <w:rPr>
          <w:rFonts w:hint="default" w:ascii="Times New Roman" w:hAnsi="Times New Roman" w:cs="Times New Roman"/>
          <w:color w:val="auto"/>
          <w:sz w:val="32"/>
          <w:szCs w:val="32"/>
        </w:rPr>
      </w:pPr>
      <w:r>
        <w:rPr>
          <w:rFonts w:hint="default" w:ascii="Times New Roman" w:hAnsi="Times New Roman" w:cs="Times New Roman"/>
          <w:color w:val="auto"/>
          <w:sz w:val="32"/>
          <w:szCs w:val="32"/>
          <w:lang w:eastAsia="zh-CN"/>
        </w:rPr>
        <w:t>辽宁</w:t>
      </w:r>
      <w:r>
        <w:rPr>
          <w:rFonts w:hint="default" w:ascii="Times New Roman" w:hAnsi="Times New Roman" w:cs="Times New Roman"/>
          <w:color w:val="auto"/>
          <w:sz w:val="32"/>
          <w:szCs w:val="32"/>
          <w:lang w:val="en-US" w:eastAsia="zh-CN"/>
        </w:rPr>
        <w:t>慧环科技有限公司</w:t>
      </w:r>
      <w:r>
        <w:rPr>
          <w:rFonts w:hint="default" w:ascii="Times New Roman" w:hAnsi="Times New Roman" w:cs="Times New Roman"/>
          <w:color w:val="auto"/>
          <w:sz w:val="32"/>
          <w:szCs w:val="32"/>
        </w:rPr>
        <w:t>：</w:t>
      </w:r>
    </w:p>
    <w:p w14:paraId="0369C4ED">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hint="default" w:ascii="Times New Roman" w:hAnsi="Times New Roman" w:cs="Times New Roman"/>
          <w:color w:val="auto"/>
          <w:sz w:val="32"/>
          <w:szCs w:val="32"/>
        </w:rPr>
      </w:pPr>
      <w:r>
        <w:rPr>
          <w:rFonts w:hint="default" w:ascii="Times New Roman" w:hAnsi="Times New Roman" w:cs="Times New Roman"/>
          <w:color w:val="auto"/>
          <w:sz w:val="32"/>
          <w:szCs w:val="32"/>
        </w:rPr>
        <w:t>根据《中华人民共和国环境影响评价法》和中华人民共和国国务院令第253号《建设项目环境保护管理条例》的规定，特委托你单位开展《</w:t>
      </w:r>
      <w:r>
        <w:rPr>
          <w:rFonts w:hint="eastAsia" w:ascii="Times New Roman" w:hAnsi="Times New Roman" w:cs="Times New Roman"/>
          <w:color w:val="auto"/>
          <w:sz w:val="32"/>
          <w:szCs w:val="32"/>
          <w:lang w:eastAsia="zh-CN"/>
        </w:rPr>
        <w:t>本溪佰汇铜业有限公司环保型铜排表面处理自动生产线项目</w:t>
      </w:r>
      <w:r>
        <w:rPr>
          <w:rFonts w:hint="default" w:ascii="Times New Roman" w:hAnsi="Times New Roman" w:cs="Times New Roman"/>
          <w:color w:val="auto"/>
          <w:sz w:val="32"/>
          <w:szCs w:val="32"/>
        </w:rPr>
        <w:t>》环境影响评价工作。</w:t>
      </w:r>
    </w:p>
    <w:p w14:paraId="51F497EA">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hint="default" w:ascii="Times New Roman" w:hAnsi="Times New Roman" w:cs="Times New Roman"/>
          <w:color w:val="auto"/>
          <w:sz w:val="32"/>
          <w:szCs w:val="32"/>
        </w:rPr>
      </w:pPr>
      <w:r>
        <w:rPr>
          <w:rFonts w:hint="default" w:ascii="Times New Roman" w:hAnsi="Times New Roman" w:cs="Times New Roman"/>
          <w:color w:val="auto"/>
          <w:sz w:val="32"/>
          <w:szCs w:val="32"/>
        </w:rPr>
        <w:t>望尽快开展工作。</w:t>
      </w:r>
    </w:p>
    <w:p w14:paraId="37BA7671">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hint="default" w:ascii="Times New Roman" w:hAnsi="Times New Roman" w:cs="Times New Roman"/>
          <w:color w:val="auto"/>
          <w:sz w:val="32"/>
          <w:szCs w:val="32"/>
        </w:rPr>
      </w:pPr>
    </w:p>
    <w:p w14:paraId="0755B9C2">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hint="default" w:ascii="Times New Roman" w:hAnsi="Times New Roman" w:cs="Times New Roman"/>
          <w:color w:val="auto"/>
          <w:sz w:val="32"/>
          <w:szCs w:val="32"/>
        </w:rPr>
      </w:pPr>
    </w:p>
    <w:p w14:paraId="2C31B61B">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hint="eastAsia" w:ascii="Times New Roman" w:hAnsi="Times New Roman" w:eastAsia="宋体" w:cs="Times New Roman"/>
          <w:color w:val="auto"/>
          <w:sz w:val="32"/>
          <w:szCs w:val="32"/>
          <w:lang w:val="en-US" w:eastAsia="zh-CN"/>
        </w:rPr>
      </w:pPr>
      <w:r>
        <w:rPr>
          <w:rFonts w:hint="eastAsia" w:cs="Times New Roman"/>
          <w:color w:val="auto"/>
          <w:sz w:val="32"/>
          <w:szCs w:val="32"/>
          <w:lang w:val="en-US" w:eastAsia="zh-CN"/>
        </w:rPr>
        <w:t xml:space="preserve"> </w:t>
      </w:r>
    </w:p>
    <w:p w14:paraId="16F55919">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hint="default" w:ascii="Times New Roman" w:hAnsi="Times New Roman" w:cs="Times New Roman"/>
          <w:color w:val="auto"/>
          <w:sz w:val="32"/>
          <w:szCs w:val="32"/>
        </w:rPr>
      </w:pPr>
    </w:p>
    <w:p w14:paraId="1BF922CD">
      <w:pPr>
        <w:jc w:val="right"/>
        <w:rPr>
          <w:rFonts w:hint="eastAsia" w:ascii="Times New Roman" w:hAnsi="Times New Roman" w:cs="Times New Roman"/>
          <w:color w:val="auto"/>
          <w:sz w:val="32"/>
          <w:szCs w:val="32"/>
          <w:lang w:eastAsia="zh-CN"/>
        </w:rPr>
      </w:pPr>
      <w:r>
        <w:rPr>
          <w:rFonts w:hint="eastAsia" w:ascii="Times New Roman" w:hAnsi="Times New Roman" w:cs="Times New Roman"/>
          <w:color w:val="auto"/>
          <w:sz w:val="32"/>
          <w:szCs w:val="32"/>
          <w:lang w:eastAsia="zh-CN"/>
        </w:rPr>
        <w:t>本溪佰汇铜业有限公司</w:t>
      </w:r>
    </w:p>
    <w:p w14:paraId="3939CE30">
      <w:pPr>
        <w:jc w:val="center"/>
        <w:rPr>
          <w:rFonts w:hint="eastAsia"/>
          <w:lang w:val="en-US" w:eastAsia="zh-CN"/>
        </w:rPr>
      </w:pPr>
      <w:r>
        <w:rPr>
          <w:rFonts w:hint="eastAsia" w:cs="Times New Roman"/>
          <w:color w:val="auto"/>
          <w:sz w:val="32"/>
          <w:szCs w:val="32"/>
          <w:lang w:val="en-US" w:eastAsia="zh-CN"/>
        </w:rPr>
        <w:t xml:space="preserve">                             </w:t>
      </w:r>
      <w:r>
        <w:rPr>
          <w:rFonts w:hint="default" w:ascii="Times New Roman" w:hAnsi="Times New Roman" w:cs="Times New Roman"/>
          <w:color w:val="auto"/>
          <w:sz w:val="32"/>
          <w:szCs w:val="32"/>
        </w:rPr>
        <w:t>20</w:t>
      </w:r>
      <w:r>
        <w:rPr>
          <w:rFonts w:hint="default" w:ascii="Times New Roman" w:hAnsi="Times New Roman" w:cs="Times New Roman"/>
          <w:color w:val="auto"/>
          <w:sz w:val="32"/>
          <w:szCs w:val="32"/>
          <w:lang w:val="en-US" w:eastAsia="zh-CN"/>
        </w:rPr>
        <w:t>20</w:t>
      </w:r>
      <w:r>
        <w:rPr>
          <w:rFonts w:hint="default" w:ascii="Times New Roman" w:hAnsi="Times New Roman" w:cs="Times New Roman"/>
          <w:color w:val="auto"/>
          <w:sz w:val="32"/>
          <w:szCs w:val="32"/>
        </w:rPr>
        <w:t>年</w:t>
      </w:r>
      <w:r>
        <w:rPr>
          <w:rFonts w:hint="default" w:ascii="Times New Roman" w:hAnsi="Times New Roman" w:cs="Times New Roman"/>
          <w:color w:val="auto"/>
          <w:sz w:val="32"/>
          <w:szCs w:val="32"/>
          <w:lang w:val="en-US" w:eastAsia="zh-CN"/>
        </w:rPr>
        <w:t>3</w:t>
      </w:r>
      <w:r>
        <w:rPr>
          <w:rFonts w:hint="default" w:ascii="Times New Roman" w:hAnsi="Times New Roman" w:cs="Times New Roman"/>
          <w:color w:val="auto"/>
          <w:sz w:val="32"/>
          <w:szCs w:val="32"/>
        </w:rPr>
        <w:t>月</w:t>
      </w:r>
    </w:p>
    <w:p w14:paraId="093C8A80">
      <w:pPr>
        <w:pStyle w:val="22"/>
        <w:rPr>
          <w:rFonts w:hint="default"/>
          <w:lang w:val="en-US" w:eastAsia="zh-CN"/>
        </w:rPr>
      </w:pPr>
    </w:p>
    <w:p w14:paraId="2B1F5195">
      <w:pPr>
        <w:pStyle w:val="22"/>
        <w:rPr>
          <w:rFonts w:hint="default"/>
          <w:lang w:val="en-US" w:eastAsia="zh-CN"/>
        </w:rPr>
      </w:pPr>
    </w:p>
    <w:p w14:paraId="6A8AB790">
      <w:pPr>
        <w:pStyle w:val="22"/>
        <w:rPr>
          <w:rFonts w:hint="default"/>
          <w:lang w:val="en-US" w:eastAsia="zh-CN"/>
        </w:rPr>
      </w:pPr>
    </w:p>
    <w:p w14:paraId="1495834C">
      <w:pPr>
        <w:pStyle w:val="22"/>
        <w:rPr>
          <w:rFonts w:hint="default"/>
          <w:lang w:val="en-US" w:eastAsia="zh-CN"/>
        </w:rPr>
      </w:pPr>
    </w:p>
    <w:p w14:paraId="50702302">
      <w:pPr>
        <w:pStyle w:val="22"/>
        <w:rPr>
          <w:rFonts w:hint="default"/>
          <w:lang w:val="en-US" w:eastAsia="zh-CN"/>
        </w:rPr>
      </w:pPr>
    </w:p>
    <w:p w14:paraId="4448FB06">
      <w:pPr>
        <w:pStyle w:val="5"/>
        <w:bidi w:val="0"/>
        <w:rPr>
          <w:rFonts w:hint="default"/>
          <w:lang w:val="en-US" w:eastAsia="zh-CN"/>
        </w:rPr>
      </w:pPr>
      <w:r>
        <w:rPr>
          <w:rFonts w:hint="eastAsia"/>
          <w:lang w:val="en-US" w:eastAsia="zh-CN"/>
        </w:rPr>
        <w:t>附件5土地使用性质证明文件</w:t>
      </w:r>
    </w:p>
    <w:p w14:paraId="5B3FF9B5">
      <w:pPr>
        <w:pStyle w:val="4"/>
        <w:rPr>
          <w:rFonts w:hint="default"/>
          <w:lang w:val="en-US" w:eastAsia="zh-CN"/>
        </w:rPr>
      </w:pPr>
      <w:r>
        <w:rPr>
          <w:rFonts w:hint="default"/>
          <w:lang w:val="en-US" w:eastAsia="zh-CN"/>
        </w:rPr>
        <w:drawing>
          <wp:inline distT="0" distB="0" distL="114300" distR="114300">
            <wp:extent cx="5524500" cy="7366000"/>
            <wp:effectExtent l="0" t="0" r="0" b="6350"/>
            <wp:docPr id="51" name="图片 51" descr="微信图片_20200512094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descr="微信图片_20200512094910"/>
                    <pic:cNvPicPr>
                      <a:picLocks noChangeAspect="1"/>
                    </pic:cNvPicPr>
                  </pic:nvPicPr>
                  <pic:blipFill>
                    <a:blip r:embed="rId70"/>
                    <a:stretch>
                      <a:fillRect/>
                    </a:stretch>
                  </pic:blipFill>
                  <pic:spPr>
                    <a:xfrm>
                      <a:off x="0" y="0"/>
                      <a:ext cx="5524500" cy="7366000"/>
                    </a:xfrm>
                    <a:prstGeom prst="rect">
                      <a:avLst/>
                    </a:prstGeom>
                  </pic:spPr>
                </pic:pic>
              </a:graphicData>
            </a:graphic>
          </wp:inline>
        </w:drawing>
      </w:r>
      <w:r>
        <w:rPr>
          <w:rFonts w:hint="default"/>
          <w:lang w:val="en-US" w:eastAsia="zh-CN"/>
        </w:rPr>
        <w:drawing>
          <wp:inline distT="0" distB="0" distL="114300" distR="114300">
            <wp:extent cx="5524500" cy="7366000"/>
            <wp:effectExtent l="0" t="0" r="0" b="6350"/>
            <wp:docPr id="50" name="图片 50" descr="微信图片_202005120949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descr="微信图片_202005120949101"/>
                    <pic:cNvPicPr>
                      <a:picLocks noChangeAspect="1"/>
                    </pic:cNvPicPr>
                  </pic:nvPicPr>
                  <pic:blipFill>
                    <a:blip r:embed="rId71"/>
                    <a:stretch>
                      <a:fillRect/>
                    </a:stretch>
                  </pic:blipFill>
                  <pic:spPr>
                    <a:xfrm>
                      <a:off x="0" y="0"/>
                      <a:ext cx="5524500" cy="7366000"/>
                    </a:xfrm>
                    <a:prstGeom prst="rect">
                      <a:avLst/>
                    </a:prstGeom>
                  </pic:spPr>
                </pic:pic>
              </a:graphicData>
            </a:graphic>
          </wp:inline>
        </w:drawing>
      </w:r>
    </w:p>
    <w:p w14:paraId="038F43C6">
      <w:pPr>
        <w:pStyle w:val="4"/>
        <w:rPr>
          <w:rFonts w:hint="default"/>
          <w:lang w:val="en-US" w:eastAsia="zh-CN"/>
        </w:rPr>
      </w:pPr>
    </w:p>
    <w:p w14:paraId="15DEBA1E">
      <w:pPr>
        <w:pStyle w:val="4"/>
        <w:rPr>
          <w:rFonts w:hint="default"/>
          <w:lang w:val="en-US" w:eastAsia="zh-CN"/>
        </w:rPr>
      </w:pPr>
    </w:p>
    <w:p w14:paraId="47DB7A0A">
      <w:pPr>
        <w:pStyle w:val="4"/>
        <w:rPr>
          <w:rFonts w:hint="default"/>
          <w:lang w:val="en-US" w:eastAsia="zh-CN"/>
        </w:rPr>
      </w:pPr>
    </w:p>
    <w:p w14:paraId="51E8E3F4">
      <w:pPr>
        <w:pStyle w:val="5"/>
        <w:bidi w:val="0"/>
        <w:rPr>
          <w:rFonts w:hint="default"/>
          <w:lang w:val="en-US" w:eastAsia="zh-CN"/>
        </w:rPr>
      </w:pPr>
      <w:r>
        <w:rPr>
          <w:rFonts w:hint="eastAsia"/>
          <w:lang w:val="en-US" w:eastAsia="zh-CN"/>
        </w:rPr>
        <w:t>附件6环境空气补充监测报告</w:t>
      </w:r>
    </w:p>
    <w:p w14:paraId="2FACF13D">
      <w:pPr>
        <w:pStyle w:val="4"/>
      </w:pPr>
      <w:r>
        <w:drawing>
          <wp:inline distT="0" distB="0" distL="114300" distR="114300">
            <wp:extent cx="5539105" cy="7217410"/>
            <wp:effectExtent l="0" t="0" r="4445" b="2540"/>
            <wp:docPr id="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4"/>
                    <pic:cNvPicPr>
                      <a:picLocks noChangeAspect="1"/>
                    </pic:cNvPicPr>
                  </pic:nvPicPr>
                  <pic:blipFill>
                    <a:blip r:embed="rId72"/>
                    <a:stretch>
                      <a:fillRect/>
                    </a:stretch>
                  </pic:blipFill>
                  <pic:spPr>
                    <a:xfrm>
                      <a:off x="0" y="0"/>
                      <a:ext cx="5539105" cy="7217410"/>
                    </a:xfrm>
                    <a:prstGeom prst="rect">
                      <a:avLst/>
                    </a:prstGeom>
                    <a:noFill/>
                    <a:ln>
                      <a:noFill/>
                    </a:ln>
                  </pic:spPr>
                </pic:pic>
              </a:graphicData>
            </a:graphic>
          </wp:inline>
        </w:drawing>
      </w:r>
      <w:r>
        <w:drawing>
          <wp:inline distT="0" distB="0" distL="114300" distR="114300">
            <wp:extent cx="5541010" cy="7101840"/>
            <wp:effectExtent l="0" t="0" r="2540" b="3810"/>
            <wp:docPr id="1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5"/>
                    <pic:cNvPicPr>
                      <a:picLocks noChangeAspect="1"/>
                    </pic:cNvPicPr>
                  </pic:nvPicPr>
                  <pic:blipFill>
                    <a:blip r:embed="rId73"/>
                    <a:stretch>
                      <a:fillRect/>
                    </a:stretch>
                  </pic:blipFill>
                  <pic:spPr>
                    <a:xfrm>
                      <a:off x="0" y="0"/>
                      <a:ext cx="5541010" cy="7101840"/>
                    </a:xfrm>
                    <a:prstGeom prst="rect">
                      <a:avLst/>
                    </a:prstGeom>
                    <a:noFill/>
                    <a:ln>
                      <a:noFill/>
                    </a:ln>
                  </pic:spPr>
                </pic:pic>
              </a:graphicData>
            </a:graphic>
          </wp:inline>
        </w:drawing>
      </w:r>
      <w:r>
        <w:drawing>
          <wp:inline distT="0" distB="0" distL="114300" distR="114300">
            <wp:extent cx="5537200" cy="7184390"/>
            <wp:effectExtent l="0" t="0" r="6350" b="16510"/>
            <wp:docPr id="1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6"/>
                    <pic:cNvPicPr>
                      <a:picLocks noChangeAspect="1"/>
                    </pic:cNvPicPr>
                  </pic:nvPicPr>
                  <pic:blipFill>
                    <a:blip r:embed="rId74"/>
                    <a:stretch>
                      <a:fillRect/>
                    </a:stretch>
                  </pic:blipFill>
                  <pic:spPr>
                    <a:xfrm>
                      <a:off x="0" y="0"/>
                      <a:ext cx="5537200" cy="7184390"/>
                    </a:xfrm>
                    <a:prstGeom prst="rect">
                      <a:avLst/>
                    </a:prstGeom>
                    <a:noFill/>
                    <a:ln>
                      <a:noFill/>
                    </a:ln>
                  </pic:spPr>
                </pic:pic>
              </a:graphicData>
            </a:graphic>
          </wp:inline>
        </w:drawing>
      </w:r>
      <w:r>
        <w:drawing>
          <wp:inline distT="0" distB="0" distL="114300" distR="114300">
            <wp:extent cx="5538470" cy="7167880"/>
            <wp:effectExtent l="0" t="0" r="5080" b="13970"/>
            <wp:docPr id="4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7"/>
                    <pic:cNvPicPr>
                      <a:picLocks noChangeAspect="1"/>
                    </pic:cNvPicPr>
                  </pic:nvPicPr>
                  <pic:blipFill>
                    <a:blip r:embed="rId75"/>
                    <a:stretch>
                      <a:fillRect/>
                    </a:stretch>
                  </pic:blipFill>
                  <pic:spPr>
                    <a:xfrm>
                      <a:off x="0" y="0"/>
                      <a:ext cx="5538470" cy="7167880"/>
                    </a:xfrm>
                    <a:prstGeom prst="rect">
                      <a:avLst/>
                    </a:prstGeom>
                    <a:noFill/>
                    <a:ln>
                      <a:noFill/>
                    </a:ln>
                  </pic:spPr>
                </pic:pic>
              </a:graphicData>
            </a:graphic>
          </wp:inline>
        </w:drawing>
      </w:r>
    </w:p>
    <w:p w14:paraId="4F7A1F70">
      <w:pPr>
        <w:pStyle w:val="4"/>
      </w:pPr>
    </w:p>
    <w:p w14:paraId="5EE4C6FF">
      <w:pPr>
        <w:pStyle w:val="4"/>
      </w:pPr>
    </w:p>
    <w:p w14:paraId="399AE98D">
      <w:pPr>
        <w:pStyle w:val="4"/>
      </w:pPr>
    </w:p>
    <w:p w14:paraId="334991EA">
      <w:pPr>
        <w:pStyle w:val="4"/>
      </w:pPr>
    </w:p>
    <w:p w14:paraId="127E0D89">
      <w:pPr>
        <w:pStyle w:val="5"/>
        <w:bidi w:val="0"/>
        <w:rPr>
          <w:rFonts w:hint="eastAsia"/>
          <w:lang w:val="en-US" w:eastAsia="zh-CN"/>
        </w:rPr>
      </w:pPr>
      <w:r>
        <w:rPr>
          <w:rFonts w:hint="eastAsia"/>
          <w:lang w:eastAsia="zh-CN"/>
        </w:rPr>
        <w:t>附件</w:t>
      </w:r>
      <w:r>
        <w:rPr>
          <w:rFonts w:hint="eastAsia"/>
          <w:lang w:val="en-US" w:eastAsia="zh-CN"/>
        </w:rPr>
        <w:t>7地下水环境质量补充监测</w:t>
      </w:r>
    </w:p>
    <w:p w14:paraId="6BF12317">
      <w:pPr>
        <w:pStyle w:val="4"/>
        <w:rPr>
          <w:rFonts w:hint="eastAsia" w:eastAsia="宋体"/>
          <w:lang w:val="en-US" w:eastAsia="zh-CN"/>
        </w:rPr>
      </w:pPr>
      <w:r>
        <w:drawing>
          <wp:inline distT="0" distB="0" distL="114300" distR="114300">
            <wp:extent cx="5540375" cy="7651115"/>
            <wp:effectExtent l="0" t="0" r="3175" b="6985"/>
            <wp:docPr id="56"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8"/>
                    <pic:cNvPicPr>
                      <a:picLocks noChangeAspect="1"/>
                    </pic:cNvPicPr>
                  </pic:nvPicPr>
                  <pic:blipFill>
                    <a:blip r:embed="rId76"/>
                    <a:stretch>
                      <a:fillRect/>
                    </a:stretch>
                  </pic:blipFill>
                  <pic:spPr>
                    <a:xfrm>
                      <a:off x="0" y="0"/>
                      <a:ext cx="5540375" cy="7651115"/>
                    </a:xfrm>
                    <a:prstGeom prst="rect">
                      <a:avLst/>
                    </a:prstGeom>
                    <a:noFill/>
                    <a:ln>
                      <a:noFill/>
                    </a:ln>
                  </pic:spPr>
                </pic:pic>
              </a:graphicData>
            </a:graphic>
          </wp:inline>
        </w:drawing>
      </w:r>
      <w:r>
        <w:drawing>
          <wp:inline distT="0" distB="0" distL="114300" distR="114300">
            <wp:extent cx="4829175" cy="7743825"/>
            <wp:effectExtent l="0" t="0" r="9525" b="9525"/>
            <wp:docPr id="57"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9"/>
                    <pic:cNvPicPr>
                      <a:picLocks noChangeAspect="1"/>
                    </pic:cNvPicPr>
                  </pic:nvPicPr>
                  <pic:blipFill>
                    <a:blip r:embed="rId77"/>
                    <a:stretch>
                      <a:fillRect/>
                    </a:stretch>
                  </pic:blipFill>
                  <pic:spPr>
                    <a:xfrm>
                      <a:off x="0" y="0"/>
                      <a:ext cx="4829175" cy="7743825"/>
                    </a:xfrm>
                    <a:prstGeom prst="rect">
                      <a:avLst/>
                    </a:prstGeom>
                    <a:noFill/>
                    <a:ln>
                      <a:noFill/>
                    </a:ln>
                  </pic:spPr>
                </pic:pic>
              </a:graphicData>
            </a:graphic>
          </wp:inline>
        </w:drawing>
      </w:r>
      <w:r>
        <w:drawing>
          <wp:inline distT="0" distB="0" distL="114300" distR="114300">
            <wp:extent cx="5438775" cy="7829550"/>
            <wp:effectExtent l="0" t="0" r="9525" b="0"/>
            <wp:docPr id="58"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10"/>
                    <pic:cNvPicPr>
                      <a:picLocks noChangeAspect="1"/>
                    </pic:cNvPicPr>
                  </pic:nvPicPr>
                  <pic:blipFill>
                    <a:blip r:embed="rId78"/>
                    <a:stretch>
                      <a:fillRect/>
                    </a:stretch>
                  </pic:blipFill>
                  <pic:spPr>
                    <a:xfrm>
                      <a:off x="0" y="0"/>
                      <a:ext cx="5438775" cy="7829550"/>
                    </a:xfrm>
                    <a:prstGeom prst="rect">
                      <a:avLst/>
                    </a:prstGeom>
                    <a:noFill/>
                    <a:ln>
                      <a:noFill/>
                    </a:ln>
                  </pic:spPr>
                </pic:pic>
              </a:graphicData>
            </a:graphic>
          </wp:inline>
        </w:drawing>
      </w:r>
      <w:r>
        <w:drawing>
          <wp:inline distT="0" distB="0" distL="114300" distR="114300">
            <wp:extent cx="5324475" cy="7705725"/>
            <wp:effectExtent l="0" t="0" r="9525" b="9525"/>
            <wp:docPr id="60"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11"/>
                    <pic:cNvPicPr>
                      <a:picLocks noChangeAspect="1"/>
                    </pic:cNvPicPr>
                  </pic:nvPicPr>
                  <pic:blipFill>
                    <a:blip r:embed="rId79"/>
                    <a:stretch>
                      <a:fillRect/>
                    </a:stretch>
                  </pic:blipFill>
                  <pic:spPr>
                    <a:xfrm>
                      <a:off x="0" y="0"/>
                      <a:ext cx="5324475" cy="7705725"/>
                    </a:xfrm>
                    <a:prstGeom prst="rect">
                      <a:avLst/>
                    </a:prstGeom>
                    <a:noFill/>
                    <a:ln>
                      <a:noFill/>
                    </a:ln>
                  </pic:spPr>
                </pic:pic>
              </a:graphicData>
            </a:graphic>
          </wp:inline>
        </w:drawing>
      </w:r>
      <w:r>
        <w:rPr>
          <w:rFonts w:hint="eastAsia" w:eastAsia="宋体"/>
          <w:lang w:val="en-US" w:eastAsia="zh-CN"/>
        </w:rPr>
        <w:drawing>
          <wp:inline distT="0" distB="0" distL="114300" distR="114300">
            <wp:extent cx="5534660" cy="8496300"/>
            <wp:effectExtent l="0" t="0" r="8890" b="0"/>
            <wp:docPr id="61" name="图片 61" descr="微信图片_20200522155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1" descr="微信图片_20200522155029"/>
                    <pic:cNvPicPr>
                      <a:picLocks noChangeAspect="1"/>
                    </pic:cNvPicPr>
                  </pic:nvPicPr>
                  <pic:blipFill>
                    <a:blip r:embed="rId80"/>
                    <a:stretch>
                      <a:fillRect/>
                    </a:stretch>
                  </pic:blipFill>
                  <pic:spPr>
                    <a:xfrm>
                      <a:off x="0" y="0"/>
                      <a:ext cx="5534660" cy="8496300"/>
                    </a:xfrm>
                    <a:prstGeom prst="rect">
                      <a:avLst/>
                    </a:prstGeom>
                  </pic:spPr>
                </pic:pic>
              </a:graphicData>
            </a:graphic>
          </wp:inline>
        </w:drawing>
      </w:r>
    </w:p>
    <w:sectPr>
      <w:pgSz w:w="11906" w:h="16838"/>
      <w:pgMar w:top="1814" w:right="1588" w:bottom="1588" w:left="1588" w:header="851" w:footer="992" w:gutter="0"/>
      <w:pgBorders>
        <w:top w:val="none" w:sz="0" w:space="0"/>
        <w:left w:val="none" w:sz="0" w:space="0"/>
        <w:bottom w:val="none" w:sz="0" w:space="0"/>
        <w:right w:val="none" w:sz="0" w:space="0"/>
      </w:pgBorders>
      <w:pgNumType w:fmt="decimal"/>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8"/>
    <w:family w:val="script"/>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monospace">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swiss"/>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Palatino Linotype">
    <w:altName w:val="Segoe Print"/>
    <w:panose1 w:val="02040502050505030304"/>
    <w:charset w:val="00"/>
    <w:family w:val="roman"/>
    <w:pitch w:val="default"/>
    <w:sig w:usb0="00000000" w:usb1="00000000" w:usb2="00000000" w:usb3="00000000" w:csb0="2000019F" w:csb1="00000000"/>
  </w:font>
  <w:font w:name="ˎ̥">
    <w:altName w:val="Times New Roman"/>
    <w:panose1 w:val="00000000000000000000"/>
    <w:charset w:val="00"/>
    <w:family w:val="auto"/>
    <w:pitch w:val="default"/>
    <w:sig w:usb0="00000000" w:usb1="00000000" w:usb2="00000000" w:usb3="00000000" w:csb0="00040001" w:csb1="00000000"/>
  </w:font>
  <w:font w:name="MingLiU">
    <w:altName w:val="Microsoft JhengHei"/>
    <w:panose1 w:val="02020509000000000000"/>
    <w:charset w:val="88"/>
    <w:family w:val="modern"/>
    <w:pitch w:val="default"/>
    <w:sig w:usb0="00000000" w:usb1="00000000" w:usb2="00000016" w:usb3="00000000" w:csb0="00100001" w:csb1="00000000"/>
  </w:font>
  <w:font w:name="PMingLiU-ExtB">
    <w:altName w:val="Segoe Print"/>
    <w:panose1 w:val="00000000000000000000"/>
    <w:charset w:val="00"/>
    <w:family w:val="auto"/>
    <w:pitch w:val="default"/>
    <w:sig w:usb0="00000000" w:usb1="00000000" w:usb2="00000000" w:usb3="00000000" w:csb0="00000000" w:csb1="00000000"/>
  </w:font>
  <w:font w:name="MS Gothic">
    <w:altName w:val="Meiryo UI"/>
    <w:panose1 w:val="020B0609070205080204"/>
    <w:charset w:val="80"/>
    <w:family w:val="modern"/>
    <w:pitch w:val="default"/>
    <w:sig w:usb0="00000000" w:usb1="00000000" w:usb2="08000012" w:usb3="00000000" w:csb0="4002009F" w:csb1="DFD70000"/>
  </w:font>
  <w:font w:name="Sylfaen">
    <w:panose1 w:val="010A0502050306030303"/>
    <w:charset w:val="00"/>
    <w:family w:val="roman"/>
    <w:pitch w:val="default"/>
    <w:sig w:usb0="04000687" w:usb1="00000000" w:usb2="00000000" w:usb3="00000000" w:csb0="2000009F" w:csb1="00000000"/>
  </w:font>
  <w:font w:name="Arial Narrow">
    <w:altName w:val="Arial"/>
    <w:panose1 w:val="020B0606020202030204"/>
    <w:charset w:val="00"/>
    <w:family w:val="swiss"/>
    <w:pitch w:val="default"/>
    <w:sig w:usb0="00000000" w:usb1="00000000" w:usb2="00000000" w:usb3="00000000" w:csb0="2000009F" w:csb1="DFD70000"/>
  </w:font>
  <w:font w:name="仿宋">
    <w:panose1 w:val="02010609060101010101"/>
    <w:charset w:val="86"/>
    <w:family w:val="modern"/>
    <w:pitch w:val="default"/>
    <w:sig w:usb0="800002BF" w:usb1="38CF7CFA" w:usb2="00000016" w:usb3="00000000" w:csb0="00040001" w:csb1="00000000"/>
  </w:font>
  <w:font w:name="Impact">
    <w:panose1 w:val="020B0806030902050204"/>
    <w:charset w:val="00"/>
    <w:family w:val="swiss"/>
    <w:pitch w:val="default"/>
    <w:sig w:usb0="00000287" w:usb1="00000000" w:usb2="00000000" w:usb3="00000000" w:csb0="2000009F" w:csb1="DFD70000"/>
  </w:font>
  <w:font w:name="方正宋黑简体">
    <w:panose1 w:val="02010601030101010101"/>
    <w:charset w:val="86"/>
    <w:family w:val="auto"/>
    <w:pitch w:val="default"/>
    <w:sig w:usb0="00000001" w:usb1="080E0000" w:usb2="00000000" w:usb3="00000000" w:csb0="00040000" w:csb1="00000000"/>
  </w:font>
  <w:font w:name="彩虹粗仿宋">
    <w:altName w:val="微软雅黑"/>
    <w:panose1 w:val="00000000000000000000"/>
    <w:charset w:val="86"/>
    <w:family w:val="auto"/>
    <w:pitch w:val="default"/>
    <w:sig w:usb0="00000000" w:usb1="00000000" w:usb2="00000010" w:usb3="00000000" w:csb0="00040000" w:csb1="00000000"/>
  </w:font>
  <w:font w:name="Verdana">
    <w:panose1 w:val="020B0604030504040204"/>
    <w:charset w:val="00"/>
    <w:family w:val="swiss"/>
    <w:pitch w:val="default"/>
    <w:sig w:usb0="A10006FF" w:usb1="4000205B" w:usb2="00000010" w:usb3="00000000" w:csb0="2000019F" w:csb1="00000000"/>
  </w:font>
  <w:font w:name="”“Times New Roman”“">
    <w:altName w:val="宋体"/>
    <w:panose1 w:val="00000000000000000000"/>
    <w:charset w:val="86"/>
    <w:family w:val="roma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Arial Unicode MS">
    <w:altName w:val="宋体"/>
    <w:panose1 w:val="020B0604020202020204"/>
    <w:charset w:val="86"/>
    <w:family w:val="swiss"/>
    <w:pitch w:val="default"/>
    <w:sig w:usb0="00000000" w:usb1="00000000" w:usb2="0000003F" w:usb3="00000000" w:csb0="603F01FF" w:csb1="FFFF0000"/>
  </w:font>
  <w:font w:name="新宋体">
    <w:panose1 w:val="02010609030101010101"/>
    <w:charset w:val="86"/>
    <w:family w:val="modern"/>
    <w:pitch w:val="default"/>
    <w:sig w:usb0="00000003" w:usb1="288F0000" w:usb2="00000006" w:usb3="00000000" w:csb0="00040001" w:csb1="00000000"/>
  </w:font>
  <w:font w:name="楷体">
    <w:panose1 w:val="02010609060101010101"/>
    <w:charset w:val="86"/>
    <w:family w:val="modern"/>
    <w:pitch w:val="default"/>
    <w:sig w:usb0="800002BF" w:usb1="38CF7CFA" w:usb2="00000016" w:usb3="00000000" w:csb0="00040001" w:csb1="00000000"/>
  </w:font>
  <w:font w:name="方正姚体">
    <w:panose1 w:val="02010601030101010101"/>
    <w:charset w:val="86"/>
    <w:family w:val="auto"/>
    <w:pitch w:val="default"/>
    <w:sig w:usb0="00000003" w:usb1="080E0000" w:usb2="00000000" w:usb3="00000000" w:csb0="00040000" w:csb1="00000000"/>
  </w:font>
  <w:font w:name="隶书">
    <w:altName w:val="微软雅黑"/>
    <w:panose1 w:val="02010509060101010101"/>
    <w:charset w:val="86"/>
    <w:family w:val="modern"/>
    <w:pitch w:val="default"/>
    <w:sig w:usb0="00000000" w:usb1="00000000" w:usb2="00000000" w:usb3="00000000" w:csb0="00040000" w:csb1="00000000"/>
  </w:font>
  <w:font w:name="PMingLiU">
    <w:altName w:val="Microsoft JhengHei"/>
    <w:panose1 w:val="02020500000000000000"/>
    <w:charset w:val="88"/>
    <w:family w:val="roman"/>
    <w:pitch w:val="default"/>
    <w:sig w:usb0="00000000" w:usb1="00000000" w:usb2="00000016" w:usb3="00000000" w:csb0="00100001" w:csb1="00000000"/>
  </w:font>
  <w:font w:name="MS Mincho">
    <w:altName w:val="Meiryo UI"/>
    <w:panose1 w:val="02020609040205080304"/>
    <w:charset w:val="80"/>
    <w:family w:val="modern"/>
    <w:pitch w:val="default"/>
    <w:sig w:usb0="00000000" w:usb1="00000000" w:usb2="00000012" w:usb3="00000000" w:csb0="4002009F" w:csb1="DFD70000"/>
  </w:font>
  <w:font w:name="Yu Gothic UI">
    <w:altName w:val="Meiryo UI"/>
    <w:panose1 w:val="020B0500000000000000"/>
    <w:charset w:val="80"/>
    <w:family w:val="auto"/>
    <w:pitch w:val="default"/>
    <w:sig w:usb0="00000000" w:usb1="00000000" w:usb2="00000016" w:usb3="00000000" w:csb0="2002009F" w:csb1="00000000"/>
  </w:font>
  <w:font w:name="Cambria Math">
    <w:panose1 w:val="02040503050406030204"/>
    <w:charset w:val="00"/>
    <w:family w:val="roman"/>
    <w:pitch w:val="default"/>
    <w:sig w:usb0="E00002FF" w:usb1="420024FF" w:usb2="00000000" w:usb3="00000000" w:csb0="2000019F" w:csb1="00000000"/>
  </w:font>
  <w:font w:name="Wingdings 2">
    <w:altName w:val="Wingdings"/>
    <w:panose1 w:val="05020102010507070707"/>
    <w:charset w:val="02"/>
    <w:family w:val="roman"/>
    <w:pitch w:val="default"/>
    <w:sig w:usb0="00000000" w:usb1="00000000" w:usb2="00000000" w:usb3="00000000" w:csb0="80000000" w:csb1="00000000"/>
  </w:font>
  <w:font w:name="Microsoft JhengHei">
    <w:panose1 w:val="020B0604030504040204"/>
    <w:charset w:val="88"/>
    <w:family w:val="auto"/>
    <w:pitch w:val="default"/>
    <w:sig w:usb0="00000087" w:usb1="28AF4000" w:usb2="00000016" w:usb3="00000000" w:csb0="00100009" w:csb1="00000000"/>
  </w:font>
  <w:font w:name="Meiryo UI">
    <w:panose1 w:val="020B0604030504040204"/>
    <w:charset w:val="80"/>
    <w:family w:val="auto"/>
    <w:pitch w:val="default"/>
    <w:sig w:usb0="E10102FF" w:usb1="EAC7FFFF" w:usb2="00010012" w:usb3="00000000" w:csb0="6002009F" w:csb1="DFD70000"/>
  </w:font>
  <w:font w:name="Kingsoft 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4719C8">
    <w:pPr>
      <w:pStyle w:val="34"/>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9" name="文本框 5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53EBB1">
                          <w:pPr>
                            <w:pStyle w:val="3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I</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yNJGYzAgAAYwQAAA4AAABkcnMvZTJvRG9jLnhtbK1UzY7TMBC+I/EO&#10;lu80adGu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9d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yNJGYzAgAAYwQAAA4AAAAAAAAAAQAgAAAAHwEAAGRycy9lMm9Eb2MueG1sUEsF&#10;BgAAAAAGAAYAWQEAAMQFAAAAAA==&#10;">
              <v:fill on="f" focussize="0,0"/>
              <v:stroke on="f" weight="0.5pt"/>
              <v:imagedata o:title=""/>
              <o:lock v:ext="edit" aspectratio="f"/>
              <v:textbox inset="0mm,0mm,0mm,0mm" style="mso-fit-shape-to-text:t;">
                <w:txbxContent>
                  <w:p w14:paraId="3653EBB1">
                    <w:pPr>
                      <w:pStyle w:val="3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I</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4D6849">
    <w:pPr>
      <w:pStyle w:val="34"/>
      <w:pBdr>
        <w:top w:val="thickThinSmallGap" w:color="auto" w:sz="24" w:space="1"/>
      </w:pBdr>
      <w:spacing w:line="240" w:lineRule="exact"/>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335333">
                          <w:pPr>
                            <w:pStyle w:val="3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50335333">
                    <w:pPr>
                      <w:pStyle w:val="3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E8ECF8">
    <w:pPr>
      <w:pStyle w:val="34"/>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D844DB3">
                          <w:pPr>
                            <w:pStyle w:val="34"/>
                            <w:rPr>
                              <w:rStyle w:val="59"/>
                            </w:rPr>
                          </w:pPr>
                          <w:r>
                            <w:fldChar w:fldCharType="begin"/>
                          </w:r>
                          <w:r>
                            <w:rPr>
                              <w:rStyle w:val="59"/>
                            </w:rPr>
                            <w:instrText xml:space="preserve">PAGE  </w:instrText>
                          </w:r>
                          <w:r>
                            <w:fldChar w:fldCharType="separate"/>
                          </w:r>
                          <w:r>
                            <w:rPr>
                              <w:rStyle w:val="59"/>
                            </w:rPr>
                            <w:t>41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DSS+knIAQAAmQMAAA4AAAAAAAAAAQAgAAAAHgEAAGRycy9lMm9Eb2Mu&#10;eG1sUEsFBgAAAAAGAAYAWQEAAFgFAAAAAA==&#10;">
              <v:fill on="f" focussize="0,0"/>
              <v:stroke on="f"/>
              <v:imagedata o:title=""/>
              <o:lock v:ext="edit" aspectratio="f"/>
              <v:textbox inset="0mm,0mm,0mm,0mm" style="mso-fit-shape-to-text:t;">
                <w:txbxContent>
                  <w:p w14:paraId="5D844DB3">
                    <w:pPr>
                      <w:pStyle w:val="34"/>
                      <w:rPr>
                        <w:rStyle w:val="59"/>
                      </w:rPr>
                    </w:pPr>
                    <w:r>
                      <w:fldChar w:fldCharType="begin"/>
                    </w:r>
                    <w:r>
                      <w:rPr>
                        <w:rStyle w:val="59"/>
                      </w:rPr>
                      <w:instrText xml:space="preserve">PAGE  </w:instrText>
                    </w:r>
                    <w:r>
                      <w:fldChar w:fldCharType="separate"/>
                    </w:r>
                    <w:r>
                      <w:rPr>
                        <w:rStyle w:val="59"/>
                      </w:rPr>
                      <w:t>41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5471AE">
    <w:pPr>
      <w:pStyle w:val="34"/>
      <w:pBdr>
        <w:top w:val="thickThinSmallGap" w:color="auto" w:sz="24" w:space="1"/>
      </w:pBdr>
      <w:spacing w:line="240" w:lineRule="exact"/>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82" name="文本框 8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8E537C">
                          <w:pPr>
                            <w:pStyle w:val="3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XXIX</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kBxM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XuQHEzICAABjBAAADgAAAAAAAAABACAAAAAfAQAAZHJzL2Uyb0RvYy54bWxQSwUG&#10;AAAAAAYABgBZAQAAwwUAAAAA&#10;">
              <v:fill on="f" focussize="0,0"/>
              <v:stroke on="f" weight="0.5pt"/>
              <v:imagedata o:title=""/>
              <o:lock v:ext="edit" aspectratio="f"/>
              <v:textbox inset="0mm,0mm,0mm,0mm" style="mso-fit-shape-to-text:t;">
                <w:txbxContent>
                  <w:p w14:paraId="4E8E537C">
                    <w:pPr>
                      <w:pStyle w:val="3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XXIX</w:t>
                    </w:r>
                    <w:r>
                      <w:rPr>
                        <w:rFonts w:hint="eastAsia"/>
                        <w:lang w:eastAsia="zh-CN"/>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28297C">
    <w:pPr>
      <w:pStyle w:val="34"/>
      <w:pBdr>
        <w:top w:val="thickThinSmallGap" w:color="auto" w:sz="24" w:space="1"/>
      </w:pBdr>
      <w:spacing w:line="240" w:lineRule="exact"/>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85" name="文本框 8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8219ED">
                          <w:pPr>
                            <w:pStyle w:val="3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CXI</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3cvA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7Mr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O3cvAzAgAAYwQAAA4AAAAAAAAAAQAgAAAAHwEAAGRycy9lMm9Eb2MueG1sUEsF&#10;BgAAAAAGAAYAWQEAAMQFAAAAAA==&#10;">
              <v:fill on="f" focussize="0,0"/>
              <v:stroke on="f" weight="0.5pt"/>
              <v:imagedata o:title=""/>
              <o:lock v:ext="edit" aspectratio="f"/>
              <v:textbox inset="0mm,0mm,0mm,0mm" style="mso-fit-shape-to-text:t;">
                <w:txbxContent>
                  <w:p w14:paraId="068219ED">
                    <w:pPr>
                      <w:pStyle w:val="3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CXI</w:t>
                    </w:r>
                    <w:r>
                      <w:rPr>
                        <w:rFonts w:hint="eastAsia"/>
                        <w:lang w:eastAsia="zh-CN"/>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8F9E5F">
    <w:pPr>
      <w:pStyle w:val="35"/>
      <w:jc w:val="right"/>
      <w:rPr>
        <w:sz w:val="21"/>
        <w:szCs w:val="21"/>
      </w:rPr>
    </w:pPr>
    <w:r>
      <w:rPr>
        <w:rFonts w:hint="eastAsia"/>
        <w:sz w:val="21"/>
        <w:szCs w:val="21"/>
        <w:lang w:eastAsia="zh-CN"/>
      </w:rPr>
      <w:t>本溪佰汇铜业有限公司环保型铜排表面处理自动生产线项目</w:t>
    </w:r>
    <w:r>
      <w:rPr>
        <w:rFonts w:hint="eastAsia"/>
        <w:sz w:val="21"/>
        <w:szCs w:val="21"/>
      </w:rPr>
      <w:t>环境影响报告书</w:t>
    </w:r>
  </w:p>
  <w:p w14:paraId="3EF4B4D3"/>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EAC891">
    <w:pPr>
      <w:pStyle w:val="35"/>
      <w:jc w:val="right"/>
      <w:rPr>
        <w:sz w:val="21"/>
        <w:szCs w:val="21"/>
      </w:rPr>
    </w:pPr>
    <w:r>
      <w:rPr>
        <w:rFonts w:hint="eastAsia"/>
        <w:sz w:val="21"/>
        <w:szCs w:val="21"/>
        <w:lang w:eastAsia="zh-CN"/>
      </w:rPr>
      <w:t>本溪佰汇铜业有限公司环保型铜排表面处理自动生产线项目</w:t>
    </w:r>
    <w:r>
      <w:rPr>
        <w:rFonts w:hint="eastAsia"/>
        <w:sz w:val="21"/>
        <w:szCs w:val="21"/>
      </w:rPr>
      <w:t>环境影响报告书</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BD83DB">
    <w:pPr>
      <w:pStyle w:val="35"/>
      <w:jc w:val="right"/>
      <w:rPr>
        <w:sz w:val="21"/>
        <w:szCs w:val="21"/>
      </w:rPr>
    </w:pPr>
    <w:r>
      <w:rPr>
        <w:rFonts w:hint="eastAsia"/>
        <w:sz w:val="21"/>
        <w:szCs w:val="21"/>
        <w:lang w:eastAsia="zh-CN"/>
      </w:rPr>
      <w:t>本溪佰汇铜业有限公司环保型铜排表面处理自动生产线项目</w:t>
    </w:r>
    <w:r>
      <w:rPr>
        <w:rFonts w:hint="eastAsia"/>
        <w:sz w:val="21"/>
        <w:szCs w:val="21"/>
      </w:rPr>
      <w:t>环境影响报告书</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408042">
    <w:pPr>
      <w:pStyle w:val="35"/>
      <w:ind w:firstLine="1785" w:firstLineChars="850"/>
      <w:jc w:val="right"/>
      <w:rPr>
        <w:sz w:val="21"/>
        <w:szCs w:val="21"/>
      </w:rPr>
    </w:pPr>
    <w:r>
      <w:rPr>
        <w:rFonts w:hint="eastAsia"/>
        <w:sz w:val="21"/>
        <w:szCs w:val="21"/>
        <w:lang w:eastAsia="zh-CN"/>
      </w:rPr>
      <w:t>本溪佰汇铜业有限公司环保型铜排表面处理自动生产线项目</w:t>
    </w:r>
    <w:r>
      <w:rPr>
        <w:rFonts w:hint="eastAsia"/>
        <w:sz w:val="21"/>
        <w:szCs w:val="21"/>
      </w:rPr>
      <w:t>环境影响报告书</w:t>
    </w:r>
  </w:p>
  <w:p w14:paraId="61329AE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4DBE85"/>
    <w:multiLevelType w:val="singleLevel"/>
    <w:tmpl w:val="904DBE85"/>
    <w:lvl w:ilvl="0" w:tentative="0">
      <w:start w:val="1"/>
      <w:numFmt w:val="decimal"/>
      <w:suff w:val="nothing"/>
      <w:lvlText w:val="%1．"/>
      <w:lvlJc w:val="left"/>
      <w:pPr>
        <w:ind w:left="0" w:firstLine="400"/>
      </w:pPr>
      <w:rPr>
        <w:rFonts w:hint="default"/>
      </w:rPr>
    </w:lvl>
  </w:abstractNum>
  <w:abstractNum w:abstractNumId="1">
    <w:nsid w:val="A1F3005F"/>
    <w:multiLevelType w:val="singleLevel"/>
    <w:tmpl w:val="A1F3005F"/>
    <w:lvl w:ilvl="0" w:tentative="0">
      <w:start w:val="1"/>
      <w:numFmt w:val="bullet"/>
      <w:pStyle w:val="16"/>
      <w:lvlText w:val=""/>
      <w:lvlJc w:val="left"/>
      <w:pPr>
        <w:tabs>
          <w:tab w:val="left" w:pos="360"/>
        </w:tabs>
        <w:ind w:left="360" w:hanging="360"/>
      </w:pPr>
      <w:rPr>
        <w:rFonts w:hint="default" w:ascii="Wingdings" w:hAnsi="Wingdings"/>
      </w:rPr>
    </w:lvl>
  </w:abstractNum>
  <w:abstractNum w:abstractNumId="2">
    <w:nsid w:val="D040E9A9"/>
    <w:multiLevelType w:val="singleLevel"/>
    <w:tmpl w:val="D040E9A9"/>
    <w:lvl w:ilvl="0" w:tentative="0">
      <w:start w:val="1"/>
      <w:numFmt w:val="decimal"/>
      <w:suff w:val="nothing"/>
      <w:lvlText w:val="（%1）"/>
      <w:lvlJc w:val="left"/>
    </w:lvl>
  </w:abstractNum>
  <w:abstractNum w:abstractNumId="3">
    <w:nsid w:val="DF80CC97"/>
    <w:multiLevelType w:val="singleLevel"/>
    <w:tmpl w:val="DF80CC97"/>
    <w:lvl w:ilvl="0" w:tentative="0">
      <w:start w:val="1"/>
      <w:numFmt w:val="decimal"/>
      <w:suff w:val="nothing"/>
      <w:lvlText w:val="（%1）"/>
      <w:lvlJc w:val="left"/>
    </w:lvl>
  </w:abstractNum>
  <w:abstractNum w:abstractNumId="4">
    <w:nsid w:val="E5AD713F"/>
    <w:multiLevelType w:val="singleLevel"/>
    <w:tmpl w:val="E5AD713F"/>
    <w:lvl w:ilvl="0" w:tentative="0">
      <w:start w:val="1"/>
      <w:numFmt w:val="decimal"/>
      <w:suff w:val="nothing"/>
      <w:lvlText w:val="（%1）"/>
      <w:lvlJc w:val="left"/>
    </w:lvl>
  </w:abstractNum>
  <w:abstractNum w:abstractNumId="5">
    <w:nsid w:val="FD6FC05B"/>
    <w:multiLevelType w:val="singleLevel"/>
    <w:tmpl w:val="FD6FC05B"/>
    <w:lvl w:ilvl="0" w:tentative="0">
      <w:start w:val="1"/>
      <w:numFmt w:val="decimal"/>
      <w:suff w:val="nothing"/>
      <w:lvlText w:val="%1、"/>
      <w:lvlJc w:val="left"/>
    </w:lvl>
  </w:abstractNum>
  <w:abstractNum w:abstractNumId="6">
    <w:nsid w:val="00000004"/>
    <w:multiLevelType w:val="multilevel"/>
    <w:tmpl w:val="00000004"/>
    <w:lvl w:ilvl="0" w:tentative="0">
      <w:start w:val="1"/>
      <w:numFmt w:val="none"/>
      <w:suff w:val="nothing"/>
      <w:lvlText w:val="第一章"/>
      <w:lvlJc w:val="left"/>
      <w:pPr>
        <w:ind w:left="0" w:firstLine="397"/>
      </w:pPr>
      <w:rPr>
        <w:rFonts w:hint="eastAsia"/>
      </w:rPr>
    </w:lvl>
    <w:lvl w:ilvl="1" w:tentative="0">
      <w:start w:val="1"/>
      <w:numFmt w:val="none"/>
      <w:pStyle w:val="3"/>
      <w:suff w:val="nothing"/>
      <w:lvlText w:val=""/>
      <w:lvlJc w:val="left"/>
      <w:pPr>
        <w:ind w:left="0" w:firstLine="0"/>
      </w:pPr>
      <w:rPr>
        <w:rFonts w:hint="eastAsia"/>
      </w:rPr>
    </w:lvl>
    <w:lvl w:ilvl="2" w:tentative="0">
      <w:start w:val="1"/>
      <w:numFmt w:val="none"/>
      <w:pStyle w:val="5"/>
      <w:suff w:val="nothing"/>
      <w:lvlText w:val=""/>
      <w:lvlJc w:val="left"/>
      <w:pPr>
        <w:ind w:left="0" w:firstLine="0"/>
      </w:pPr>
      <w:rPr>
        <w:rFonts w:hint="eastAsia"/>
      </w:rPr>
    </w:lvl>
    <w:lvl w:ilvl="3" w:tentative="0">
      <w:start w:val="1"/>
      <w:numFmt w:val="none"/>
      <w:pStyle w:val="6"/>
      <w:suff w:val="nothing"/>
      <w:lvlText w:val=""/>
      <w:lvlJc w:val="left"/>
      <w:pPr>
        <w:ind w:left="0" w:firstLine="0"/>
      </w:pPr>
      <w:rPr>
        <w:rFonts w:hint="eastAsia"/>
      </w:rPr>
    </w:lvl>
    <w:lvl w:ilvl="4" w:tentative="0">
      <w:start w:val="1"/>
      <w:numFmt w:val="none"/>
      <w:pStyle w:val="7"/>
      <w:suff w:val="nothing"/>
      <w:lvlText w:val=""/>
      <w:lvlJc w:val="left"/>
      <w:pPr>
        <w:ind w:left="0" w:firstLine="0"/>
      </w:pPr>
      <w:rPr>
        <w:rFonts w:hint="eastAsia"/>
      </w:rPr>
    </w:lvl>
    <w:lvl w:ilvl="5" w:tentative="0">
      <w:start w:val="1"/>
      <w:numFmt w:val="none"/>
      <w:pStyle w:val="8"/>
      <w:suff w:val="nothing"/>
      <w:lvlText w:val=""/>
      <w:lvlJc w:val="left"/>
      <w:pPr>
        <w:ind w:left="0" w:firstLine="0"/>
      </w:pPr>
      <w:rPr>
        <w:rFonts w:hint="eastAsia"/>
      </w:rPr>
    </w:lvl>
    <w:lvl w:ilvl="6" w:tentative="0">
      <w:start w:val="1"/>
      <w:numFmt w:val="none"/>
      <w:pStyle w:val="9"/>
      <w:suff w:val="nothing"/>
      <w:lvlText w:val=""/>
      <w:lvlJc w:val="left"/>
      <w:pPr>
        <w:ind w:left="0" w:firstLine="0"/>
      </w:pPr>
      <w:rPr>
        <w:rFonts w:hint="eastAsia"/>
      </w:rPr>
    </w:lvl>
    <w:lvl w:ilvl="7" w:tentative="0">
      <w:start w:val="1"/>
      <w:numFmt w:val="none"/>
      <w:pStyle w:val="10"/>
      <w:suff w:val="nothing"/>
      <w:lvlText w:val=""/>
      <w:lvlJc w:val="left"/>
      <w:pPr>
        <w:ind w:left="0" w:firstLine="0"/>
      </w:pPr>
      <w:rPr>
        <w:rFonts w:hint="eastAsia"/>
      </w:rPr>
    </w:lvl>
    <w:lvl w:ilvl="8" w:tentative="0">
      <w:start w:val="1"/>
      <w:numFmt w:val="none"/>
      <w:pStyle w:val="11"/>
      <w:suff w:val="nothing"/>
      <w:lvlText w:val=""/>
      <w:lvlJc w:val="left"/>
      <w:pPr>
        <w:ind w:left="0" w:firstLine="0"/>
      </w:pPr>
      <w:rPr>
        <w:rFonts w:hint="eastAsia"/>
      </w:rPr>
    </w:lvl>
  </w:abstractNum>
  <w:abstractNum w:abstractNumId="7">
    <w:nsid w:val="1B863A6C"/>
    <w:multiLevelType w:val="singleLevel"/>
    <w:tmpl w:val="1B863A6C"/>
    <w:lvl w:ilvl="0" w:tentative="0">
      <w:start w:val="1"/>
      <w:numFmt w:val="decimal"/>
      <w:suff w:val="nothing"/>
      <w:lvlText w:val="%1．"/>
      <w:lvlJc w:val="left"/>
      <w:pPr>
        <w:ind w:left="0" w:firstLine="400"/>
      </w:pPr>
      <w:rPr>
        <w:rFonts w:hint="default"/>
      </w:rPr>
    </w:lvl>
  </w:abstractNum>
  <w:abstractNum w:abstractNumId="8">
    <w:nsid w:val="26EC5D6E"/>
    <w:multiLevelType w:val="multilevel"/>
    <w:tmpl w:val="26EC5D6E"/>
    <w:lvl w:ilvl="0" w:tentative="0">
      <w:start w:val="1"/>
      <w:numFmt w:val="none"/>
      <w:suff w:val="nothing"/>
      <w:lvlText w:val="第一章"/>
      <w:lvlJc w:val="left"/>
      <w:pPr>
        <w:ind w:left="148" w:firstLine="397"/>
      </w:pPr>
      <w:rPr>
        <w:rFonts w:hint="eastAsia"/>
        <w:lang w:val="en-US"/>
      </w:rPr>
    </w:lvl>
    <w:lvl w:ilvl="1" w:tentative="0">
      <w:start w:val="1"/>
      <w:numFmt w:val="none"/>
      <w:suff w:val="nothing"/>
      <w:lvlText w:val=""/>
      <w:lvlJc w:val="left"/>
      <w:pPr>
        <w:ind w:left="148" w:firstLine="0"/>
      </w:pPr>
      <w:rPr>
        <w:rFonts w:hint="eastAsia"/>
      </w:rPr>
    </w:lvl>
    <w:lvl w:ilvl="2" w:tentative="0">
      <w:start w:val="1"/>
      <w:numFmt w:val="none"/>
      <w:suff w:val="nothing"/>
      <w:lvlText w:val=""/>
      <w:lvlJc w:val="left"/>
      <w:pPr>
        <w:ind w:left="148" w:firstLine="0"/>
      </w:pPr>
      <w:rPr>
        <w:rFonts w:hint="eastAsia"/>
      </w:rPr>
    </w:lvl>
    <w:lvl w:ilvl="3" w:tentative="0">
      <w:start w:val="1"/>
      <w:numFmt w:val="none"/>
      <w:suff w:val="nothing"/>
      <w:lvlText w:val=""/>
      <w:lvlJc w:val="left"/>
      <w:pPr>
        <w:ind w:left="148" w:firstLine="0"/>
      </w:pPr>
      <w:rPr>
        <w:rFonts w:hint="eastAsia"/>
      </w:rPr>
    </w:lvl>
    <w:lvl w:ilvl="4" w:tentative="0">
      <w:start w:val="1"/>
      <w:numFmt w:val="none"/>
      <w:suff w:val="nothing"/>
      <w:lvlText w:val=""/>
      <w:lvlJc w:val="left"/>
      <w:pPr>
        <w:ind w:left="148" w:firstLine="0"/>
      </w:pPr>
      <w:rPr>
        <w:rFonts w:hint="eastAsia"/>
      </w:rPr>
    </w:lvl>
    <w:lvl w:ilvl="5" w:tentative="0">
      <w:start w:val="1"/>
      <w:numFmt w:val="none"/>
      <w:suff w:val="nothing"/>
      <w:lvlText w:val=""/>
      <w:lvlJc w:val="left"/>
      <w:pPr>
        <w:ind w:left="148" w:firstLine="0"/>
      </w:pPr>
      <w:rPr>
        <w:rFonts w:hint="eastAsia"/>
      </w:rPr>
    </w:lvl>
    <w:lvl w:ilvl="6" w:tentative="0">
      <w:start w:val="1"/>
      <w:numFmt w:val="none"/>
      <w:suff w:val="nothing"/>
      <w:lvlText w:val=""/>
      <w:lvlJc w:val="left"/>
      <w:pPr>
        <w:ind w:left="148" w:firstLine="0"/>
      </w:pPr>
      <w:rPr>
        <w:rFonts w:hint="eastAsia"/>
      </w:rPr>
    </w:lvl>
    <w:lvl w:ilvl="7" w:tentative="0">
      <w:start w:val="1"/>
      <w:numFmt w:val="none"/>
      <w:suff w:val="nothing"/>
      <w:lvlText w:val=""/>
      <w:lvlJc w:val="left"/>
      <w:pPr>
        <w:ind w:left="148" w:firstLine="0"/>
      </w:pPr>
      <w:rPr>
        <w:rFonts w:hint="eastAsia"/>
      </w:rPr>
    </w:lvl>
    <w:lvl w:ilvl="8" w:tentative="0">
      <w:start w:val="1"/>
      <w:numFmt w:val="none"/>
      <w:suff w:val="nothing"/>
      <w:lvlText w:val=""/>
      <w:lvlJc w:val="left"/>
      <w:pPr>
        <w:ind w:left="148" w:firstLine="0"/>
      </w:pPr>
      <w:rPr>
        <w:rFonts w:hint="eastAsia"/>
      </w:rPr>
    </w:lvl>
  </w:abstractNum>
  <w:abstractNum w:abstractNumId="9">
    <w:nsid w:val="4B475A57"/>
    <w:multiLevelType w:val="singleLevel"/>
    <w:tmpl w:val="4B475A57"/>
    <w:lvl w:ilvl="0" w:tentative="0">
      <w:start w:val="1"/>
      <w:numFmt w:val="decimal"/>
      <w:suff w:val="nothing"/>
      <w:lvlText w:val="%1、"/>
      <w:lvlJc w:val="left"/>
    </w:lvl>
  </w:abstractNum>
  <w:abstractNum w:abstractNumId="10">
    <w:nsid w:val="547B1F28"/>
    <w:multiLevelType w:val="singleLevel"/>
    <w:tmpl w:val="547B1F28"/>
    <w:lvl w:ilvl="0" w:tentative="0">
      <w:start w:val="1"/>
      <w:numFmt w:val="decimal"/>
      <w:suff w:val="nothing"/>
      <w:lvlText w:val="%1．"/>
      <w:lvlJc w:val="left"/>
      <w:pPr>
        <w:ind w:left="0" w:firstLine="400"/>
      </w:pPr>
      <w:rPr>
        <w:rFonts w:hint="default"/>
      </w:rPr>
    </w:lvl>
  </w:abstractNum>
  <w:num w:numId="1">
    <w:abstractNumId w:val="6"/>
  </w:num>
  <w:num w:numId="2">
    <w:abstractNumId w:val="1"/>
  </w:num>
  <w:num w:numId="3">
    <w:abstractNumId w:val="7"/>
  </w:num>
  <w:num w:numId="4">
    <w:abstractNumId w:val="10"/>
  </w:num>
  <w:num w:numId="5">
    <w:abstractNumId w:val="0"/>
  </w:num>
  <w:num w:numId="6">
    <w:abstractNumId w:val="3"/>
  </w:num>
  <w:num w:numId="7">
    <w:abstractNumId w:val="2"/>
  </w:num>
  <w:num w:numId="8">
    <w:abstractNumId w:val="5"/>
  </w:num>
  <w:num w:numId="9">
    <w:abstractNumId w:val="4"/>
  </w:num>
  <w:num w:numId="10">
    <w:abstractNumId w:val="9"/>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hideGrammaticalErrors/>
  <w:documentProtection w:enforcement="0"/>
  <w:defaultTabStop w:val="420"/>
  <w:drawingGridHorizontalSpacing w:val="120"/>
  <w:drawingGridVerticalSpacing w:val="163"/>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gwMmI5Njk2MjZlZDA5ZWEyZWQ3OWMyM2JhMzEzY2IifQ=="/>
  </w:docVars>
  <w:rsids>
    <w:rsidRoot w:val="00172A27"/>
    <w:rsid w:val="00001126"/>
    <w:rsid w:val="0000150E"/>
    <w:rsid w:val="000018D2"/>
    <w:rsid w:val="00002427"/>
    <w:rsid w:val="00002911"/>
    <w:rsid w:val="00002947"/>
    <w:rsid w:val="00002C85"/>
    <w:rsid w:val="000033B3"/>
    <w:rsid w:val="00003672"/>
    <w:rsid w:val="000039AC"/>
    <w:rsid w:val="0000455B"/>
    <w:rsid w:val="000046E7"/>
    <w:rsid w:val="00004F6A"/>
    <w:rsid w:val="000050FB"/>
    <w:rsid w:val="0000522C"/>
    <w:rsid w:val="000055B0"/>
    <w:rsid w:val="000058BF"/>
    <w:rsid w:val="00005F31"/>
    <w:rsid w:val="000060F2"/>
    <w:rsid w:val="000063E7"/>
    <w:rsid w:val="00006C2D"/>
    <w:rsid w:val="00006E9F"/>
    <w:rsid w:val="000073DD"/>
    <w:rsid w:val="0000786F"/>
    <w:rsid w:val="00007AAC"/>
    <w:rsid w:val="00010276"/>
    <w:rsid w:val="00010C95"/>
    <w:rsid w:val="000111DF"/>
    <w:rsid w:val="0001126A"/>
    <w:rsid w:val="00011403"/>
    <w:rsid w:val="00011A3F"/>
    <w:rsid w:val="00011B00"/>
    <w:rsid w:val="00011D4E"/>
    <w:rsid w:val="00011E45"/>
    <w:rsid w:val="00011F75"/>
    <w:rsid w:val="000125BD"/>
    <w:rsid w:val="00012643"/>
    <w:rsid w:val="0001271F"/>
    <w:rsid w:val="00012E91"/>
    <w:rsid w:val="000131A2"/>
    <w:rsid w:val="0001358E"/>
    <w:rsid w:val="0001362C"/>
    <w:rsid w:val="00013D4F"/>
    <w:rsid w:val="000145EB"/>
    <w:rsid w:val="0001472F"/>
    <w:rsid w:val="0001571C"/>
    <w:rsid w:val="00015821"/>
    <w:rsid w:val="00015A88"/>
    <w:rsid w:val="00015E2B"/>
    <w:rsid w:val="00016173"/>
    <w:rsid w:val="000166FB"/>
    <w:rsid w:val="00016824"/>
    <w:rsid w:val="00016D49"/>
    <w:rsid w:val="0001707F"/>
    <w:rsid w:val="000174C3"/>
    <w:rsid w:val="000178D3"/>
    <w:rsid w:val="00017983"/>
    <w:rsid w:val="000200E6"/>
    <w:rsid w:val="00020791"/>
    <w:rsid w:val="00020A6A"/>
    <w:rsid w:val="00020C21"/>
    <w:rsid w:val="00020F92"/>
    <w:rsid w:val="00020FCE"/>
    <w:rsid w:val="00021EFF"/>
    <w:rsid w:val="00021F98"/>
    <w:rsid w:val="00022046"/>
    <w:rsid w:val="00022285"/>
    <w:rsid w:val="0002292C"/>
    <w:rsid w:val="0002341E"/>
    <w:rsid w:val="000235CF"/>
    <w:rsid w:val="00023970"/>
    <w:rsid w:val="00023C49"/>
    <w:rsid w:val="00023CF7"/>
    <w:rsid w:val="0002401D"/>
    <w:rsid w:val="00024E23"/>
    <w:rsid w:val="0002504C"/>
    <w:rsid w:val="00025BBD"/>
    <w:rsid w:val="0002607D"/>
    <w:rsid w:val="000265AE"/>
    <w:rsid w:val="00026703"/>
    <w:rsid w:val="00026EAD"/>
    <w:rsid w:val="000270CA"/>
    <w:rsid w:val="000275A0"/>
    <w:rsid w:val="00027685"/>
    <w:rsid w:val="000276B1"/>
    <w:rsid w:val="000276F7"/>
    <w:rsid w:val="00027D1E"/>
    <w:rsid w:val="00030165"/>
    <w:rsid w:val="00030181"/>
    <w:rsid w:val="00030453"/>
    <w:rsid w:val="0003091A"/>
    <w:rsid w:val="00030A58"/>
    <w:rsid w:val="00030A8E"/>
    <w:rsid w:val="00030ADB"/>
    <w:rsid w:val="00030CD5"/>
    <w:rsid w:val="000312F8"/>
    <w:rsid w:val="00031D7F"/>
    <w:rsid w:val="00033601"/>
    <w:rsid w:val="000339A7"/>
    <w:rsid w:val="00033A39"/>
    <w:rsid w:val="00033F35"/>
    <w:rsid w:val="00034462"/>
    <w:rsid w:val="00036F94"/>
    <w:rsid w:val="000377C7"/>
    <w:rsid w:val="000377DD"/>
    <w:rsid w:val="000405DC"/>
    <w:rsid w:val="00040917"/>
    <w:rsid w:val="00040F00"/>
    <w:rsid w:val="000411A3"/>
    <w:rsid w:val="000414E2"/>
    <w:rsid w:val="00041F92"/>
    <w:rsid w:val="000421AE"/>
    <w:rsid w:val="00042247"/>
    <w:rsid w:val="00042DAE"/>
    <w:rsid w:val="00043724"/>
    <w:rsid w:val="00043725"/>
    <w:rsid w:val="00043767"/>
    <w:rsid w:val="00043BFE"/>
    <w:rsid w:val="000440B6"/>
    <w:rsid w:val="00044989"/>
    <w:rsid w:val="0004499E"/>
    <w:rsid w:val="00045345"/>
    <w:rsid w:val="00045975"/>
    <w:rsid w:val="00045D39"/>
    <w:rsid w:val="00045ED8"/>
    <w:rsid w:val="000460B1"/>
    <w:rsid w:val="00046D39"/>
    <w:rsid w:val="000474A6"/>
    <w:rsid w:val="00047543"/>
    <w:rsid w:val="00047F33"/>
    <w:rsid w:val="000505CC"/>
    <w:rsid w:val="00050851"/>
    <w:rsid w:val="00050855"/>
    <w:rsid w:val="00050A18"/>
    <w:rsid w:val="00050AB1"/>
    <w:rsid w:val="00050CA6"/>
    <w:rsid w:val="00051026"/>
    <w:rsid w:val="000510B9"/>
    <w:rsid w:val="000517D8"/>
    <w:rsid w:val="0005190D"/>
    <w:rsid w:val="00052211"/>
    <w:rsid w:val="00052687"/>
    <w:rsid w:val="00052DEE"/>
    <w:rsid w:val="00053D35"/>
    <w:rsid w:val="00054817"/>
    <w:rsid w:val="0005489B"/>
    <w:rsid w:val="00055703"/>
    <w:rsid w:val="000558ED"/>
    <w:rsid w:val="000568F7"/>
    <w:rsid w:val="00056D52"/>
    <w:rsid w:val="00056E3C"/>
    <w:rsid w:val="00057681"/>
    <w:rsid w:val="00057C78"/>
    <w:rsid w:val="00061872"/>
    <w:rsid w:val="00061C85"/>
    <w:rsid w:val="0006246F"/>
    <w:rsid w:val="00062A35"/>
    <w:rsid w:val="000631B4"/>
    <w:rsid w:val="00063421"/>
    <w:rsid w:val="00063D43"/>
    <w:rsid w:val="000649BB"/>
    <w:rsid w:val="00065141"/>
    <w:rsid w:val="000658B6"/>
    <w:rsid w:val="00065C95"/>
    <w:rsid w:val="00065F72"/>
    <w:rsid w:val="00066549"/>
    <w:rsid w:val="000665D5"/>
    <w:rsid w:val="00066A19"/>
    <w:rsid w:val="000672CB"/>
    <w:rsid w:val="000673B1"/>
    <w:rsid w:val="0006770F"/>
    <w:rsid w:val="00067C40"/>
    <w:rsid w:val="00067DAD"/>
    <w:rsid w:val="000702B0"/>
    <w:rsid w:val="00070306"/>
    <w:rsid w:val="00070755"/>
    <w:rsid w:val="000709B6"/>
    <w:rsid w:val="00070D15"/>
    <w:rsid w:val="000711B4"/>
    <w:rsid w:val="00071599"/>
    <w:rsid w:val="00071699"/>
    <w:rsid w:val="00072243"/>
    <w:rsid w:val="000723F2"/>
    <w:rsid w:val="00072681"/>
    <w:rsid w:val="00072B56"/>
    <w:rsid w:val="0007338C"/>
    <w:rsid w:val="00073BA1"/>
    <w:rsid w:val="00073C14"/>
    <w:rsid w:val="00073C9D"/>
    <w:rsid w:val="00073EBA"/>
    <w:rsid w:val="000745ED"/>
    <w:rsid w:val="00074925"/>
    <w:rsid w:val="000751A4"/>
    <w:rsid w:val="000752E2"/>
    <w:rsid w:val="0007564E"/>
    <w:rsid w:val="000762BE"/>
    <w:rsid w:val="00076B6A"/>
    <w:rsid w:val="0007705D"/>
    <w:rsid w:val="000772CA"/>
    <w:rsid w:val="00077452"/>
    <w:rsid w:val="000776A0"/>
    <w:rsid w:val="00077AAA"/>
    <w:rsid w:val="00077DF3"/>
    <w:rsid w:val="0008036E"/>
    <w:rsid w:val="00080D2E"/>
    <w:rsid w:val="00081F19"/>
    <w:rsid w:val="000822F2"/>
    <w:rsid w:val="00082315"/>
    <w:rsid w:val="00082557"/>
    <w:rsid w:val="000829C9"/>
    <w:rsid w:val="00082D75"/>
    <w:rsid w:val="00083055"/>
    <w:rsid w:val="00083B80"/>
    <w:rsid w:val="00083C5B"/>
    <w:rsid w:val="00083F80"/>
    <w:rsid w:val="00083F83"/>
    <w:rsid w:val="000842A1"/>
    <w:rsid w:val="0008522A"/>
    <w:rsid w:val="00085910"/>
    <w:rsid w:val="00085D9D"/>
    <w:rsid w:val="00085DBA"/>
    <w:rsid w:val="0008619E"/>
    <w:rsid w:val="0008639E"/>
    <w:rsid w:val="0008646F"/>
    <w:rsid w:val="00086ACA"/>
    <w:rsid w:val="00086DD5"/>
    <w:rsid w:val="000874AB"/>
    <w:rsid w:val="00087DE9"/>
    <w:rsid w:val="000916F0"/>
    <w:rsid w:val="000917BA"/>
    <w:rsid w:val="00091AFD"/>
    <w:rsid w:val="00091C3D"/>
    <w:rsid w:val="00091E96"/>
    <w:rsid w:val="00091EB1"/>
    <w:rsid w:val="00092602"/>
    <w:rsid w:val="000926F6"/>
    <w:rsid w:val="000927FC"/>
    <w:rsid w:val="00092D60"/>
    <w:rsid w:val="00092F98"/>
    <w:rsid w:val="00093BB0"/>
    <w:rsid w:val="00093F4A"/>
    <w:rsid w:val="0009441A"/>
    <w:rsid w:val="0009456D"/>
    <w:rsid w:val="00094579"/>
    <w:rsid w:val="00094E2A"/>
    <w:rsid w:val="000956E3"/>
    <w:rsid w:val="00095DB4"/>
    <w:rsid w:val="00096413"/>
    <w:rsid w:val="00096DF9"/>
    <w:rsid w:val="00096E8F"/>
    <w:rsid w:val="0009738F"/>
    <w:rsid w:val="00097E91"/>
    <w:rsid w:val="000A066B"/>
    <w:rsid w:val="000A11FD"/>
    <w:rsid w:val="000A1241"/>
    <w:rsid w:val="000A2067"/>
    <w:rsid w:val="000A2697"/>
    <w:rsid w:val="000A2A9E"/>
    <w:rsid w:val="000A33C4"/>
    <w:rsid w:val="000A3788"/>
    <w:rsid w:val="000A3B93"/>
    <w:rsid w:val="000A407C"/>
    <w:rsid w:val="000A4228"/>
    <w:rsid w:val="000A4966"/>
    <w:rsid w:val="000A4B6D"/>
    <w:rsid w:val="000A4F7E"/>
    <w:rsid w:val="000A588A"/>
    <w:rsid w:val="000A6377"/>
    <w:rsid w:val="000A6EF8"/>
    <w:rsid w:val="000A7256"/>
    <w:rsid w:val="000A75A2"/>
    <w:rsid w:val="000A75F3"/>
    <w:rsid w:val="000A79AD"/>
    <w:rsid w:val="000B00D9"/>
    <w:rsid w:val="000B0EC0"/>
    <w:rsid w:val="000B1056"/>
    <w:rsid w:val="000B1094"/>
    <w:rsid w:val="000B15C7"/>
    <w:rsid w:val="000B1AE1"/>
    <w:rsid w:val="000B1B2F"/>
    <w:rsid w:val="000B1F55"/>
    <w:rsid w:val="000B2260"/>
    <w:rsid w:val="000B2411"/>
    <w:rsid w:val="000B2E92"/>
    <w:rsid w:val="000B3BE3"/>
    <w:rsid w:val="000B4035"/>
    <w:rsid w:val="000B494E"/>
    <w:rsid w:val="000B4C77"/>
    <w:rsid w:val="000B4D70"/>
    <w:rsid w:val="000B4F4C"/>
    <w:rsid w:val="000B5789"/>
    <w:rsid w:val="000B5FC3"/>
    <w:rsid w:val="000B616D"/>
    <w:rsid w:val="000B637D"/>
    <w:rsid w:val="000B659D"/>
    <w:rsid w:val="000B6E7B"/>
    <w:rsid w:val="000B7664"/>
    <w:rsid w:val="000C087E"/>
    <w:rsid w:val="000C08C6"/>
    <w:rsid w:val="000C08D1"/>
    <w:rsid w:val="000C0DB4"/>
    <w:rsid w:val="000C0E0C"/>
    <w:rsid w:val="000C10AC"/>
    <w:rsid w:val="000C1267"/>
    <w:rsid w:val="000C172B"/>
    <w:rsid w:val="000C17BA"/>
    <w:rsid w:val="000C1821"/>
    <w:rsid w:val="000C1C4C"/>
    <w:rsid w:val="000C1D09"/>
    <w:rsid w:val="000C263D"/>
    <w:rsid w:val="000C2725"/>
    <w:rsid w:val="000C38DB"/>
    <w:rsid w:val="000C3F39"/>
    <w:rsid w:val="000C45E3"/>
    <w:rsid w:val="000C4EE3"/>
    <w:rsid w:val="000C589E"/>
    <w:rsid w:val="000C628A"/>
    <w:rsid w:val="000C6455"/>
    <w:rsid w:val="000C65CF"/>
    <w:rsid w:val="000C6C32"/>
    <w:rsid w:val="000C6CED"/>
    <w:rsid w:val="000C7252"/>
    <w:rsid w:val="000C7659"/>
    <w:rsid w:val="000D003F"/>
    <w:rsid w:val="000D1790"/>
    <w:rsid w:val="000D183B"/>
    <w:rsid w:val="000D192D"/>
    <w:rsid w:val="000D1B00"/>
    <w:rsid w:val="000D1BD3"/>
    <w:rsid w:val="000D1F1D"/>
    <w:rsid w:val="000D21B1"/>
    <w:rsid w:val="000D236F"/>
    <w:rsid w:val="000D2505"/>
    <w:rsid w:val="000D2525"/>
    <w:rsid w:val="000D26C6"/>
    <w:rsid w:val="000D2A29"/>
    <w:rsid w:val="000D2DFB"/>
    <w:rsid w:val="000D31CD"/>
    <w:rsid w:val="000D3F31"/>
    <w:rsid w:val="000D3F3C"/>
    <w:rsid w:val="000D437B"/>
    <w:rsid w:val="000D4803"/>
    <w:rsid w:val="000D71A9"/>
    <w:rsid w:val="000D7326"/>
    <w:rsid w:val="000D79DC"/>
    <w:rsid w:val="000D7ADD"/>
    <w:rsid w:val="000D7AEB"/>
    <w:rsid w:val="000D7C16"/>
    <w:rsid w:val="000E067E"/>
    <w:rsid w:val="000E072D"/>
    <w:rsid w:val="000E1670"/>
    <w:rsid w:val="000E1783"/>
    <w:rsid w:val="000E17CB"/>
    <w:rsid w:val="000E1A1E"/>
    <w:rsid w:val="000E2213"/>
    <w:rsid w:val="000E281E"/>
    <w:rsid w:val="000E289F"/>
    <w:rsid w:val="000E29B9"/>
    <w:rsid w:val="000E2C27"/>
    <w:rsid w:val="000E3BCC"/>
    <w:rsid w:val="000E3E88"/>
    <w:rsid w:val="000E4249"/>
    <w:rsid w:val="000E498F"/>
    <w:rsid w:val="000E5504"/>
    <w:rsid w:val="000E67D9"/>
    <w:rsid w:val="000E67DE"/>
    <w:rsid w:val="000E6BF2"/>
    <w:rsid w:val="000E6C4B"/>
    <w:rsid w:val="000E719E"/>
    <w:rsid w:val="000E72C7"/>
    <w:rsid w:val="000E7439"/>
    <w:rsid w:val="000E7441"/>
    <w:rsid w:val="000E7558"/>
    <w:rsid w:val="000E762C"/>
    <w:rsid w:val="000E776A"/>
    <w:rsid w:val="000E789A"/>
    <w:rsid w:val="000E7D3B"/>
    <w:rsid w:val="000E7D4A"/>
    <w:rsid w:val="000E7DF6"/>
    <w:rsid w:val="000F0611"/>
    <w:rsid w:val="000F074F"/>
    <w:rsid w:val="000F0E3A"/>
    <w:rsid w:val="000F0EF7"/>
    <w:rsid w:val="000F1268"/>
    <w:rsid w:val="000F180C"/>
    <w:rsid w:val="000F1CAE"/>
    <w:rsid w:val="000F1F43"/>
    <w:rsid w:val="000F2596"/>
    <w:rsid w:val="000F283B"/>
    <w:rsid w:val="000F2ECF"/>
    <w:rsid w:val="000F338D"/>
    <w:rsid w:val="000F35AB"/>
    <w:rsid w:val="000F36F4"/>
    <w:rsid w:val="000F3A8C"/>
    <w:rsid w:val="000F41BD"/>
    <w:rsid w:val="000F44C4"/>
    <w:rsid w:val="000F4ABC"/>
    <w:rsid w:val="000F5C90"/>
    <w:rsid w:val="000F65B2"/>
    <w:rsid w:val="000F6784"/>
    <w:rsid w:val="000F67F5"/>
    <w:rsid w:val="000F6EF5"/>
    <w:rsid w:val="000F71F9"/>
    <w:rsid w:val="000F7A0B"/>
    <w:rsid w:val="000F7B11"/>
    <w:rsid w:val="00100292"/>
    <w:rsid w:val="00100A7C"/>
    <w:rsid w:val="00100DE8"/>
    <w:rsid w:val="00100F75"/>
    <w:rsid w:val="001016FF"/>
    <w:rsid w:val="00101D3D"/>
    <w:rsid w:val="00102071"/>
    <w:rsid w:val="001024B2"/>
    <w:rsid w:val="00102B92"/>
    <w:rsid w:val="00103D30"/>
    <w:rsid w:val="00103D44"/>
    <w:rsid w:val="001042F3"/>
    <w:rsid w:val="00104587"/>
    <w:rsid w:val="00104C36"/>
    <w:rsid w:val="00104FE9"/>
    <w:rsid w:val="00105A0D"/>
    <w:rsid w:val="00106B10"/>
    <w:rsid w:val="001070B1"/>
    <w:rsid w:val="001070BD"/>
    <w:rsid w:val="001078B8"/>
    <w:rsid w:val="00110133"/>
    <w:rsid w:val="0011030D"/>
    <w:rsid w:val="0011033E"/>
    <w:rsid w:val="0011036B"/>
    <w:rsid w:val="00111839"/>
    <w:rsid w:val="0011218E"/>
    <w:rsid w:val="001121D6"/>
    <w:rsid w:val="00112A8C"/>
    <w:rsid w:val="001136E3"/>
    <w:rsid w:val="001142ED"/>
    <w:rsid w:val="001145D8"/>
    <w:rsid w:val="0011545A"/>
    <w:rsid w:val="00115589"/>
    <w:rsid w:val="0011698C"/>
    <w:rsid w:val="00116C84"/>
    <w:rsid w:val="0011728F"/>
    <w:rsid w:val="00117585"/>
    <w:rsid w:val="001178E9"/>
    <w:rsid w:val="00117B60"/>
    <w:rsid w:val="0012041B"/>
    <w:rsid w:val="00120637"/>
    <w:rsid w:val="00120658"/>
    <w:rsid w:val="001208AB"/>
    <w:rsid w:val="00120BF4"/>
    <w:rsid w:val="001218AD"/>
    <w:rsid w:val="00122482"/>
    <w:rsid w:val="00122846"/>
    <w:rsid w:val="00122D11"/>
    <w:rsid w:val="00123622"/>
    <w:rsid w:val="0012384A"/>
    <w:rsid w:val="00123AE4"/>
    <w:rsid w:val="00123D05"/>
    <w:rsid w:val="00123E95"/>
    <w:rsid w:val="00124C08"/>
    <w:rsid w:val="00125142"/>
    <w:rsid w:val="00125574"/>
    <w:rsid w:val="001256D8"/>
    <w:rsid w:val="001268D0"/>
    <w:rsid w:val="00126F56"/>
    <w:rsid w:val="00127387"/>
    <w:rsid w:val="001273A7"/>
    <w:rsid w:val="001278EE"/>
    <w:rsid w:val="00127EAF"/>
    <w:rsid w:val="0013074A"/>
    <w:rsid w:val="00130C0B"/>
    <w:rsid w:val="00130EA3"/>
    <w:rsid w:val="00131647"/>
    <w:rsid w:val="00131A6D"/>
    <w:rsid w:val="00132F89"/>
    <w:rsid w:val="00132FF4"/>
    <w:rsid w:val="001330B6"/>
    <w:rsid w:val="001338E1"/>
    <w:rsid w:val="00133962"/>
    <w:rsid w:val="0013410F"/>
    <w:rsid w:val="0013415A"/>
    <w:rsid w:val="00134A27"/>
    <w:rsid w:val="0013513D"/>
    <w:rsid w:val="001351EE"/>
    <w:rsid w:val="001356D8"/>
    <w:rsid w:val="001357E7"/>
    <w:rsid w:val="0013625C"/>
    <w:rsid w:val="0013651F"/>
    <w:rsid w:val="00136A5D"/>
    <w:rsid w:val="0013728F"/>
    <w:rsid w:val="001375D2"/>
    <w:rsid w:val="00137B63"/>
    <w:rsid w:val="00137DE9"/>
    <w:rsid w:val="00137E63"/>
    <w:rsid w:val="00140FB9"/>
    <w:rsid w:val="0014134E"/>
    <w:rsid w:val="001414BE"/>
    <w:rsid w:val="00141625"/>
    <w:rsid w:val="0014358F"/>
    <w:rsid w:val="00143B20"/>
    <w:rsid w:val="001444AE"/>
    <w:rsid w:val="00144A7F"/>
    <w:rsid w:val="0014559B"/>
    <w:rsid w:val="00146721"/>
    <w:rsid w:val="001469C6"/>
    <w:rsid w:val="00146C21"/>
    <w:rsid w:val="001472CD"/>
    <w:rsid w:val="001474B6"/>
    <w:rsid w:val="001476BB"/>
    <w:rsid w:val="0014793C"/>
    <w:rsid w:val="00147A7D"/>
    <w:rsid w:val="00150209"/>
    <w:rsid w:val="001506C9"/>
    <w:rsid w:val="001508BA"/>
    <w:rsid w:val="0015159D"/>
    <w:rsid w:val="00151700"/>
    <w:rsid w:val="001519A6"/>
    <w:rsid w:val="00151CB8"/>
    <w:rsid w:val="0015214B"/>
    <w:rsid w:val="001532AA"/>
    <w:rsid w:val="00153623"/>
    <w:rsid w:val="00153FD2"/>
    <w:rsid w:val="00154632"/>
    <w:rsid w:val="00154C71"/>
    <w:rsid w:val="00154D42"/>
    <w:rsid w:val="0015552A"/>
    <w:rsid w:val="00155B13"/>
    <w:rsid w:val="00155F47"/>
    <w:rsid w:val="00156053"/>
    <w:rsid w:val="00156550"/>
    <w:rsid w:val="00156BCE"/>
    <w:rsid w:val="00156DC3"/>
    <w:rsid w:val="00156F0B"/>
    <w:rsid w:val="00157136"/>
    <w:rsid w:val="0015760C"/>
    <w:rsid w:val="00157727"/>
    <w:rsid w:val="0015788C"/>
    <w:rsid w:val="00160CA8"/>
    <w:rsid w:val="001611FA"/>
    <w:rsid w:val="00161882"/>
    <w:rsid w:val="001619EE"/>
    <w:rsid w:val="00161BD0"/>
    <w:rsid w:val="00162BBA"/>
    <w:rsid w:val="001630A3"/>
    <w:rsid w:val="0016375C"/>
    <w:rsid w:val="00163826"/>
    <w:rsid w:val="001639BC"/>
    <w:rsid w:val="00163A21"/>
    <w:rsid w:val="00163CE8"/>
    <w:rsid w:val="0016446F"/>
    <w:rsid w:val="001648F9"/>
    <w:rsid w:val="00164D85"/>
    <w:rsid w:val="00164DE5"/>
    <w:rsid w:val="0016536F"/>
    <w:rsid w:val="001654AD"/>
    <w:rsid w:val="001655F3"/>
    <w:rsid w:val="00165786"/>
    <w:rsid w:val="001659EE"/>
    <w:rsid w:val="00166211"/>
    <w:rsid w:val="001664D8"/>
    <w:rsid w:val="00166BD6"/>
    <w:rsid w:val="00166D7D"/>
    <w:rsid w:val="0016711F"/>
    <w:rsid w:val="00167605"/>
    <w:rsid w:val="00167FC3"/>
    <w:rsid w:val="00170FBC"/>
    <w:rsid w:val="00171627"/>
    <w:rsid w:val="00171948"/>
    <w:rsid w:val="00171D71"/>
    <w:rsid w:val="0017213C"/>
    <w:rsid w:val="00172301"/>
    <w:rsid w:val="00172750"/>
    <w:rsid w:val="00172A27"/>
    <w:rsid w:val="00172C2A"/>
    <w:rsid w:val="00173100"/>
    <w:rsid w:val="001731EC"/>
    <w:rsid w:val="00173570"/>
    <w:rsid w:val="00173C7C"/>
    <w:rsid w:val="001742E1"/>
    <w:rsid w:val="00174BBC"/>
    <w:rsid w:val="00174BCA"/>
    <w:rsid w:val="00174E9F"/>
    <w:rsid w:val="00175A8D"/>
    <w:rsid w:val="00175C4E"/>
    <w:rsid w:val="001761D2"/>
    <w:rsid w:val="00176566"/>
    <w:rsid w:val="001768B6"/>
    <w:rsid w:val="00176D2F"/>
    <w:rsid w:val="00176D33"/>
    <w:rsid w:val="0017792B"/>
    <w:rsid w:val="00177BB4"/>
    <w:rsid w:val="00177BFB"/>
    <w:rsid w:val="00177CA6"/>
    <w:rsid w:val="00180200"/>
    <w:rsid w:val="0018028E"/>
    <w:rsid w:val="00180326"/>
    <w:rsid w:val="00181398"/>
    <w:rsid w:val="001813EE"/>
    <w:rsid w:val="00181734"/>
    <w:rsid w:val="00181B58"/>
    <w:rsid w:val="00181B9E"/>
    <w:rsid w:val="00181C10"/>
    <w:rsid w:val="00182BCE"/>
    <w:rsid w:val="00183B1F"/>
    <w:rsid w:val="00183F97"/>
    <w:rsid w:val="00184171"/>
    <w:rsid w:val="0018431F"/>
    <w:rsid w:val="00184BF7"/>
    <w:rsid w:val="001856DD"/>
    <w:rsid w:val="001857D5"/>
    <w:rsid w:val="00185C1B"/>
    <w:rsid w:val="00187275"/>
    <w:rsid w:val="001875BE"/>
    <w:rsid w:val="001876A4"/>
    <w:rsid w:val="0018770B"/>
    <w:rsid w:val="00187B70"/>
    <w:rsid w:val="00190425"/>
    <w:rsid w:val="001906E6"/>
    <w:rsid w:val="00190B3E"/>
    <w:rsid w:val="00191F9C"/>
    <w:rsid w:val="001927A2"/>
    <w:rsid w:val="00192E6E"/>
    <w:rsid w:val="001937F8"/>
    <w:rsid w:val="00193BC5"/>
    <w:rsid w:val="00193F09"/>
    <w:rsid w:val="00194363"/>
    <w:rsid w:val="001949A0"/>
    <w:rsid w:val="00194F66"/>
    <w:rsid w:val="00195590"/>
    <w:rsid w:val="00195A96"/>
    <w:rsid w:val="00195BA2"/>
    <w:rsid w:val="00196376"/>
    <w:rsid w:val="001964F3"/>
    <w:rsid w:val="00196C0E"/>
    <w:rsid w:val="00196C89"/>
    <w:rsid w:val="00196CD6"/>
    <w:rsid w:val="00196F9F"/>
    <w:rsid w:val="0019712D"/>
    <w:rsid w:val="0019756B"/>
    <w:rsid w:val="00197B48"/>
    <w:rsid w:val="001A048C"/>
    <w:rsid w:val="001A0970"/>
    <w:rsid w:val="001A1221"/>
    <w:rsid w:val="001A1576"/>
    <w:rsid w:val="001A1664"/>
    <w:rsid w:val="001A1C51"/>
    <w:rsid w:val="001A1F14"/>
    <w:rsid w:val="001A214E"/>
    <w:rsid w:val="001A2327"/>
    <w:rsid w:val="001A2737"/>
    <w:rsid w:val="001A2829"/>
    <w:rsid w:val="001A2E27"/>
    <w:rsid w:val="001A3490"/>
    <w:rsid w:val="001A3929"/>
    <w:rsid w:val="001A430E"/>
    <w:rsid w:val="001A499A"/>
    <w:rsid w:val="001A5AE5"/>
    <w:rsid w:val="001A5FAA"/>
    <w:rsid w:val="001A660C"/>
    <w:rsid w:val="001A67B0"/>
    <w:rsid w:val="001A6A2A"/>
    <w:rsid w:val="001A6C52"/>
    <w:rsid w:val="001A6CE0"/>
    <w:rsid w:val="001A6CF4"/>
    <w:rsid w:val="001A784C"/>
    <w:rsid w:val="001A7BBB"/>
    <w:rsid w:val="001A7E0F"/>
    <w:rsid w:val="001B0337"/>
    <w:rsid w:val="001B0471"/>
    <w:rsid w:val="001B0BF4"/>
    <w:rsid w:val="001B1555"/>
    <w:rsid w:val="001B1F00"/>
    <w:rsid w:val="001B1FB2"/>
    <w:rsid w:val="001B3234"/>
    <w:rsid w:val="001B41F0"/>
    <w:rsid w:val="001B43EF"/>
    <w:rsid w:val="001B4CD2"/>
    <w:rsid w:val="001B5155"/>
    <w:rsid w:val="001B53CA"/>
    <w:rsid w:val="001B5660"/>
    <w:rsid w:val="001B57C6"/>
    <w:rsid w:val="001B58CB"/>
    <w:rsid w:val="001B6006"/>
    <w:rsid w:val="001B671C"/>
    <w:rsid w:val="001B688A"/>
    <w:rsid w:val="001B6E84"/>
    <w:rsid w:val="001B721A"/>
    <w:rsid w:val="001B7D25"/>
    <w:rsid w:val="001B7D93"/>
    <w:rsid w:val="001B7FEC"/>
    <w:rsid w:val="001C02EA"/>
    <w:rsid w:val="001C0E1C"/>
    <w:rsid w:val="001C113D"/>
    <w:rsid w:val="001C11AA"/>
    <w:rsid w:val="001C170C"/>
    <w:rsid w:val="001C1B05"/>
    <w:rsid w:val="001C1C73"/>
    <w:rsid w:val="001C1E68"/>
    <w:rsid w:val="001C27E1"/>
    <w:rsid w:val="001C3FFA"/>
    <w:rsid w:val="001C407F"/>
    <w:rsid w:val="001C457C"/>
    <w:rsid w:val="001C4FC8"/>
    <w:rsid w:val="001C5F36"/>
    <w:rsid w:val="001C5F8C"/>
    <w:rsid w:val="001C700F"/>
    <w:rsid w:val="001C73FF"/>
    <w:rsid w:val="001C7862"/>
    <w:rsid w:val="001D0AA9"/>
    <w:rsid w:val="001D0DF9"/>
    <w:rsid w:val="001D148F"/>
    <w:rsid w:val="001D1EC3"/>
    <w:rsid w:val="001D228F"/>
    <w:rsid w:val="001D2F05"/>
    <w:rsid w:val="001D2FA8"/>
    <w:rsid w:val="001D3224"/>
    <w:rsid w:val="001D337D"/>
    <w:rsid w:val="001D3454"/>
    <w:rsid w:val="001D3D5E"/>
    <w:rsid w:val="001D407C"/>
    <w:rsid w:val="001D447D"/>
    <w:rsid w:val="001D4495"/>
    <w:rsid w:val="001D44E0"/>
    <w:rsid w:val="001D4851"/>
    <w:rsid w:val="001D4AB1"/>
    <w:rsid w:val="001D4CD4"/>
    <w:rsid w:val="001D590A"/>
    <w:rsid w:val="001D59F3"/>
    <w:rsid w:val="001D5D9A"/>
    <w:rsid w:val="001D6724"/>
    <w:rsid w:val="001D68D8"/>
    <w:rsid w:val="001D6B00"/>
    <w:rsid w:val="001D77FA"/>
    <w:rsid w:val="001E09EA"/>
    <w:rsid w:val="001E1113"/>
    <w:rsid w:val="001E177E"/>
    <w:rsid w:val="001E1BE0"/>
    <w:rsid w:val="001E21D2"/>
    <w:rsid w:val="001E2347"/>
    <w:rsid w:val="001E26F1"/>
    <w:rsid w:val="001E2E3D"/>
    <w:rsid w:val="001E312D"/>
    <w:rsid w:val="001E3F3E"/>
    <w:rsid w:val="001E4629"/>
    <w:rsid w:val="001E490A"/>
    <w:rsid w:val="001E4C73"/>
    <w:rsid w:val="001E531C"/>
    <w:rsid w:val="001E58D8"/>
    <w:rsid w:val="001E623A"/>
    <w:rsid w:val="001E6858"/>
    <w:rsid w:val="001E6AA3"/>
    <w:rsid w:val="001E6B94"/>
    <w:rsid w:val="001E6C81"/>
    <w:rsid w:val="001E7D63"/>
    <w:rsid w:val="001F006C"/>
    <w:rsid w:val="001F0EB6"/>
    <w:rsid w:val="001F1383"/>
    <w:rsid w:val="001F1AD1"/>
    <w:rsid w:val="001F2382"/>
    <w:rsid w:val="001F27E9"/>
    <w:rsid w:val="001F2973"/>
    <w:rsid w:val="001F2B56"/>
    <w:rsid w:val="001F2DED"/>
    <w:rsid w:val="001F2EAF"/>
    <w:rsid w:val="001F30EB"/>
    <w:rsid w:val="001F3288"/>
    <w:rsid w:val="001F361E"/>
    <w:rsid w:val="001F3AC4"/>
    <w:rsid w:val="001F3B57"/>
    <w:rsid w:val="001F476B"/>
    <w:rsid w:val="001F50BC"/>
    <w:rsid w:val="001F5CB7"/>
    <w:rsid w:val="001F5F85"/>
    <w:rsid w:val="001F6A0A"/>
    <w:rsid w:val="001F70FB"/>
    <w:rsid w:val="001F760F"/>
    <w:rsid w:val="001F79DB"/>
    <w:rsid w:val="001F7C68"/>
    <w:rsid w:val="001F7CBA"/>
    <w:rsid w:val="00200D68"/>
    <w:rsid w:val="002011E3"/>
    <w:rsid w:val="002014A5"/>
    <w:rsid w:val="002016C1"/>
    <w:rsid w:val="00201DD2"/>
    <w:rsid w:val="00201EA1"/>
    <w:rsid w:val="002025AA"/>
    <w:rsid w:val="00202D9A"/>
    <w:rsid w:val="00203250"/>
    <w:rsid w:val="00203756"/>
    <w:rsid w:val="002037F3"/>
    <w:rsid w:val="0020400B"/>
    <w:rsid w:val="00204D98"/>
    <w:rsid w:val="00205583"/>
    <w:rsid w:val="00205A52"/>
    <w:rsid w:val="00205D1F"/>
    <w:rsid w:val="002108B9"/>
    <w:rsid w:val="00210F8A"/>
    <w:rsid w:val="00211042"/>
    <w:rsid w:val="002112C2"/>
    <w:rsid w:val="0021163B"/>
    <w:rsid w:val="00211E67"/>
    <w:rsid w:val="00212F47"/>
    <w:rsid w:val="00213306"/>
    <w:rsid w:val="00214014"/>
    <w:rsid w:val="00214281"/>
    <w:rsid w:val="002155D3"/>
    <w:rsid w:val="00215635"/>
    <w:rsid w:val="002156AE"/>
    <w:rsid w:val="00215DF6"/>
    <w:rsid w:val="00216012"/>
    <w:rsid w:val="0021628E"/>
    <w:rsid w:val="002164A4"/>
    <w:rsid w:val="002164CF"/>
    <w:rsid w:val="00216735"/>
    <w:rsid w:val="00216DE1"/>
    <w:rsid w:val="00217BAD"/>
    <w:rsid w:val="002203AC"/>
    <w:rsid w:val="00220637"/>
    <w:rsid w:val="002206C6"/>
    <w:rsid w:val="00220A82"/>
    <w:rsid w:val="002210D5"/>
    <w:rsid w:val="00221184"/>
    <w:rsid w:val="002213BA"/>
    <w:rsid w:val="00222137"/>
    <w:rsid w:val="00222587"/>
    <w:rsid w:val="00222ADC"/>
    <w:rsid w:val="00222B7D"/>
    <w:rsid w:val="0022355C"/>
    <w:rsid w:val="00224100"/>
    <w:rsid w:val="00224E21"/>
    <w:rsid w:val="00224EF0"/>
    <w:rsid w:val="002252DA"/>
    <w:rsid w:val="002253A5"/>
    <w:rsid w:val="00226448"/>
    <w:rsid w:val="0022722D"/>
    <w:rsid w:val="0022744F"/>
    <w:rsid w:val="0022766A"/>
    <w:rsid w:val="002276AD"/>
    <w:rsid w:val="00227736"/>
    <w:rsid w:val="0022773C"/>
    <w:rsid w:val="00227BE4"/>
    <w:rsid w:val="0023012E"/>
    <w:rsid w:val="00230D71"/>
    <w:rsid w:val="00230DA8"/>
    <w:rsid w:val="00231034"/>
    <w:rsid w:val="0023132C"/>
    <w:rsid w:val="00231D03"/>
    <w:rsid w:val="00232189"/>
    <w:rsid w:val="00232C2B"/>
    <w:rsid w:val="00233E89"/>
    <w:rsid w:val="00234343"/>
    <w:rsid w:val="00234E84"/>
    <w:rsid w:val="00234F97"/>
    <w:rsid w:val="00235180"/>
    <w:rsid w:val="002356E3"/>
    <w:rsid w:val="00235888"/>
    <w:rsid w:val="002366E4"/>
    <w:rsid w:val="002368B9"/>
    <w:rsid w:val="00237373"/>
    <w:rsid w:val="0023750C"/>
    <w:rsid w:val="00237633"/>
    <w:rsid w:val="00237751"/>
    <w:rsid w:val="002377CB"/>
    <w:rsid w:val="002378F9"/>
    <w:rsid w:val="00237C7C"/>
    <w:rsid w:val="00237EA8"/>
    <w:rsid w:val="00240987"/>
    <w:rsid w:val="00240ACB"/>
    <w:rsid w:val="00241507"/>
    <w:rsid w:val="002415E7"/>
    <w:rsid w:val="00241707"/>
    <w:rsid w:val="00241E36"/>
    <w:rsid w:val="00242044"/>
    <w:rsid w:val="002426E3"/>
    <w:rsid w:val="00242A07"/>
    <w:rsid w:val="00242BC6"/>
    <w:rsid w:val="00242CEE"/>
    <w:rsid w:val="00242DE2"/>
    <w:rsid w:val="0024401A"/>
    <w:rsid w:val="002449ED"/>
    <w:rsid w:val="002451B0"/>
    <w:rsid w:val="00245F57"/>
    <w:rsid w:val="00245FB2"/>
    <w:rsid w:val="0024660A"/>
    <w:rsid w:val="00246B22"/>
    <w:rsid w:val="00246E78"/>
    <w:rsid w:val="002478DF"/>
    <w:rsid w:val="002501EA"/>
    <w:rsid w:val="00250379"/>
    <w:rsid w:val="00250709"/>
    <w:rsid w:val="00250927"/>
    <w:rsid w:val="00250ACE"/>
    <w:rsid w:val="00250EC3"/>
    <w:rsid w:val="002510A2"/>
    <w:rsid w:val="002513F7"/>
    <w:rsid w:val="002517EC"/>
    <w:rsid w:val="0025195C"/>
    <w:rsid w:val="00253060"/>
    <w:rsid w:val="00253814"/>
    <w:rsid w:val="00253A52"/>
    <w:rsid w:val="002542BB"/>
    <w:rsid w:val="00255322"/>
    <w:rsid w:val="00255B91"/>
    <w:rsid w:val="00255E61"/>
    <w:rsid w:val="00256E38"/>
    <w:rsid w:val="00256F5F"/>
    <w:rsid w:val="00256FE7"/>
    <w:rsid w:val="002571C9"/>
    <w:rsid w:val="00257AE8"/>
    <w:rsid w:val="00257E57"/>
    <w:rsid w:val="0026097D"/>
    <w:rsid w:val="0026127E"/>
    <w:rsid w:val="00261C5B"/>
    <w:rsid w:val="00261D09"/>
    <w:rsid w:val="0026240D"/>
    <w:rsid w:val="002628DB"/>
    <w:rsid w:val="002629F6"/>
    <w:rsid w:val="00262C71"/>
    <w:rsid w:val="00262DA6"/>
    <w:rsid w:val="0026315C"/>
    <w:rsid w:val="002636F8"/>
    <w:rsid w:val="00263855"/>
    <w:rsid w:val="0026399E"/>
    <w:rsid w:val="002643DD"/>
    <w:rsid w:val="002647A3"/>
    <w:rsid w:val="00264BE0"/>
    <w:rsid w:val="002651BC"/>
    <w:rsid w:val="0026523A"/>
    <w:rsid w:val="002654B6"/>
    <w:rsid w:val="00265524"/>
    <w:rsid w:val="0026560D"/>
    <w:rsid w:val="00265792"/>
    <w:rsid w:val="00265918"/>
    <w:rsid w:val="00266151"/>
    <w:rsid w:val="00266C5B"/>
    <w:rsid w:val="0027004A"/>
    <w:rsid w:val="00270153"/>
    <w:rsid w:val="002701A7"/>
    <w:rsid w:val="002704A6"/>
    <w:rsid w:val="002706BB"/>
    <w:rsid w:val="002716CC"/>
    <w:rsid w:val="002719E0"/>
    <w:rsid w:val="00271AA5"/>
    <w:rsid w:val="0027218A"/>
    <w:rsid w:val="00272B2E"/>
    <w:rsid w:val="00272C3E"/>
    <w:rsid w:val="00272EFD"/>
    <w:rsid w:val="00273A0B"/>
    <w:rsid w:val="00274195"/>
    <w:rsid w:val="00274FE1"/>
    <w:rsid w:val="002756E1"/>
    <w:rsid w:val="00275828"/>
    <w:rsid w:val="0027597B"/>
    <w:rsid w:val="00275A00"/>
    <w:rsid w:val="00276AC0"/>
    <w:rsid w:val="00276B03"/>
    <w:rsid w:val="00276C88"/>
    <w:rsid w:val="00276DF3"/>
    <w:rsid w:val="002773E6"/>
    <w:rsid w:val="00277940"/>
    <w:rsid w:val="0028040F"/>
    <w:rsid w:val="00280564"/>
    <w:rsid w:val="002805DD"/>
    <w:rsid w:val="00280D11"/>
    <w:rsid w:val="0028164B"/>
    <w:rsid w:val="002819BD"/>
    <w:rsid w:val="002824DF"/>
    <w:rsid w:val="002828EF"/>
    <w:rsid w:val="00282911"/>
    <w:rsid w:val="00282BBA"/>
    <w:rsid w:val="00282E74"/>
    <w:rsid w:val="00282F74"/>
    <w:rsid w:val="00283B76"/>
    <w:rsid w:val="0028443D"/>
    <w:rsid w:val="0028457D"/>
    <w:rsid w:val="002846A5"/>
    <w:rsid w:val="002846E2"/>
    <w:rsid w:val="002847D3"/>
    <w:rsid w:val="002847F0"/>
    <w:rsid w:val="00284C3F"/>
    <w:rsid w:val="00285229"/>
    <w:rsid w:val="0028541B"/>
    <w:rsid w:val="00285AED"/>
    <w:rsid w:val="00285F76"/>
    <w:rsid w:val="002868AE"/>
    <w:rsid w:val="00286F39"/>
    <w:rsid w:val="002870EB"/>
    <w:rsid w:val="00287651"/>
    <w:rsid w:val="00287DB4"/>
    <w:rsid w:val="00287E87"/>
    <w:rsid w:val="00287F9E"/>
    <w:rsid w:val="002903DE"/>
    <w:rsid w:val="002906B0"/>
    <w:rsid w:val="00290A0C"/>
    <w:rsid w:val="00290ADD"/>
    <w:rsid w:val="002920D5"/>
    <w:rsid w:val="0029220F"/>
    <w:rsid w:val="00292B1F"/>
    <w:rsid w:val="00292D59"/>
    <w:rsid w:val="00292F2A"/>
    <w:rsid w:val="00292FF5"/>
    <w:rsid w:val="00293079"/>
    <w:rsid w:val="00293CC3"/>
    <w:rsid w:val="00294044"/>
    <w:rsid w:val="002941EF"/>
    <w:rsid w:val="002954CA"/>
    <w:rsid w:val="00295645"/>
    <w:rsid w:val="00296A4F"/>
    <w:rsid w:val="00296AED"/>
    <w:rsid w:val="00296F3C"/>
    <w:rsid w:val="002A0775"/>
    <w:rsid w:val="002A1B90"/>
    <w:rsid w:val="002A1D0A"/>
    <w:rsid w:val="002A280E"/>
    <w:rsid w:val="002A2B40"/>
    <w:rsid w:val="002A4D40"/>
    <w:rsid w:val="002A5D52"/>
    <w:rsid w:val="002A696C"/>
    <w:rsid w:val="002A752A"/>
    <w:rsid w:val="002A7D9E"/>
    <w:rsid w:val="002B04A0"/>
    <w:rsid w:val="002B124F"/>
    <w:rsid w:val="002B2001"/>
    <w:rsid w:val="002B25CF"/>
    <w:rsid w:val="002B2727"/>
    <w:rsid w:val="002B2CC2"/>
    <w:rsid w:val="002B41BE"/>
    <w:rsid w:val="002B43FF"/>
    <w:rsid w:val="002B4482"/>
    <w:rsid w:val="002B461A"/>
    <w:rsid w:val="002B46F8"/>
    <w:rsid w:val="002B4804"/>
    <w:rsid w:val="002B4B1B"/>
    <w:rsid w:val="002B5477"/>
    <w:rsid w:val="002B5806"/>
    <w:rsid w:val="002B5B7A"/>
    <w:rsid w:val="002B5F74"/>
    <w:rsid w:val="002B60AE"/>
    <w:rsid w:val="002B6222"/>
    <w:rsid w:val="002B6427"/>
    <w:rsid w:val="002B6442"/>
    <w:rsid w:val="002B664B"/>
    <w:rsid w:val="002B68B0"/>
    <w:rsid w:val="002B7317"/>
    <w:rsid w:val="002B73D4"/>
    <w:rsid w:val="002B7759"/>
    <w:rsid w:val="002B7986"/>
    <w:rsid w:val="002C0245"/>
    <w:rsid w:val="002C1035"/>
    <w:rsid w:val="002C12EB"/>
    <w:rsid w:val="002C130E"/>
    <w:rsid w:val="002C135D"/>
    <w:rsid w:val="002C1AA1"/>
    <w:rsid w:val="002C225B"/>
    <w:rsid w:val="002C2685"/>
    <w:rsid w:val="002C28E5"/>
    <w:rsid w:val="002C2CE3"/>
    <w:rsid w:val="002C2E21"/>
    <w:rsid w:val="002C2EB0"/>
    <w:rsid w:val="002C312F"/>
    <w:rsid w:val="002C3367"/>
    <w:rsid w:val="002C3B59"/>
    <w:rsid w:val="002C3CFD"/>
    <w:rsid w:val="002C46A1"/>
    <w:rsid w:val="002C4A2B"/>
    <w:rsid w:val="002C533D"/>
    <w:rsid w:val="002C5BF1"/>
    <w:rsid w:val="002C5C1F"/>
    <w:rsid w:val="002C5E8A"/>
    <w:rsid w:val="002C5F8F"/>
    <w:rsid w:val="002C6546"/>
    <w:rsid w:val="002C655D"/>
    <w:rsid w:val="002C6AF0"/>
    <w:rsid w:val="002C7689"/>
    <w:rsid w:val="002C7D83"/>
    <w:rsid w:val="002D0149"/>
    <w:rsid w:val="002D06F9"/>
    <w:rsid w:val="002D133F"/>
    <w:rsid w:val="002D19B3"/>
    <w:rsid w:val="002D3087"/>
    <w:rsid w:val="002D31E5"/>
    <w:rsid w:val="002D3DBA"/>
    <w:rsid w:val="002D3E23"/>
    <w:rsid w:val="002D3FDF"/>
    <w:rsid w:val="002D491F"/>
    <w:rsid w:val="002D550F"/>
    <w:rsid w:val="002D56AB"/>
    <w:rsid w:val="002D5865"/>
    <w:rsid w:val="002D5A59"/>
    <w:rsid w:val="002D5C3D"/>
    <w:rsid w:val="002D5EA2"/>
    <w:rsid w:val="002D661E"/>
    <w:rsid w:val="002D6CA4"/>
    <w:rsid w:val="002D707E"/>
    <w:rsid w:val="002D735B"/>
    <w:rsid w:val="002D7778"/>
    <w:rsid w:val="002D7AFF"/>
    <w:rsid w:val="002E0B0B"/>
    <w:rsid w:val="002E0B94"/>
    <w:rsid w:val="002E0D1C"/>
    <w:rsid w:val="002E0EB5"/>
    <w:rsid w:val="002E1F45"/>
    <w:rsid w:val="002E2CCE"/>
    <w:rsid w:val="002E31FF"/>
    <w:rsid w:val="002E3AD6"/>
    <w:rsid w:val="002E3B8B"/>
    <w:rsid w:val="002E434E"/>
    <w:rsid w:val="002E56C6"/>
    <w:rsid w:val="002E5D78"/>
    <w:rsid w:val="002E6195"/>
    <w:rsid w:val="002E65C4"/>
    <w:rsid w:val="002E6A3F"/>
    <w:rsid w:val="002E6BDD"/>
    <w:rsid w:val="002E6DCC"/>
    <w:rsid w:val="002E755B"/>
    <w:rsid w:val="002E7977"/>
    <w:rsid w:val="002F005E"/>
    <w:rsid w:val="002F0085"/>
    <w:rsid w:val="002F00E6"/>
    <w:rsid w:val="002F261C"/>
    <w:rsid w:val="002F2811"/>
    <w:rsid w:val="002F2E4D"/>
    <w:rsid w:val="002F4900"/>
    <w:rsid w:val="002F49E0"/>
    <w:rsid w:val="002F4CBE"/>
    <w:rsid w:val="002F5782"/>
    <w:rsid w:val="002F58FB"/>
    <w:rsid w:val="002F5D8D"/>
    <w:rsid w:val="002F5FE8"/>
    <w:rsid w:val="002F6073"/>
    <w:rsid w:val="002F6368"/>
    <w:rsid w:val="002F6915"/>
    <w:rsid w:val="002F6C7E"/>
    <w:rsid w:val="002F6F32"/>
    <w:rsid w:val="002F6F99"/>
    <w:rsid w:val="002F72DB"/>
    <w:rsid w:val="002F7689"/>
    <w:rsid w:val="002F7CB2"/>
    <w:rsid w:val="0030028E"/>
    <w:rsid w:val="003009B2"/>
    <w:rsid w:val="0030179A"/>
    <w:rsid w:val="003018AF"/>
    <w:rsid w:val="00301FAB"/>
    <w:rsid w:val="00302229"/>
    <w:rsid w:val="0030240A"/>
    <w:rsid w:val="0030240B"/>
    <w:rsid w:val="003025BB"/>
    <w:rsid w:val="00302E0D"/>
    <w:rsid w:val="0030335C"/>
    <w:rsid w:val="00303543"/>
    <w:rsid w:val="0030359E"/>
    <w:rsid w:val="00304CC8"/>
    <w:rsid w:val="00304E62"/>
    <w:rsid w:val="0030513A"/>
    <w:rsid w:val="0030513F"/>
    <w:rsid w:val="003054B2"/>
    <w:rsid w:val="00305737"/>
    <w:rsid w:val="003057FB"/>
    <w:rsid w:val="003065EE"/>
    <w:rsid w:val="0030662A"/>
    <w:rsid w:val="0030701D"/>
    <w:rsid w:val="003070FC"/>
    <w:rsid w:val="00307977"/>
    <w:rsid w:val="00307AAA"/>
    <w:rsid w:val="00307C73"/>
    <w:rsid w:val="0031016C"/>
    <w:rsid w:val="00310A5E"/>
    <w:rsid w:val="00310B58"/>
    <w:rsid w:val="00310E36"/>
    <w:rsid w:val="00311481"/>
    <w:rsid w:val="003117CE"/>
    <w:rsid w:val="00311D1A"/>
    <w:rsid w:val="00312540"/>
    <w:rsid w:val="00312F4F"/>
    <w:rsid w:val="00313C5D"/>
    <w:rsid w:val="00314800"/>
    <w:rsid w:val="00314E56"/>
    <w:rsid w:val="003150B1"/>
    <w:rsid w:val="003150FE"/>
    <w:rsid w:val="00315257"/>
    <w:rsid w:val="003153E0"/>
    <w:rsid w:val="00315C45"/>
    <w:rsid w:val="003162F5"/>
    <w:rsid w:val="003167E3"/>
    <w:rsid w:val="00316ADA"/>
    <w:rsid w:val="00316CAA"/>
    <w:rsid w:val="00316CF4"/>
    <w:rsid w:val="00316E61"/>
    <w:rsid w:val="0032038A"/>
    <w:rsid w:val="0032052E"/>
    <w:rsid w:val="00321012"/>
    <w:rsid w:val="0032104E"/>
    <w:rsid w:val="00321850"/>
    <w:rsid w:val="003222B9"/>
    <w:rsid w:val="00322908"/>
    <w:rsid w:val="00323166"/>
    <w:rsid w:val="0032323B"/>
    <w:rsid w:val="00323296"/>
    <w:rsid w:val="0032445C"/>
    <w:rsid w:val="00324543"/>
    <w:rsid w:val="00324929"/>
    <w:rsid w:val="00324D71"/>
    <w:rsid w:val="00325432"/>
    <w:rsid w:val="00325674"/>
    <w:rsid w:val="003257BA"/>
    <w:rsid w:val="00325A94"/>
    <w:rsid w:val="003263BB"/>
    <w:rsid w:val="00326BB6"/>
    <w:rsid w:val="00326FD7"/>
    <w:rsid w:val="0032742A"/>
    <w:rsid w:val="00327503"/>
    <w:rsid w:val="00327645"/>
    <w:rsid w:val="003276B2"/>
    <w:rsid w:val="003279A3"/>
    <w:rsid w:val="00327C19"/>
    <w:rsid w:val="00327CA5"/>
    <w:rsid w:val="00331074"/>
    <w:rsid w:val="003314E1"/>
    <w:rsid w:val="0033175A"/>
    <w:rsid w:val="00331A17"/>
    <w:rsid w:val="003320D0"/>
    <w:rsid w:val="0033335D"/>
    <w:rsid w:val="0033348A"/>
    <w:rsid w:val="00333A15"/>
    <w:rsid w:val="00333CFE"/>
    <w:rsid w:val="00333F3D"/>
    <w:rsid w:val="003344B4"/>
    <w:rsid w:val="003346EA"/>
    <w:rsid w:val="00334B94"/>
    <w:rsid w:val="00334BBE"/>
    <w:rsid w:val="00335468"/>
    <w:rsid w:val="00335AE9"/>
    <w:rsid w:val="00335BDE"/>
    <w:rsid w:val="00335C1B"/>
    <w:rsid w:val="00335D92"/>
    <w:rsid w:val="003361B5"/>
    <w:rsid w:val="003361CC"/>
    <w:rsid w:val="00336211"/>
    <w:rsid w:val="00336347"/>
    <w:rsid w:val="0033676B"/>
    <w:rsid w:val="003368A5"/>
    <w:rsid w:val="00336B29"/>
    <w:rsid w:val="00336C7E"/>
    <w:rsid w:val="00336D74"/>
    <w:rsid w:val="00340061"/>
    <w:rsid w:val="003405E8"/>
    <w:rsid w:val="00340A96"/>
    <w:rsid w:val="00341807"/>
    <w:rsid w:val="00342440"/>
    <w:rsid w:val="0034328B"/>
    <w:rsid w:val="003439B8"/>
    <w:rsid w:val="00343C76"/>
    <w:rsid w:val="003451FD"/>
    <w:rsid w:val="0034578D"/>
    <w:rsid w:val="00345949"/>
    <w:rsid w:val="00345A2E"/>
    <w:rsid w:val="00347317"/>
    <w:rsid w:val="00347638"/>
    <w:rsid w:val="00347CFD"/>
    <w:rsid w:val="00350039"/>
    <w:rsid w:val="003500E0"/>
    <w:rsid w:val="0035167B"/>
    <w:rsid w:val="00351791"/>
    <w:rsid w:val="00351C98"/>
    <w:rsid w:val="00351EE6"/>
    <w:rsid w:val="0035212C"/>
    <w:rsid w:val="00352299"/>
    <w:rsid w:val="00352428"/>
    <w:rsid w:val="00352AD3"/>
    <w:rsid w:val="00352D33"/>
    <w:rsid w:val="003532DE"/>
    <w:rsid w:val="00353577"/>
    <w:rsid w:val="003536A2"/>
    <w:rsid w:val="00354252"/>
    <w:rsid w:val="00354B55"/>
    <w:rsid w:val="00354C02"/>
    <w:rsid w:val="003552E3"/>
    <w:rsid w:val="003556B2"/>
    <w:rsid w:val="00356AE1"/>
    <w:rsid w:val="0035740B"/>
    <w:rsid w:val="0035764B"/>
    <w:rsid w:val="0035780E"/>
    <w:rsid w:val="0035795B"/>
    <w:rsid w:val="0036021E"/>
    <w:rsid w:val="00361426"/>
    <w:rsid w:val="00361456"/>
    <w:rsid w:val="00361C0F"/>
    <w:rsid w:val="00361D37"/>
    <w:rsid w:val="00362B38"/>
    <w:rsid w:val="003633D7"/>
    <w:rsid w:val="00363539"/>
    <w:rsid w:val="003635A0"/>
    <w:rsid w:val="00363650"/>
    <w:rsid w:val="0036398F"/>
    <w:rsid w:val="00364564"/>
    <w:rsid w:val="00365259"/>
    <w:rsid w:val="0036589C"/>
    <w:rsid w:val="00365967"/>
    <w:rsid w:val="00365F88"/>
    <w:rsid w:val="0036644F"/>
    <w:rsid w:val="00366CBE"/>
    <w:rsid w:val="00366F1F"/>
    <w:rsid w:val="003671D3"/>
    <w:rsid w:val="0036736A"/>
    <w:rsid w:val="00367B69"/>
    <w:rsid w:val="00367D0C"/>
    <w:rsid w:val="00367F81"/>
    <w:rsid w:val="00370068"/>
    <w:rsid w:val="0037033D"/>
    <w:rsid w:val="00371182"/>
    <w:rsid w:val="00371AFF"/>
    <w:rsid w:val="00372956"/>
    <w:rsid w:val="00372C11"/>
    <w:rsid w:val="00372D38"/>
    <w:rsid w:val="00372EA5"/>
    <w:rsid w:val="00372EA8"/>
    <w:rsid w:val="003735B5"/>
    <w:rsid w:val="003739F0"/>
    <w:rsid w:val="00373D95"/>
    <w:rsid w:val="00373F2A"/>
    <w:rsid w:val="00374F2F"/>
    <w:rsid w:val="0037508F"/>
    <w:rsid w:val="00375478"/>
    <w:rsid w:val="00375485"/>
    <w:rsid w:val="00375565"/>
    <w:rsid w:val="00375B4C"/>
    <w:rsid w:val="00376BAA"/>
    <w:rsid w:val="00377382"/>
    <w:rsid w:val="00377826"/>
    <w:rsid w:val="003800CE"/>
    <w:rsid w:val="003801DD"/>
    <w:rsid w:val="00380354"/>
    <w:rsid w:val="00380375"/>
    <w:rsid w:val="00380572"/>
    <w:rsid w:val="003809AD"/>
    <w:rsid w:val="00380F02"/>
    <w:rsid w:val="0038108A"/>
    <w:rsid w:val="00381779"/>
    <w:rsid w:val="00381C40"/>
    <w:rsid w:val="003826B3"/>
    <w:rsid w:val="00382CDC"/>
    <w:rsid w:val="00383BEF"/>
    <w:rsid w:val="00384D3F"/>
    <w:rsid w:val="00384F03"/>
    <w:rsid w:val="0038628D"/>
    <w:rsid w:val="00386652"/>
    <w:rsid w:val="00386C75"/>
    <w:rsid w:val="00386FD8"/>
    <w:rsid w:val="00387607"/>
    <w:rsid w:val="00387A85"/>
    <w:rsid w:val="00387AB2"/>
    <w:rsid w:val="00387F74"/>
    <w:rsid w:val="00390127"/>
    <w:rsid w:val="00390384"/>
    <w:rsid w:val="00391795"/>
    <w:rsid w:val="0039248C"/>
    <w:rsid w:val="00392BD5"/>
    <w:rsid w:val="00392E5C"/>
    <w:rsid w:val="00394473"/>
    <w:rsid w:val="00394A52"/>
    <w:rsid w:val="00394D11"/>
    <w:rsid w:val="0039550C"/>
    <w:rsid w:val="00395822"/>
    <w:rsid w:val="00395A14"/>
    <w:rsid w:val="00395AF6"/>
    <w:rsid w:val="00395ED3"/>
    <w:rsid w:val="00396A4C"/>
    <w:rsid w:val="003976CA"/>
    <w:rsid w:val="00397700"/>
    <w:rsid w:val="00397720"/>
    <w:rsid w:val="00397987"/>
    <w:rsid w:val="003979CF"/>
    <w:rsid w:val="003A05E0"/>
    <w:rsid w:val="003A0A44"/>
    <w:rsid w:val="003A0E98"/>
    <w:rsid w:val="003A155E"/>
    <w:rsid w:val="003A1818"/>
    <w:rsid w:val="003A1D4A"/>
    <w:rsid w:val="003A1F5D"/>
    <w:rsid w:val="003A230D"/>
    <w:rsid w:val="003A377C"/>
    <w:rsid w:val="003A3ADF"/>
    <w:rsid w:val="003A3B58"/>
    <w:rsid w:val="003A3F65"/>
    <w:rsid w:val="003A4954"/>
    <w:rsid w:val="003A50A3"/>
    <w:rsid w:val="003A5E02"/>
    <w:rsid w:val="003A714F"/>
    <w:rsid w:val="003A7BC5"/>
    <w:rsid w:val="003B0248"/>
    <w:rsid w:val="003B04CF"/>
    <w:rsid w:val="003B07BB"/>
    <w:rsid w:val="003B0D1C"/>
    <w:rsid w:val="003B13DD"/>
    <w:rsid w:val="003B14C2"/>
    <w:rsid w:val="003B18F0"/>
    <w:rsid w:val="003B1954"/>
    <w:rsid w:val="003B263D"/>
    <w:rsid w:val="003B2E6D"/>
    <w:rsid w:val="003B30B3"/>
    <w:rsid w:val="003B3ED1"/>
    <w:rsid w:val="003B46DE"/>
    <w:rsid w:val="003B483A"/>
    <w:rsid w:val="003B4A9C"/>
    <w:rsid w:val="003B5289"/>
    <w:rsid w:val="003B6316"/>
    <w:rsid w:val="003B687E"/>
    <w:rsid w:val="003B7505"/>
    <w:rsid w:val="003C0067"/>
    <w:rsid w:val="003C00BD"/>
    <w:rsid w:val="003C0136"/>
    <w:rsid w:val="003C03FB"/>
    <w:rsid w:val="003C09B8"/>
    <w:rsid w:val="003C09F8"/>
    <w:rsid w:val="003C0B50"/>
    <w:rsid w:val="003C0B87"/>
    <w:rsid w:val="003C246C"/>
    <w:rsid w:val="003C2B73"/>
    <w:rsid w:val="003C3340"/>
    <w:rsid w:val="003C377B"/>
    <w:rsid w:val="003C38A6"/>
    <w:rsid w:val="003C3AF1"/>
    <w:rsid w:val="003C4077"/>
    <w:rsid w:val="003C43A0"/>
    <w:rsid w:val="003C45DC"/>
    <w:rsid w:val="003C47E9"/>
    <w:rsid w:val="003C4A15"/>
    <w:rsid w:val="003C4FC2"/>
    <w:rsid w:val="003C6441"/>
    <w:rsid w:val="003C6B08"/>
    <w:rsid w:val="003C6C64"/>
    <w:rsid w:val="003C7E9B"/>
    <w:rsid w:val="003D064E"/>
    <w:rsid w:val="003D0A25"/>
    <w:rsid w:val="003D1202"/>
    <w:rsid w:val="003D1259"/>
    <w:rsid w:val="003D142F"/>
    <w:rsid w:val="003D19E0"/>
    <w:rsid w:val="003D1A38"/>
    <w:rsid w:val="003D25DF"/>
    <w:rsid w:val="003D2BC4"/>
    <w:rsid w:val="003D2CC7"/>
    <w:rsid w:val="003D2D05"/>
    <w:rsid w:val="003D2D22"/>
    <w:rsid w:val="003D2D98"/>
    <w:rsid w:val="003D36B1"/>
    <w:rsid w:val="003D3824"/>
    <w:rsid w:val="003D45FB"/>
    <w:rsid w:val="003D461D"/>
    <w:rsid w:val="003D46D8"/>
    <w:rsid w:val="003D68FA"/>
    <w:rsid w:val="003D7175"/>
    <w:rsid w:val="003D766C"/>
    <w:rsid w:val="003D7A88"/>
    <w:rsid w:val="003D7F7D"/>
    <w:rsid w:val="003E0C6D"/>
    <w:rsid w:val="003E0DA9"/>
    <w:rsid w:val="003E0F2D"/>
    <w:rsid w:val="003E1193"/>
    <w:rsid w:val="003E1958"/>
    <w:rsid w:val="003E1EBB"/>
    <w:rsid w:val="003E22A6"/>
    <w:rsid w:val="003E2B45"/>
    <w:rsid w:val="003E30F7"/>
    <w:rsid w:val="003E332E"/>
    <w:rsid w:val="003E37D7"/>
    <w:rsid w:val="003E382D"/>
    <w:rsid w:val="003E3849"/>
    <w:rsid w:val="003E3E7A"/>
    <w:rsid w:val="003E3F6E"/>
    <w:rsid w:val="003E416B"/>
    <w:rsid w:val="003E53A5"/>
    <w:rsid w:val="003E5A77"/>
    <w:rsid w:val="003E62AB"/>
    <w:rsid w:val="003E6BD2"/>
    <w:rsid w:val="003E6C76"/>
    <w:rsid w:val="003E6C84"/>
    <w:rsid w:val="003E7E84"/>
    <w:rsid w:val="003F04F1"/>
    <w:rsid w:val="003F06DF"/>
    <w:rsid w:val="003F07CE"/>
    <w:rsid w:val="003F0AA5"/>
    <w:rsid w:val="003F1168"/>
    <w:rsid w:val="003F1369"/>
    <w:rsid w:val="003F1560"/>
    <w:rsid w:val="003F197D"/>
    <w:rsid w:val="003F1F19"/>
    <w:rsid w:val="003F25AD"/>
    <w:rsid w:val="003F2BB4"/>
    <w:rsid w:val="003F2E9D"/>
    <w:rsid w:val="003F3A32"/>
    <w:rsid w:val="003F494F"/>
    <w:rsid w:val="003F509B"/>
    <w:rsid w:val="003F52B9"/>
    <w:rsid w:val="003F535E"/>
    <w:rsid w:val="003F6115"/>
    <w:rsid w:val="003F62BA"/>
    <w:rsid w:val="003F68A6"/>
    <w:rsid w:val="003F6B61"/>
    <w:rsid w:val="004004E8"/>
    <w:rsid w:val="00400645"/>
    <w:rsid w:val="004007C0"/>
    <w:rsid w:val="00400991"/>
    <w:rsid w:val="00400CC3"/>
    <w:rsid w:val="00400EAC"/>
    <w:rsid w:val="00401041"/>
    <w:rsid w:val="0040163B"/>
    <w:rsid w:val="00401EA2"/>
    <w:rsid w:val="00401FF2"/>
    <w:rsid w:val="004023C2"/>
    <w:rsid w:val="0040282E"/>
    <w:rsid w:val="00402E94"/>
    <w:rsid w:val="004032A3"/>
    <w:rsid w:val="0040386D"/>
    <w:rsid w:val="00403F99"/>
    <w:rsid w:val="00403FB6"/>
    <w:rsid w:val="00404275"/>
    <w:rsid w:val="004043B6"/>
    <w:rsid w:val="00404751"/>
    <w:rsid w:val="00404F60"/>
    <w:rsid w:val="00405479"/>
    <w:rsid w:val="0040603E"/>
    <w:rsid w:val="00406858"/>
    <w:rsid w:val="00406B8F"/>
    <w:rsid w:val="004070B4"/>
    <w:rsid w:val="004071B6"/>
    <w:rsid w:val="00407FA9"/>
    <w:rsid w:val="004101E8"/>
    <w:rsid w:val="00410428"/>
    <w:rsid w:val="00410593"/>
    <w:rsid w:val="004107D4"/>
    <w:rsid w:val="004109CD"/>
    <w:rsid w:val="00410C8A"/>
    <w:rsid w:val="00411166"/>
    <w:rsid w:val="0041175A"/>
    <w:rsid w:val="00411858"/>
    <w:rsid w:val="0041194A"/>
    <w:rsid w:val="0041263E"/>
    <w:rsid w:val="0041270F"/>
    <w:rsid w:val="004129DA"/>
    <w:rsid w:val="0041344A"/>
    <w:rsid w:val="00413589"/>
    <w:rsid w:val="004140C9"/>
    <w:rsid w:val="004140FE"/>
    <w:rsid w:val="0041450C"/>
    <w:rsid w:val="00414819"/>
    <w:rsid w:val="004151C8"/>
    <w:rsid w:val="00415581"/>
    <w:rsid w:val="0041583C"/>
    <w:rsid w:val="0041623E"/>
    <w:rsid w:val="00417359"/>
    <w:rsid w:val="004174E5"/>
    <w:rsid w:val="0041784A"/>
    <w:rsid w:val="0041787B"/>
    <w:rsid w:val="00417B58"/>
    <w:rsid w:val="00421FED"/>
    <w:rsid w:val="00422036"/>
    <w:rsid w:val="004222D8"/>
    <w:rsid w:val="00422D7D"/>
    <w:rsid w:val="00423E54"/>
    <w:rsid w:val="00424734"/>
    <w:rsid w:val="00424D48"/>
    <w:rsid w:val="00424EED"/>
    <w:rsid w:val="004258CD"/>
    <w:rsid w:val="00425DE2"/>
    <w:rsid w:val="00425F61"/>
    <w:rsid w:val="004263A7"/>
    <w:rsid w:val="004266DA"/>
    <w:rsid w:val="00426B45"/>
    <w:rsid w:val="00426EA5"/>
    <w:rsid w:val="004274D8"/>
    <w:rsid w:val="004303A1"/>
    <w:rsid w:val="00430884"/>
    <w:rsid w:val="00430952"/>
    <w:rsid w:val="004309ED"/>
    <w:rsid w:val="00431195"/>
    <w:rsid w:val="004316FE"/>
    <w:rsid w:val="00431930"/>
    <w:rsid w:val="00431D5B"/>
    <w:rsid w:val="00432048"/>
    <w:rsid w:val="004320CF"/>
    <w:rsid w:val="0043215D"/>
    <w:rsid w:val="004323A8"/>
    <w:rsid w:val="0043243B"/>
    <w:rsid w:val="0043267E"/>
    <w:rsid w:val="00432930"/>
    <w:rsid w:val="00432FCD"/>
    <w:rsid w:val="00432FED"/>
    <w:rsid w:val="0043390B"/>
    <w:rsid w:val="00433923"/>
    <w:rsid w:val="0043400D"/>
    <w:rsid w:val="00434B15"/>
    <w:rsid w:val="00434C8D"/>
    <w:rsid w:val="004352F5"/>
    <w:rsid w:val="00435735"/>
    <w:rsid w:val="00436262"/>
    <w:rsid w:val="0043633D"/>
    <w:rsid w:val="00436436"/>
    <w:rsid w:val="00436D15"/>
    <w:rsid w:val="004371BC"/>
    <w:rsid w:val="0043781B"/>
    <w:rsid w:val="0044089C"/>
    <w:rsid w:val="004409E7"/>
    <w:rsid w:val="004423E4"/>
    <w:rsid w:val="004426AE"/>
    <w:rsid w:val="0044301A"/>
    <w:rsid w:val="0044360D"/>
    <w:rsid w:val="00443901"/>
    <w:rsid w:val="00443AC7"/>
    <w:rsid w:val="00443E35"/>
    <w:rsid w:val="004441AA"/>
    <w:rsid w:val="004448BA"/>
    <w:rsid w:val="004449FB"/>
    <w:rsid w:val="00444E71"/>
    <w:rsid w:val="004452E9"/>
    <w:rsid w:val="00445483"/>
    <w:rsid w:val="00445C50"/>
    <w:rsid w:val="00445CEA"/>
    <w:rsid w:val="00446364"/>
    <w:rsid w:val="00446368"/>
    <w:rsid w:val="00446686"/>
    <w:rsid w:val="004475CA"/>
    <w:rsid w:val="00447AB7"/>
    <w:rsid w:val="004503FD"/>
    <w:rsid w:val="004504C5"/>
    <w:rsid w:val="00450DF2"/>
    <w:rsid w:val="00451059"/>
    <w:rsid w:val="004513E6"/>
    <w:rsid w:val="004520B8"/>
    <w:rsid w:val="004522B2"/>
    <w:rsid w:val="0045237C"/>
    <w:rsid w:val="00452A28"/>
    <w:rsid w:val="0045314D"/>
    <w:rsid w:val="004531AF"/>
    <w:rsid w:val="00453722"/>
    <w:rsid w:val="004537BE"/>
    <w:rsid w:val="00453C7D"/>
    <w:rsid w:val="00453D67"/>
    <w:rsid w:val="00453F01"/>
    <w:rsid w:val="004548C1"/>
    <w:rsid w:val="00454A3F"/>
    <w:rsid w:val="00454D9D"/>
    <w:rsid w:val="00454F93"/>
    <w:rsid w:val="004550DD"/>
    <w:rsid w:val="00455D22"/>
    <w:rsid w:val="0045648C"/>
    <w:rsid w:val="004570BF"/>
    <w:rsid w:val="004575D9"/>
    <w:rsid w:val="0045767D"/>
    <w:rsid w:val="00457888"/>
    <w:rsid w:val="00457AD6"/>
    <w:rsid w:val="00457EE5"/>
    <w:rsid w:val="004605D5"/>
    <w:rsid w:val="00460C6A"/>
    <w:rsid w:val="0046108D"/>
    <w:rsid w:val="00461443"/>
    <w:rsid w:val="00461633"/>
    <w:rsid w:val="004618A0"/>
    <w:rsid w:val="00461F15"/>
    <w:rsid w:val="004630A5"/>
    <w:rsid w:val="00463342"/>
    <w:rsid w:val="00463CCA"/>
    <w:rsid w:val="00463FFC"/>
    <w:rsid w:val="004644FF"/>
    <w:rsid w:val="004649F0"/>
    <w:rsid w:val="0046565F"/>
    <w:rsid w:val="004661EB"/>
    <w:rsid w:val="00466355"/>
    <w:rsid w:val="0046651B"/>
    <w:rsid w:val="004669C9"/>
    <w:rsid w:val="00466E42"/>
    <w:rsid w:val="00467166"/>
    <w:rsid w:val="00467293"/>
    <w:rsid w:val="004672E1"/>
    <w:rsid w:val="00467B33"/>
    <w:rsid w:val="00470196"/>
    <w:rsid w:val="004704A2"/>
    <w:rsid w:val="004706A3"/>
    <w:rsid w:val="004706DC"/>
    <w:rsid w:val="0047085E"/>
    <w:rsid w:val="00470900"/>
    <w:rsid w:val="00470C48"/>
    <w:rsid w:val="00471508"/>
    <w:rsid w:val="00471A38"/>
    <w:rsid w:val="00472086"/>
    <w:rsid w:val="00472BCD"/>
    <w:rsid w:val="00472C88"/>
    <w:rsid w:val="004734B1"/>
    <w:rsid w:val="00473743"/>
    <w:rsid w:val="004745DF"/>
    <w:rsid w:val="00474689"/>
    <w:rsid w:val="0047492B"/>
    <w:rsid w:val="00474BCE"/>
    <w:rsid w:val="00474C72"/>
    <w:rsid w:val="00474E5D"/>
    <w:rsid w:val="00474ED2"/>
    <w:rsid w:val="004751A8"/>
    <w:rsid w:val="0047522F"/>
    <w:rsid w:val="0047529B"/>
    <w:rsid w:val="0047564D"/>
    <w:rsid w:val="004759ED"/>
    <w:rsid w:val="004769AF"/>
    <w:rsid w:val="00480491"/>
    <w:rsid w:val="004807B0"/>
    <w:rsid w:val="00480F12"/>
    <w:rsid w:val="00480FC7"/>
    <w:rsid w:val="00481313"/>
    <w:rsid w:val="00481323"/>
    <w:rsid w:val="004824B6"/>
    <w:rsid w:val="004827C9"/>
    <w:rsid w:val="00482B43"/>
    <w:rsid w:val="00482E3F"/>
    <w:rsid w:val="00483062"/>
    <w:rsid w:val="004830DF"/>
    <w:rsid w:val="00483716"/>
    <w:rsid w:val="0048389C"/>
    <w:rsid w:val="004838FA"/>
    <w:rsid w:val="00483954"/>
    <w:rsid w:val="00483D6B"/>
    <w:rsid w:val="00483EEF"/>
    <w:rsid w:val="0048404E"/>
    <w:rsid w:val="00484281"/>
    <w:rsid w:val="00484946"/>
    <w:rsid w:val="00484D61"/>
    <w:rsid w:val="00485275"/>
    <w:rsid w:val="00485581"/>
    <w:rsid w:val="0048595B"/>
    <w:rsid w:val="00485B27"/>
    <w:rsid w:val="00486250"/>
    <w:rsid w:val="0048662C"/>
    <w:rsid w:val="004868E6"/>
    <w:rsid w:val="00487191"/>
    <w:rsid w:val="004871FF"/>
    <w:rsid w:val="00487F55"/>
    <w:rsid w:val="0049076C"/>
    <w:rsid w:val="00490CB4"/>
    <w:rsid w:val="0049126B"/>
    <w:rsid w:val="00491BD6"/>
    <w:rsid w:val="0049234D"/>
    <w:rsid w:val="0049268A"/>
    <w:rsid w:val="0049282F"/>
    <w:rsid w:val="00492AF4"/>
    <w:rsid w:val="0049309D"/>
    <w:rsid w:val="004939B6"/>
    <w:rsid w:val="00494156"/>
    <w:rsid w:val="004941B3"/>
    <w:rsid w:val="00494418"/>
    <w:rsid w:val="00494587"/>
    <w:rsid w:val="00494CBE"/>
    <w:rsid w:val="00495163"/>
    <w:rsid w:val="00495B66"/>
    <w:rsid w:val="00495E0B"/>
    <w:rsid w:val="00496276"/>
    <w:rsid w:val="00496CBF"/>
    <w:rsid w:val="00496D1C"/>
    <w:rsid w:val="00496F03"/>
    <w:rsid w:val="00496FF3"/>
    <w:rsid w:val="00497219"/>
    <w:rsid w:val="0049758C"/>
    <w:rsid w:val="004978DE"/>
    <w:rsid w:val="00497977"/>
    <w:rsid w:val="00497CB9"/>
    <w:rsid w:val="004A00E0"/>
    <w:rsid w:val="004A0934"/>
    <w:rsid w:val="004A0EB8"/>
    <w:rsid w:val="004A128E"/>
    <w:rsid w:val="004A1565"/>
    <w:rsid w:val="004A1A05"/>
    <w:rsid w:val="004A1D85"/>
    <w:rsid w:val="004A2A5D"/>
    <w:rsid w:val="004A2ECE"/>
    <w:rsid w:val="004A377B"/>
    <w:rsid w:val="004A3888"/>
    <w:rsid w:val="004A3A36"/>
    <w:rsid w:val="004A3C8B"/>
    <w:rsid w:val="004A434D"/>
    <w:rsid w:val="004A49C1"/>
    <w:rsid w:val="004A515B"/>
    <w:rsid w:val="004A612F"/>
    <w:rsid w:val="004A67BF"/>
    <w:rsid w:val="004A6EB3"/>
    <w:rsid w:val="004A77A2"/>
    <w:rsid w:val="004A77CC"/>
    <w:rsid w:val="004A7FB8"/>
    <w:rsid w:val="004A7FBF"/>
    <w:rsid w:val="004B0696"/>
    <w:rsid w:val="004B0714"/>
    <w:rsid w:val="004B09FF"/>
    <w:rsid w:val="004B12F9"/>
    <w:rsid w:val="004B1787"/>
    <w:rsid w:val="004B1CBD"/>
    <w:rsid w:val="004B23FA"/>
    <w:rsid w:val="004B2A98"/>
    <w:rsid w:val="004B372E"/>
    <w:rsid w:val="004B3B01"/>
    <w:rsid w:val="004B3B69"/>
    <w:rsid w:val="004B3E2A"/>
    <w:rsid w:val="004B3EBC"/>
    <w:rsid w:val="004B4683"/>
    <w:rsid w:val="004B4D16"/>
    <w:rsid w:val="004B4E2C"/>
    <w:rsid w:val="004B50A8"/>
    <w:rsid w:val="004B595D"/>
    <w:rsid w:val="004B6345"/>
    <w:rsid w:val="004B748A"/>
    <w:rsid w:val="004B7931"/>
    <w:rsid w:val="004B7984"/>
    <w:rsid w:val="004B7CD3"/>
    <w:rsid w:val="004B7F5A"/>
    <w:rsid w:val="004C004F"/>
    <w:rsid w:val="004C10D1"/>
    <w:rsid w:val="004C115A"/>
    <w:rsid w:val="004C1A07"/>
    <w:rsid w:val="004C1DB5"/>
    <w:rsid w:val="004C218B"/>
    <w:rsid w:val="004C3580"/>
    <w:rsid w:val="004C3747"/>
    <w:rsid w:val="004C4016"/>
    <w:rsid w:val="004C473F"/>
    <w:rsid w:val="004C4AC8"/>
    <w:rsid w:val="004C508F"/>
    <w:rsid w:val="004C5E8E"/>
    <w:rsid w:val="004C6320"/>
    <w:rsid w:val="004C679D"/>
    <w:rsid w:val="004C680A"/>
    <w:rsid w:val="004C6D09"/>
    <w:rsid w:val="004C6E8D"/>
    <w:rsid w:val="004C7253"/>
    <w:rsid w:val="004C731E"/>
    <w:rsid w:val="004C77EE"/>
    <w:rsid w:val="004C7A6C"/>
    <w:rsid w:val="004C7C12"/>
    <w:rsid w:val="004C7D44"/>
    <w:rsid w:val="004D0F3B"/>
    <w:rsid w:val="004D107D"/>
    <w:rsid w:val="004D145B"/>
    <w:rsid w:val="004D14EE"/>
    <w:rsid w:val="004D178A"/>
    <w:rsid w:val="004D187B"/>
    <w:rsid w:val="004D19CC"/>
    <w:rsid w:val="004D1C21"/>
    <w:rsid w:val="004D1FA2"/>
    <w:rsid w:val="004D2BD0"/>
    <w:rsid w:val="004D2E0D"/>
    <w:rsid w:val="004D38F1"/>
    <w:rsid w:val="004D3B9E"/>
    <w:rsid w:val="004D3EF8"/>
    <w:rsid w:val="004D517D"/>
    <w:rsid w:val="004D5188"/>
    <w:rsid w:val="004D5843"/>
    <w:rsid w:val="004D58AE"/>
    <w:rsid w:val="004D5BDB"/>
    <w:rsid w:val="004D62AB"/>
    <w:rsid w:val="004D7859"/>
    <w:rsid w:val="004E065D"/>
    <w:rsid w:val="004E0A10"/>
    <w:rsid w:val="004E0E15"/>
    <w:rsid w:val="004E120B"/>
    <w:rsid w:val="004E143C"/>
    <w:rsid w:val="004E1986"/>
    <w:rsid w:val="004E200C"/>
    <w:rsid w:val="004E2E49"/>
    <w:rsid w:val="004E2F4D"/>
    <w:rsid w:val="004E3040"/>
    <w:rsid w:val="004E3DCB"/>
    <w:rsid w:val="004E403C"/>
    <w:rsid w:val="004E4142"/>
    <w:rsid w:val="004E43B6"/>
    <w:rsid w:val="004E4CED"/>
    <w:rsid w:val="004E4DB8"/>
    <w:rsid w:val="004E5673"/>
    <w:rsid w:val="004E56B0"/>
    <w:rsid w:val="004E5C33"/>
    <w:rsid w:val="004E5DC5"/>
    <w:rsid w:val="004E605D"/>
    <w:rsid w:val="004E64BA"/>
    <w:rsid w:val="004E6533"/>
    <w:rsid w:val="004E6911"/>
    <w:rsid w:val="004E6F75"/>
    <w:rsid w:val="004E7C54"/>
    <w:rsid w:val="004F0224"/>
    <w:rsid w:val="004F0505"/>
    <w:rsid w:val="004F0CBD"/>
    <w:rsid w:val="004F151B"/>
    <w:rsid w:val="004F18BB"/>
    <w:rsid w:val="004F1C55"/>
    <w:rsid w:val="004F2034"/>
    <w:rsid w:val="004F2163"/>
    <w:rsid w:val="004F225F"/>
    <w:rsid w:val="004F2DBD"/>
    <w:rsid w:val="004F3273"/>
    <w:rsid w:val="004F3841"/>
    <w:rsid w:val="004F3957"/>
    <w:rsid w:val="004F431E"/>
    <w:rsid w:val="004F4E75"/>
    <w:rsid w:val="004F5061"/>
    <w:rsid w:val="004F50ED"/>
    <w:rsid w:val="004F50FD"/>
    <w:rsid w:val="004F5648"/>
    <w:rsid w:val="004F5709"/>
    <w:rsid w:val="004F57A5"/>
    <w:rsid w:val="004F5BC9"/>
    <w:rsid w:val="004F6038"/>
    <w:rsid w:val="004F60BE"/>
    <w:rsid w:val="004F60DF"/>
    <w:rsid w:val="004F644C"/>
    <w:rsid w:val="004F65BF"/>
    <w:rsid w:val="004F6698"/>
    <w:rsid w:val="004F6874"/>
    <w:rsid w:val="004F6A13"/>
    <w:rsid w:val="004F6B78"/>
    <w:rsid w:val="004F7C3C"/>
    <w:rsid w:val="005002B0"/>
    <w:rsid w:val="005010CD"/>
    <w:rsid w:val="005014F1"/>
    <w:rsid w:val="00501724"/>
    <w:rsid w:val="00501FD0"/>
    <w:rsid w:val="0050394F"/>
    <w:rsid w:val="00503F2B"/>
    <w:rsid w:val="0050445D"/>
    <w:rsid w:val="0050451C"/>
    <w:rsid w:val="005049FD"/>
    <w:rsid w:val="00505690"/>
    <w:rsid w:val="00505881"/>
    <w:rsid w:val="00505992"/>
    <w:rsid w:val="00505C8B"/>
    <w:rsid w:val="00505FE9"/>
    <w:rsid w:val="00506006"/>
    <w:rsid w:val="00506367"/>
    <w:rsid w:val="005067BD"/>
    <w:rsid w:val="005077FB"/>
    <w:rsid w:val="00507813"/>
    <w:rsid w:val="00507819"/>
    <w:rsid w:val="00507854"/>
    <w:rsid w:val="00507D40"/>
    <w:rsid w:val="00510029"/>
    <w:rsid w:val="005101C4"/>
    <w:rsid w:val="005119FF"/>
    <w:rsid w:val="00511D57"/>
    <w:rsid w:val="005129AD"/>
    <w:rsid w:val="00512CA5"/>
    <w:rsid w:val="00512DA3"/>
    <w:rsid w:val="00513205"/>
    <w:rsid w:val="00513888"/>
    <w:rsid w:val="00514D8B"/>
    <w:rsid w:val="00514F85"/>
    <w:rsid w:val="00514FE1"/>
    <w:rsid w:val="00515072"/>
    <w:rsid w:val="005153EB"/>
    <w:rsid w:val="005158BB"/>
    <w:rsid w:val="00515955"/>
    <w:rsid w:val="00515C06"/>
    <w:rsid w:val="00516157"/>
    <w:rsid w:val="0051755C"/>
    <w:rsid w:val="00517766"/>
    <w:rsid w:val="005205D6"/>
    <w:rsid w:val="00520963"/>
    <w:rsid w:val="00520967"/>
    <w:rsid w:val="00520BB7"/>
    <w:rsid w:val="005210CB"/>
    <w:rsid w:val="00521ACD"/>
    <w:rsid w:val="0052223B"/>
    <w:rsid w:val="00522618"/>
    <w:rsid w:val="00522788"/>
    <w:rsid w:val="00522B03"/>
    <w:rsid w:val="00522BAF"/>
    <w:rsid w:val="00523040"/>
    <w:rsid w:val="00523808"/>
    <w:rsid w:val="00523E82"/>
    <w:rsid w:val="00524008"/>
    <w:rsid w:val="005242A6"/>
    <w:rsid w:val="005243EE"/>
    <w:rsid w:val="00524549"/>
    <w:rsid w:val="00524E28"/>
    <w:rsid w:val="00524E61"/>
    <w:rsid w:val="00525803"/>
    <w:rsid w:val="005258A1"/>
    <w:rsid w:val="00525C94"/>
    <w:rsid w:val="00525E1C"/>
    <w:rsid w:val="005265A5"/>
    <w:rsid w:val="005268E4"/>
    <w:rsid w:val="00526948"/>
    <w:rsid w:val="00527264"/>
    <w:rsid w:val="00527E9A"/>
    <w:rsid w:val="0053049E"/>
    <w:rsid w:val="005307DB"/>
    <w:rsid w:val="005308C0"/>
    <w:rsid w:val="00530FCE"/>
    <w:rsid w:val="0053141A"/>
    <w:rsid w:val="00531B72"/>
    <w:rsid w:val="00532202"/>
    <w:rsid w:val="0053246B"/>
    <w:rsid w:val="005324E8"/>
    <w:rsid w:val="00532815"/>
    <w:rsid w:val="005328D4"/>
    <w:rsid w:val="00532ABF"/>
    <w:rsid w:val="00532DCC"/>
    <w:rsid w:val="0053363A"/>
    <w:rsid w:val="00533A78"/>
    <w:rsid w:val="00533B8C"/>
    <w:rsid w:val="00533F29"/>
    <w:rsid w:val="005340C0"/>
    <w:rsid w:val="00534544"/>
    <w:rsid w:val="00534BA0"/>
    <w:rsid w:val="00534DDB"/>
    <w:rsid w:val="005352DD"/>
    <w:rsid w:val="005361D3"/>
    <w:rsid w:val="00536470"/>
    <w:rsid w:val="00536706"/>
    <w:rsid w:val="0053719C"/>
    <w:rsid w:val="005375C2"/>
    <w:rsid w:val="00537A55"/>
    <w:rsid w:val="00537C94"/>
    <w:rsid w:val="00537E97"/>
    <w:rsid w:val="00540228"/>
    <w:rsid w:val="005403E3"/>
    <w:rsid w:val="005405D2"/>
    <w:rsid w:val="005405F1"/>
    <w:rsid w:val="00540AD3"/>
    <w:rsid w:val="00540C8A"/>
    <w:rsid w:val="00540D7A"/>
    <w:rsid w:val="005415E1"/>
    <w:rsid w:val="005417EB"/>
    <w:rsid w:val="005418E1"/>
    <w:rsid w:val="00541DEE"/>
    <w:rsid w:val="00541EB4"/>
    <w:rsid w:val="00542822"/>
    <w:rsid w:val="00542932"/>
    <w:rsid w:val="005431AC"/>
    <w:rsid w:val="0054353B"/>
    <w:rsid w:val="0054358C"/>
    <w:rsid w:val="005438A8"/>
    <w:rsid w:val="00543A21"/>
    <w:rsid w:val="00543BBA"/>
    <w:rsid w:val="005443AA"/>
    <w:rsid w:val="00544CAE"/>
    <w:rsid w:val="0054507F"/>
    <w:rsid w:val="005459F5"/>
    <w:rsid w:val="0054680B"/>
    <w:rsid w:val="005474F8"/>
    <w:rsid w:val="00547502"/>
    <w:rsid w:val="0054758B"/>
    <w:rsid w:val="0055050C"/>
    <w:rsid w:val="00550D2B"/>
    <w:rsid w:val="00551EA8"/>
    <w:rsid w:val="0055253B"/>
    <w:rsid w:val="00552685"/>
    <w:rsid w:val="0055286B"/>
    <w:rsid w:val="00552C29"/>
    <w:rsid w:val="00552EB7"/>
    <w:rsid w:val="00552F60"/>
    <w:rsid w:val="00552F6B"/>
    <w:rsid w:val="0055323F"/>
    <w:rsid w:val="00553408"/>
    <w:rsid w:val="00553EF4"/>
    <w:rsid w:val="005541C7"/>
    <w:rsid w:val="00554316"/>
    <w:rsid w:val="0055435B"/>
    <w:rsid w:val="005544E2"/>
    <w:rsid w:val="005552E2"/>
    <w:rsid w:val="005554B5"/>
    <w:rsid w:val="00555A67"/>
    <w:rsid w:val="00555B4D"/>
    <w:rsid w:val="00555FF9"/>
    <w:rsid w:val="005562A8"/>
    <w:rsid w:val="005565B1"/>
    <w:rsid w:val="00556EBC"/>
    <w:rsid w:val="00557228"/>
    <w:rsid w:val="00557AFA"/>
    <w:rsid w:val="00557F4E"/>
    <w:rsid w:val="00557F84"/>
    <w:rsid w:val="005604A1"/>
    <w:rsid w:val="00560D58"/>
    <w:rsid w:val="00561237"/>
    <w:rsid w:val="00561595"/>
    <w:rsid w:val="00561956"/>
    <w:rsid w:val="0056253D"/>
    <w:rsid w:val="00562630"/>
    <w:rsid w:val="005627F6"/>
    <w:rsid w:val="005629FF"/>
    <w:rsid w:val="00562B5B"/>
    <w:rsid w:val="0056359C"/>
    <w:rsid w:val="00564103"/>
    <w:rsid w:val="00564877"/>
    <w:rsid w:val="00566009"/>
    <w:rsid w:val="005661A4"/>
    <w:rsid w:val="005664D5"/>
    <w:rsid w:val="00566799"/>
    <w:rsid w:val="00566D63"/>
    <w:rsid w:val="00567127"/>
    <w:rsid w:val="005676C8"/>
    <w:rsid w:val="005677D4"/>
    <w:rsid w:val="00567D55"/>
    <w:rsid w:val="0057019D"/>
    <w:rsid w:val="00570661"/>
    <w:rsid w:val="00570768"/>
    <w:rsid w:val="00570FAA"/>
    <w:rsid w:val="005711D3"/>
    <w:rsid w:val="00571F09"/>
    <w:rsid w:val="005727D5"/>
    <w:rsid w:val="00572849"/>
    <w:rsid w:val="00572A3C"/>
    <w:rsid w:val="00572D5D"/>
    <w:rsid w:val="00572DBC"/>
    <w:rsid w:val="005731EA"/>
    <w:rsid w:val="005733F7"/>
    <w:rsid w:val="0057344D"/>
    <w:rsid w:val="005738A9"/>
    <w:rsid w:val="0057446B"/>
    <w:rsid w:val="00574516"/>
    <w:rsid w:val="005745AD"/>
    <w:rsid w:val="005745DC"/>
    <w:rsid w:val="0057468A"/>
    <w:rsid w:val="00574A4A"/>
    <w:rsid w:val="00574CF0"/>
    <w:rsid w:val="00575812"/>
    <w:rsid w:val="00576AA0"/>
    <w:rsid w:val="005770D7"/>
    <w:rsid w:val="005774FC"/>
    <w:rsid w:val="0057797C"/>
    <w:rsid w:val="005801E0"/>
    <w:rsid w:val="005803D6"/>
    <w:rsid w:val="00581355"/>
    <w:rsid w:val="00581418"/>
    <w:rsid w:val="0058142E"/>
    <w:rsid w:val="00581D5D"/>
    <w:rsid w:val="00582247"/>
    <w:rsid w:val="005822ED"/>
    <w:rsid w:val="005829FA"/>
    <w:rsid w:val="00582B7D"/>
    <w:rsid w:val="00582D2C"/>
    <w:rsid w:val="005847AD"/>
    <w:rsid w:val="00584D73"/>
    <w:rsid w:val="00585148"/>
    <w:rsid w:val="00585A89"/>
    <w:rsid w:val="00586263"/>
    <w:rsid w:val="005865A5"/>
    <w:rsid w:val="00586B05"/>
    <w:rsid w:val="00586D33"/>
    <w:rsid w:val="005870A0"/>
    <w:rsid w:val="00587C96"/>
    <w:rsid w:val="005904CD"/>
    <w:rsid w:val="005913DF"/>
    <w:rsid w:val="0059218C"/>
    <w:rsid w:val="005928F6"/>
    <w:rsid w:val="00592F19"/>
    <w:rsid w:val="00592F3F"/>
    <w:rsid w:val="005930AC"/>
    <w:rsid w:val="005943FE"/>
    <w:rsid w:val="00595242"/>
    <w:rsid w:val="00595358"/>
    <w:rsid w:val="005956D8"/>
    <w:rsid w:val="00595A1A"/>
    <w:rsid w:val="00595F1D"/>
    <w:rsid w:val="00596ECF"/>
    <w:rsid w:val="00597FD6"/>
    <w:rsid w:val="005A02D1"/>
    <w:rsid w:val="005A0592"/>
    <w:rsid w:val="005A1344"/>
    <w:rsid w:val="005A181C"/>
    <w:rsid w:val="005A1FB8"/>
    <w:rsid w:val="005A2295"/>
    <w:rsid w:val="005A237B"/>
    <w:rsid w:val="005A2730"/>
    <w:rsid w:val="005A274D"/>
    <w:rsid w:val="005A2CC1"/>
    <w:rsid w:val="005A3135"/>
    <w:rsid w:val="005A3284"/>
    <w:rsid w:val="005A32C0"/>
    <w:rsid w:val="005A334F"/>
    <w:rsid w:val="005A33BC"/>
    <w:rsid w:val="005A4975"/>
    <w:rsid w:val="005A529B"/>
    <w:rsid w:val="005A5FD4"/>
    <w:rsid w:val="005A62E2"/>
    <w:rsid w:val="005A6312"/>
    <w:rsid w:val="005A68A9"/>
    <w:rsid w:val="005A72C7"/>
    <w:rsid w:val="005A7CB9"/>
    <w:rsid w:val="005B08A6"/>
    <w:rsid w:val="005B0B37"/>
    <w:rsid w:val="005B1001"/>
    <w:rsid w:val="005B1224"/>
    <w:rsid w:val="005B1391"/>
    <w:rsid w:val="005B1750"/>
    <w:rsid w:val="005B17D4"/>
    <w:rsid w:val="005B21E5"/>
    <w:rsid w:val="005B2A67"/>
    <w:rsid w:val="005B2B01"/>
    <w:rsid w:val="005B2E2D"/>
    <w:rsid w:val="005B307A"/>
    <w:rsid w:val="005B31B3"/>
    <w:rsid w:val="005B3299"/>
    <w:rsid w:val="005B3429"/>
    <w:rsid w:val="005B36D7"/>
    <w:rsid w:val="005B39C4"/>
    <w:rsid w:val="005B3BE7"/>
    <w:rsid w:val="005B3E1D"/>
    <w:rsid w:val="005B3F17"/>
    <w:rsid w:val="005B4077"/>
    <w:rsid w:val="005B41E3"/>
    <w:rsid w:val="005B4C44"/>
    <w:rsid w:val="005B524A"/>
    <w:rsid w:val="005B5457"/>
    <w:rsid w:val="005B5B19"/>
    <w:rsid w:val="005B5BDE"/>
    <w:rsid w:val="005B5C92"/>
    <w:rsid w:val="005B600A"/>
    <w:rsid w:val="005B653E"/>
    <w:rsid w:val="005B682D"/>
    <w:rsid w:val="005B727E"/>
    <w:rsid w:val="005B77F2"/>
    <w:rsid w:val="005B782C"/>
    <w:rsid w:val="005C09D8"/>
    <w:rsid w:val="005C09EC"/>
    <w:rsid w:val="005C0F14"/>
    <w:rsid w:val="005C17A4"/>
    <w:rsid w:val="005C1D45"/>
    <w:rsid w:val="005C22F2"/>
    <w:rsid w:val="005C29CF"/>
    <w:rsid w:val="005C2DDA"/>
    <w:rsid w:val="005C394B"/>
    <w:rsid w:val="005C39B1"/>
    <w:rsid w:val="005C3BD8"/>
    <w:rsid w:val="005C3E8F"/>
    <w:rsid w:val="005C3EEF"/>
    <w:rsid w:val="005C3F5B"/>
    <w:rsid w:val="005C4064"/>
    <w:rsid w:val="005C4CBC"/>
    <w:rsid w:val="005C4D91"/>
    <w:rsid w:val="005C4F67"/>
    <w:rsid w:val="005C5C37"/>
    <w:rsid w:val="005C5EC7"/>
    <w:rsid w:val="005C619B"/>
    <w:rsid w:val="005C672F"/>
    <w:rsid w:val="005C6AA9"/>
    <w:rsid w:val="005C6BB8"/>
    <w:rsid w:val="005C7798"/>
    <w:rsid w:val="005C77A9"/>
    <w:rsid w:val="005D0474"/>
    <w:rsid w:val="005D0477"/>
    <w:rsid w:val="005D1238"/>
    <w:rsid w:val="005D1267"/>
    <w:rsid w:val="005D1523"/>
    <w:rsid w:val="005D1CCF"/>
    <w:rsid w:val="005D2576"/>
    <w:rsid w:val="005D306B"/>
    <w:rsid w:val="005D3BC3"/>
    <w:rsid w:val="005D3DA6"/>
    <w:rsid w:val="005D4A83"/>
    <w:rsid w:val="005D4B89"/>
    <w:rsid w:val="005D500B"/>
    <w:rsid w:val="005D5447"/>
    <w:rsid w:val="005D5624"/>
    <w:rsid w:val="005D5B0D"/>
    <w:rsid w:val="005D5F70"/>
    <w:rsid w:val="005D6D2D"/>
    <w:rsid w:val="005D6E0A"/>
    <w:rsid w:val="005D701A"/>
    <w:rsid w:val="005D7694"/>
    <w:rsid w:val="005D76DF"/>
    <w:rsid w:val="005D79A9"/>
    <w:rsid w:val="005E0285"/>
    <w:rsid w:val="005E1158"/>
    <w:rsid w:val="005E189E"/>
    <w:rsid w:val="005E21D4"/>
    <w:rsid w:val="005E2346"/>
    <w:rsid w:val="005E2AB9"/>
    <w:rsid w:val="005E2EEC"/>
    <w:rsid w:val="005E37F4"/>
    <w:rsid w:val="005E420C"/>
    <w:rsid w:val="005E43CD"/>
    <w:rsid w:val="005E55BF"/>
    <w:rsid w:val="005E5AFB"/>
    <w:rsid w:val="005E5CE0"/>
    <w:rsid w:val="005E5E32"/>
    <w:rsid w:val="005E5E94"/>
    <w:rsid w:val="005E62F1"/>
    <w:rsid w:val="005E6857"/>
    <w:rsid w:val="005E7781"/>
    <w:rsid w:val="005E7CF9"/>
    <w:rsid w:val="005F022C"/>
    <w:rsid w:val="005F0C7F"/>
    <w:rsid w:val="005F124A"/>
    <w:rsid w:val="005F15AF"/>
    <w:rsid w:val="005F1ACE"/>
    <w:rsid w:val="005F224C"/>
    <w:rsid w:val="005F261A"/>
    <w:rsid w:val="005F266C"/>
    <w:rsid w:val="005F2AF9"/>
    <w:rsid w:val="005F2D60"/>
    <w:rsid w:val="005F351F"/>
    <w:rsid w:val="005F3CE0"/>
    <w:rsid w:val="005F473E"/>
    <w:rsid w:val="005F513F"/>
    <w:rsid w:val="005F556F"/>
    <w:rsid w:val="005F57F8"/>
    <w:rsid w:val="005F5BD4"/>
    <w:rsid w:val="005F65AC"/>
    <w:rsid w:val="005F692E"/>
    <w:rsid w:val="005F6C28"/>
    <w:rsid w:val="005F6E8C"/>
    <w:rsid w:val="005F7B95"/>
    <w:rsid w:val="005F7CDA"/>
    <w:rsid w:val="005F7E91"/>
    <w:rsid w:val="00600243"/>
    <w:rsid w:val="00600D05"/>
    <w:rsid w:val="00600EC6"/>
    <w:rsid w:val="00601053"/>
    <w:rsid w:val="0060128F"/>
    <w:rsid w:val="006013AC"/>
    <w:rsid w:val="0060143B"/>
    <w:rsid w:val="006015B6"/>
    <w:rsid w:val="00603C69"/>
    <w:rsid w:val="006044B3"/>
    <w:rsid w:val="0060496A"/>
    <w:rsid w:val="00604F09"/>
    <w:rsid w:val="0060501F"/>
    <w:rsid w:val="006051B6"/>
    <w:rsid w:val="00606917"/>
    <w:rsid w:val="00606ACA"/>
    <w:rsid w:val="00606BB8"/>
    <w:rsid w:val="00607877"/>
    <w:rsid w:val="006078C8"/>
    <w:rsid w:val="00607C6B"/>
    <w:rsid w:val="00610002"/>
    <w:rsid w:val="006101ED"/>
    <w:rsid w:val="00610455"/>
    <w:rsid w:val="00610E0F"/>
    <w:rsid w:val="00610F48"/>
    <w:rsid w:val="00610FB5"/>
    <w:rsid w:val="0061116A"/>
    <w:rsid w:val="0061128E"/>
    <w:rsid w:val="006115BC"/>
    <w:rsid w:val="00611640"/>
    <w:rsid w:val="00611A66"/>
    <w:rsid w:val="006123FC"/>
    <w:rsid w:val="00612847"/>
    <w:rsid w:val="00612966"/>
    <w:rsid w:val="00612DA7"/>
    <w:rsid w:val="00613652"/>
    <w:rsid w:val="00613C78"/>
    <w:rsid w:val="0061414F"/>
    <w:rsid w:val="00614371"/>
    <w:rsid w:val="00614839"/>
    <w:rsid w:val="0061484A"/>
    <w:rsid w:val="006154F5"/>
    <w:rsid w:val="00615633"/>
    <w:rsid w:val="00615DCC"/>
    <w:rsid w:val="0061642C"/>
    <w:rsid w:val="0061673A"/>
    <w:rsid w:val="00616F01"/>
    <w:rsid w:val="006174CC"/>
    <w:rsid w:val="0061793C"/>
    <w:rsid w:val="00617B3A"/>
    <w:rsid w:val="0062057D"/>
    <w:rsid w:val="006205C0"/>
    <w:rsid w:val="00620F04"/>
    <w:rsid w:val="00621924"/>
    <w:rsid w:val="00621E5A"/>
    <w:rsid w:val="00623066"/>
    <w:rsid w:val="00623EC0"/>
    <w:rsid w:val="00623F47"/>
    <w:rsid w:val="00624287"/>
    <w:rsid w:val="0062435C"/>
    <w:rsid w:val="00624552"/>
    <w:rsid w:val="0062493F"/>
    <w:rsid w:val="00624DDC"/>
    <w:rsid w:val="0062528F"/>
    <w:rsid w:val="006258F2"/>
    <w:rsid w:val="00625B05"/>
    <w:rsid w:val="006260F8"/>
    <w:rsid w:val="00626666"/>
    <w:rsid w:val="006266A9"/>
    <w:rsid w:val="00626F3E"/>
    <w:rsid w:val="0062721E"/>
    <w:rsid w:val="00627FB3"/>
    <w:rsid w:val="0063066F"/>
    <w:rsid w:val="00630B90"/>
    <w:rsid w:val="0063109A"/>
    <w:rsid w:val="006317AA"/>
    <w:rsid w:val="00631ACF"/>
    <w:rsid w:val="00631FE4"/>
    <w:rsid w:val="006321A7"/>
    <w:rsid w:val="006325B9"/>
    <w:rsid w:val="00632BB2"/>
    <w:rsid w:val="00632D62"/>
    <w:rsid w:val="00633DA8"/>
    <w:rsid w:val="00633EA0"/>
    <w:rsid w:val="006344E5"/>
    <w:rsid w:val="00635397"/>
    <w:rsid w:val="00635575"/>
    <w:rsid w:val="00635668"/>
    <w:rsid w:val="00635682"/>
    <w:rsid w:val="00635872"/>
    <w:rsid w:val="00635F9E"/>
    <w:rsid w:val="006366E9"/>
    <w:rsid w:val="006374B8"/>
    <w:rsid w:val="006376F0"/>
    <w:rsid w:val="00637F11"/>
    <w:rsid w:val="00637F33"/>
    <w:rsid w:val="00640780"/>
    <w:rsid w:val="00640E97"/>
    <w:rsid w:val="00640F53"/>
    <w:rsid w:val="00640FBA"/>
    <w:rsid w:val="0064119E"/>
    <w:rsid w:val="0064152E"/>
    <w:rsid w:val="00642062"/>
    <w:rsid w:val="00642EC6"/>
    <w:rsid w:val="00643BEF"/>
    <w:rsid w:val="006448F3"/>
    <w:rsid w:val="00644A44"/>
    <w:rsid w:val="00645E00"/>
    <w:rsid w:val="00645FB1"/>
    <w:rsid w:val="006463DB"/>
    <w:rsid w:val="00646651"/>
    <w:rsid w:val="00646A14"/>
    <w:rsid w:val="00646DFB"/>
    <w:rsid w:val="006471E6"/>
    <w:rsid w:val="006500A9"/>
    <w:rsid w:val="006502B7"/>
    <w:rsid w:val="00650DE7"/>
    <w:rsid w:val="00651419"/>
    <w:rsid w:val="00651687"/>
    <w:rsid w:val="00651D18"/>
    <w:rsid w:val="0065292D"/>
    <w:rsid w:val="00652F74"/>
    <w:rsid w:val="00653A51"/>
    <w:rsid w:val="00653E03"/>
    <w:rsid w:val="00653F18"/>
    <w:rsid w:val="006543D0"/>
    <w:rsid w:val="006559B5"/>
    <w:rsid w:val="00655CD4"/>
    <w:rsid w:val="0065600D"/>
    <w:rsid w:val="006564A1"/>
    <w:rsid w:val="00656C08"/>
    <w:rsid w:val="00656CEC"/>
    <w:rsid w:val="00656F00"/>
    <w:rsid w:val="00657114"/>
    <w:rsid w:val="0065717D"/>
    <w:rsid w:val="00657214"/>
    <w:rsid w:val="00657729"/>
    <w:rsid w:val="00657B09"/>
    <w:rsid w:val="00657EB1"/>
    <w:rsid w:val="00657EE0"/>
    <w:rsid w:val="0066009A"/>
    <w:rsid w:val="00660276"/>
    <w:rsid w:val="006608BE"/>
    <w:rsid w:val="006609BF"/>
    <w:rsid w:val="00660DBC"/>
    <w:rsid w:val="006610BB"/>
    <w:rsid w:val="006614F3"/>
    <w:rsid w:val="00661E36"/>
    <w:rsid w:val="0066234A"/>
    <w:rsid w:val="00662528"/>
    <w:rsid w:val="00662E52"/>
    <w:rsid w:val="00663446"/>
    <w:rsid w:val="00664A97"/>
    <w:rsid w:val="00664F0A"/>
    <w:rsid w:val="00665318"/>
    <w:rsid w:val="0066625E"/>
    <w:rsid w:val="00666BD9"/>
    <w:rsid w:val="0066740B"/>
    <w:rsid w:val="00670C2F"/>
    <w:rsid w:val="00671CB8"/>
    <w:rsid w:val="00671FF0"/>
    <w:rsid w:val="006724E8"/>
    <w:rsid w:val="006728F1"/>
    <w:rsid w:val="006729D4"/>
    <w:rsid w:val="00673511"/>
    <w:rsid w:val="00673945"/>
    <w:rsid w:val="00673A03"/>
    <w:rsid w:val="00674510"/>
    <w:rsid w:val="006753D0"/>
    <w:rsid w:val="00675415"/>
    <w:rsid w:val="006761F9"/>
    <w:rsid w:val="00676485"/>
    <w:rsid w:val="00676569"/>
    <w:rsid w:val="006766BB"/>
    <w:rsid w:val="006767F8"/>
    <w:rsid w:val="0067687A"/>
    <w:rsid w:val="00676891"/>
    <w:rsid w:val="006774AB"/>
    <w:rsid w:val="00680176"/>
    <w:rsid w:val="00680281"/>
    <w:rsid w:val="00680578"/>
    <w:rsid w:val="00680807"/>
    <w:rsid w:val="00680BA3"/>
    <w:rsid w:val="00680D51"/>
    <w:rsid w:val="006815B6"/>
    <w:rsid w:val="00681B97"/>
    <w:rsid w:val="00681E88"/>
    <w:rsid w:val="00682879"/>
    <w:rsid w:val="00682E13"/>
    <w:rsid w:val="00682F2E"/>
    <w:rsid w:val="00683039"/>
    <w:rsid w:val="006830EF"/>
    <w:rsid w:val="0068315D"/>
    <w:rsid w:val="00683365"/>
    <w:rsid w:val="006834C9"/>
    <w:rsid w:val="00683AF1"/>
    <w:rsid w:val="00683BD9"/>
    <w:rsid w:val="00684B7B"/>
    <w:rsid w:val="00685040"/>
    <w:rsid w:val="00685121"/>
    <w:rsid w:val="0068561F"/>
    <w:rsid w:val="00685AB9"/>
    <w:rsid w:val="00685B5E"/>
    <w:rsid w:val="00685C0B"/>
    <w:rsid w:val="00685DAE"/>
    <w:rsid w:val="00686198"/>
    <w:rsid w:val="00686254"/>
    <w:rsid w:val="006862C9"/>
    <w:rsid w:val="006864A1"/>
    <w:rsid w:val="006867DC"/>
    <w:rsid w:val="0068689C"/>
    <w:rsid w:val="0068696D"/>
    <w:rsid w:val="00686B6D"/>
    <w:rsid w:val="00686D04"/>
    <w:rsid w:val="00687145"/>
    <w:rsid w:val="00687230"/>
    <w:rsid w:val="006875EA"/>
    <w:rsid w:val="006878E6"/>
    <w:rsid w:val="00687A52"/>
    <w:rsid w:val="00687A8E"/>
    <w:rsid w:val="00687DBA"/>
    <w:rsid w:val="0069061B"/>
    <w:rsid w:val="0069068B"/>
    <w:rsid w:val="00690AE9"/>
    <w:rsid w:val="00690D58"/>
    <w:rsid w:val="00690DF9"/>
    <w:rsid w:val="0069109A"/>
    <w:rsid w:val="006912DF"/>
    <w:rsid w:val="00691379"/>
    <w:rsid w:val="0069261F"/>
    <w:rsid w:val="006932BE"/>
    <w:rsid w:val="006933D3"/>
    <w:rsid w:val="00693FB5"/>
    <w:rsid w:val="00694600"/>
    <w:rsid w:val="00694D10"/>
    <w:rsid w:val="00696B2D"/>
    <w:rsid w:val="00696C90"/>
    <w:rsid w:val="00696C9B"/>
    <w:rsid w:val="00697346"/>
    <w:rsid w:val="006974C4"/>
    <w:rsid w:val="006978C8"/>
    <w:rsid w:val="00697D06"/>
    <w:rsid w:val="006A0B3C"/>
    <w:rsid w:val="006A0E02"/>
    <w:rsid w:val="006A0E07"/>
    <w:rsid w:val="006A0E8E"/>
    <w:rsid w:val="006A11EB"/>
    <w:rsid w:val="006A15FB"/>
    <w:rsid w:val="006A1FE4"/>
    <w:rsid w:val="006A2121"/>
    <w:rsid w:val="006A2142"/>
    <w:rsid w:val="006A24DB"/>
    <w:rsid w:val="006A27E0"/>
    <w:rsid w:val="006A28F8"/>
    <w:rsid w:val="006A2B21"/>
    <w:rsid w:val="006A34E1"/>
    <w:rsid w:val="006A3677"/>
    <w:rsid w:val="006A3D2D"/>
    <w:rsid w:val="006A3F6E"/>
    <w:rsid w:val="006A4024"/>
    <w:rsid w:val="006A49A4"/>
    <w:rsid w:val="006A4B66"/>
    <w:rsid w:val="006A5219"/>
    <w:rsid w:val="006A53E8"/>
    <w:rsid w:val="006A58C7"/>
    <w:rsid w:val="006A5B35"/>
    <w:rsid w:val="006A5E52"/>
    <w:rsid w:val="006A6583"/>
    <w:rsid w:val="006A6EB3"/>
    <w:rsid w:val="006A7182"/>
    <w:rsid w:val="006A7328"/>
    <w:rsid w:val="006A7ACB"/>
    <w:rsid w:val="006B0B18"/>
    <w:rsid w:val="006B0E1D"/>
    <w:rsid w:val="006B1D52"/>
    <w:rsid w:val="006B1F4B"/>
    <w:rsid w:val="006B2555"/>
    <w:rsid w:val="006B2627"/>
    <w:rsid w:val="006B2747"/>
    <w:rsid w:val="006B3C53"/>
    <w:rsid w:val="006B3E6D"/>
    <w:rsid w:val="006B4216"/>
    <w:rsid w:val="006B4247"/>
    <w:rsid w:val="006B4A26"/>
    <w:rsid w:val="006B4A7E"/>
    <w:rsid w:val="006B4D3F"/>
    <w:rsid w:val="006B4F2B"/>
    <w:rsid w:val="006B5B2F"/>
    <w:rsid w:val="006B6B4C"/>
    <w:rsid w:val="006B6B6E"/>
    <w:rsid w:val="006B71A3"/>
    <w:rsid w:val="006B75BC"/>
    <w:rsid w:val="006B7AEE"/>
    <w:rsid w:val="006C226D"/>
    <w:rsid w:val="006C2445"/>
    <w:rsid w:val="006C2498"/>
    <w:rsid w:val="006C323B"/>
    <w:rsid w:val="006C34B1"/>
    <w:rsid w:val="006C34FE"/>
    <w:rsid w:val="006C3AE3"/>
    <w:rsid w:val="006C4550"/>
    <w:rsid w:val="006C47B5"/>
    <w:rsid w:val="006C48D3"/>
    <w:rsid w:val="006C4E5C"/>
    <w:rsid w:val="006C5056"/>
    <w:rsid w:val="006C5F32"/>
    <w:rsid w:val="006C6086"/>
    <w:rsid w:val="006C6B2F"/>
    <w:rsid w:val="006C751D"/>
    <w:rsid w:val="006C79F8"/>
    <w:rsid w:val="006C7AC1"/>
    <w:rsid w:val="006C7AF3"/>
    <w:rsid w:val="006D00AC"/>
    <w:rsid w:val="006D04A7"/>
    <w:rsid w:val="006D0A36"/>
    <w:rsid w:val="006D0C4C"/>
    <w:rsid w:val="006D1062"/>
    <w:rsid w:val="006D1A26"/>
    <w:rsid w:val="006D2103"/>
    <w:rsid w:val="006D2C44"/>
    <w:rsid w:val="006D2DE8"/>
    <w:rsid w:val="006D2FFB"/>
    <w:rsid w:val="006D3150"/>
    <w:rsid w:val="006D32E3"/>
    <w:rsid w:val="006D3D8D"/>
    <w:rsid w:val="006D41A9"/>
    <w:rsid w:val="006D4E6B"/>
    <w:rsid w:val="006D58CA"/>
    <w:rsid w:val="006D59D1"/>
    <w:rsid w:val="006D5F12"/>
    <w:rsid w:val="006D6713"/>
    <w:rsid w:val="006D6729"/>
    <w:rsid w:val="006D6D75"/>
    <w:rsid w:val="006D6D80"/>
    <w:rsid w:val="006D7044"/>
    <w:rsid w:val="006D7FC2"/>
    <w:rsid w:val="006E1604"/>
    <w:rsid w:val="006E1E9A"/>
    <w:rsid w:val="006E1EA0"/>
    <w:rsid w:val="006E2367"/>
    <w:rsid w:val="006E24B4"/>
    <w:rsid w:val="006E3BD1"/>
    <w:rsid w:val="006E3E63"/>
    <w:rsid w:val="006E3E92"/>
    <w:rsid w:val="006E3FC0"/>
    <w:rsid w:val="006E40FC"/>
    <w:rsid w:val="006E44BD"/>
    <w:rsid w:val="006E5642"/>
    <w:rsid w:val="006E5865"/>
    <w:rsid w:val="006E5896"/>
    <w:rsid w:val="006E58AF"/>
    <w:rsid w:val="006E6CC1"/>
    <w:rsid w:val="006E7D47"/>
    <w:rsid w:val="006E7E79"/>
    <w:rsid w:val="006F00EE"/>
    <w:rsid w:val="006F0280"/>
    <w:rsid w:val="006F0732"/>
    <w:rsid w:val="006F087C"/>
    <w:rsid w:val="006F11D1"/>
    <w:rsid w:val="006F145D"/>
    <w:rsid w:val="006F14E3"/>
    <w:rsid w:val="006F1879"/>
    <w:rsid w:val="006F1B8E"/>
    <w:rsid w:val="006F1E2C"/>
    <w:rsid w:val="006F21CF"/>
    <w:rsid w:val="006F22AE"/>
    <w:rsid w:val="006F245D"/>
    <w:rsid w:val="006F2972"/>
    <w:rsid w:val="006F3214"/>
    <w:rsid w:val="006F391C"/>
    <w:rsid w:val="006F4057"/>
    <w:rsid w:val="006F438A"/>
    <w:rsid w:val="006F47AD"/>
    <w:rsid w:val="006F4C34"/>
    <w:rsid w:val="006F5240"/>
    <w:rsid w:val="006F5B1E"/>
    <w:rsid w:val="006F5DFB"/>
    <w:rsid w:val="006F629E"/>
    <w:rsid w:val="006F68B2"/>
    <w:rsid w:val="006F74BC"/>
    <w:rsid w:val="006F762A"/>
    <w:rsid w:val="006F7BF2"/>
    <w:rsid w:val="006F7F9C"/>
    <w:rsid w:val="007000D9"/>
    <w:rsid w:val="0070027E"/>
    <w:rsid w:val="007004AE"/>
    <w:rsid w:val="00700748"/>
    <w:rsid w:val="007010A3"/>
    <w:rsid w:val="0070186C"/>
    <w:rsid w:val="00701E34"/>
    <w:rsid w:val="00702683"/>
    <w:rsid w:val="0070342C"/>
    <w:rsid w:val="00703A8C"/>
    <w:rsid w:val="0070402A"/>
    <w:rsid w:val="00704DCA"/>
    <w:rsid w:val="007050DC"/>
    <w:rsid w:val="0070527A"/>
    <w:rsid w:val="00705975"/>
    <w:rsid w:val="00705989"/>
    <w:rsid w:val="0070662D"/>
    <w:rsid w:val="00706A95"/>
    <w:rsid w:val="00706F44"/>
    <w:rsid w:val="00706FAF"/>
    <w:rsid w:val="00707252"/>
    <w:rsid w:val="0070781E"/>
    <w:rsid w:val="00707A46"/>
    <w:rsid w:val="0071084D"/>
    <w:rsid w:val="00710C53"/>
    <w:rsid w:val="00710C9F"/>
    <w:rsid w:val="007112D8"/>
    <w:rsid w:val="0071157A"/>
    <w:rsid w:val="007116AF"/>
    <w:rsid w:val="00711C1C"/>
    <w:rsid w:val="0071234C"/>
    <w:rsid w:val="00712516"/>
    <w:rsid w:val="00712E15"/>
    <w:rsid w:val="00713574"/>
    <w:rsid w:val="0071378F"/>
    <w:rsid w:val="00713C89"/>
    <w:rsid w:val="00713E2D"/>
    <w:rsid w:val="007140BA"/>
    <w:rsid w:val="00714563"/>
    <w:rsid w:val="007153A6"/>
    <w:rsid w:val="00715867"/>
    <w:rsid w:val="0071681A"/>
    <w:rsid w:val="00717567"/>
    <w:rsid w:val="00717D9B"/>
    <w:rsid w:val="00717F49"/>
    <w:rsid w:val="00720410"/>
    <w:rsid w:val="007204EC"/>
    <w:rsid w:val="007205F2"/>
    <w:rsid w:val="00721796"/>
    <w:rsid w:val="00722A1A"/>
    <w:rsid w:val="00722B15"/>
    <w:rsid w:val="00723836"/>
    <w:rsid w:val="00724897"/>
    <w:rsid w:val="007250CE"/>
    <w:rsid w:val="0072513E"/>
    <w:rsid w:val="00725939"/>
    <w:rsid w:val="00726216"/>
    <w:rsid w:val="00726414"/>
    <w:rsid w:val="0072694B"/>
    <w:rsid w:val="007272F9"/>
    <w:rsid w:val="0073052C"/>
    <w:rsid w:val="0073055B"/>
    <w:rsid w:val="00730D72"/>
    <w:rsid w:val="00731732"/>
    <w:rsid w:val="007319D5"/>
    <w:rsid w:val="00732268"/>
    <w:rsid w:val="00732315"/>
    <w:rsid w:val="007323B1"/>
    <w:rsid w:val="0073267E"/>
    <w:rsid w:val="00732EAF"/>
    <w:rsid w:val="007336C1"/>
    <w:rsid w:val="00733901"/>
    <w:rsid w:val="00733985"/>
    <w:rsid w:val="00733CAB"/>
    <w:rsid w:val="007341FD"/>
    <w:rsid w:val="00734594"/>
    <w:rsid w:val="00734795"/>
    <w:rsid w:val="007351AC"/>
    <w:rsid w:val="00735576"/>
    <w:rsid w:val="00735645"/>
    <w:rsid w:val="007356BC"/>
    <w:rsid w:val="00735839"/>
    <w:rsid w:val="00735B8F"/>
    <w:rsid w:val="007360B1"/>
    <w:rsid w:val="00736BC4"/>
    <w:rsid w:val="00736E2A"/>
    <w:rsid w:val="00736F5F"/>
    <w:rsid w:val="007376AE"/>
    <w:rsid w:val="00740351"/>
    <w:rsid w:val="007408F7"/>
    <w:rsid w:val="00740DD9"/>
    <w:rsid w:val="007410DB"/>
    <w:rsid w:val="00741107"/>
    <w:rsid w:val="0074195F"/>
    <w:rsid w:val="007419D1"/>
    <w:rsid w:val="00743083"/>
    <w:rsid w:val="00743897"/>
    <w:rsid w:val="00743B61"/>
    <w:rsid w:val="00744551"/>
    <w:rsid w:val="0074457B"/>
    <w:rsid w:val="00744A1F"/>
    <w:rsid w:val="00745088"/>
    <w:rsid w:val="007454F9"/>
    <w:rsid w:val="00745703"/>
    <w:rsid w:val="00746D46"/>
    <w:rsid w:val="00746DDD"/>
    <w:rsid w:val="00746E30"/>
    <w:rsid w:val="007472F7"/>
    <w:rsid w:val="0074741C"/>
    <w:rsid w:val="00750205"/>
    <w:rsid w:val="007507E8"/>
    <w:rsid w:val="00750883"/>
    <w:rsid w:val="00750B96"/>
    <w:rsid w:val="00750D6D"/>
    <w:rsid w:val="00750DA6"/>
    <w:rsid w:val="00750F44"/>
    <w:rsid w:val="0075217D"/>
    <w:rsid w:val="00752814"/>
    <w:rsid w:val="007529B1"/>
    <w:rsid w:val="00753004"/>
    <w:rsid w:val="00753748"/>
    <w:rsid w:val="00753807"/>
    <w:rsid w:val="00753CC9"/>
    <w:rsid w:val="00753F0B"/>
    <w:rsid w:val="007540D2"/>
    <w:rsid w:val="007545E3"/>
    <w:rsid w:val="007552BA"/>
    <w:rsid w:val="00755E79"/>
    <w:rsid w:val="00756358"/>
    <w:rsid w:val="0075655A"/>
    <w:rsid w:val="007567E1"/>
    <w:rsid w:val="007568CA"/>
    <w:rsid w:val="00756B91"/>
    <w:rsid w:val="007572D2"/>
    <w:rsid w:val="0075758B"/>
    <w:rsid w:val="00760337"/>
    <w:rsid w:val="0076066A"/>
    <w:rsid w:val="0076096B"/>
    <w:rsid w:val="00760987"/>
    <w:rsid w:val="0076099E"/>
    <w:rsid w:val="00760E86"/>
    <w:rsid w:val="00762299"/>
    <w:rsid w:val="007626A4"/>
    <w:rsid w:val="00762DC6"/>
    <w:rsid w:val="007634AA"/>
    <w:rsid w:val="00763539"/>
    <w:rsid w:val="00763671"/>
    <w:rsid w:val="0076368F"/>
    <w:rsid w:val="0076377A"/>
    <w:rsid w:val="00764635"/>
    <w:rsid w:val="00764725"/>
    <w:rsid w:val="00764BC9"/>
    <w:rsid w:val="0076508F"/>
    <w:rsid w:val="00765389"/>
    <w:rsid w:val="007659E0"/>
    <w:rsid w:val="0076622F"/>
    <w:rsid w:val="00766A79"/>
    <w:rsid w:val="00766B41"/>
    <w:rsid w:val="00767795"/>
    <w:rsid w:val="007679B3"/>
    <w:rsid w:val="007706F1"/>
    <w:rsid w:val="0077070F"/>
    <w:rsid w:val="00771133"/>
    <w:rsid w:val="00771AB1"/>
    <w:rsid w:val="007720E0"/>
    <w:rsid w:val="007722C0"/>
    <w:rsid w:val="0077255B"/>
    <w:rsid w:val="007725CF"/>
    <w:rsid w:val="007731D4"/>
    <w:rsid w:val="007735BC"/>
    <w:rsid w:val="007735D1"/>
    <w:rsid w:val="00773893"/>
    <w:rsid w:val="00774103"/>
    <w:rsid w:val="007744FC"/>
    <w:rsid w:val="00774A62"/>
    <w:rsid w:val="00774D61"/>
    <w:rsid w:val="00775134"/>
    <w:rsid w:val="00775137"/>
    <w:rsid w:val="007755F0"/>
    <w:rsid w:val="007759D5"/>
    <w:rsid w:val="007759DE"/>
    <w:rsid w:val="00775B8E"/>
    <w:rsid w:val="00775C20"/>
    <w:rsid w:val="00775DEB"/>
    <w:rsid w:val="00775E06"/>
    <w:rsid w:val="00775E0F"/>
    <w:rsid w:val="007765C9"/>
    <w:rsid w:val="00776D51"/>
    <w:rsid w:val="007806AA"/>
    <w:rsid w:val="00780EF1"/>
    <w:rsid w:val="00780EFF"/>
    <w:rsid w:val="007812CD"/>
    <w:rsid w:val="0078249B"/>
    <w:rsid w:val="00782F18"/>
    <w:rsid w:val="00783FB5"/>
    <w:rsid w:val="00784240"/>
    <w:rsid w:val="007842A9"/>
    <w:rsid w:val="00784993"/>
    <w:rsid w:val="00785C9B"/>
    <w:rsid w:val="00785CD1"/>
    <w:rsid w:val="00785E23"/>
    <w:rsid w:val="00786866"/>
    <w:rsid w:val="00786FBE"/>
    <w:rsid w:val="00787000"/>
    <w:rsid w:val="00787039"/>
    <w:rsid w:val="00787477"/>
    <w:rsid w:val="00787692"/>
    <w:rsid w:val="007877DC"/>
    <w:rsid w:val="00790010"/>
    <w:rsid w:val="007908E9"/>
    <w:rsid w:val="00791392"/>
    <w:rsid w:val="007915F8"/>
    <w:rsid w:val="00791979"/>
    <w:rsid w:val="00792309"/>
    <w:rsid w:val="00792B9E"/>
    <w:rsid w:val="00792D09"/>
    <w:rsid w:val="00792D3B"/>
    <w:rsid w:val="00792E42"/>
    <w:rsid w:val="00793005"/>
    <w:rsid w:val="0079353E"/>
    <w:rsid w:val="00793DAB"/>
    <w:rsid w:val="00793F27"/>
    <w:rsid w:val="0079419C"/>
    <w:rsid w:val="007945AB"/>
    <w:rsid w:val="0079467B"/>
    <w:rsid w:val="007954C1"/>
    <w:rsid w:val="007965E5"/>
    <w:rsid w:val="00796665"/>
    <w:rsid w:val="007966FD"/>
    <w:rsid w:val="00796F28"/>
    <w:rsid w:val="0079710B"/>
    <w:rsid w:val="0079778A"/>
    <w:rsid w:val="0079797F"/>
    <w:rsid w:val="007A0126"/>
    <w:rsid w:val="007A04F3"/>
    <w:rsid w:val="007A0BC2"/>
    <w:rsid w:val="007A168C"/>
    <w:rsid w:val="007A25BE"/>
    <w:rsid w:val="007A2C3F"/>
    <w:rsid w:val="007A3DDC"/>
    <w:rsid w:val="007A4037"/>
    <w:rsid w:val="007A40A0"/>
    <w:rsid w:val="007A487C"/>
    <w:rsid w:val="007A5091"/>
    <w:rsid w:val="007A5791"/>
    <w:rsid w:val="007A5958"/>
    <w:rsid w:val="007A5DF1"/>
    <w:rsid w:val="007A638A"/>
    <w:rsid w:val="007A6692"/>
    <w:rsid w:val="007A6BA2"/>
    <w:rsid w:val="007A702E"/>
    <w:rsid w:val="007A72AC"/>
    <w:rsid w:val="007A73E7"/>
    <w:rsid w:val="007A75D5"/>
    <w:rsid w:val="007A75E3"/>
    <w:rsid w:val="007A784C"/>
    <w:rsid w:val="007A79D0"/>
    <w:rsid w:val="007B018F"/>
    <w:rsid w:val="007B02D8"/>
    <w:rsid w:val="007B0E52"/>
    <w:rsid w:val="007B13D2"/>
    <w:rsid w:val="007B2074"/>
    <w:rsid w:val="007B32DE"/>
    <w:rsid w:val="007B3A83"/>
    <w:rsid w:val="007B3B91"/>
    <w:rsid w:val="007B3EDB"/>
    <w:rsid w:val="007B4203"/>
    <w:rsid w:val="007B48C9"/>
    <w:rsid w:val="007B4A08"/>
    <w:rsid w:val="007B4C82"/>
    <w:rsid w:val="007B4F15"/>
    <w:rsid w:val="007B6143"/>
    <w:rsid w:val="007B6E07"/>
    <w:rsid w:val="007B6E82"/>
    <w:rsid w:val="007B721A"/>
    <w:rsid w:val="007B7B33"/>
    <w:rsid w:val="007C05B5"/>
    <w:rsid w:val="007C0616"/>
    <w:rsid w:val="007C0D3B"/>
    <w:rsid w:val="007C1B43"/>
    <w:rsid w:val="007C1C98"/>
    <w:rsid w:val="007C2123"/>
    <w:rsid w:val="007C21C7"/>
    <w:rsid w:val="007C27BC"/>
    <w:rsid w:val="007C295C"/>
    <w:rsid w:val="007C2FA2"/>
    <w:rsid w:val="007C3CDF"/>
    <w:rsid w:val="007C3DFE"/>
    <w:rsid w:val="007C3F65"/>
    <w:rsid w:val="007C4352"/>
    <w:rsid w:val="007C563B"/>
    <w:rsid w:val="007C56AD"/>
    <w:rsid w:val="007C59AF"/>
    <w:rsid w:val="007C5D61"/>
    <w:rsid w:val="007C63F4"/>
    <w:rsid w:val="007C6614"/>
    <w:rsid w:val="007C68CD"/>
    <w:rsid w:val="007C698E"/>
    <w:rsid w:val="007C6EB0"/>
    <w:rsid w:val="007C745E"/>
    <w:rsid w:val="007C7956"/>
    <w:rsid w:val="007C7B49"/>
    <w:rsid w:val="007C7F86"/>
    <w:rsid w:val="007D00AD"/>
    <w:rsid w:val="007D0866"/>
    <w:rsid w:val="007D0D8A"/>
    <w:rsid w:val="007D0DC2"/>
    <w:rsid w:val="007D19F4"/>
    <w:rsid w:val="007D1C3B"/>
    <w:rsid w:val="007D24C6"/>
    <w:rsid w:val="007D2542"/>
    <w:rsid w:val="007D2814"/>
    <w:rsid w:val="007D2B13"/>
    <w:rsid w:val="007D2DCB"/>
    <w:rsid w:val="007D3004"/>
    <w:rsid w:val="007D3113"/>
    <w:rsid w:val="007D3354"/>
    <w:rsid w:val="007D4166"/>
    <w:rsid w:val="007D430F"/>
    <w:rsid w:val="007D4506"/>
    <w:rsid w:val="007D511F"/>
    <w:rsid w:val="007D625D"/>
    <w:rsid w:val="007D6602"/>
    <w:rsid w:val="007D6831"/>
    <w:rsid w:val="007D69CE"/>
    <w:rsid w:val="007D6DDC"/>
    <w:rsid w:val="007D6F81"/>
    <w:rsid w:val="007D7405"/>
    <w:rsid w:val="007D7DFD"/>
    <w:rsid w:val="007E0048"/>
    <w:rsid w:val="007E01FF"/>
    <w:rsid w:val="007E0BB9"/>
    <w:rsid w:val="007E1041"/>
    <w:rsid w:val="007E2278"/>
    <w:rsid w:val="007E2F11"/>
    <w:rsid w:val="007E3043"/>
    <w:rsid w:val="007E3648"/>
    <w:rsid w:val="007E54A2"/>
    <w:rsid w:val="007E5530"/>
    <w:rsid w:val="007E5A11"/>
    <w:rsid w:val="007E5E35"/>
    <w:rsid w:val="007E6B60"/>
    <w:rsid w:val="007E7F7D"/>
    <w:rsid w:val="007F02E2"/>
    <w:rsid w:val="007F03A9"/>
    <w:rsid w:val="007F0C71"/>
    <w:rsid w:val="007F11CD"/>
    <w:rsid w:val="007F18BE"/>
    <w:rsid w:val="007F1AFF"/>
    <w:rsid w:val="007F1C6D"/>
    <w:rsid w:val="007F1FAE"/>
    <w:rsid w:val="007F2454"/>
    <w:rsid w:val="007F270B"/>
    <w:rsid w:val="007F289E"/>
    <w:rsid w:val="007F2CE0"/>
    <w:rsid w:val="007F2DBD"/>
    <w:rsid w:val="007F3373"/>
    <w:rsid w:val="007F3B0E"/>
    <w:rsid w:val="007F3E98"/>
    <w:rsid w:val="007F4E6D"/>
    <w:rsid w:val="007F5630"/>
    <w:rsid w:val="007F5835"/>
    <w:rsid w:val="007F58E2"/>
    <w:rsid w:val="007F5B20"/>
    <w:rsid w:val="007F6AE9"/>
    <w:rsid w:val="007F6F86"/>
    <w:rsid w:val="007F7D37"/>
    <w:rsid w:val="008000D5"/>
    <w:rsid w:val="00800202"/>
    <w:rsid w:val="008006ED"/>
    <w:rsid w:val="008008C3"/>
    <w:rsid w:val="0080138C"/>
    <w:rsid w:val="008017CB"/>
    <w:rsid w:val="00803963"/>
    <w:rsid w:val="00803C55"/>
    <w:rsid w:val="00803E71"/>
    <w:rsid w:val="00803FAE"/>
    <w:rsid w:val="008067C7"/>
    <w:rsid w:val="00806918"/>
    <w:rsid w:val="008069D3"/>
    <w:rsid w:val="00807311"/>
    <w:rsid w:val="00807410"/>
    <w:rsid w:val="00807462"/>
    <w:rsid w:val="00807B34"/>
    <w:rsid w:val="00807B57"/>
    <w:rsid w:val="00807F14"/>
    <w:rsid w:val="00810528"/>
    <w:rsid w:val="00810A6C"/>
    <w:rsid w:val="008110E6"/>
    <w:rsid w:val="0081121E"/>
    <w:rsid w:val="0081126E"/>
    <w:rsid w:val="008112F3"/>
    <w:rsid w:val="008113F2"/>
    <w:rsid w:val="008120DE"/>
    <w:rsid w:val="00812DFD"/>
    <w:rsid w:val="0081358C"/>
    <w:rsid w:val="0081374D"/>
    <w:rsid w:val="00813C3A"/>
    <w:rsid w:val="00814675"/>
    <w:rsid w:val="00814700"/>
    <w:rsid w:val="0081485E"/>
    <w:rsid w:val="0081521C"/>
    <w:rsid w:val="008159B2"/>
    <w:rsid w:val="00815B16"/>
    <w:rsid w:val="00815B38"/>
    <w:rsid w:val="008162C4"/>
    <w:rsid w:val="0081635C"/>
    <w:rsid w:val="0081722F"/>
    <w:rsid w:val="0081739A"/>
    <w:rsid w:val="008173BA"/>
    <w:rsid w:val="00817570"/>
    <w:rsid w:val="008176A2"/>
    <w:rsid w:val="00817A1E"/>
    <w:rsid w:val="00817D3F"/>
    <w:rsid w:val="00820165"/>
    <w:rsid w:val="00820695"/>
    <w:rsid w:val="008208A9"/>
    <w:rsid w:val="00820A34"/>
    <w:rsid w:val="00821A58"/>
    <w:rsid w:val="00821A73"/>
    <w:rsid w:val="008220B5"/>
    <w:rsid w:val="008223EA"/>
    <w:rsid w:val="0082281A"/>
    <w:rsid w:val="00822D28"/>
    <w:rsid w:val="0082306E"/>
    <w:rsid w:val="00823645"/>
    <w:rsid w:val="008241B6"/>
    <w:rsid w:val="008244DA"/>
    <w:rsid w:val="008245D6"/>
    <w:rsid w:val="00825866"/>
    <w:rsid w:val="00825B89"/>
    <w:rsid w:val="00825F47"/>
    <w:rsid w:val="00826014"/>
    <w:rsid w:val="00826209"/>
    <w:rsid w:val="0082634D"/>
    <w:rsid w:val="008268A7"/>
    <w:rsid w:val="00826ED2"/>
    <w:rsid w:val="00827123"/>
    <w:rsid w:val="00827639"/>
    <w:rsid w:val="00827708"/>
    <w:rsid w:val="00827C39"/>
    <w:rsid w:val="008300FE"/>
    <w:rsid w:val="00830CB1"/>
    <w:rsid w:val="00830DF3"/>
    <w:rsid w:val="0083179B"/>
    <w:rsid w:val="008325D9"/>
    <w:rsid w:val="0083297E"/>
    <w:rsid w:val="00832EF9"/>
    <w:rsid w:val="00832F4F"/>
    <w:rsid w:val="00833A6C"/>
    <w:rsid w:val="008350DB"/>
    <w:rsid w:val="0083542F"/>
    <w:rsid w:val="0083575B"/>
    <w:rsid w:val="00835EC4"/>
    <w:rsid w:val="00836198"/>
    <w:rsid w:val="0083637E"/>
    <w:rsid w:val="00836667"/>
    <w:rsid w:val="00836819"/>
    <w:rsid w:val="00837F61"/>
    <w:rsid w:val="008402A5"/>
    <w:rsid w:val="0084037D"/>
    <w:rsid w:val="0084098D"/>
    <w:rsid w:val="00840B37"/>
    <w:rsid w:val="008410DD"/>
    <w:rsid w:val="0084184B"/>
    <w:rsid w:val="00841935"/>
    <w:rsid w:val="00842167"/>
    <w:rsid w:val="008421A0"/>
    <w:rsid w:val="0084253E"/>
    <w:rsid w:val="00842A7D"/>
    <w:rsid w:val="00842E8C"/>
    <w:rsid w:val="00843CA5"/>
    <w:rsid w:val="008449DD"/>
    <w:rsid w:val="00844B20"/>
    <w:rsid w:val="00844D5F"/>
    <w:rsid w:val="00845A8F"/>
    <w:rsid w:val="00845D3D"/>
    <w:rsid w:val="00845DA4"/>
    <w:rsid w:val="00846899"/>
    <w:rsid w:val="00847650"/>
    <w:rsid w:val="00847704"/>
    <w:rsid w:val="008478FA"/>
    <w:rsid w:val="00847C1E"/>
    <w:rsid w:val="008500B8"/>
    <w:rsid w:val="0085017B"/>
    <w:rsid w:val="0085024F"/>
    <w:rsid w:val="00850726"/>
    <w:rsid w:val="00850900"/>
    <w:rsid w:val="00850E70"/>
    <w:rsid w:val="008512A3"/>
    <w:rsid w:val="008517DA"/>
    <w:rsid w:val="008521A0"/>
    <w:rsid w:val="00852748"/>
    <w:rsid w:val="0085293A"/>
    <w:rsid w:val="008530E1"/>
    <w:rsid w:val="00853A44"/>
    <w:rsid w:val="00854565"/>
    <w:rsid w:val="00854C62"/>
    <w:rsid w:val="00855333"/>
    <w:rsid w:val="00855909"/>
    <w:rsid w:val="00856564"/>
    <w:rsid w:val="0085684A"/>
    <w:rsid w:val="00856992"/>
    <w:rsid w:val="008601CD"/>
    <w:rsid w:val="00860624"/>
    <w:rsid w:val="00860CA4"/>
    <w:rsid w:val="00860D56"/>
    <w:rsid w:val="00861230"/>
    <w:rsid w:val="00861370"/>
    <w:rsid w:val="008613A9"/>
    <w:rsid w:val="008619F0"/>
    <w:rsid w:val="00862D8A"/>
    <w:rsid w:val="00862E98"/>
    <w:rsid w:val="00862F13"/>
    <w:rsid w:val="008635CE"/>
    <w:rsid w:val="00863643"/>
    <w:rsid w:val="008638F5"/>
    <w:rsid w:val="00864054"/>
    <w:rsid w:val="008640C1"/>
    <w:rsid w:val="008648EA"/>
    <w:rsid w:val="00864B4A"/>
    <w:rsid w:val="00865256"/>
    <w:rsid w:val="00865A18"/>
    <w:rsid w:val="00865D71"/>
    <w:rsid w:val="0086642B"/>
    <w:rsid w:val="0086658A"/>
    <w:rsid w:val="008675E7"/>
    <w:rsid w:val="00867898"/>
    <w:rsid w:val="00870370"/>
    <w:rsid w:val="008709CC"/>
    <w:rsid w:val="00871466"/>
    <w:rsid w:val="00871D8C"/>
    <w:rsid w:val="00871DB1"/>
    <w:rsid w:val="00872A3C"/>
    <w:rsid w:val="00872B41"/>
    <w:rsid w:val="00872D38"/>
    <w:rsid w:val="0087321F"/>
    <w:rsid w:val="00874618"/>
    <w:rsid w:val="00875719"/>
    <w:rsid w:val="00875ACE"/>
    <w:rsid w:val="00876793"/>
    <w:rsid w:val="00876B5C"/>
    <w:rsid w:val="00876D3D"/>
    <w:rsid w:val="0087750A"/>
    <w:rsid w:val="0087795E"/>
    <w:rsid w:val="00880102"/>
    <w:rsid w:val="0088026C"/>
    <w:rsid w:val="0088093C"/>
    <w:rsid w:val="008818D4"/>
    <w:rsid w:val="00881E8D"/>
    <w:rsid w:val="00881FAA"/>
    <w:rsid w:val="0088279C"/>
    <w:rsid w:val="008828AF"/>
    <w:rsid w:val="0088336D"/>
    <w:rsid w:val="008845D0"/>
    <w:rsid w:val="008847FC"/>
    <w:rsid w:val="00884A54"/>
    <w:rsid w:val="00884B35"/>
    <w:rsid w:val="00884CEF"/>
    <w:rsid w:val="00884E4B"/>
    <w:rsid w:val="00885A82"/>
    <w:rsid w:val="008864D5"/>
    <w:rsid w:val="00886809"/>
    <w:rsid w:val="008869BD"/>
    <w:rsid w:val="008872B8"/>
    <w:rsid w:val="0088747E"/>
    <w:rsid w:val="00887DC2"/>
    <w:rsid w:val="00887E47"/>
    <w:rsid w:val="008906CB"/>
    <w:rsid w:val="00890A04"/>
    <w:rsid w:val="00890B7F"/>
    <w:rsid w:val="00891088"/>
    <w:rsid w:val="00891678"/>
    <w:rsid w:val="00891F7C"/>
    <w:rsid w:val="00892439"/>
    <w:rsid w:val="00892AB7"/>
    <w:rsid w:val="0089319A"/>
    <w:rsid w:val="008935AB"/>
    <w:rsid w:val="008938B2"/>
    <w:rsid w:val="00894573"/>
    <w:rsid w:val="0089479E"/>
    <w:rsid w:val="00894D1A"/>
    <w:rsid w:val="00894E1C"/>
    <w:rsid w:val="008951E8"/>
    <w:rsid w:val="0089554D"/>
    <w:rsid w:val="00895CF0"/>
    <w:rsid w:val="00895D5D"/>
    <w:rsid w:val="00895EE2"/>
    <w:rsid w:val="00895EF9"/>
    <w:rsid w:val="00896021"/>
    <w:rsid w:val="008971B7"/>
    <w:rsid w:val="00897235"/>
    <w:rsid w:val="00897474"/>
    <w:rsid w:val="00897598"/>
    <w:rsid w:val="008977B1"/>
    <w:rsid w:val="00897B80"/>
    <w:rsid w:val="008A0432"/>
    <w:rsid w:val="008A047C"/>
    <w:rsid w:val="008A0957"/>
    <w:rsid w:val="008A11F8"/>
    <w:rsid w:val="008A1264"/>
    <w:rsid w:val="008A1365"/>
    <w:rsid w:val="008A2168"/>
    <w:rsid w:val="008A2406"/>
    <w:rsid w:val="008A2631"/>
    <w:rsid w:val="008A2871"/>
    <w:rsid w:val="008A29C7"/>
    <w:rsid w:val="008A2B06"/>
    <w:rsid w:val="008A2DCC"/>
    <w:rsid w:val="008A3F91"/>
    <w:rsid w:val="008A41D7"/>
    <w:rsid w:val="008A424F"/>
    <w:rsid w:val="008A45E7"/>
    <w:rsid w:val="008A479F"/>
    <w:rsid w:val="008A4972"/>
    <w:rsid w:val="008A4B6D"/>
    <w:rsid w:val="008A52B9"/>
    <w:rsid w:val="008A52F1"/>
    <w:rsid w:val="008A5ACD"/>
    <w:rsid w:val="008A5EE0"/>
    <w:rsid w:val="008A5F02"/>
    <w:rsid w:val="008A6909"/>
    <w:rsid w:val="008A7398"/>
    <w:rsid w:val="008A760D"/>
    <w:rsid w:val="008A7647"/>
    <w:rsid w:val="008A7B19"/>
    <w:rsid w:val="008B0DB8"/>
    <w:rsid w:val="008B0FF0"/>
    <w:rsid w:val="008B16B9"/>
    <w:rsid w:val="008B26A8"/>
    <w:rsid w:val="008B2923"/>
    <w:rsid w:val="008B2C6A"/>
    <w:rsid w:val="008B2CC0"/>
    <w:rsid w:val="008B31FC"/>
    <w:rsid w:val="008B32B9"/>
    <w:rsid w:val="008B336E"/>
    <w:rsid w:val="008B38C0"/>
    <w:rsid w:val="008B3B8F"/>
    <w:rsid w:val="008B3D7E"/>
    <w:rsid w:val="008B3F3A"/>
    <w:rsid w:val="008B4378"/>
    <w:rsid w:val="008B44BD"/>
    <w:rsid w:val="008B49AE"/>
    <w:rsid w:val="008B4CFA"/>
    <w:rsid w:val="008B55F6"/>
    <w:rsid w:val="008B580F"/>
    <w:rsid w:val="008B587B"/>
    <w:rsid w:val="008B67EA"/>
    <w:rsid w:val="008B694D"/>
    <w:rsid w:val="008B6A8F"/>
    <w:rsid w:val="008B6C9D"/>
    <w:rsid w:val="008B6F7B"/>
    <w:rsid w:val="008B7A08"/>
    <w:rsid w:val="008B7AAE"/>
    <w:rsid w:val="008C0152"/>
    <w:rsid w:val="008C0199"/>
    <w:rsid w:val="008C0515"/>
    <w:rsid w:val="008C05DB"/>
    <w:rsid w:val="008C0FC3"/>
    <w:rsid w:val="008C129C"/>
    <w:rsid w:val="008C14F2"/>
    <w:rsid w:val="008C158D"/>
    <w:rsid w:val="008C2906"/>
    <w:rsid w:val="008C332C"/>
    <w:rsid w:val="008C3639"/>
    <w:rsid w:val="008C3AA9"/>
    <w:rsid w:val="008C454D"/>
    <w:rsid w:val="008C4C50"/>
    <w:rsid w:val="008C4D37"/>
    <w:rsid w:val="008C546D"/>
    <w:rsid w:val="008C585F"/>
    <w:rsid w:val="008C5A51"/>
    <w:rsid w:val="008C6133"/>
    <w:rsid w:val="008C6847"/>
    <w:rsid w:val="008C693B"/>
    <w:rsid w:val="008D0E25"/>
    <w:rsid w:val="008D0E2C"/>
    <w:rsid w:val="008D10D9"/>
    <w:rsid w:val="008D1A4B"/>
    <w:rsid w:val="008D1D9A"/>
    <w:rsid w:val="008D2955"/>
    <w:rsid w:val="008D2A7D"/>
    <w:rsid w:val="008D350B"/>
    <w:rsid w:val="008D3CA3"/>
    <w:rsid w:val="008D3CCB"/>
    <w:rsid w:val="008D48AC"/>
    <w:rsid w:val="008D522D"/>
    <w:rsid w:val="008D529D"/>
    <w:rsid w:val="008D5635"/>
    <w:rsid w:val="008D5896"/>
    <w:rsid w:val="008D5FDD"/>
    <w:rsid w:val="008D6379"/>
    <w:rsid w:val="008D6449"/>
    <w:rsid w:val="008D65B5"/>
    <w:rsid w:val="008D73A5"/>
    <w:rsid w:val="008D7482"/>
    <w:rsid w:val="008D74FD"/>
    <w:rsid w:val="008D7CBB"/>
    <w:rsid w:val="008D7DCC"/>
    <w:rsid w:val="008E036B"/>
    <w:rsid w:val="008E1538"/>
    <w:rsid w:val="008E18FE"/>
    <w:rsid w:val="008E1AB5"/>
    <w:rsid w:val="008E2238"/>
    <w:rsid w:val="008E276A"/>
    <w:rsid w:val="008E2C7A"/>
    <w:rsid w:val="008E334E"/>
    <w:rsid w:val="008E3F8C"/>
    <w:rsid w:val="008E419A"/>
    <w:rsid w:val="008E4497"/>
    <w:rsid w:val="008E49BD"/>
    <w:rsid w:val="008E4AE6"/>
    <w:rsid w:val="008E4DFB"/>
    <w:rsid w:val="008E4E04"/>
    <w:rsid w:val="008E61FA"/>
    <w:rsid w:val="008E631D"/>
    <w:rsid w:val="008E74F3"/>
    <w:rsid w:val="008E7632"/>
    <w:rsid w:val="008E7D8E"/>
    <w:rsid w:val="008F09CB"/>
    <w:rsid w:val="008F0DE5"/>
    <w:rsid w:val="008F0E1B"/>
    <w:rsid w:val="008F18B1"/>
    <w:rsid w:val="008F1ADC"/>
    <w:rsid w:val="008F2BCF"/>
    <w:rsid w:val="008F2EDA"/>
    <w:rsid w:val="008F302A"/>
    <w:rsid w:val="008F399A"/>
    <w:rsid w:val="008F3D59"/>
    <w:rsid w:val="008F4014"/>
    <w:rsid w:val="008F4326"/>
    <w:rsid w:val="008F46F0"/>
    <w:rsid w:val="008F51F3"/>
    <w:rsid w:val="008F5201"/>
    <w:rsid w:val="008F5865"/>
    <w:rsid w:val="008F5990"/>
    <w:rsid w:val="008F5CA2"/>
    <w:rsid w:val="008F5D6E"/>
    <w:rsid w:val="008F5DA5"/>
    <w:rsid w:val="008F66C9"/>
    <w:rsid w:val="008F6C9F"/>
    <w:rsid w:val="008F6FD7"/>
    <w:rsid w:val="008F7712"/>
    <w:rsid w:val="00900626"/>
    <w:rsid w:val="009006F8"/>
    <w:rsid w:val="009013E2"/>
    <w:rsid w:val="009016BE"/>
    <w:rsid w:val="00901D0F"/>
    <w:rsid w:val="00902988"/>
    <w:rsid w:val="009048ED"/>
    <w:rsid w:val="00904B63"/>
    <w:rsid w:val="009054ED"/>
    <w:rsid w:val="009057FB"/>
    <w:rsid w:val="00905AF3"/>
    <w:rsid w:val="00905B75"/>
    <w:rsid w:val="009062EB"/>
    <w:rsid w:val="00906633"/>
    <w:rsid w:val="0090683C"/>
    <w:rsid w:val="00907255"/>
    <w:rsid w:val="009076FF"/>
    <w:rsid w:val="009100BF"/>
    <w:rsid w:val="00910773"/>
    <w:rsid w:val="009109E2"/>
    <w:rsid w:val="00910D88"/>
    <w:rsid w:val="00911589"/>
    <w:rsid w:val="009115FE"/>
    <w:rsid w:val="00911A83"/>
    <w:rsid w:val="00911BE7"/>
    <w:rsid w:val="00911C28"/>
    <w:rsid w:val="00912017"/>
    <w:rsid w:val="0091277C"/>
    <w:rsid w:val="00912BC3"/>
    <w:rsid w:val="00912E2A"/>
    <w:rsid w:val="0091337B"/>
    <w:rsid w:val="00913695"/>
    <w:rsid w:val="00913BE9"/>
    <w:rsid w:val="00914418"/>
    <w:rsid w:val="009149B8"/>
    <w:rsid w:val="009152EE"/>
    <w:rsid w:val="00915542"/>
    <w:rsid w:val="00915A7E"/>
    <w:rsid w:val="00915B1C"/>
    <w:rsid w:val="00915BD9"/>
    <w:rsid w:val="0091646B"/>
    <w:rsid w:val="00916F7A"/>
    <w:rsid w:val="009174BE"/>
    <w:rsid w:val="00917EF4"/>
    <w:rsid w:val="00920280"/>
    <w:rsid w:val="009203FE"/>
    <w:rsid w:val="009210DA"/>
    <w:rsid w:val="00921154"/>
    <w:rsid w:val="009213A9"/>
    <w:rsid w:val="00921722"/>
    <w:rsid w:val="0092327A"/>
    <w:rsid w:val="009234D8"/>
    <w:rsid w:val="0092355A"/>
    <w:rsid w:val="009238FC"/>
    <w:rsid w:val="00923E6A"/>
    <w:rsid w:val="00923E71"/>
    <w:rsid w:val="00924052"/>
    <w:rsid w:val="00924448"/>
    <w:rsid w:val="00924856"/>
    <w:rsid w:val="00924D4C"/>
    <w:rsid w:val="00925076"/>
    <w:rsid w:val="009250F3"/>
    <w:rsid w:val="00925103"/>
    <w:rsid w:val="0092522D"/>
    <w:rsid w:val="00925AAB"/>
    <w:rsid w:val="00925E2A"/>
    <w:rsid w:val="00926442"/>
    <w:rsid w:val="00926524"/>
    <w:rsid w:val="009267A3"/>
    <w:rsid w:val="009269AA"/>
    <w:rsid w:val="00926BB9"/>
    <w:rsid w:val="00926E98"/>
    <w:rsid w:val="0093027D"/>
    <w:rsid w:val="00930BAB"/>
    <w:rsid w:val="0093136D"/>
    <w:rsid w:val="009315D7"/>
    <w:rsid w:val="00931C12"/>
    <w:rsid w:val="00932660"/>
    <w:rsid w:val="00932B98"/>
    <w:rsid w:val="00933ADE"/>
    <w:rsid w:val="00934056"/>
    <w:rsid w:val="00934112"/>
    <w:rsid w:val="00935CA4"/>
    <w:rsid w:val="0093643E"/>
    <w:rsid w:val="00936784"/>
    <w:rsid w:val="00936BBC"/>
    <w:rsid w:val="00936C36"/>
    <w:rsid w:val="00937123"/>
    <w:rsid w:val="00937357"/>
    <w:rsid w:val="009377B7"/>
    <w:rsid w:val="00937834"/>
    <w:rsid w:val="00937A12"/>
    <w:rsid w:val="009400C1"/>
    <w:rsid w:val="00940267"/>
    <w:rsid w:val="009402EE"/>
    <w:rsid w:val="00940DC9"/>
    <w:rsid w:val="00941095"/>
    <w:rsid w:val="00941F91"/>
    <w:rsid w:val="009420B7"/>
    <w:rsid w:val="009421FF"/>
    <w:rsid w:val="00942BC6"/>
    <w:rsid w:val="00942F8B"/>
    <w:rsid w:val="009430D2"/>
    <w:rsid w:val="009432D9"/>
    <w:rsid w:val="009433CA"/>
    <w:rsid w:val="009435BD"/>
    <w:rsid w:val="00943649"/>
    <w:rsid w:val="0094373B"/>
    <w:rsid w:val="00943B44"/>
    <w:rsid w:val="00944111"/>
    <w:rsid w:val="0094440D"/>
    <w:rsid w:val="00944524"/>
    <w:rsid w:val="009450F7"/>
    <w:rsid w:val="0094582E"/>
    <w:rsid w:val="00945D98"/>
    <w:rsid w:val="0094650A"/>
    <w:rsid w:val="00946551"/>
    <w:rsid w:val="0094658F"/>
    <w:rsid w:val="00946E8B"/>
    <w:rsid w:val="00947003"/>
    <w:rsid w:val="0094729C"/>
    <w:rsid w:val="0094741A"/>
    <w:rsid w:val="0094798E"/>
    <w:rsid w:val="00947D74"/>
    <w:rsid w:val="009501E1"/>
    <w:rsid w:val="009513F3"/>
    <w:rsid w:val="009514AE"/>
    <w:rsid w:val="009519BE"/>
    <w:rsid w:val="00951B47"/>
    <w:rsid w:val="00951E6C"/>
    <w:rsid w:val="00952F54"/>
    <w:rsid w:val="00953E9D"/>
    <w:rsid w:val="0095472F"/>
    <w:rsid w:val="00954A09"/>
    <w:rsid w:val="00954DC8"/>
    <w:rsid w:val="00955015"/>
    <w:rsid w:val="00955A92"/>
    <w:rsid w:val="009562B6"/>
    <w:rsid w:val="00956527"/>
    <w:rsid w:val="00956E8F"/>
    <w:rsid w:val="0095724B"/>
    <w:rsid w:val="00957B59"/>
    <w:rsid w:val="009612E2"/>
    <w:rsid w:val="0096136C"/>
    <w:rsid w:val="0096150D"/>
    <w:rsid w:val="00961B38"/>
    <w:rsid w:val="00962764"/>
    <w:rsid w:val="00962F5F"/>
    <w:rsid w:val="009637EB"/>
    <w:rsid w:val="009639E7"/>
    <w:rsid w:val="00963A25"/>
    <w:rsid w:val="00963BA4"/>
    <w:rsid w:val="00963E23"/>
    <w:rsid w:val="00963EA8"/>
    <w:rsid w:val="009643BE"/>
    <w:rsid w:val="00964733"/>
    <w:rsid w:val="00966090"/>
    <w:rsid w:val="00966DF5"/>
    <w:rsid w:val="00967561"/>
    <w:rsid w:val="009701BB"/>
    <w:rsid w:val="009705B0"/>
    <w:rsid w:val="00970770"/>
    <w:rsid w:val="00970A14"/>
    <w:rsid w:val="009710F8"/>
    <w:rsid w:val="00971300"/>
    <w:rsid w:val="00971316"/>
    <w:rsid w:val="009714AC"/>
    <w:rsid w:val="0097164B"/>
    <w:rsid w:val="0097192E"/>
    <w:rsid w:val="00973B0A"/>
    <w:rsid w:val="00973C30"/>
    <w:rsid w:val="00973E4A"/>
    <w:rsid w:val="009742A5"/>
    <w:rsid w:val="009746CA"/>
    <w:rsid w:val="00974D0D"/>
    <w:rsid w:val="00974E43"/>
    <w:rsid w:val="00974E81"/>
    <w:rsid w:val="00974FA6"/>
    <w:rsid w:val="009758D7"/>
    <w:rsid w:val="00975BEB"/>
    <w:rsid w:val="0097736A"/>
    <w:rsid w:val="00977937"/>
    <w:rsid w:val="00977DD6"/>
    <w:rsid w:val="00977ED9"/>
    <w:rsid w:val="009802E0"/>
    <w:rsid w:val="00980945"/>
    <w:rsid w:val="00980B50"/>
    <w:rsid w:val="00981BBF"/>
    <w:rsid w:val="00983068"/>
    <w:rsid w:val="009836BE"/>
    <w:rsid w:val="0098459B"/>
    <w:rsid w:val="0098473B"/>
    <w:rsid w:val="00984B0E"/>
    <w:rsid w:val="0098531F"/>
    <w:rsid w:val="0098544A"/>
    <w:rsid w:val="00985CAA"/>
    <w:rsid w:val="00985DBE"/>
    <w:rsid w:val="0098657B"/>
    <w:rsid w:val="00986F75"/>
    <w:rsid w:val="009873AB"/>
    <w:rsid w:val="00987589"/>
    <w:rsid w:val="009879DE"/>
    <w:rsid w:val="00987FCB"/>
    <w:rsid w:val="00990158"/>
    <w:rsid w:val="00990266"/>
    <w:rsid w:val="0099129B"/>
    <w:rsid w:val="00992002"/>
    <w:rsid w:val="009926F0"/>
    <w:rsid w:val="00992734"/>
    <w:rsid w:val="0099285D"/>
    <w:rsid w:val="00992B44"/>
    <w:rsid w:val="00992DE3"/>
    <w:rsid w:val="0099386E"/>
    <w:rsid w:val="00993DEE"/>
    <w:rsid w:val="00993EBC"/>
    <w:rsid w:val="00994131"/>
    <w:rsid w:val="00994542"/>
    <w:rsid w:val="0099597B"/>
    <w:rsid w:val="00995CF0"/>
    <w:rsid w:val="00996260"/>
    <w:rsid w:val="00997176"/>
    <w:rsid w:val="00997527"/>
    <w:rsid w:val="00997EB8"/>
    <w:rsid w:val="009A1B72"/>
    <w:rsid w:val="009A1BA8"/>
    <w:rsid w:val="009A2C8B"/>
    <w:rsid w:val="009A2ED0"/>
    <w:rsid w:val="009A3397"/>
    <w:rsid w:val="009A344A"/>
    <w:rsid w:val="009A372A"/>
    <w:rsid w:val="009A3B1C"/>
    <w:rsid w:val="009A451C"/>
    <w:rsid w:val="009A456F"/>
    <w:rsid w:val="009A47E0"/>
    <w:rsid w:val="009A4A27"/>
    <w:rsid w:val="009A65EC"/>
    <w:rsid w:val="009A7678"/>
    <w:rsid w:val="009A798D"/>
    <w:rsid w:val="009A7CFC"/>
    <w:rsid w:val="009B025F"/>
    <w:rsid w:val="009B02D3"/>
    <w:rsid w:val="009B040E"/>
    <w:rsid w:val="009B0ECC"/>
    <w:rsid w:val="009B153A"/>
    <w:rsid w:val="009B15EB"/>
    <w:rsid w:val="009B1664"/>
    <w:rsid w:val="009B1EEB"/>
    <w:rsid w:val="009B2612"/>
    <w:rsid w:val="009B2644"/>
    <w:rsid w:val="009B3020"/>
    <w:rsid w:val="009B30F8"/>
    <w:rsid w:val="009B36C5"/>
    <w:rsid w:val="009B4E63"/>
    <w:rsid w:val="009B5C0D"/>
    <w:rsid w:val="009B75D2"/>
    <w:rsid w:val="009C073A"/>
    <w:rsid w:val="009C0B6E"/>
    <w:rsid w:val="009C108F"/>
    <w:rsid w:val="009C13E0"/>
    <w:rsid w:val="009C1458"/>
    <w:rsid w:val="009C1BA4"/>
    <w:rsid w:val="009C25E9"/>
    <w:rsid w:val="009C26E7"/>
    <w:rsid w:val="009C2746"/>
    <w:rsid w:val="009C349C"/>
    <w:rsid w:val="009C3C78"/>
    <w:rsid w:val="009C3CEB"/>
    <w:rsid w:val="009C3D80"/>
    <w:rsid w:val="009C4353"/>
    <w:rsid w:val="009C4373"/>
    <w:rsid w:val="009C492B"/>
    <w:rsid w:val="009C499E"/>
    <w:rsid w:val="009C4A0D"/>
    <w:rsid w:val="009C5198"/>
    <w:rsid w:val="009C54B7"/>
    <w:rsid w:val="009C56A3"/>
    <w:rsid w:val="009C5C5F"/>
    <w:rsid w:val="009C5D32"/>
    <w:rsid w:val="009C5D92"/>
    <w:rsid w:val="009C5F79"/>
    <w:rsid w:val="009C6005"/>
    <w:rsid w:val="009C6409"/>
    <w:rsid w:val="009C6737"/>
    <w:rsid w:val="009C7616"/>
    <w:rsid w:val="009C78C6"/>
    <w:rsid w:val="009D01E2"/>
    <w:rsid w:val="009D03F0"/>
    <w:rsid w:val="009D054A"/>
    <w:rsid w:val="009D0655"/>
    <w:rsid w:val="009D068F"/>
    <w:rsid w:val="009D0865"/>
    <w:rsid w:val="009D0AD3"/>
    <w:rsid w:val="009D0DB1"/>
    <w:rsid w:val="009D0F72"/>
    <w:rsid w:val="009D0F81"/>
    <w:rsid w:val="009D194B"/>
    <w:rsid w:val="009D1AFB"/>
    <w:rsid w:val="009D1D48"/>
    <w:rsid w:val="009D1E53"/>
    <w:rsid w:val="009D2818"/>
    <w:rsid w:val="009D2BD9"/>
    <w:rsid w:val="009D2C38"/>
    <w:rsid w:val="009D2F25"/>
    <w:rsid w:val="009D375F"/>
    <w:rsid w:val="009D3EF0"/>
    <w:rsid w:val="009D47AF"/>
    <w:rsid w:val="009D4969"/>
    <w:rsid w:val="009D5084"/>
    <w:rsid w:val="009D5979"/>
    <w:rsid w:val="009D61BD"/>
    <w:rsid w:val="009D6580"/>
    <w:rsid w:val="009D6FC5"/>
    <w:rsid w:val="009D73EF"/>
    <w:rsid w:val="009D79E3"/>
    <w:rsid w:val="009E002E"/>
    <w:rsid w:val="009E042B"/>
    <w:rsid w:val="009E06A3"/>
    <w:rsid w:val="009E092A"/>
    <w:rsid w:val="009E0CD7"/>
    <w:rsid w:val="009E15A1"/>
    <w:rsid w:val="009E27E2"/>
    <w:rsid w:val="009E2C52"/>
    <w:rsid w:val="009E2C8C"/>
    <w:rsid w:val="009E2F0B"/>
    <w:rsid w:val="009E3AC2"/>
    <w:rsid w:val="009E3C88"/>
    <w:rsid w:val="009E3F3F"/>
    <w:rsid w:val="009E5BC2"/>
    <w:rsid w:val="009E6533"/>
    <w:rsid w:val="009E6794"/>
    <w:rsid w:val="009E69F2"/>
    <w:rsid w:val="009E6C59"/>
    <w:rsid w:val="009E6F93"/>
    <w:rsid w:val="009E716E"/>
    <w:rsid w:val="009E71D4"/>
    <w:rsid w:val="009F00C9"/>
    <w:rsid w:val="009F0CCD"/>
    <w:rsid w:val="009F14AE"/>
    <w:rsid w:val="009F1542"/>
    <w:rsid w:val="009F15A3"/>
    <w:rsid w:val="009F1788"/>
    <w:rsid w:val="009F1A5F"/>
    <w:rsid w:val="009F1DF8"/>
    <w:rsid w:val="009F2240"/>
    <w:rsid w:val="009F22FD"/>
    <w:rsid w:val="009F23D7"/>
    <w:rsid w:val="009F266C"/>
    <w:rsid w:val="009F2942"/>
    <w:rsid w:val="009F32B5"/>
    <w:rsid w:val="009F3910"/>
    <w:rsid w:val="009F3993"/>
    <w:rsid w:val="009F3A12"/>
    <w:rsid w:val="009F3C05"/>
    <w:rsid w:val="009F3CC4"/>
    <w:rsid w:val="009F3CF0"/>
    <w:rsid w:val="009F3EE5"/>
    <w:rsid w:val="009F45AC"/>
    <w:rsid w:val="009F4664"/>
    <w:rsid w:val="009F4BD8"/>
    <w:rsid w:val="009F500C"/>
    <w:rsid w:val="009F5EDA"/>
    <w:rsid w:val="009F61DF"/>
    <w:rsid w:val="009F629C"/>
    <w:rsid w:val="009F6634"/>
    <w:rsid w:val="009F668F"/>
    <w:rsid w:val="009F66F3"/>
    <w:rsid w:val="009F671E"/>
    <w:rsid w:val="009F6A43"/>
    <w:rsid w:val="009F6A53"/>
    <w:rsid w:val="009F7556"/>
    <w:rsid w:val="009F75B7"/>
    <w:rsid w:val="009F7C58"/>
    <w:rsid w:val="009F7CF5"/>
    <w:rsid w:val="009F7D9F"/>
    <w:rsid w:val="00A00A0B"/>
    <w:rsid w:val="00A00C2A"/>
    <w:rsid w:val="00A00FF6"/>
    <w:rsid w:val="00A01159"/>
    <w:rsid w:val="00A01428"/>
    <w:rsid w:val="00A01455"/>
    <w:rsid w:val="00A01B58"/>
    <w:rsid w:val="00A01F40"/>
    <w:rsid w:val="00A024FB"/>
    <w:rsid w:val="00A02A44"/>
    <w:rsid w:val="00A02DC4"/>
    <w:rsid w:val="00A02DE0"/>
    <w:rsid w:val="00A031C4"/>
    <w:rsid w:val="00A037A6"/>
    <w:rsid w:val="00A03AC7"/>
    <w:rsid w:val="00A03D00"/>
    <w:rsid w:val="00A04FBE"/>
    <w:rsid w:val="00A050F0"/>
    <w:rsid w:val="00A0557B"/>
    <w:rsid w:val="00A05806"/>
    <w:rsid w:val="00A05ABB"/>
    <w:rsid w:val="00A05D3D"/>
    <w:rsid w:val="00A0667A"/>
    <w:rsid w:val="00A0672F"/>
    <w:rsid w:val="00A0714D"/>
    <w:rsid w:val="00A07287"/>
    <w:rsid w:val="00A072B1"/>
    <w:rsid w:val="00A100A2"/>
    <w:rsid w:val="00A113EA"/>
    <w:rsid w:val="00A11999"/>
    <w:rsid w:val="00A11D6D"/>
    <w:rsid w:val="00A12256"/>
    <w:rsid w:val="00A1266C"/>
    <w:rsid w:val="00A12792"/>
    <w:rsid w:val="00A12BF4"/>
    <w:rsid w:val="00A12EE5"/>
    <w:rsid w:val="00A133DF"/>
    <w:rsid w:val="00A136A8"/>
    <w:rsid w:val="00A1373C"/>
    <w:rsid w:val="00A137B3"/>
    <w:rsid w:val="00A13F4D"/>
    <w:rsid w:val="00A13FDC"/>
    <w:rsid w:val="00A144B5"/>
    <w:rsid w:val="00A1476B"/>
    <w:rsid w:val="00A147DF"/>
    <w:rsid w:val="00A14D1E"/>
    <w:rsid w:val="00A157AB"/>
    <w:rsid w:val="00A164AF"/>
    <w:rsid w:val="00A16DD6"/>
    <w:rsid w:val="00A16FCE"/>
    <w:rsid w:val="00A17750"/>
    <w:rsid w:val="00A204A9"/>
    <w:rsid w:val="00A20C4D"/>
    <w:rsid w:val="00A2204F"/>
    <w:rsid w:val="00A22A4C"/>
    <w:rsid w:val="00A22A97"/>
    <w:rsid w:val="00A22DF1"/>
    <w:rsid w:val="00A233C7"/>
    <w:rsid w:val="00A23FF6"/>
    <w:rsid w:val="00A2420D"/>
    <w:rsid w:val="00A24A48"/>
    <w:rsid w:val="00A24CE1"/>
    <w:rsid w:val="00A25995"/>
    <w:rsid w:val="00A2612C"/>
    <w:rsid w:val="00A269F0"/>
    <w:rsid w:val="00A276A0"/>
    <w:rsid w:val="00A27706"/>
    <w:rsid w:val="00A27773"/>
    <w:rsid w:val="00A27B16"/>
    <w:rsid w:val="00A3023B"/>
    <w:rsid w:val="00A30CE8"/>
    <w:rsid w:val="00A30D9A"/>
    <w:rsid w:val="00A318B9"/>
    <w:rsid w:val="00A31EEA"/>
    <w:rsid w:val="00A3201F"/>
    <w:rsid w:val="00A32686"/>
    <w:rsid w:val="00A32989"/>
    <w:rsid w:val="00A335A4"/>
    <w:rsid w:val="00A3369F"/>
    <w:rsid w:val="00A339CE"/>
    <w:rsid w:val="00A33A9C"/>
    <w:rsid w:val="00A33B85"/>
    <w:rsid w:val="00A351A8"/>
    <w:rsid w:val="00A351D0"/>
    <w:rsid w:val="00A35407"/>
    <w:rsid w:val="00A3566C"/>
    <w:rsid w:val="00A359E8"/>
    <w:rsid w:val="00A3605A"/>
    <w:rsid w:val="00A360EF"/>
    <w:rsid w:val="00A363C5"/>
    <w:rsid w:val="00A365C4"/>
    <w:rsid w:val="00A37448"/>
    <w:rsid w:val="00A4038C"/>
    <w:rsid w:val="00A4051F"/>
    <w:rsid w:val="00A405DF"/>
    <w:rsid w:val="00A40D98"/>
    <w:rsid w:val="00A40F05"/>
    <w:rsid w:val="00A418D2"/>
    <w:rsid w:val="00A42758"/>
    <w:rsid w:val="00A4289D"/>
    <w:rsid w:val="00A42AAC"/>
    <w:rsid w:val="00A42BDC"/>
    <w:rsid w:val="00A4327C"/>
    <w:rsid w:val="00A43C26"/>
    <w:rsid w:val="00A44BAB"/>
    <w:rsid w:val="00A44EA3"/>
    <w:rsid w:val="00A45731"/>
    <w:rsid w:val="00A469E1"/>
    <w:rsid w:val="00A46D4A"/>
    <w:rsid w:val="00A46FD9"/>
    <w:rsid w:val="00A47DDF"/>
    <w:rsid w:val="00A508F3"/>
    <w:rsid w:val="00A50957"/>
    <w:rsid w:val="00A50ACB"/>
    <w:rsid w:val="00A50CB0"/>
    <w:rsid w:val="00A51AB9"/>
    <w:rsid w:val="00A52805"/>
    <w:rsid w:val="00A5281A"/>
    <w:rsid w:val="00A531A4"/>
    <w:rsid w:val="00A534A5"/>
    <w:rsid w:val="00A53B1D"/>
    <w:rsid w:val="00A53EA5"/>
    <w:rsid w:val="00A543EB"/>
    <w:rsid w:val="00A54426"/>
    <w:rsid w:val="00A54492"/>
    <w:rsid w:val="00A54A8A"/>
    <w:rsid w:val="00A55FC9"/>
    <w:rsid w:val="00A5641A"/>
    <w:rsid w:val="00A56610"/>
    <w:rsid w:val="00A5683C"/>
    <w:rsid w:val="00A56874"/>
    <w:rsid w:val="00A5693B"/>
    <w:rsid w:val="00A572B6"/>
    <w:rsid w:val="00A60639"/>
    <w:rsid w:val="00A60902"/>
    <w:rsid w:val="00A60906"/>
    <w:rsid w:val="00A60B58"/>
    <w:rsid w:val="00A61435"/>
    <w:rsid w:val="00A615A0"/>
    <w:rsid w:val="00A61677"/>
    <w:rsid w:val="00A61AB1"/>
    <w:rsid w:val="00A61E50"/>
    <w:rsid w:val="00A62608"/>
    <w:rsid w:val="00A62F2E"/>
    <w:rsid w:val="00A63028"/>
    <w:rsid w:val="00A63162"/>
    <w:rsid w:val="00A6385E"/>
    <w:rsid w:val="00A63A4A"/>
    <w:rsid w:val="00A63B92"/>
    <w:rsid w:val="00A64545"/>
    <w:rsid w:val="00A650CB"/>
    <w:rsid w:val="00A651AD"/>
    <w:rsid w:val="00A65897"/>
    <w:rsid w:val="00A65F84"/>
    <w:rsid w:val="00A66561"/>
    <w:rsid w:val="00A6670A"/>
    <w:rsid w:val="00A6783B"/>
    <w:rsid w:val="00A706CA"/>
    <w:rsid w:val="00A70AC9"/>
    <w:rsid w:val="00A70CD0"/>
    <w:rsid w:val="00A70DF6"/>
    <w:rsid w:val="00A70F92"/>
    <w:rsid w:val="00A71381"/>
    <w:rsid w:val="00A71CF9"/>
    <w:rsid w:val="00A72AE3"/>
    <w:rsid w:val="00A72D93"/>
    <w:rsid w:val="00A730DC"/>
    <w:rsid w:val="00A73555"/>
    <w:rsid w:val="00A738EA"/>
    <w:rsid w:val="00A73A72"/>
    <w:rsid w:val="00A74280"/>
    <w:rsid w:val="00A743F3"/>
    <w:rsid w:val="00A7450D"/>
    <w:rsid w:val="00A74889"/>
    <w:rsid w:val="00A74941"/>
    <w:rsid w:val="00A7531C"/>
    <w:rsid w:val="00A75364"/>
    <w:rsid w:val="00A75B48"/>
    <w:rsid w:val="00A76F65"/>
    <w:rsid w:val="00A80CAF"/>
    <w:rsid w:val="00A816D7"/>
    <w:rsid w:val="00A81734"/>
    <w:rsid w:val="00A81CF8"/>
    <w:rsid w:val="00A81D2E"/>
    <w:rsid w:val="00A81E60"/>
    <w:rsid w:val="00A82040"/>
    <w:rsid w:val="00A823C8"/>
    <w:rsid w:val="00A82897"/>
    <w:rsid w:val="00A82E65"/>
    <w:rsid w:val="00A83076"/>
    <w:rsid w:val="00A83139"/>
    <w:rsid w:val="00A83978"/>
    <w:rsid w:val="00A844DC"/>
    <w:rsid w:val="00A84B71"/>
    <w:rsid w:val="00A85203"/>
    <w:rsid w:val="00A85455"/>
    <w:rsid w:val="00A85E32"/>
    <w:rsid w:val="00A85EA3"/>
    <w:rsid w:val="00A85F1B"/>
    <w:rsid w:val="00A86026"/>
    <w:rsid w:val="00A86165"/>
    <w:rsid w:val="00A865F6"/>
    <w:rsid w:val="00A86617"/>
    <w:rsid w:val="00A86618"/>
    <w:rsid w:val="00A87848"/>
    <w:rsid w:val="00A87A7C"/>
    <w:rsid w:val="00A87CFD"/>
    <w:rsid w:val="00A90409"/>
    <w:rsid w:val="00A91152"/>
    <w:rsid w:val="00A914D6"/>
    <w:rsid w:val="00A91715"/>
    <w:rsid w:val="00A92171"/>
    <w:rsid w:val="00A92BED"/>
    <w:rsid w:val="00A93CDA"/>
    <w:rsid w:val="00A94279"/>
    <w:rsid w:val="00A94405"/>
    <w:rsid w:val="00A9443A"/>
    <w:rsid w:val="00A94D41"/>
    <w:rsid w:val="00A951F8"/>
    <w:rsid w:val="00A955B7"/>
    <w:rsid w:val="00A958EE"/>
    <w:rsid w:val="00A95EDA"/>
    <w:rsid w:val="00A95F77"/>
    <w:rsid w:val="00A960AE"/>
    <w:rsid w:val="00A965DD"/>
    <w:rsid w:val="00A97183"/>
    <w:rsid w:val="00A978B2"/>
    <w:rsid w:val="00A97957"/>
    <w:rsid w:val="00A9799E"/>
    <w:rsid w:val="00A97D2C"/>
    <w:rsid w:val="00A97FCD"/>
    <w:rsid w:val="00AA0295"/>
    <w:rsid w:val="00AA05AE"/>
    <w:rsid w:val="00AA0B37"/>
    <w:rsid w:val="00AA0C93"/>
    <w:rsid w:val="00AA0E7D"/>
    <w:rsid w:val="00AA21EB"/>
    <w:rsid w:val="00AA28EF"/>
    <w:rsid w:val="00AA2B89"/>
    <w:rsid w:val="00AA3155"/>
    <w:rsid w:val="00AA33E9"/>
    <w:rsid w:val="00AA3587"/>
    <w:rsid w:val="00AA3622"/>
    <w:rsid w:val="00AA3B73"/>
    <w:rsid w:val="00AA3BCA"/>
    <w:rsid w:val="00AA3F22"/>
    <w:rsid w:val="00AA4142"/>
    <w:rsid w:val="00AA434D"/>
    <w:rsid w:val="00AA4596"/>
    <w:rsid w:val="00AA4B0D"/>
    <w:rsid w:val="00AA524B"/>
    <w:rsid w:val="00AA5A69"/>
    <w:rsid w:val="00AA5C78"/>
    <w:rsid w:val="00AA5C7C"/>
    <w:rsid w:val="00AA5FEB"/>
    <w:rsid w:val="00AA70D9"/>
    <w:rsid w:val="00AA73FA"/>
    <w:rsid w:val="00AA7BF4"/>
    <w:rsid w:val="00AB0516"/>
    <w:rsid w:val="00AB05CB"/>
    <w:rsid w:val="00AB0645"/>
    <w:rsid w:val="00AB06CC"/>
    <w:rsid w:val="00AB09A1"/>
    <w:rsid w:val="00AB0B5D"/>
    <w:rsid w:val="00AB0BEF"/>
    <w:rsid w:val="00AB0DB8"/>
    <w:rsid w:val="00AB10EF"/>
    <w:rsid w:val="00AB14E9"/>
    <w:rsid w:val="00AB1712"/>
    <w:rsid w:val="00AB1BFB"/>
    <w:rsid w:val="00AB1C06"/>
    <w:rsid w:val="00AB1DAB"/>
    <w:rsid w:val="00AB2007"/>
    <w:rsid w:val="00AB29C3"/>
    <w:rsid w:val="00AB2BDF"/>
    <w:rsid w:val="00AB2CFF"/>
    <w:rsid w:val="00AB3092"/>
    <w:rsid w:val="00AB343E"/>
    <w:rsid w:val="00AB36A5"/>
    <w:rsid w:val="00AB3C63"/>
    <w:rsid w:val="00AB401B"/>
    <w:rsid w:val="00AB401E"/>
    <w:rsid w:val="00AB4686"/>
    <w:rsid w:val="00AB4B23"/>
    <w:rsid w:val="00AB4B6F"/>
    <w:rsid w:val="00AB5792"/>
    <w:rsid w:val="00AB58FE"/>
    <w:rsid w:val="00AB5E27"/>
    <w:rsid w:val="00AB6023"/>
    <w:rsid w:val="00AB60E0"/>
    <w:rsid w:val="00AB6147"/>
    <w:rsid w:val="00AB6AFB"/>
    <w:rsid w:val="00AB6B69"/>
    <w:rsid w:val="00AB7424"/>
    <w:rsid w:val="00AB7CB1"/>
    <w:rsid w:val="00AC0446"/>
    <w:rsid w:val="00AC04C9"/>
    <w:rsid w:val="00AC1528"/>
    <w:rsid w:val="00AC1772"/>
    <w:rsid w:val="00AC18FF"/>
    <w:rsid w:val="00AC1A6B"/>
    <w:rsid w:val="00AC1F16"/>
    <w:rsid w:val="00AC2686"/>
    <w:rsid w:val="00AC27A9"/>
    <w:rsid w:val="00AC2C45"/>
    <w:rsid w:val="00AC2CC5"/>
    <w:rsid w:val="00AC39BB"/>
    <w:rsid w:val="00AC3B67"/>
    <w:rsid w:val="00AC3E0E"/>
    <w:rsid w:val="00AC40DA"/>
    <w:rsid w:val="00AC43AA"/>
    <w:rsid w:val="00AC4C99"/>
    <w:rsid w:val="00AC4EA2"/>
    <w:rsid w:val="00AC50DA"/>
    <w:rsid w:val="00AC5830"/>
    <w:rsid w:val="00AC5B5E"/>
    <w:rsid w:val="00AC5DC6"/>
    <w:rsid w:val="00AC5EA0"/>
    <w:rsid w:val="00AC607E"/>
    <w:rsid w:val="00AC6D07"/>
    <w:rsid w:val="00AC6DD8"/>
    <w:rsid w:val="00AC6FC6"/>
    <w:rsid w:val="00AC71A7"/>
    <w:rsid w:val="00AC7CD0"/>
    <w:rsid w:val="00AD0C0D"/>
    <w:rsid w:val="00AD10A6"/>
    <w:rsid w:val="00AD1126"/>
    <w:rsid w:val="00AD11F2"/>
    <w:rsid w:val="00AD14B8"/>
    <w:rsid w:val="00AD1D57"/>
    <w:rsid w:val="00AD1E87"/>
    <w:rsid w:val="00AD1E98"/>
    <w:rsid w:val="00AD1FD8"/>
    <w:rsid w:val="00AD2584"/>
    <w:rsid w:val="00AD28B5"/>
    <w:rsid w:val="00AD2D99"/>
    <w:rsid w:val="00AD2FC4"/>
    <w:rsid w:val="00AD359A"/>
    <w:rsid w:val="00AD3BA7"/>
    <w:rsid w:val="00AD3CC0"/>
    <w:rsid w:val="00AD44D6"/>
    <w:rsid w:val="00AD4862"/>
    <w:rsid w:val="00AD4C13"/>
    <w:rsid w:val="00AD4C8D"/>
    <w:rsid w:val="00AD4E78"/>
    <w:rsid w:val="00AD5CD1"/>
    <w:rsid w:val="00AD5F96"/>
    <w:rsid w:val="00AD7F64"/>
    <w:rsid w:val="00AE049D"/>
    <w:rsid w:val="00AE04C9"/>
    <w:rsid w:val="00AE0937"/>
    <w:rsid w:val="00AE10D0"/>
    <w:rsid w:val="00AE1102"/>
    <w:rsid w:val="00AE1176"/>
    <w:rsid w:val="00AE19C3"/>
    <w:rsid w:val="00AE2278"/>
    <w:rsid w:val="00AE290B"/>
    <w:rsid w:val="00AE29CD"/>
    <w:rsid w:val="00AE2DA1"/>
    <w:rsid w:val="00AE2FD8"/>
    <w:rsid w:val="00AE341F"/>
    <w:rsid w:val="00AE3449"/>
    <w:rsid w:val="00AE4683"/>
    <w:rsid w:val="00AE4A1C"/>
    <w:rsid w:val="00AE4F2C"/>
    <w:rsid w:val="00AE5227"/>
    <w:rsid w:val="00AE5AFF"/>
    <w:rsid w:val="00AE5DE6"/>
    <w:rsid w:val="00AE61A0"/>
    <w:rsid w:val="00AE6A85"/>
    <w:rsid w:val="00AE70D0"/>
    <w:rsid w:val="00AE73D3"/>
    <w:rsid w:val="00AE7766"/>
    <w:rsid w:val="00AE7E37"/>
    <w:rsid w:val="00AF0603"/>
    <w:rsid w:val="00AF0984"/>
    <w:rsid w:val="00AF0D5F"/>
    <w:rsid w:val="00AF0E82"/>
    <w:rsid w:val="00AF0FCE"/>
    <w:rsid w:val="00AF1576"/>
    <w:rsid w:val="00AF1715"/>
    <w:rsid w:val="00AF19F2"/>
    <w:rsid w:val="00AF20BC"/>
    <w:rsid w:val="00AF2622"/>
    <w:rsid w:val="00AF38FE"/>
    <w:rsid w:val="00AF3C29"/>
    <w:rsid w:val="00AF4146"/>
    <w:rsid w:val="00AF4BB2"/>
    <w:rsid w:val="00AF4DE1"/>
    <w:rsid w:val="00AF4E94"/>
    <w:rsid w:val="00AF57B9"/>
    <w:rsid w:val="00AF5C82"/>
    <w:rsid w:val="00AF5CED"/>
    <w:rsid w:val="00AF6EBF"/>
    <w:rsid w:val="00AF78D4"/>
    <w:rsid w:val="00AF79A8"/>
    <w:rsid w:val="00AF7F4C"/>
    <w:rsid w:val="00B005B6"/>
    <w:rsid w:val="00B00F2F"/>
    <w:rsid w:val="00B00FA9"/>
    <w:rsid w:val="00B01C9B"/>
    <w:rsid w:val="00B01F90"/>
    <w:rsid w:val="00B01FF8"/>
    <w:rsid w:val="00B01FFD"/>
    <w:rsid w:val="00B029BD"/>
    <w:rsid w:val="00B03BBC"/>
    <w:rsid w:val="00B0404F"/>
    <w:rsid w:val="00B047C5"/>
    <w:rsid w:val="00B048C9"/>
    <w:rsid w:val="00B04AED"/>
    <w:rsid w:val="00B04C99"/>
    <w:rsid w:val="00B04D30"/>
    <w:rsid w:val="00B0502C"/>
    <w:rsid w:val="00B05BE9"/>
    <w:rsid w:val="00B066B4"/>
    <w:rsid w:val="00B06C7C"/>
    <w:rsid w:val="00B06E88"/>
    <w:rsid w:val="00B070FB"/>
    <w:rsid w:val="00B07472"/>
    <w:rsid w:val="00B07735"/>
    <w:rsid w:val="00B079C1"/>
    <w:rsid w:val="00B1037E"/>
    <w:rsid w:val="00B10570"/>
    <w:rsid w:val="00B10A71"/>
    <w:rsid w:val="00B11B75"/>
    <w:rsid w:val="00B11C8C"/>
    <w:rsid w:val="00B11D61"/>
    <w:rsid w:val="00B11D93"/>
    <w:rsid w:val="00B11E36"/>
    <w:rsid w:val="00B12977"/>
    <w:rsid w:val="00B13CCE"/>
    <w:rsid w:val="00B13FD9"/>
    <w:rsid w:val="00B14035"/>
    <w:rsid w:val="00B14A04"/>
    <w:rsid w:val="00B15A37"/>
    <w:rsid w:val="00B15B98"/>
    <w:rsid w:val="00B15BB6"/>
    <w:rsid w:val="00B167E4"/>
    <w:rsid w:val="00B171F1"/>
    <w:rsid w:val="00B205CA"/>
    <w:rsid w:val="00B207D8"/>
    <w:rsid w:val="00B20C60"/>
    <w:rsid w:val="00B21963"/>
    <w:rsid w:val="00B222EA"/>
    <w:rsid w:val="00B22C1E"/>
    <w:rsid w:val="00B2310B"/>
    <w:rsid w:val="00B231E3"/>
    <w:rsid w:val="00B237B3"/>
    <w:rsid w:val="00B23A0B"/>
    <w:rsid w:val="00B24389"/>
    <w:rsid w:val="00B244DB"/>
    <w:rsid w:val="00B25402"/>
    <w:rsid w:val="00B25572"/>
    <w:rsid w:val="00B2599E"/>
    <w:rsid w:val="00B25C9B"/>
    <w:rsid w:val="00B26401"/>
    <w:rsid w:val="00B26636"/>
    <w:rsid w:val="00B26A3D"/>
    <w:rsid w:val="00B272BD"/>
    <w:rsid w:val="00B273C7"/>
    <w:rsid w:val="00B27A23"/>
    <w:rsid w:val="00B30D3A"/>
    <w:rsid w:val="00B30DF6"/>
    <w:rsid w:val="00B30FEE"/>
    <w:rsid w:val="00B314A9"/>
    <w:rsid w:val="00B323C4"/>
    <w:rsid w:val="00B32831"/>
    <w:rsid w:val="00B33BF8"/>
    <w:rsid w:val="00B33FE8"/>
    <w:rsid w:val="00B34415"/>
    <w:rsid w:val="00B34EF1"/>
    <w:rsid w:val="00B354C8"/>
    <w:rsid w:val="00B355AE"/>
    <w:rsid w:val="00B35D46"/>
    <w:rsid w:val="00B35DF3"/>
    <w:rsid w:val="00B3634E"/>
    <w:rsid w:val="00B366AA"/>
    <w:rsid w:val="00B369A0"/>
    <w:rsid w:val="00B36A87"/>
    <w:rsid w:val="00B36C5E"/>
    <w:rsid w:val="00B37059"/>
    <w:rsid w:val="00B3706A"/>
    <w:rsid w:val="00B379C4"/>
    <w:rsid w:val="00B40056"/>
    <w:rsid w:val="00B40460"/>
    <w:rsid w:val="00B407E7"/>
    <w:rsid w:val="00B40ED6"/>
    <w:rsid w:val="00B41CE2"/>
    <w:rsid w:val="00B41CE4"/>
    <w:rsid w:val="00B4216E"/>
    <w:rsid w:val="00B42177"/>
    <w:rsid w:val="00B42C7A"/>
    <w:rsid w:val="00B4332D"/>
    <w:rsid w:val="00B43547"/>
    <w:rsid w:val="00B43974"/>
    <w:rsid w:val="00B43DF9"/>
    <w:rsid w:val="00B449AE"/>
    <w:rsid w:val="00B44BDD"/>
    <w:rsid w:val="00B45158"/>
    <w:rsid w:val="00B4530A"/>
    <w:rsid w:val="00B45660"/>
    <w:rsid w:val="00B464E1"/>
    <w:rsid w:val="00B469F6"/>
    <w:rsid w:val="00B46A8C"/>
    <w:rsid w:val="00B46B0C"/>
    <w:rsid w:val="00B46B80"/>
    <w:rsid w:val="00B47253"/>
    <w:rsid w:val="00B47320"/>
    <w:rsid w:val="00B47793"/>
    <w:rsid w:val="00B47AE5"/>
    <w:rsid w:val="00B503E5"/>
    <w:rsid w:val="00B5045E"/>
    <w:rsid w:val="00B50E8B"/>
    <w:rsid w:val="00B51EA6"/>
    <w:rsid w:val="00B51EEB"/>
    <w:rsid w:val="00B52E7E"/>
    <w:rsid w:val="00B53452"/>
    <w:rsid w:val="00B536FF"/>
    <w:rsid w:val="00B5418F"/>
    <w:rsid w:val="00B54C2D"/>
    <w:rsid w:val="00B54CAA"/>
    <w:rsid w:val="00B54D23"/>
    <w:rsid w:val="00B55195"/>
    <w:rsid w:val="00B5541C"/>
    <w:rsid w:val="00B555E2"/>
    <w:rsid w:val="00B56651"/>
    <w:rsid w:val="00B570FC"/>
    <w:rsid w:val="00B57A7E"/>
    <w:rsid w:val="00B57C0A"/>
    <w:rsid w:val="00B605DC"/>
    <w:rsid w:val="00B60D64"/>
    <w:rsid w:val="00B60E0F"/>
    <w:rsid w:val="00B61DB6"/>
    <w:rsid w:val="00B61E9A"/>
    <w:rsid w:val="00B62250"/>
    <w:rsid w:val="00B62891"/>
    <w:rsid w:val="00B62BFD"/>
    <w:rsid w:val="00B636D8"/>
    <w:rsid w:val="00B63AEA"/>
    <w:rsid w:val="00B646B3"/>
    <w:rsid w:val="00B64E70"/>
    <w:rsid w:val="00B65008"/>
    <w:rsid w:val="00B65276"/>
    <w:rsid w:val="00B65759"/>
    <w:rsid w:val="00B65B7D"/>
    <w:rsid w:val="00B65C74"/>
    <w:rsid w:val="00B66687"/>
    <w:rsid w:val="00B668F6"/>
    <w:rsid w:val="00B66BFC"/>
    <w:rsid w:val="00B678AE"/>
    <w:rsid w:val="00B67B59"/>
    <w:rsid w:val="00B67C3E"/>
    <w:rsid w:val="00B67E46"/>
    <w:rsid w:val="00B70490"/>
    <w:rsid w:val="00B707B7"/>
    <w:rsid w:val="00B70B2F"/>
    <w:rsid w:val="00B70D73"/>
    <w:rsid w:val="00B711A8"/>
    <w:rsid w:val="00B71280"/>
    <w:rsid w:val="00B71AC5"/>
    <w:rsid w:val="00B722F7"/>
    <w:rsid w:val="00B72404"/>
    <w:rsid w:val="00B72537"/>
    <w:rsid w:val="00B72577"/>
    <w:rsid w:val="00B72C9D"/>
    <w:rsid w:val="00B72D46"/>
    <w:rsid w:val="00B734E4"/>
    <w:rsid w:val="00B737CC"/>
    <w:rsid w:val="00B73B2E"/>
    <w:rsid w:val="00B73D2B"/>
    <w:rsid w:val="00B73D2E"/>
    <w:rsid w:val="00B7556A"/>
    <w:rsid w:val="00B75645"/>
    <w:rsid w:val="00B765B3"/>
    <w:rsid w:val="00B769F6"/>
    <w:rsid w:val="00B7709F"/>
    <w:rsid w:val="00B770C7"/>
    <w:rsid w:val="00B77711"/>
    <w:rsid w:val="00B807BC"/>
    <w:rsid w:val="00B80A68"/>
    <w:rsid w:val="00B814B4"/>
    <w:rsid w:val="00B81554"/>
    <w:rsid w:val="00B81787"/>
    <w:rsid w:val="00B8198E"/>
    <w:rsid w:val="00B81A71"/>
    <w:rsid w:val="00B81C7D"/>
    <w:rsid w:val="00B82D1F"/>
    <w:rsid w:val="00B831DF"/>
    <w:rsid w:val="00B83DDA"/>
    <w:rsid w:val="00B84433"/>
    <w:rsid w:val="00B84750"/>
    <w:rsid w:val="00B8589B"/>
    <w:rsid w:val="00B85F3D"/>
    <w:rsid w:val="00B86168"/>
    <w:rsid w:val="00B8687A"/>
    <w:rsid w:val="00B86BBF"/>
    <w:rsid w:val="00B87082"/>
    <w:rsid w:val="00B87538"/>
    <w:rsid w:val="00B87FF5"/>
    <w:rsid w:val="00B9020E"/>
    <w:rsid w:val="00B9188C"/>
    <w:rsid w:val="00B91A05"/>
    <w:rsid w:val="00B91B7A"/>
    <w:rsid w:val="00B91C75"/>
    <w:rsid w:val="00B92ED2"/>
    <w:rsid w:val="00B9315D"/>
    <w:rsid w:val="00B931A2"/>
    <w:rsid w:val="00B93234"/>
    <w:rsid w:val="00B933C1"/>
    <w:rsid w:val="00B93423"/>
    <w:rsid w:val="00B93B84"/>
    <w:rsid w:val="00B9452A"/>
    <w:rsid w:val="00B945C0"/>
    <w:rsid w:val="00B945FB"/>
    <w:rsid w:val="00B94DB8"/>
    <w:rsid w:val="00B95579"/>
    <w:rsid w:val="00B955F2"/>
    <w:rsid w:val="00B95F54"/>
    <w:rsid w:val="00B963A8"/>
    <w:rsid w:val="00B96919"/>
    <w:rsid w:val="00B97110"/>
    <w:rsid w:val="00B97284"/>
    <w:rsid w:val="00B97386"/>
    <w:rsid w:val="00B97455"/>
    <w:rsid w:val="00B97ABE"/>
    <w:rsid w:val="00BA00B6"/>
    <w:rsid w:val="00BA08C9"/>
    <w:rsid w:val="00BA10AC"/>
    <w:rsid w:val="00BA174D"/>
    <w:rsid w:val="00BA217A"/>
    <w:rsid w:val="00BA3492"/>
    <w:rsid w:val="00BA3E4D"/>
    <w:rsid w:val="00BA3E95"/>
    <w:rsid w:val="00BA3F14"/>
    <w:rsid w:val="00BA42B9"/>
    <w:rsid w:val="00BA4375"/>
    <w:rsid w:val="00BA4583"/>
    <w:rsid w:val="00BA4C16"/>
    <w:rsid w:val="00BA4F5D"/>
    <w:rsid w:val="00BA53F2"/>
    <w:rsid w:val="00BA53FC"/>
    <w:rsid w:val="00BA5509"/>
    <w:rsid w:val="00BA5558"/>
    <w:rsid w:val="00BA5D76"/>
    <w:rsid w:val="00BA618B"/>
    <w:rsid w:val="00BA6407"/>
    <w:rsid w:val="00BA6B9D"/>
    <w:rsid w:val="00BA6D8D"/>
    <w:rsid w:val="00BA6FCA"/>
    <w:rsid w:val="00BA7475"/>
    <w:rsid w:val="00BA7717"/>
    <w:rsid w:val="00BA79B3"/>
    <w:rsid w:val="00BB0177"/>
    <w:rsid w:val="00BB0456"/>
    <w:rsid w:val="00BB073C"/>
    <w:rsid w:val="00BB0FCA"/>
    <w:rsid w:val="00BB0FE2"/>
    <w:rsid w:val="00BB100D"/>
    <w:rsid w:val="00BB1205"/>
    <w:rsid w:val="00BB14B1"/>
    <w:rsid w:val="00BB16AA"/>
    <w:rsid w:val="00BB175D"/>
    <w:rsid w:val="00BB1E39"/>
    <w:rsid w:val="00BB23F1"/>
    <w:rsid w:val="00BB26A4"/>
    <w:rsid w:val="00BB29FD"/>
    <w:rsid w:val="00BB2DE6"/>
    <w:rsid w:val="00BB2F38"/>
    <w:rsid w:val="00BB3935"/>
    <w:rsid w:val="00BB3AFD"/>
    <w:rsid w:val="00BB4533"/>
    <w:rsid w:val="00BB491A"/>
    <w:rsid w:val="00BB49C8"/>
    <w:rsid w:val="00BB4F08"/>
    <w:rsid w:val="00BB59D6"/>
    <w:rsid w:val="00BB61FA"/>
    <w:rsid w:val="00BB62BF"/>
    <w:rsid w:val="00BB67B1"/>
    <w:rsid w:val="00BB690B"/>
    <w:rsid w:val="00BB6DEE"/>
    <w:rsid w:val="00BB6E3E"/>
    <w:rsid w:val="00BB7578"/>
    <w:rsid w:val="00BB78FD"/>
    <w:rsid w:val="00BC02B9"/>
    <w:rsid w:val="00BC03C6"/>
    <w:rsid w:val="00BC04FF"/>
    <w:rsid w:val="00BC08AE"/>
    <w:rsid w:val="00BC0D87"/>
    <w:rsid w:val="00BC104B"/>
    <w:rsid w:val="00BC139F"/>
    <w:rsid w:val="00BC189C"/>
    <w:rsid w:val="00BC1B93"/>
    <w:rsid w:val="00BC2A9C"/>
    <w:rsid w:val="00BC2D94"/>
    <w:rsid w:val="00BC2DA5"/>
    <w:rsid w:val="00BC307F"/>
    <w:rsid w:val="00BC3457"/>
    <w:rsid w:val="00BC3577"/>
    <w:rsid w:val="00BC39A1"/>
    <w:rsid w:val="00BC3BEF"/>
    <w:rsid w:val="00BC3D8A"/>
    <w:rsid w:val="00BC42BB"/>
    <w:rsid w:val="00BC481A"/>
    <w:rsid w:val="00BC4F2C"/>
    <w:rsid w:val="00BC52B0"/>
    <w:rsid w:val="00BC550E"/>
    <w:rsid w:val="00BC5C3B"/>
    <w:rsid w:val="00BC6062"/>
    <w:rsid w:val="00BC627A"/>
    <w:rsid w:val="00BC62F0"/>
    <w:rsid w:val="00BC6FAC"/>
    <w:rsid w:val="00BC739C"/>
    <w:rsid w:val="00BC7649"/>
    <w:rsid w:val="00BC7F40"/>
    <w:rsid w:val="00BD01D1"/>
    <w:rsid w:val="00BD0963"/>
    <w:rsid w:val="00BD0EE1"/>
    <w:rsid w:val="00BD1309"/>
    <w:rsid w:val="00BD13FB"/>
    <w:rsid w:val="00BD1B75"/>
    <w:rsid w:val="00BD1B88"/>
    <w:rsid w:val="00BD2538"/>
    <w:rsid w:val="00BD27B9"/>
    <w:rsid w:val="00BD2B20"/>
    <w:rsid w:val="00BD3128"/>
    <w:rsid w:val="00BD337D"/>
    <w:rsid w:val="00BD4355"/>
    <w:rsid w:val="00BD4669"/>
    <w:rsid w:val="00BD56AB"/>
    <w:rsid w:val="00BD57C7"/>
    <w:rsid w:val="00BD593C"/>
    <w:rsid w:val="00BD66AE"/>
    <w:rsid w:val="00BD6745"/>
    <w:rsid w:val="00BD6883"/>
    <w:rsid w:val="00BD694E"/>
    <w:rsid w:val="00BD6955"/>
    <w:rsid w:val="00BD6CE1"/>
    <w:rsid w:val="00BD6D75"/>
    <w:rsid w:val="00BD6F4D"/>
    <w:rsid w:val="00BD6FA2"/>
    <w:rsid w:val="00BD6FE7"/>
    <w:rsid w:val="00BD7027"/>
    <w:rsid w:val="00BD72CD"/>
    <w:rsid w:val="00BD7882"/>
    <w:rsid w:val="00BE0829"/>
    <w:rsid w:val="00BE099A"/>
    <w:rsid w:val="00BE0B9C"/>
    <w:rsid w:val="00BE0C90"/>
    <w:rsid w:val="00BE13F6"/>
    <w:rsid w:val="00BE15D0"/>
    <w:rsid w:val="00BE180C"/>
    <w:rsid w:val="00BE1D34"/>
    <w:rsid w:val="00BE1F79"/>
    <w:rsid w:val="00BE2192"/>
    <w:rsid w:val="00BE2BDD"/>
    <w:rsid w:val="00BE2C9B"/>
    <w:rsid w:val="00BE317F"/>
    <w:rsid w:val="00BE3FEC"/>
    <w:rsid w:val="00BE4808"/>
    <w:rsid w:val="00BE542C"/>
    <w:rsid w:val="00BE5D02"/>
    <w:rsid w:val="00BE5EA4"/>
    <w:rsid w:val="00BE61A1"/>
    <w:rsid w:val="00BE634F"/>
    <w:rsid w:val="00BE6676"/>
    <w:rsid w:val="00BE6AA7"/>
    <w:rsid w:val="00BE6FDE"/>
    <w:rsid w:val="00BE70BD"/>
    <w:rsid w:val="00BE7386"/>
    <w:rsid w:val="00BE78D6"/>
    <w:rsid w:val="00BE7EDE"/>
    <w:rsid w:val="00BF05DA"/>
    <w:rsid w:val="00BF073C"/>
    <w:rsid w:val="00BF1ACE"/>
    <w:rsid w:val="00BF1C4F"/>
    <w:rsid w:val="00BF1CE8"/>
    <w:rsid w:val="00BF2782"/>
    <w:rsid w:val="00BF28E6"/>
    <w:rsid w:val="00BF3224"/>
    <w:rsid w:val="00BF3253"/>
    <w:rsid w:val="00BF3773"/>
    <w:rsid w:val="00BF388D"/>
    <w:rsid w:val="00BF3FD3"/>
    <w:rsid w:val="00BF40A4"/>
    <w:rsid w:val="00BF4376"/>
    <w:rsid w:val="00BF4C5A"/>
    <w:rsid w:val="00BF4C83"/>
    <w:rsid w:val="00BF4D71"/>
    <w:rsid w:val="00BF5166"/>
    <w:rsid w:val="00BF5215"/>
    <w:rsid w:val="00BF57CD"/>
    <w:rsid w:val="00BF5840"/>
    <w:rsid w:val="00BF586A"/>
    <w:rsid w:val="00BF5AD4"/>
    <w:rsid w:val="00BF5F26"/>
    <w:rsid w:val="00BF6DD7"/>
    <w:rsid w:val="00BF7700"/>
    <w:rsid w:val="00BF7DDD"/>
    <w:rsid w:val="00C01730"/>
    <w:rsid w:val="00C01963"/>
    <w:rsid w:val="00C02109"/>
    <w:rsid w:val="00C0288D"/>
    <w:rsid w:val="00C02FFF"/>
    <w:rsid w:val="00C043B5"/>
    <w:rsid w:val="00C046A7"/>
    <w:rsid w:val="00C0486C"/>
    <w:rsid w:val="00C048E3"/>
    <w:rsid w:val="00C04970"/>
    <w:rsid w:val="00C04B14"/>
    <w:rsid w:val="00C04D1C"/>
    <w:rsid w:val="00C05091"/>
    <w:rsid w:val="00C05AB3"/>
    <w:rsid w:val="00C0611D"/>
    <w:rsid w:val="00C06A5F"/>
    <w:rsid w:val="00C06ABF"/>
    <w:rsid w:val="00C07061"/>
    <w:rsid w:val="00C07130"/>
    <w:rsid w:val="00C07739"/>
    <w:rsid w:val="00C07AE5"/>
    <w:rsid w:val="00C07AEC"/>
    <w:rsid w:val="00C07B9D"/>
    <w:rsid w:val="00C07EE8"/>
    <w:rsid w:val="00C10514"/>
    <w:rsid w:val="00C113F4"/>
    <w:rsid w:val="00C114CC"/>
    <w:rsid w:val="00C11675"/>
    <w:rsid w:val="00C11A07"/>
    <w:rsid w:val="00C128F6"/>
    <w:rsid w:val="00C12C4E"/>
    <w:rsid w:val="00C137B7"/>
    <w:rsid w:val="00C1395D"/>
    <w:rsid w:val="00C13A1E"/>
    <w:rsid w:val="00C14279"/>
    <w:rsid w:val="00C144E3"/>
    <w:rsid w:val="00C14618"/>
    <w:rsid w:val="00C147DD"/>
    <w:rsid w:val="00C151A0"/>
    <w:rsid w:val="00C159C3"/>
    <w:rsid w:val="00C167E1"/>
    <w:rsid w:val="00C16CC9"/>
    <w:rsid w:val="00C17C7D"/>
    <w:rsid w:val="00C17D1A"/>
    <w:rsid w:val="00C20011"/>
    <w:rsid w:val="00C20BC8"/>
    <w:rsid w:val="00C219F9"/>
    <w:rsid w:val="00C21C5E"/>
    <w:rsid w:val="00C22400"/>
    <w:rsid w:val="00C23231"/>
    <w:rsid w:val="00C23559"/>
    <w:rsid w:val="00C2366B"/>
    <w:rsid w:val="00C24363"/>
    <w:rsid w:val="00C243C8"/>
    <w:rsid w:val="00C24510"/>
    <w:rsid w:val="00C24556"/>
    <w:rsid w:val="00C24664"/>
    <w:rsid w:val="00C256A5"/>
    <w:rsid w:val="00C25EC0"/>
    <w:rsid w:val="00C264C0"/>
    <w:rsid w:val="00C2671C"/>
    <w:rsid w:val="00C26E86"/>
    <w:rsid w:val="00C26F73"/>
    <w:rsid w:val="00C270EF"/>
    <w:rsid w:val="00C271DF"/>
    <w:rsid w:val="00C276EC"/>
    <w:rsid w:val="00C27E0D"/>
    <w:rsid w:val="00C27E4D"/>
    <w:rsid w:val="00C27EFA"/>
    <w:rsid w:val="00C27F66"/>
    <w:rsid w:val="00C27FF7"/>
    <w:rsid w:val="00C305CB"/>
    <w:rsid w:val="00C313BD"/>
    <w:rsid w:val="00C31917"/>
    <w:rsid w:val="00C31D58"/>
    <w:rsid w:val="00C32159"/>
    <w:rsid w:val="00C328A1"/>
    <w:rsid w:val="00C328F0"/>
    <w:rsid w:val="00C32DB4"/>
    <w:rsid w:val="00C33506"/>
    <w:rsid w:val="00C3385A"/>
    <w:rsid w:val="00C3388D"/>
    <w:rsid w:val="00C34699"/>
    <w:rsid w:val="00C3494B"/>
    <w:rsid w:val="00C34A70"/>
    <w:rsid w:val="00C35277"/>
    <w:rsid w:val="00C35A8A"/>
    <w:rsid w:val="00C35E4F"/>
    <w:rsid w:val="00C35EA9"/>
    <w:rsid w:val="00C35EE6"/>
    <w:rsid w:val="00C36B80"/>
    <w:rsid w:val="00C36E2F"/>
    <w:rsid w:val="00C40718"/>
    <w:rsid w:val="00C40A95"/>
    <w:rsid w:val="00C40AC1"/>
    <w:rsid w:val="00C40D3F"/>
    <w:rsid w:val="00C40EB6"/>
    <w:rsid w:val="00C40FA8"/>
    <w:rsid w:val="00C4101D"/>
    <w:rsid w:val="00C41AC6"/>
    <w:rsid w:val="00C422B7"/>
    <w:rsid w:val="00C42EDA"/>
    <w:rsid w:val="00C434B3"/>
    <w:rsid w:val="00C434B8"/>
    <w:rsid w:val="00C44166"/>
    <w:rsid w:val="00C449C3"/>
    <w:rsid w:val="00C453A4"/>
    <w:rsid w:val="00C458E3"/>
    <w:rsid w:val="00C45B81"/>
    <w:rsid w:val="00C460D5"/>
    <w:rsid w:val="00C46BDD"/>
    <w:rsid w:val="00C4731F"/>
    <w:rsid w:val="00C47E79"/>
    <w:rsid w:val="00C500BA"/>
    <w:rsid w:val="00C50D59"/>
    <w:rsid w:val="00C513B0"/>
    <w:rsid w:val="00C51E4D"/>
    <w:rsid w:val="00C52D9E"/>
    <w:rsid w:val="00C530A5"/>
    <w:rsid w:val="00C538EE"/>
    <w:rsid w:val="00C53D40"/>
    <w:rsid w:val="00C544A0"/>
    <w:rsid w:val="00C548F0"/>
    <w:rsid w:val="00C549E9"/>
    <w:rsid w:val="00C553CE"/>
    <w:rsid w:val="00C55A20"/>
    <w:rsid w:val="00C55D72"/>
    <w:rsid w:val="00C55E89"/>
    <w:rsid w:val="00C55FB6"/>
    <w:rsid w:val="00C5609B"/>
    <w:rsid w:val="00C5626C"/>
    <w:rsid w:val="00C569CA"/>
    <w:rsid w:val="00C57028"/>
    <w:rsid w:val="00C5754A"/>
    <w:rsid w:val="00C57A29"/>
    <w:rsid w:val="00C57D2B"/>
    <w:rsid w:val="00C609A7"/>
    <w:rsid w:val="00C60BD3"/>
    <w:rsid w:val="00C61D1B"/>
    <w:rsid w:val="00C62180"/>
    <w:rsid w:val="00C621D4"/>
    <w:rsid w:val="00C62243"/>
    <w:rsid w:val="00C6272A"/>
    <w:rsid w:val="00C62BA7"/>
    <w:rsid w:val="00C62BE8"/>
    <w:rsid w:val="00C62BEF"/>
    <w:rsid w:val="00C62BF0"/>
    <w:rsid w:val="00C6306D"/>
    <w:rsid w:val="00C641AB"/>
    <w:rsid w:val="00C6454A"/>
    <w:rsid w:val="00C64A57"/>
    <w:rsid w:val="00C64B1B"/>
    <w:rsid w:val="00C650E1"/>
    <w:rsid w:val="00C65376"/>
    <w:rsid w:val="00C653E9"/>
    <w:rsid w:val="00C65CEC"/>
    <w:rsid w:val="00C65F8D"/>
    <w:rsid w:val="00C65FCA"/>
    <w:rsid w:val="00C665E0"/>
    <w:rsid w:val="00C66643"/>
    <w:rsid w:val="00C66F1D"/>
    <w:rsid w:val="00C67184"/>
    <w:rsid w:val="00C67DE5"/>
    <w:rsid w:val="00C70E01"/>
    <w:rsid w:val="00C712E7"/>
    <w:rsid w:val="00C71B6C"/>
    <w:rsid w:val="00C726DD"/>
    <w:rsid w:val="00C72BCD"/>
    <w:rsid w:val="00C73C91"/>
    <w:rsid w:val="00C74CB5"/>
    <w:rsid w:val="00C751D9"/>
    <w:rsid w:val="00C75BCE"/>
    <w:rsid w:val="00C75CE6"/>
    <w:rsid w:val="00C76402"/>
    <w:rsid w:val="00C765F8"/>
    <w:rsid w:val="00C76946"/>
    <w:rsid w:val="00C76A63"/>
    <w:rsid w:val="00C76C4A"/>
    <w:rsid w:val="00C76DF5"/>
    <w:rsid w:val="00C76F83"/>
    <w:rsid w:val="00C771ED"/>
    <w:rsid w:val="00C774BC"/>
    <w:rsid w:val="00C77833"/>
    <w:rsid w:val="00C7791B"/>
    <w:rsid w:val="00C77A2A"/>
    <w:rsid w:val="00C77B4D"/>
    <w:rsid w:val="00C80344"/>
    <w:rsid w:val="00C80427"/>
    <w:rsid w:val="00C8089B"/>
    <w:rsid w:val="00C809D2"/>
    <w:rsid w:val="00C80E6E"/>
    <w:rsid w:val="00C80E7F"/>
    <w:rsid w:val="00C81307"/>
    <w:rsid w:val="00C81BB1"/>
    <w:rsid w:val="00C823F5"/>
    <w:rsid w:val="00C825C1"/>
    <w:rsid w:val="00C83451"/>
    <w:rsid w:val="00C84011"/>
    <w:rsid w:val="00C84150"/>
    <w:rsid w:val="00C84530"/>
    <w:rsid w:val="00C849FA"/>
    <w:rsid w:val="00C84D96"/>
    <w:rsid w:val="00C856A1"/>
    <w:rsid w:val="00C85BE1"/>
    <w:rsid w:val="00C85EFB"/>
    <w:rsid w:val="00C85F3C"/>
    <w:rsid w:val="00C8622C"/>
    <w:rsid w:val="00C867F7"/>
    <w:rsid w:val="00C86AE8"/>
    <w:rsid w:val="00C86EF5"/>
    <w:rsid w:val="00C8747B"/>
    <w:rsid w:val="00C87B9A"/>
    <w:rsid w:val="00C90C23"/>
    <w:rsid w:val="00C90D2E"/>
    <w:rsid w:val="00C90D81"/>
    <w:rsid w:val="00C914EF"/>
    <w:rsid w:val="00C91A64"/>
    <w:rsid w:val="00C922BB"/>
    <w:rsid w:val="00C92486"/>
    <w:rsid w:val="00C9266F"/>
    <w:rsid w:val="00C92C71"/>
    <w:rsid w:val="00C92EB0"/>
    <w:rsid w:val="00C93096"/>
    <w:rsid w:val="00C93EAF"/>
    <w:rsid w:val="00C943AD"/>
    <w:rsid w:val="00C94D89"/>
    <w:rsid w:val="00C9527B"/>
    <w:rsid w:val="00C96389"/>
    <w:rsid w:val="00C96410"/>
    <w:rsid w:val="00C96794"/>
    <w:rsid w:val="00C967D1"/>
    <w:rsid w:val="00C968DF"/>
    <w:rsid w:val="00C96B7C"/>
    <w:rsid w:val="00C96D18"/>
    <w:rsid w:val="00C973AD"/>
    <w:rsid w:val="00C974A0"/>
    <w:rsid w:val="00C977EF"/>
    <w:rsid w:val="00CA01D8"/>
    <w:rsid w:val="00CA0271"/>
    <w:rsid w:val="00CA0D7A"/>
    <w:rsid w:val="00CA186B"/>
    <w:rsid w:val="00CA197D"/>
    <w:rsid w:val="00CA20C4"/>
    <w:rsid w:val="00CA2BB6"/>
    <w:rsid w:val="00CA3BDD"/>
    <w:rsid w:val="00CA4922"/>
    <w:rsid w:val="00CA5195"/>
    <w:rsid w:val="00CA56F5"/>
    <w:rsid w:val="00CA577D"/>
    <w:rsid w:val="00CA5B4C"/>
    <w:rsid w:val="00CA5C0C"/>
    <w:rsid w:val="00CA6032"/>
    <w:rsid w:val="00CA6078"/>
    <w:rsid w:val="00CA6242"/>
    <w:rsid w:val="00CA63D2"/>
    <w:rsid w:val="00CA6411"/>
    <w:rsid w:val="00CA6EF9"/>
    <w:rsid w:val="00CA6F92"/>
    <w:rsid w:val="00CA71C4"/>
    <w:rsid w:val="00CA7B76"/>
    <w:rsid w:val="00CA7B9F"/>
    <w:rsid w:val="00CB00C8"/>
    <w:rsid w:val="00CB1893"/>
    <w:rsid w:val="00CB1E67"/>
    <w:rsid w:val="00CB24CC"/>
    <w:rsid w:val="00CB2D01"/>
    <w:rsid w:val="00CB2DFB"/>
    <w:rsid w:val="00CB3671"/>
    <w:rsid w:val="00CB383A"/>
    <w:rsid w:val="00CB3AE8"/>
    <w:rsid w:val="00CB4068"/>
    <w:rsid w:val="00CB514A"/>
    <w:rsid w:val="00CB51E4"/>
    <w:rsid w:val="00CB565A"/>
    <w:rsid w:val="00CB5A4A"/>
    <w:rsid w:val="00CB5C8F"/>
    <w:rsid w:val="00CB61C7"/>
    <w:rsid w:val="00CB62AE"/>
    <w:rsid w:val="00CB62B8"/>
    <w:rsid w:val="00CB66AC"/>
    <w:rsid w:val="00CB69E0"/>
    <w:rsid w:val="00CB69F0"/>
    <w:rsid w:val="00CB6BDB"/>
    <w:rsid w:val="00CB6F6E"/>
    <w:rsid w:val="00CB732E"/>
    <w:rsid w:val="00CB7846"/>
    <w:rsid w:val="00CB7E42"/>
    <w:rsid w:val="00CC12F0"/>
    <w:rsid w:val="00CC12F9"/>
    <w:rsid w:val="00CC1460"/>
    <w:rsid w:val="00CC1B3A"/>
    <w:rsid w:val="00CC1B59"/>
    <w:rsid w:val="00CC2375"/>
    <w:rsid w:val="00CC2694"/>
    <w:rsid w:val="00CC2801"/>
    <w:rsid w:val="00CC288A"/>
    <w:rsid w:val="00CC2A05"/>
    <w:rsid w:val="00CC49B5"/>
    <w:rsid w:val="00CC5102"/>
    <w:rsid w:val="00CC59C6"/>
    <w:rsid w:val="00CC6226"/>
    <w:rsid w:val="00CC7049"/>
    <w:rsid w:val="00CC7901"/>
    <w:rsid w:val="00CC7C15"/>
    <w:rsid w:val="00CC7C52"/>
    <w:rsid w:val="00CC7C76"/>
    <w:rsid w:val="00CD0029"/>
    <w:rsid w:val="00CD0363"/>
    <w:rsid w:val="00CD0C0B"/>
    <w:rsid w:val="00CD0E53"/>
    <w:rsid w:val="00CD0E85"/>
    <w:rsid w:val="00CD1DDF"/>
    <w:rsid w:val="00CD21FD"/>
    <w:rsid w:val="00CD22B9"/>
    <w:rsid w:val="00CD22E9"/>
    <w:rsid w:val="00CD2463"/>
    <w:rsid w:val="00CD294A"/>
    <w:rsid w:val="00CD33E3"/>
    <w:rsid w:val="00CD3805"/>
    <w:rsid w:val="00CD4604"/>
    <w:rsid w:val="00CD4792"/>
    <w:rsid w:val="00CD4A17"/>
    <w:rsid w:val="00CD64FD"/>
    <w:rsid w:val="00CD6F87"/>
    <w:rsid w:val="00CD70DE"/>
    <w:rsid w:val="00CD72F5"/>
    <w:rsid w:val="00CD7B91"/>
    <w:rsid w:val="00CD7F24"/>
    <w:rsid w:val="00CE0ED2"/>
    <w:rsid w:val="00CE0F01"/>
    <w:rsid w:val="00CE11DC"/>
    <w:rsid w:val="00CE13E2"/>
    <w:rsid w:val="00CE1498"/>
    <w:rsid w:val="00CE1726"/>
    <w:rsid w:val="00CE1F5F"/>
    <w:rsid w:val="00CE279F"/>
    <w:rsid w:val="00CE27CE"/>
    <w:rsid w:val="00CE2F59"/>
    <w:rsid w:val="00CE33B7"/>
    <w:rsid w:val="00CE3ADA"/>
    <w:rsid w:val="00CE3C23"/>
    <w:rsid w:val="00CE45ED"/>
    <w:rsid w:val="00CE4E05"/>
    <w:rsid w:val="00CE4E0C"/>
    <w:rsid w:val="00CE5AB9"/>
    <w:rsid w:val="00CE6AD9"/>
    <w:rsid w:val="00CE7191"/>
    <w:rsid w:val="00CE723C"/>
    <w:rsid w:val="00CE75DD"/>
    <w:rsid w:val="00CE780B"/>
    <w:rsid w:val="00CE7DD4"/>
    <w:rsid w:val="00CF0366"/>
    <w:rsid w:val="00CF044B"/>
    <w:rsid w:val="00CF06CE"/>
    <w:rsid w:val="00CF0A85"/>
    <w:rsid w:val="00CF1C88"/>
    <w:rsid w:val="00CF1CC9"/>
    <w:rsid w:val="00CF2B0A"/>
    <w:rsid w:val="00CF35EC"/>
    <w:rsid w:val="00CF3768"/>
    <w:rsid w:val="00CF3784"/>
    <w:rsid w:val="00CF3B7E"/>
    <w:rsid w:val="00CF3B9F"/>
    <w:rsid w:val="00CF4FFA"/>
    <w:rsid w:val="00CF5325"/>
    <w:rsid w:val="00CF573A"/>
    <w:rsid w:val="00CF6308"/>
    <w:rsid w:val="00CF7069"/>
    <w:rsid w:val="00CF7323"/>
    <w:rsid w:val="00CF73CD"/>
    <w:rsid w:val="00CF75A3"/>
    <w:rsid w:val="00CF75AD"/>
    <w:rsid w:val="00CF7A19"/>
    <w:rsid w:val="00CF7E30"/>
    <w:rsid w:val="00D0030A"/>
    <w:rsid w:val="00D00AD4"/>
    <w:rsid w:val="00D00B30"/>
    <w:rsid w:val="00D00C12"/>
    <w:rsid w:val="00D00C24"/>
    <w:rsid w:val="00D00C2D"/>
    <w:rsid w:val="00D019D2"/>
    <w:rsid w:val="00D02850"/>
    <w:rsid w:val="00D029BD"/>
    <w:rsid w:val="00D02B09"/>
    <w:rsid w:val="00D02C59"/>
    <w:rsid w:val="00D02D4D"/>
    <w:rsid w:val="00D043F0"/>
    <w:rsid w:val="00D05756"/>
    <w:rsid w:val="00D05E7A"/>
    <w:rsid w:val="00D05F0F"/>
    <w:rsid w:val="00D06413"/>
    <w:rsid w:val="00D0643E"/>
    <w:rsid w:val="00D0662D"/>
    <w:rsid w:val="00D06E76"/>
    <w:rsid w:val="00D06F4E"/>
    <w:rsid w:val="00D07255"/>
    <w:rsid w:val="00D07309"/>
    <w:rsid w:val="00D074AF"/>
    <w:rsid w:val="00D076E5"/>
    <w:rsid w:val="00D07E47"/>
    <w:rsid w:val="00D07EB4"/>
    <w:rsid w:val="00D1013B"/>
    <w:rsid w:val="00D105AE"/>
    <w:rsid w:val="00D10A0A"/>
    <w:rsid w:val="00D11B7C"/>
    <w:rsid w:val="00D11F47"/>
    <w:rsid w:val="00D12339"/>
    <w:rsid w:val="00D12896"/>
    <w:rsid w:val="00D12D40"/>
    <w:rsid w:val="00D12F26"/>
    <w:rsid w:val="00D1307A"/>
    <w:rsid w:val="00D141DE"/>
    <w:rsid w:val="00D148B5"/>
    <w:rsid w:val="00D14906"/>
    <w:rsid w:val="00D15FEE"/>
    <w:rsid w:val="00D16259"/>
    <w:rsid w:val="00D1631C"/>
    <w:rsid w:val="00D16BC5"/>
    <w:rsid w:val="00D17E1E"/>
    <w:rsid w:val="00D17EEE"/>
    <w:rsid w:val="00D20C11"/>
    <w:rsid w:val="00D21432"/>
    <w:rsid w:val="00D2238B"/>
    <w:rsid w:val="00D22437"/>
    <w:rsid w:val="00D22ACA"/>
    <w:rsid w:val="00D23CEC"/>
    <w:rsid w:val="00D246CC"/>
    <w:rsid w:val="00D24D8C"/>
    <w:rsid w:val="00D24E64"/>
    <w:rsid w:val="00D2509D"/>
    <w:rsid w:val="00D250BD"/>
    <w:rsid w:val="00D25B1F"/>
    <w:rsid w:val="00D25D2E"/>
    <w:rsid w:val="00D25E19"/>
    <w:rsid w:val="00D26752"/>
    <w:rsid w:val="00D26B7A"/>
    <w:rsid w:val="00D26D3D"/>
    <w:rsid w:val="00D27402"/>
    <w:rsid w:val="00D27492"/>
    <w:rsid w:val="00D2754D"/>
    <w:rsid w:val="00D2758D"/>
    <w:rsid w:val="00D277CB"/>
    <w:rsid w:val="00D277E7"/>
    <w:rsid w:val="00D27BF4"/>
    <w:rsid w:val="00D27DC1"/>
    <w:rsid w:val="00D30444"/>
    <w:rsid w:val="00D3072E"/>
    <w:rsid w:val="00D31333"/>
    <w:rsid w:val="00D31A3F"/>
    <w:rsid w:val="00D324D2"/>
    <w:rsid w:val="00D33362"/>
    <w:rsid w:val="00D339C9"/>
    <w:rsid w:val="00D33BA9"/>
    <w:rsid w:val="00D33F7A"/>
    <w:rsid w:val="00D343D3"/>
    <w:rsid w:val="00D343EB"/>
    <w:rsid w:val="00D34472"/>
    <w:rsid w:val="00D34CB1"/>
    <w:rsid w:val="00D34E0D"/>
    <w:rsid w:val="00D34F59"/>
    <w:rsid w:val="00D35623"/>
    <w:rsid w:val="00D3578A"/>
    <w:rsid w:val="00D35DDE"/>
    <w:rsid w:val="00D37439"/>
    <w:rsid w:val="00D40063"/>
    <w:rsid w:val="00D40459"/>
    <w:rsid w:val="00D41597"/>
    <w:rsid w:val="00D415F0"/>
    <w:rsid w:val="00D41960"/>
    <w:rsid w:val="00D42005"/>
    <w:rsid w:val="00D420EC"/>
    <w:rsid w:val="00D42F07"/>
    <w:rsid w:val="00D43173"/>
    <w:rsid w:val="00D4394A"/>
    <w:rsid w:val="00D43D91"/>
    <w:rsid w:val="00D446B6"/>
    <w:rsid w:val="00D448B3"/>
    <w:rsid w:val="00D44B2F"/>
    <w:rsid w:val="00D4507A"/>
    <w:rsid w:val="00D45561"/>
    <w:rsid w:val="00D45A22"/>
    <w:rsid w:val="00D45A97"/>
    <w:rsid w:val="00D46174"/>
    <w:rsid w:val="00D46322"/>
    <w:rsid w:val="00D464AF"/>
    <w:rsid w:val="00D46B09"/>
    <w:rsid w:val="00D46DCE"/>
    <w:rsid w:val="00D46FEF"/>
    <w:rsid w:val="00D4718F"/>
    <w:rsid w:val="00D472BD"/>
    <w:rsid w:val="00D47D71"/>
    <w:rsid w:val="00D509A0"/>
    <w:rsid w:val="00D50E34"/>
    <w:rsid w:val="00D511EA"/>
    <w:rsid w:val="00D51351"/>
    <w:rsid w:val="00D5251B"/>
    <w:rsid w:val="00D5262C"/>
    <w:rsid w:val="00D543B1"/>
    <w:rsid w:val="00D54D8E"/>
    <w:rsid w:val="00D55492"/>
    <w:rsid w:val="00D55653"/>
    <w:rsid w:val="00D56039"/>
    <w:rsid w:val="00D5632E"/>
    <w:rsid w:val="00D56AFC"/>
    <w:rsid w:val="00D56BA7"/>
    <w:rsid w:val="00D56BE0"/>
    <w:rsid w:val="00D5704B"/>
    <w:rsid w:val="00D60125"/>
    <w:rsid w:val="00D60798"/>
    <w:rsid w:val="00D609C2"/>
    <w:rsid w:val="00D60F3B"/>
    <w:rsid w:val="00D61A66"/>
    <w:rsid w:val="00D61E82"/>
    <w:rsid w:val="00D6246F"/>
    <w:rsid w:val="00D62688"/>
    <w:rsid w:val="00D63215"/>
    <w:rsid w:val="00D63347"/>
    <w:rsid w:val="00D633FA"/>
    <w:rsid w:val="00D6351B"/>
    <w:rsid w:val="00D644E3"/>
    <w:rsid w:val="00D64B1F"/>
    <w:rsid w:val="00D64DB7"/>
    <w:rsid w:val="00D655BA"/>
    <w:rsid w:val="00D659F4"/>
    <w:rsid w:val="00D66317"/>
    <w:rsid w:val="00D67727"/>
    <w:rsid w:val="00D678AD"/>
    <w:rsid w:val="00D70FC9"/>
    <w:rsid w:val="00D7129F"/>
    <w:rsid w:val="00D71FE2"/>
    <w:rsid w:val="00D73388"/>
    <w:rsid w:val="00D73460"/>
    <w:rsid w:val="00D7346B"/>
    <w:rsid w:val="00D754C5"/>
    <w:rsid w:val="00D75563"/>
    <w:rsid w:val="00D75694"/>
    <w:rsid w:val="00D75B8F"/>
    <w:rsid w:val="00D75F47"/>
    <w:rsid w:val="00D7667C"/>
    <w:rsid w:val="00D76D59"/>
    <w:rsid w:val="00D77051"/>
    <w:rsid w:val="00D771F8"/>
    <w:rsid w:val="00D77AF3"/>
    <w:rsid w:val="00D77C8E"/>
    <w:rsid w:val="00D77D46"/>
    <w:rsid w:val="00D80019"/>
    <w:rsid w:val="00D8015E"/>
    <w:rsid w:val="00D8026B"/>
    <w:rsid w:val="00D80420"/>
    <w:rsid w:val="00D8048D"/>
    <w:rsid w:val="00D805E3"/>
    <w:rsid w:val="00D808AA"/>
    <w:rsid w:val="00D81DB1"/>
    <w:rsid w:val="00D821FB"/>
    <w:rsid w:val="00D822B4"/>
    <w:rsid w:val="00D82978"/>
    <w:rsid w:val="00D83D85"/>
    <w:rsid w:val="00D83F51"/>
    <w:rsid w:val="00D8432C"/>
    <w:rsid w:val="00D847B2"/>
    <w:rsid w:val="00D84D01"/>
    <w:rsid w:val="00D85036"/>
    <w:rsid w:val="00D85251"/>
    <w:rsid w:val="00D85A32"/>
    <w:rsid w:val="00D85A70"/>
    <w:rsid w:val="00D85D5B"/>
    <w:rsid w:val="00D8697E"/>
    <w:rsid w:val="00D87046"/>
    <w:rsid w:val="00D87078"/>
    <w:rsid w:val="00D8730A"/>
    <w:rsid w:val="00D87747"/>
    <w:rsid w:val="00D8779E"/>
    <w:rsid w:val="00D87FCC"/>
    <w:rsid w:val="00D9007E"/>
    <w:rsid w:val="00D901D7"/>
    <w:rsid w:val="00D906E4"/>
    <w:rsid w:val="00D910FA"/>
    <w:rsid w:val="00D91271"/>
    <w:rsid w:val="00D91F63"/>
    <w:rsid w:val="00D92770"/>
    <w:rsid w:val="00D93142"/>
    <w:rsid w:val="00D93951"/>
    <w:rsid w:val="00D93DDF"/>
    <w:rsid w:val="00D94282"/>
    <w:rsid w:val="00D944D9"/>
    <w:rsid w:val="00D95646"/>
    <w:rsid w:val="00D95B10"/>
    <w:rsid w:val="00D96E19"/>
    <w:rsid w:val="00DA0672"/>
    <w:rsid w:val="00DA0CDB"/>
    <w:rsid w:val="00DA0D8B"/>
    <w:rsid w:val="00DA0E86"/>
    <w:rsid w:val="00DA1131"/>
    <w:rsid w:val="00DA1B50"/>
    <w:rsid w:val="00DA1D26"/>
    <w:rsid w:val="00DA2008"/>
    <w:rsid w:val="00DA22AA"/>
    <w:rsid w:val="00DA345F"/>
    <w:rsid w:val="00DA3C7B"/>
    <w:rsid w:val="00DA3F8D"/>
    <w:rsid w:val="00DA45AF"/>
    <w:rsid w:val="00DA4C15"/>
    <w:rsid w:val="00DA4CCA"/>
    <w:rsid w:val="00DA4CF2"/>
    <w:rsid w:val="00DA533D"/>
    <w:rsid w:val="00DA6E26"/>
    <w:rsid w:val="00DA70EC"/>
    <w:rsid w:val="00DA7782"/>
    <w:rsid w:val="00DA789E"/>
    <w:rsid w:val="00DA7B3C"/>
    <w:rsid w:val="00DA7B81"/>
    <w:rsid w:val="00DA7C6E"/>
    <w:rsid w:val="00DA7DE3"/>
    <w:rsid w:val="00DA7E16"/>
    <w:rsid w:val="00DB05D4"/>
    <w:rsid w:val="00DB09EE"/>
    <w:rsid w:val="00DB1745"/>
    <w:rsid w:val="00DB18C1"/>
    <w:rsid w:val="00DB1B00"/>
    <w:rsid w:val="00DB2A47"/>
    <w:rsid w:val="00DB2FB3"/>
    <w:rsid w:val="00DB302C"/>
    <w:rsid w:val="00DB3423"/>
    <w:rsid w:val="00DB3EA9"/>
    <w:rsid w:val="00DB43FB"/>
    <w:rsid w:val="00DB48E7"/>
    <w:rsid w:val="00DB4932"/>
    <w:rsid w:val="00DB4E77"/>
    <w:rsid w:val="00DB695D"/>
    <w:rsid w:val="00DB698F"/>
    <w:rsid w:val="00DB7517"/>
    <w:rsid w:val="00DB7824"/>
    <w:rsid w:val="00DB7B75"/>
    <w:rsid w:val="00DC0BA3"/>
    <w:rsid w:val="00DC0C2D"/>
    <w:rsid w:val="00DC15DD"/>
    <w:rsid w:val="00DC254D"/>
    <w:rsid w:val="00DC3678"/>
    <w:rsid w:val="00DC3EF0"/>
    <w:rsid w:val="00DC43C6"/>
    <w:rsid w:val="00DC4BA1"/>
    <w:rsid w:val="00DC53D0"/>
    <w:rsid w:val="00DC5F12"/>
    <w:rsid w:val="00DC6048"/>
    <w:rsid w:val="00DC60DE"/>
    <w:rsid w:val="00DC6403"/>
    <w:rsid w:val="00DC64AA"/>
    <w:rsid w:val="00DC6810"/>
    <w:rsid w:val="00DC6BD6"/>
    <w:rsid w:val="00DC6D36"/>
    <w:rsid w:val="00DC6D4A"/>
    <w:rsid w:val="00DC71A0"/>
    <w:rsid w:val="00DC7324"/>
    <w:rsid w:val="00DC7440"/>
    <w:rsid w:val="00DC7B87"/>
    <w:rsid w:val="00DD00E9"/>
    <w:rsid w:val="00DD0301"/>
    <w:rsid w:val="00DD0599"/>
    <w:rsid w:val="00DD060C"/>
    <w:rsid w:val="00DD0676"/>
    <w:rsid w:val="00DD06E6"/>
    <w:rsid w:val="00DD06F9"/>
    <w:rsid w:val="00DD0895"/>
    <w:rsid w:val="00DD08E4"/>
    <w:rsid w:val="00DD13C7"/>
    <w:rsid w:val="00DD2016"/>
    <w:rsid w:val="00DD292D"/>
    <w:rsid w:val="00DD2997"/>
    <w:rsid w:val="00DD2CCC"/>
    <w:rsid w:val="00DD2F94"/>
    <w:rsid w:val="00DD30F3"/>
    <w:rsid w:val="00DD3191"/>
    <w:rsid w:val="00DD31E1"/>
    <w:rsid w:val="00DD3773"/>
    <w:rsid w:val="00DD38E9"/>
    <w:rsid w:val="00DD3A56"/>
    <w:rsid w:val="00DD3A9B"/>
    <w:rsid w:val="00DD3B88"/>
    <w:rsid w:val="00DD4F82"/>
    <w:rsid w:val="00DD5259"/>
    <w:rsid w:val="00DD66CE"/>
    <w:rsid w:val="00DD6847"/>
    <w:rsid w:val="00DD7817"/>
    <w:rsid w:val="00DE0219"/>
    <w:rsid w:val="00DE040E"/>
    <w:rsid w:val="00DE0498"/>
    <w:rsid w:val="00DE0789"/>
    <w:rsid w:val="00DE0C33"/>
    <w:rsid w:val="00DE0E0C"/>
    <w:rsid w:val="00DE16C0"/>
    <w:rsid w:val="00DE19B7"/>
    <w:rsid w:val="00DE1A04"/>
    <w:rsid w:val="00DE1B08"/>
    <w:rsid w:val="00DE22C0"/>
    <w:rsid w:val="00DE2309"/>
    <w:rsid w:val="00DE24CB"/>
    <w:rsid w:val="00DE2FCE"/>
    <w:rsid w:val="00DE3171"/>
    <w:rsid w:val="00DE34F4"/>
    <w:rsid w:val="00DE4341"/>
    <w:rsid w:val="00DE4C32"/>
    <w:rsid w:val="00DE4C82"/>
    <w:rsid w:val="00DE4D2B"/>
    <w:rsid w:val="00DE53E5"/>
    <w:rsid w:val="00DE55C9"/>
    <w:rsid w:val="00DE57AA"/>
    <w:rsid w:val="00DE5F9F"/>
    <w:rsid w:val="00DE6C2B"/>
    <w:rsid w:val="00DE6CAB"/>
    <w:rsid w:val="00DE730B"/>
    <w:rsid w:val="00DE73F9"/>
    <w:rsid w:val="00DE7494"/>
    <w:rsid w:val="00DE7631"/>
    <w:rsid w:val="00DE7F99"/>
    <w:rsid w:val="00DE7FE0"/>
    <w:rsid w:val="00DF010B"/>
    <w:rsid w:val="00DF05F9"/>
    <w:rsid w:val="00DF0756"/>
    <w:rsid w:val="00DF0BA7"/>
    <w:rsid w:val="00DF0BCB"/>
    <w:rsid w:val="00DF0C3F"/>
    <w:rsid w:val="00DF0F0A"/>
    <w:rsid w:val="00DF18D1"/>
    <w:rsid w:val="00DF23AF"/>
    <w:rsid w:val="00DF2794"/>
    <w:rsid w:val="00DF39C6"/>
    <w:rsid w:val="00DF3B16"/>
    <w:rsid w:val="00DF5968"/>
    <w:rsid w:val="00DF598E"/>
    <w:rsid w:val="00DF63B2"/>
    <w:rsid w:val="00DF7107"/>
    <w:rsid w:val="00DF7C1E"/>
    <w:rsid w:val="00DF7EBA"/>
    <w:rsid w:val="00DF7F46"/>
    <w:rsid w:val="00E00278"/>
    <w:rsid w:val="00E0075F"/>
    <w:rsid w:val="00E00A75"/>
    <w:rsid w:val="00E00DC6"/>
    <w:rsid w:val="00E018B4"/>
    <w:rsid w:val="00E02484"/>
    <w:rsid w:val="00E03661"/>
    <w:rsid w:val="00E03CD5"/>
    <w:rsid w:val="00E04873"/>
    <w:rsid w:val="00E052FF"/>
    <w:rsid w:val="00E0599B"/>
    <w:rsid w:val="00E06275"/>
    <w:rsid w:val="00E06636"/>
    <w:rsid w:val="00E100AC"/>
    <w:rsid w:val="00E10640"/>
    <w:rsid w:val="00E106C5"/>
    <w:rsid w:val="00E106CE"/>
    <w:rsid w:val="00E1071E"/>
    <w:rsid w:val="00E11D7E"/>
    <w:rsid w:val="00E121A2"/>
    <w:rsid w:val="00E124A9"/>
    <w:rsid w:val="00E131FB"/>
    <w:rsid w:val="00E13345"/>
    <w:rsid w:val="00E13591"/>
    <w:rsid w:val="00E1496D"/>
    <w:rsid w:val="00E14D24"/>
    <w:rsid w:val="00E14F1A"/>
    <w:rsid w:val="00E158F5"/>
    <w:rsid w:val="00E15DC6"/>
    <w:rsid w:val="00E1626F"/>
    <w:rsid w:val="00E1666F"/>
    <w:rsid w:val="00E16F98"/>
    <w:rsid w:val="00E17177"/>
    <w:rsid w:val="00E201C5"/>
    <w:rsid w:val="00E20748"/>
    <w:rsid w:val="00E20AA1"/>
    <w:rsid w:val="00E20AE2"/>
    <w:rsid w:val="00E20C62"/>
    <w:rsid w:val="00E20DEC"/>
    <w:rsid w:val="00E20E0A"/>
    <w:rsid w:val="00E22496"/>
    <w:rsid w:val="00E22AF2"/>
    <w:rsid w:val="00E2366E"/>
    <w:rsid w:val="00E236FB"/>
    <w:rsid w:val="00E23A74"/>
    <w:rsid w:val="00E24006"/>
    <w:rsid w:val="00E24391"/>
    <w:rsid w:val="00E24924"/>
    <w:rsid w:val="00E249D0"/>
    <w:rsid w:val="00E2521A"/>
    <w:rsid w:val="00E252C4"/>
    <w:rsid w:val="00E25933"/>
    <w:rsid w:val="00E25992"/>
    <w:rsid w:val="00E25C48"/>
    <w:rsid w:val="00E26039"/>
    <w:rsid w:val="00E263E2"/>
    <w:rsid w:val="00E26B86"/>
    <w:rsid w:val="00E27649"/>
    <w:rsid w:val="00E277F4"/>
    <w:rsid w:val="00E27AC1"/>
    <w:rsid w:val="00E3030B"/>
    <w:rsid w:val="00E308BC"/>
    <w:rsid w:val="00E3096E"/>
    <w:rsid w:val="00E30BE1"/>
    <w:rsid w:val="00E3103F"/>
    <w:rsid w:val="00E31375"/>
    <w:rsid w:val="00E315C4"/>
    <w:rsid w:val="00E31945"/>
    <w:rsid w:val="00E31B09"/>
    <w:rsid w:val="00E323E3"/>
    <w:rsid w:val="00E324C4"/>
    <w:rsid w:val="00E32704"/>
    <w:rsid w:val="00E32A28"/>
    <w:rsid w:val="00E3324F"/>
    <w:rsid w:val="00E33B47"/>
    <w:rsid w:val="00E340B9"/>
    <w:rsid w:val="00E343EF"/>
    <w:rsid w:val="00E34C32"/>
    <w:rsid w:val="00E3523F"/>
    <w:rsid w:val="00E352AC"/>
    <w:rsid w:val="00E354C6"/>
    <w:rsid w:val="00E36D26"/>
    <w:rsid w:val="00E36E52"/>
    <w:rsid w:val="00E36F6E"/>
    <w:rsid w:val="00E37252"/>
    <w:rsid w:val="00E379F2"/>
    <w:rsid w:val="00E4006B"/>
    <w:rsid w:val="00E40CC3"/>
    <w:rsid w:val="00E40D7C"/>
    <w:rsid w:val="00E411F4"/>
    <w:rsid w:val="00E41220"/>
    <w:rsid w:val="00E4137F"/>
    <w:rsid w:val="00E4174B"/>
    <w:rsid w:val="00E41E08"/>
    <w:rsid w:val="00E41E3C"/>
    <w:rsid w:val="00E42003"/>
    <w:rsid w:val="00E4203C"/>
    <w:rsid w:val="00E42170"/>
    <w:rsid w:val="00E42288"/>
    <w:rsid w:val="00E42443"/>
    <w:rsid w:val="00E430C8"/>
    <w:rsid w:val="00E4313F"/>
    <w:rsid w:val="00E4390C"/>
    <w:rsid w:val="00E43BF1"/>
    <w:rsid w:val="00E44093"/>
    <w:rsid w:val="00E44180"/>
    <w:rsid w:val="00E4440C"/>
    <w:rsid w:val="00E459A6"/>
    <w:rsid w:val="00E45B89"/>
    <w:rsid w:val="00E4616A"/>
    <w:rsid w:val="00E46B6D"/>
    <w:rsid w:val="00E47857"/>
    <w:rsid w:val="00E47DD8"/>
    <w:rsid w:val="00E50018"/>
    <w:rsid w:val="00E504B7"/>
    <w:rsid w:val="00E504FE"/>
    <w:rsid w:val="00E50567"/>
    <w:rsid w:val="00E50EE2"/>
    <w:rsid w:val="00E51164"/>
    <w:rsid w:val="00E512A0"/>
    <w:rsid w:val="00E513F6"/>
    <w:rsid w:val="00E51600"/>
    <w:rsid w:val="00E51D93"/>
    <w:rsid w:val="00E5240B"/>
    <w:rsid w:val="00E52D74"/>
    <w:rsid w:val="00E52E26"/>
    <w:rsid w:val="00E53574"/>
    <w:rsid w:val="00E5469A"/>
    <w:rsid w:val="00E5477F"/>
    <w:rsid w:val="00E54AF9"/>
    <w:rsid w:val="00E54C7C"/>
    <w:rsid w:val="00E54EFF"/>
    <w:rsid w:val="00E557F9"/>
    <w:rsid w:val="00E559C1"/>
    <w:rsid w:val="00E5614D"/>
    <w:rsid w:val="00E5641F"/>
    <w:rsid w:val="00E56C2D"/>
    <w:rsid w:val="00E572EE"/>
    <w:rsid w:val="00E6009C"/>
    <w:rsid w:val="00E606D7"/>
    <w:rsid w:val="00E60D47"/>
    <w:rsid w:val="00E60E50"/>
    <w:rsid w:val="00E60E85"/>
    <w:rsid w:val="00E60F87"/>
    <w:rsid w:val="00E62EAE"/>
    <w:rsid w:val="00E63E0C"/>
    <w:rsid w:val="00E6426B"/>
    <w:rsid w:val="00E64571"/>
    <w:rsid w:val="00E64B21"/>
    <w:rsid w:val="00E64B6B"/>
    <w:rsid w:val="00E65B57"/>
    <w:rsid w:val="00E661F1"/>
    <w:rsid w:val="00E664AC"/>
    <w:rsid w:val="00E664E2"/>
    <w:rsid w:val="00E66A45"/>
    <w:rsid w:val="00E6708F"/>
    <w:rsid w:val="00E676D7"/>
    <w:rsid w:val="00E67939"/>
    <w:rsid w:val="00E71387"/>
    <w:rsid w:val="00E72029"/>
    <w:rsid w:val="00E72335"/>
    <w:rsid w:val="00E725CE"/>
    <w:rsid w:val="00E72EE7"/>
    <w:rsid w:val="00E73350"/>
    <w:rsid w:val="00E740B1"/>
    <w:rsid w:val="00E748B1"/>
    <w:rsid w:val="00E749CF"/>
    <w:rsid w:val="00E74D0D"/>
    <w:rsid w:val="00E753E9"/>
    <w:rsid w:val="00E773B6"/>
    <w:rsid w:val="00E77718"/>
    <w:rsid w:val="00E7778E"/>
    <w:rsid w:val="00E77CAD"/>
    <w:rsid w:val="00E77CBF"/>
    <w:rsid w:val="00E77CCB"/>
    <w:rsid w:val="00E77E83"/>
    <w:rsid w:val="00E8012E"/>
    <w:rsid w:val="00E80C19"/>
    <w:rsid w:val="00E80E8F"/>
    <w:rsid w:val="00E81167"/>
    <w:rsid w:val="00E8188E"/>
    <w:rsid w:val="00E8244D"/>
    <w:rsid w:val="00E82F81"/>
    <w:rsid w:val="00E833AD"/>
    <w:rsid w:val="00E8370A"/>
    <w:rsid w:val="00E8392D"/>
    <w:rsid w:val="00E83973"/>
    <w:rsid w:val="00E8397A"/>
    <w:rsid w:val="00E83E16"/>
    <w:rsid w:val="00E84062"/>
    <w:rsid w:val="00E84961"/>
    <w:rsid w:val="00E85D9D"/>
    <w:rsid w:val="00E861A1"/>
    <w:rsid w:val="00E86269"/>
    <w:rsid w:val="00E862C2"/>
    <w:rsid w:val="00E86711"/>
    <w:rsid w:val="00E86833"/>
    <w:rsid w:val="00E86B56"/>
    <w:rsid w:val="00E86C9F"/>
    <w:rsid w:val="00E8713D"/>
    <w:rsid w:val="00E87579"/>
    <w:rsid w:val="00E87B08"/>
    <w:rsid w:val="00E900E6"/>
    <w:rsid w:val="00E90198"/>
    <w:rsid w:val="00E903D7"/>
    <w:rsid w:val="00E904E8"/>
    <w:rsid w:val="00E90658"/>
    <w:rsid w:val="00E90776"/>
    <w:rsid w:val="00E913D2"/>
    <w:rsid w:val="00E92C53"/>
    <w:rsid w:val="00E939BD"/>
    <w:rsid w:val="00E93B13"/>
    <w:rsid w:val="00E93BCA"/>
    <w:rsid w:val="00E94A70"/>
    <w:rsid w:val="00E94C2C"/>
    <w:rsid w:val="00E957FB"/>
    <w:rsid w:val="00E95876"/>
    <w:rsid w:val="00E9620D"/>
    <w:rsid w:val="00E96380"/>
    <w:rsid w:val="00E963EA"/>
    <w:rsid w:val="00E964A0"/>
    <w:rsid w:val="00E97084"/>
    <w:rsid w:val="00E976BD"/>
    <w:rsid w:val="00E97715"/>
    <w:rsid w:val="00E97A41"/>
    <w:rsid w:val="00E97E03"/>
    <w:rsid w:val="00E97EAC"/>
    <w:rsid w:val="00EA0268"/>
    <w:rsid w:val="00EA0703"/>
    <w:rsid w:val="00EA0C06"/>
    <w:rsid w:val="00EA1046"/>
    <w:rsid w:val="00EA127E"/>
    <w:rsid w:val="00EA1488"/>
    <w:rsid w:val="00EA1E79"/>
    <w:rsid w:val="00EA2AF6"/>
    <w:rsid w:val="00EA2B01"/>
    <w:rsid w:val="00EA348D"/>
    <w:rsid w:val="00EA3D85"/>
    <w:rsid w:val="00EA42CF"/>
    <w:rsid w:val="00EA4D44"/>
    <w:rsid w:val="00EA4F42"/>
    <w:rsid w:val="00EA6209"/>
    <w:rsid w:val="00EA647A"/>
    <w:rsid w:val="00EA6A5D"/>
    <w:rsid w:val="00EA6B9D"/>
    <w:rsid w:val="00EA757C"/>
    <w:rsid w:val="00EA7D65"/>
    <w:rsid w:val="00EB0C0E"/>
    <w:rsid w:val="00EB11A4"/>
    <w:rsid w:val="00EB13A6"/>
    <w:rsid w:val="00EB18D9"/>
    <w:rsid w:val="00EB1A4B"/>
    <w:rsid w:val="00EB1FA0"/>
    <w:rsid w:val="00EB20A6"/>
    <w:rsid w:val="00EB21DD"/>
    <w:rsid w:val="00EB26C2"/>
    <w:rsid w:val="00EB2E7E"/>
    <w:rsid w:val="00EB3029"/>
    <w:rsid w:val="00EB31B3"/>
    <w:rsid w:val="00EB3D86"/>
    <w:rsid w:val="00EB3E2C"/>
    <w:rsid w:val="00EB3F27"/>
    <w:rsid w:val="00EB4610"/>
    <w:rsid w:val="00EB462F"/>
    <w:rsid w:val="00EB4656"/>
    <w:rsid w:val="00EB46D4"/>
    <w:rsid w:val="00EB4A17"/>
    <w:rsid w:val="00EB4DBB"/>
    <w:rsid w:val="00EB4E23"/>
    <w:rsid w:val="00EB55D9"/>
    <w:rsid w:val="00EB6FFB"/>
    <w:rsid w:val="00EB7015"/>
    <w:rsid w:val="00EB7518"/>
    <w:rsid w:val="00EB7EA8"/>
    <w:rsid w:val="00EC01BC"/>
    <w:rsid w:val="00EC06CD"/>
    <w:rsid w:val="00EC0742"/>
    <w:rsid w:val="00EC096C"/>
    <w:rsid w:val="00EC0C45"/>
    <w:rsid w:val="00EC10B2"/>
    <w:rsid w:val="00EC116E"/>
    <w:rsid w:val="00EC15D2"/>
    <w:rsid w:val="00EC17ED"/>
    <w:rsid w:val="00EC1891"/>
    <w:rsid w:val="00EC1B59"/>
    <w:rsid w:val="00EC1EE1"/>
    <w:rsid w:val="00EC3037"/>
    <w:rsid w:val="00EC3B59"/>
    <w:rsid w:val="00EC4048"/>
    <w:rsid w:val="00EC43AA"/>
    <w:rsid w:val="00EC474B"/>
    <w:rsid w:val="00EC5134"/>
    <w:rsid w:val="00EC569A"/>
    <w:rsid w:val="00EC5994"/>
    <w:rsid w:val="00EC5DE1"/>
    <w:rsid w:val="00EC62CC"/>
    <w:rsid w:val="00EC62F8"/>
    <w:rsid w:val="00EC6D9F"/>
    <w:rsid w:val="00EC7172"/>
    <w:rsid w:val="00EC76E1"/>
    <w:rsid w:val="00EC77EC"/>
    <w:rsid w:val="00EC7930"/>
    <w:rsid w:val="00EC7A3F"/>
    <w:rsid w:val="00EC7A7D"/>
    <w:rsid w:val="00EC7A9D"/>
    <w:rsid w:val="00ED011F"/>
    <w:rsid w:val="00ED03C0"/>
    <w:rsid w:val="00ED04B2"/>
    <w:rsid w:val="00ED16E6"/>
    <w:rsid w:val="00ED17D1"/>
    <w:rsid w:val="00ED18E3"/>
    <w:rsid w:val="00ED1A10"/>
    <w:rsid w:val="00ED203E"/>
    <w:rsid w:val="00ED3482"/>
    <w:rsid w:val="00ED37B9"/>
    <w:rsid w:val="00ED4E53"/>
    <w:rsid w:val="00ED4F29"/>
    <w:rsid w:val="00ED529B"/>
    <w:rsid w:val="00ED54DA"/>
    <w:rsid w:val="00ED6104"/>
    <w:rsid w:val="00ED635F"/>
    <w:rsid w:val="00ED6B0F"/>
    <w:rsid w:val="00EE010B"/>
    <w:rsid w:val="00EE0226"/>
    <w:rsid w:val="00EE0404"/>
    <w:rsid w:val="00EE0589"/>
    <w:rsid w:val="00EE097D"/>
    <w:rsid w:val="00EE0B70"/>
    <w:rsid w:val="00EE2318"/>
    <w:rsid w:val="00EE23DC"/>
    <w:rsid w:val="00EE2C4F"/>
    <w:rsid w:val="00EE37C4"/>
    <w:rsid w:val="00EE4225"/>
    <w:rsid w:val="00EE47BB"/>
    <w:rsid w:val="00EE4B9D"/>
    <w:rsid w:val="00EE5392"/>
    <w:rsid w:val="00EE576D"/>
    <w:rsid w:val="00EE59F9"/>
    <w:rsid w:val="00EE5AB1"/>
    <w:rsid w:val="00EE5B8C"/>
    <w:rsid w:val="00EE6D94"/>
    <w:rsid w:val="00EE74A8"/>
    <w:rsid w:val="00EE7670"/>
    <w:rsid w:val="00EE7F9C"/>
    <w:rsid w:val="00EF03CB"/>
    <w:rsid w:val="00EF0E45"/>
    <w:rsid w:val="00EF13BF"/>
    <w:rsid w:val="00EF2284"/>
    <w:rsid w:val="00EF2369"/>
    <w:rsid w:val="00EF23B6"/>
    <w:rsid w:val="00EF2C13"/>
    <w:rsid w:val="00EF40A5"/>
    <w:rsid w:val="00EF452E"/>
    <w:rsid w:val="00EF4BBE"/>
    <w:rsid w:val="00EF4D9A"/>
    <w:rsid w:val="00EF5316"/>
    <w:rsid w:val="00EF531B"/>
    <w:rsid w:val="00EF560A"/>
    <w:rsid w:val="00EF5A6C"/>
    <w:rsid w:val="00EF5B3F"/>
    <w:rsid w:val="00EF5D48"/>
    <w:rsid w:val="00EF6099"/>
    <w:rsid w:val="00EF6687"/>
    <w:rsid w:val="00EF66A9"/>
    <w:rsid w:val="00EF6703"/>
    <w:rsid w:val="00EF704B"/>
    <w:rsid w:val="00EF73D7"/>
    <w:rsid w:val="00EF741C"/>
    <w:rsid w:val="00EF7631"/>
    <w:rsid w:val="00EF77DA"/>
    <w:rsid w:val="00EF79D6"/>
    <w:rsid w:val="00F001F1"/>
    <w:rsid w:val="00F00D2B"/>
    <w:rsid w:val="00F0144F"/>
    <w:rsid w:val="00F01615"/>
    <w:rsid w:val="00F017C5"/>
    <w:rsid w:val="00F017DC"/>
    <w:rsid w:val="00F01B5A"/>
    <w:rsid w:val="00F026AD"/>
    <w:rsid w:val="00F02850"/>
    <w:rsid w:val="00F02AC8"/>
    <w:rsid w:val="00F03594"/>
    <w:rsid w:val="00F035B8"/>
    <w:rsid w:val="00F036BE"/>
    <w:rsid w:val="00F04066"/>
    <w:rsid w:val="00F04272"/>
    <w:rsid w:val="00F054AB"/>
    <w:rsid w:val="00F05769"/>
    <w:rsid w:val="00F05998"/>
    <w:rsid w:val="00F05B0F"/>
    <w:rsid w:val="00F05BE7"/>
    <w:rsid w:val="00F06CD6"/>
    <w:rsid w:val="00F07EF8"/>
    <w:rsid w:val="00F105C8"/>
    <w:rsid w:val="00F10BAC"/>
    <w:rsid w:val="00F11901"/>
    <w:rsid w:val="00F11C3F"/>
    <w:rsid w:val="00F11C86"/>
    <w:rsid w:val="00F11F38"/>
    <w:rsid w:val="00F12078"/>
    <w:rsid w:val="00F12303"/>
    <w:rsid w:val="00F12372"/>
    <w:rsid w:val="00F1264A"/>
    <w:rsid w:val="00F128B7"/>
    <w:rsid w:val="00F12C9F"/>
    <w:rsid w:val="00F135FB"/>
    <w:rsid w:val="00F13616"/>
    <w:rsid w:val="00F138AD"/>
    <w:rsid w:val="00F13CE7"/>
    <w:rsid w:val="00F13F22"/>
    <w:rsid w:val="00F14DC8"/>
    <w:rsid w:val="00F14F1A"/>
    <w:rsid w:val="00F158A1"/>
    <w:rsid w:val="00F15F35"/>
    <w:rsid w:val="00F1603A"/>
    <w:rsid w:val="00F16072"/>
    <w:rsid w:val="00F16442"/>
    <w:rsid w:val="00F170F9"/>
    <w:rsid w:val="00F17324"/>
    <w:rsid w:val="00F17A9A"/>
    <w:rsid w:val="00F200DC"/>
    <w:rsid w:val="00F207BC"/>
    <w:rsid w:val="00F20C51"/>
    <w:rsid w:val="00F2100D"/>
    <w:rsid w:val="00F2150A"/>
    <w:rsid w:val="00F21598"/>
    <w:rsid w:val="00F21A07"/>
    <w:rsid w:val="00F21D44"/>
    <w:rsid w:val="00F21FC9"/>
    <w:rsid w:val="00F238AA"/>
    <w:rsid w:val="00F23CF8"/>
    <w:rsid w:val="00F23E45"/>
    <w:rsid w:val="00F2461B"/>
    <w:rsid w:val="00F2528C"/>
    <w:rsid w:val="00F257CE"/>
    <w:rsid w:val="00F259BD"/>
    <w:rsid w:val="00F25BB7"/>
    <w:rsid w:val="00F25C45"/>
    <w:rsid w:val="00F26E27"/>
    <w:rsid w:val="00F26F47"/>
    <w:rsid w:val="00F304B7"/>
    <w:rsid w:val="00F31081"/>
    <w:rsid w:val="00F314D0"/>
    <w:rsid w:val="00F317A5"/>
    <w:rsid w:val="00F3259B"/>
    <w:rsid w:val="00F32782"/>
    <w:rsid w:val="00F327A8"/>
    <w:rsid w:val="00F32842"/>
    <w:rsid w:val="00F329A9"/>
    <w:rsid w:val="00F32ABA"/>
    <w:rsid w:val="00F32E88"/>
    <w:rsid w:val="00F32FB9"/>
    <w:rsid w:val="00F33463"/>
    <w:rsid w:val="00F3348A"/>
    <w:rsid w:val="00F33F75"/>
    <w:rsid w:val="00F34013"/>
    <w:rsid w:val="00F344C4"/>
    <w:rsid w:val="00F34540"/>
    <w:rsid w:val="00F34925"/>
    <w:rsid w:val="00F34B28"/>
    <w:rsid w:val="00F34E04"/>
    <w:rsid w:val="00F34E44"/>
    <w:rsid w:val="00F350A7"/>
    <w:rsid w:val="00F35245"/>
    <w:rsid w:val="00F35412"/>
    <w:rsid w:val="00F356B7"/>
    <w:rsid w:val="00F36496"/>
    <w:rsid w:val="00F36E3D"/>
    <w:rsid w:val="00F372EB"/>
    <w:rsid w:val="00F374BA"/>
    <w:rsid w:val="00F37664"/>
    <w:rsid w:val="00F37910"/>
    <w:rsid w:val="00F37A1A"/>
    <w:rsid w:val="00F37AFA"/>
    <w:rsid w:val="00F37C36"/>
    <w:rsid w:val="00F402E7"/>
    <w:rsid w:val="00F40854"/>
    <w:rsid w:val="00F40D48"/>
    <w:rsid w:val="00F40D6C"/>
    <w:rsid w:val="00F412E4"/>
    <w:rsid w:val="00F416CA"/>
    <w:rsid w:val="00F4174C"/>
    <w:rsid w:val="00F417C5"/>
    <w:rsid w:val="00F42C04"/>
    <w:rsid w:val="00F42F08"/>
    <w:rsid w:val="00F4304E"/>
    <w:rsid w:val="00F431B6"/>
    <w:rsid w:val="00F4321B"/>
    <w:rsid w:val="00F432CA"/>
    <w:rsid w:val="00F43C3C"/>
    <w:rsid w:val="00F43DC3"/>
    <w:rsid w:val="00F43F2E"/>
    <w:rsid w:val="00F44AD7"/>
    <w:rsid w:val="00F45405"/>
    <w:rsid w:val="00F46279"/>
    <w:rsid w:val="00F46C34"/>
    <w:rsid w:val="00F46D2A"/>
    <w:rsid w:val="00F4755E"/>
    <w:rsid w:val="00F5009A"/>
    <w:rsid w:val="00F5012F"/>
    <w:rsid w:val="00F5059E"/>
    <w:rsid w:val="00F506C4"/>
    <w:rsid w:val="00F5081B"/>
    <w:rsid w:val="00F5081E"/>
    <w:rsid w:val="00F508CD"/>
    <w:rsid w:val="00F51357"/>
    <w:rsid w:val="00F5165E"/>
    <w:rsid w:val="00F51F3A"/>
    <w:rsid w:val="00F52815"/>
    <w:rsid w:val="00F52874"/>
    <w:rsid w:val="00F52B5B"/>
    <w:rsid w:val="00F52C0F"/>
    <w:rsid w:val="00F53918"/>
    <w:rsid w:val="00F54688"/>
    <w:rsid w:val="00F54798"/>
    <w:rsid w:val="00F55532"/>
    <w:rsid w:val="00F5575C"/>
    <w:rsid w:val="00F568A2"/>
    <w:rsid w:val="00F57206"/>
    <w:rsid w:val="00F57460"/>
    <w:rsid w:val="00F605B8"/>
    <w:rsid w:val="00F60676"/>
    <w:rsid w:val="00F60920"/>
    <w:rsid w:val="00F60DA4"/>
    <w:rsid w:val="00F60F89"/>
    <w:rsid w:val="00F610FA"/>
    <w:rsid w:val="00F61328"/>
    <w:rsid w:val="00F61AB1"/>
    <w:rsid w:val="00F61B51"/>
    <w:rsid w:val="00F623C3"/>
    <w:rsid w:val="00F629E2"/>
    <w:rsid w:val="00F62A03"/>
    <w:rsid w:val="00F62D83"/>
    <w:rsid w:val="00F62F91"/>
    <w:rsid w:val="00F63940"/>
    <w:rsid w:val="00F63A30"/>
    <w:rsid w:val="00F64028"/>
    <w:rsid w:val="00F645B0"/>
    <w:rsid w:val="00F64903"/>
    <w:rsid w:val="00F650D9"/>
    <w:rsid w:val="00F651F2"/>
    <w:rsid w:val="00F6552D"/>
    <w:rsid w:val="00F656C4"/>
    <w:rsid w:val="00F65C62"/>
    <w:rsid w:val="00F661C1"/>
    <w:rsid w:val="00F6672E"/>
    <w:rsid w:val="00F66B2B"/>
    <w:rsid w:val="00F67C22"/>
    <w:rsid w:val="00F67E22"/>
    <w:rsid w:val="00F67E68"/>
    <w:rsid w:val="00F70166"/>
    <w:rsid w:val="00F70463"/>
    <w:rsid w:val="00F7076B"/>
    <w:rsid w:val="00F709C5"/>
    <w:rsid w:val="00F70B5F"/>
    <w:rsid w:val="00F70EFB"/>
    <w:rsid w:val="00F70F01"/>
    <w:rsid w:val="00F71B0B"/>
    <w:rsid w:val="00F72068"/>
    <w:rsid w:val="00F725ED"/>
    <w:rsid w:val="00F735A9"/>
    <w:rsid w:val="00F73FB1"/>
    <w:rsid w:val="00F744EE"/>
    <w:rsid w:val="00F759C3"/>
    <w:rsid w:val="00F75FAA"/>
    <w:rsid w:val="00F770F2"/>
    <w:rsid w:val="00F77957"/>
    <w:rsid w:val="00F80032"/>
    <w:rsid w:val="00F8048B"/>
    <w:rsid w:val="00F8080B"/>
    <w:rsid w:val="00F80998"/>
    <w:rsid w:val="00F80A54"/>
    <w:rsid w:val="00F80DCF"/>
    <w:rsid w:val="00F81264"/>
    <w:rsid w:val="00F81291"/>
    <w:rsid w:val="00F81BB5"/>
    <w:rsid w:val="00F82EDF"/>
    <w:rsid w:val="00F82F93"/>
    <w:rsid w:val="00F83103"/>
    <w:rsid w:val="00F83591"/>
    <w:rsid w:val="00F83874"/>
    <w:rsid w:val="00F8411F"/>
    <w:rsid w:val="00F8435C"/>
    <w:rsid w:val="00F848CD"/>
    <w:rsid w:val="00F84950"/>
    <w:rsid w:val="00F85D32"/>
    <w:rsid w:val="00F85DA7"/>
    <w:rsid w:val="00F85F9B"/>
    <w:rsid w:val="00F863DA"/>
    <w:rsid w:val="00F8670E"/>
    <w:rsid w:val="00F86B3A"/>
    <w:rsid w:val="00F86B8D"/>
    <w:rsid w:val="00F86BF1"/>
    <w:rsid w:val="00F87283"/>
    <w:rsid w:val="00F8777E"/>
    <w:rsid w:val="00F87DD8"/>
    <w:rsid w:val="00F901DB"/>
    <w:rsid w:val="00F90784"/>
    <w:rsid w:val="00F90789"/>
    <w:rsid w:val="00F90927"/>
    <w:rsid w:val="00F90B0A"/>
    <w:rsid w:val="00F9107C"/>
    <w:rsid w:val="00F919D7"/>
    <w:rsid w:val="00F91AEF"/>
    <w:rsid w:val="00F91CCA"/>
    <w:rsid w:val="00F91D10"/>
    <w:rsid w:val="00F91D23"/>
    <w:rsid w:val="00F91D24"/>
    <w:rsid w:val="00F91DAC"/>
    <w:rsid w:val="00F920AB"/>
    <w:rsid w:val="00F920BE"/>
    <w:rsid w:val="00F92467"/>
    <w:rsid w:val="00F92EB2"/>
    <w:rsid w:val="00F92F54"/>
    <w:rsid w:val="00F9349B"/>
    <w:rsid w:val="00F9409F"/>
    <w:rsid w:val="00F947FB"/>
    <w:rsid w:val="00F9507B"/>
    <w:rsid w:val="00F95DB1"/>
    <w:rsid w:val="00F95DF2"/>
    <w:rsid w:val="00F9755E"/>
    <w:rsid w:val="00F97707"/>
    <w:rsid w:val="00FA0135"/>
    <w:rsid w:val="00FA0328"/>
    <w:rsid w:val="00FA1283"/>
    <w:rsid w:val="00FA1783"/>
    <w:rsid w:val="00FA1DFB"/>
    <w:rsid w:val="00FA2388"/>
    <w:rsid w:val="00FA2808"/>
    <w:rsid w:val="00FA29A0"/>
    <w:rsid w:val="00FA2C21"/>
    <w:rsid w:val="00FA3362"/>
    <w:rsid w:val="00FA341F"/>
    <w:rsid w:val="00FA3F74"/>
    <w:rsid w:val="00FA4366"/>
    <w:rsid w:val="00FA49E0"/>
    <w:rsid w:val="00FA4EE5"/>
    <w:rsid w:val="00FA4FB4"/>
    <w:rsid w:val="00FA572A"/>
    <w:rsid w:val="00FA579D"/>
    <w:rsid w:val="00FA5CE6"/>
    <w:rsid w:val="00FA6049"/>
    <w:rsid w:val="00FA63A9"/>
    <w:rsid w:val="00FA6B47"/>
    <w:rsid w:val="00FA6E8C"/>
    <w:rsid w:val="00FA7007"/>
    <w:rsid w:val="00FA706A"/>
    <w:rsid w:val="00FA7760"/>
    <w:rsid w:val="00FA7CCC"/>
    <w:rsid w:val="00FB028B"/>
    <w:rsid w:val="00FB0BB5"/>
    <w:rsid w:val="00FB0DFF"/>
    <w:rsid w:val="00FB0EC4"/>
    <w:rsid w:val="00FB0ED3"/>
    <w:rsid w:val="00FB15BD"/>
    <w:rsid w:val="00FB187A"/>
    <w:rsid w:val="00FB1BA7"/>
    <w:rsid w:val="00FB2D88"/>
    <w:rsid w:val="00FB2E16"/>
    <w:rsid w:val="00FB3B52"/>
    <w:rsid w:val="00FB422D"/>
    <w:rsid w:val="00FB4269"/>
    <w:rsid w:val="00FB45EE"/>
    <w:rsid w:val="00FB477D"/>
    <w:rsid w:val="00FB4BB1"/>
    <w:rsid w:val="00FB545B"/>
    <w:rsid w:val="00FB5477"/>
    <w:rsid w:val="00FB5C8C"/>
    <w:rsid w:val="00FB5DF3"/>
    <w:rsid w:val="00FB5F7C"/>
    <w:rsid w:val="00FB5FFD"/>
    <w:rsid w:val="00FB6EB1"/>
    <w:rsid w:val="00FB7DA4"/>
    <w:rsid w:val="00FC03A9"/>
    <w:rsid w:val="00FC077D"/>
    <w:rsid w:val="00FC0FA6"/>
    <w:rsid w:val="00FC374B"/>
    <w:rsid w:val="00FC38DE"/>
    <w:rsid w:val="00FC3B53"/>
    <w:rsid w:val="00FC4227"/>
    <w:rsid w:val="00FC4FE6"/>
    <w:rsid w:val="00FC541B"/>
    <w:rsid w:val="00FC597B"/>
    <w:rsid w:val="00FC5DD4"/>
    <w:rsid w:val="00FC5DE1"/>
    <w:rsid w:val="00FC6024"/>
    <w:rsid w:val="00FC6798"/>
    <w:rsid w:val="00FC69C1"/>
    <w:rsid w:val="00FC6CE3"/>
    <w:rsid w:val="00FC6D2B"/>
    <w:rsid w:val="00FC72AF"/>
    <w:rsid w:val="00FC73D5"/>
    <w:rsid w:val="00FC7EC4"/>
    <w:rsid w:val="00FD09CD"/>
    <w:rsid w:val="00FD0BD8"/>
    <w:rsid w:val="00FD1461"/>
    <w:rsid w:val="00FD1B6A"/>
    <w:rsid w:val="00FD1DBF"/>
    <w:rsid w:val="00FD29BC"/>
    <w:rsid w:val="00FD406E"/>
    <w:rsid w:val="00FD4499"/>
    <w:rsid w:val="00FD450C"/>
    <w:rsid w:val="00FD4DF2"/>
    <w:rsid w:val="00FD502B"/>
    <w:rsid w:val="00FD51BD"/>
    <w:rsid w:val="00FD69FC"/>
    <w:rsid w:val="00FD6D23"/>
    <w:rsid w:val="00FD734B"/>
    <w:rsid w:val="00FD75E0"/>
    <w:rsid w:val="00FE035C"/>
    <w:rsid w:val="00FE08C0"/>
    <w:rsid w:val="00FE0A06"/>
    <w:rsid w:val="00FE0DA8"/>
    <w:rsid w:val="00FE13EF"/>
    <w:rsid w:val="00FE183D"/>
    <w:rsid w:val="00FE1CE9"/>
    <w:rsid w:val="00FE2083"/>
    <w:rsid w:val="00FE20F8"/>
    <w:rsid w:val="00FE226F"/>
    <w:rsid w:val="00FE236C"/>
    <w:rsid w:val="00FE2426"/>
    <w:rsid w:val="00FE274A"/>
    <w:rsid w:val="00FE325A"/>
    <w:rsid w:val="00FE48CF"/>
    <w:rsid w:val="00FE4C27"/>
    <w:rsid w:val="00FE4D0F"/>
    <w:rsid w:val="00FE527E"/>
    <w:rsid w:val="00FE56DD"/>
    <w:rsid w:val="00FE5722"/>
    <w:rsid w:val="00FE6474"/>
    <w:rsid w:val="00FE6A2B"/>
    <w:rsid w:val="00FE6AA6"/>
    <w:rsid w:val="00FE700D"/>
    <w:rsid w:val="00FE7E48"/>
    <w:rsid w:val="00FF0C53"/>
    <w:rsid w:val="00FF11ED"/>
    <w:rsid w:val="00FF249B"/>
    <w:rsid w:val="00FF2765"/>
    <w:rsid w:val="00FF28B7"/>
    <w:rsid w:val="00FF31E4"/>
    <w:rsid w:val="00FF3BD3"/>
    <w:rsid w:val="00FF3D9D"/>
    <w:rsid w:val="00FF49AF"/>
    <w:rsid w:val="00FF4A09"/>
    <w:rsid w:val="00FF55D9"/>
    <w:rsid w:val="00FF5CDC"/>
    <w:rsid w:val="00FF5F2F"/>
    <w:rsid w:val="00FF6FE2"/>
    <w:rsid w:val="00FF706C"/>
    <w:rsid w:val="00FF7403"/>
    <w:rsid w:val="00FF7A5B"/>
    <w:rsid w:val="012B16B4"/>
    <w:rsid w:val="013E175B"/>
    <w:rsid w:val="01844ADE"/>
    <w:rsid w:val="020D2CA3"/>
    <w:rsid w:val="024A750F"/>
    <w:rsid w:val="02942054"/>
    <w:rsid w:val="037312E7"/>
    <w:rsid w:val="040A44CB"/>
    <w:rsid w:val="04514E57"/>
    <w:rsid w:val="04672D6D"/>
    <w:rsid w:val="04850E89"/>
    <w:rsid w:val="048C6A96"/>
    <w:rsid w:val="04EE757D"/>
    <w:rsid w:val="057C2E2A"/>
    <w:rsid w:val="07D16713"/>
    <w:rsid w:val="07E03C95"/>
    <w:rsid w:val="07F64F97"/>
    <w:rsid w:val="080E7568"/>
    <w:rsid w:val="080F3028"/>
    <w:rsid w:val="08587B3A"/>
    <w:rsid w:val="093C4EF2"/>
    <w:rsid w:val="09732959"/>
    <w:rsid w:val="0A946D3C"/>
    <w:rsid w:val="0AA20B7E"/>
    <w:rsid w:val="0B2B1C7C"/>
    <w:rsid w:val="0BC2697B"/>
    <w:rsid w:val="0C067178"/>
    <w:rsid w:val="0C5C5893"/>
    <w:rsid w:val="0CBF1699"/>
    <w:rsid w:val="0D253849"/>
    <w:rsid w:val="0D6D0072"/>
    <w:rsid w:val="0D710117"/>
    <w:rsid w:val="0E384A32"/>
    <w:rsid w:val="0EAB0F9E"/>
    <w:rsid w:val="0FA20CB5"/>
    <w:rsid w:val="0FD60B6F"/>
    <w:rsid w:val="101213B0"/>
    <w:rsid w:val="1070656A"/>
    <w:rsid w:val="107D054D"/>
    <w:rsid w:val="113C4447"/>
    <w:rsid w:val="11402B9C"/>
    <w:rsid w:val="1150432D"/>
    <w:rsid w:val="11725E23"/>
    <w:rsid w:val="12435959"/>
    <w:rsid w:val="12DA3783"/>
    <w:rsid w:val="131949C7"/>
    <w:rsid w:val="13400DDF"/>
    <w:rsid w:val="1393211A"/>
    <w:rsid w:val="13BC6876"/>
    <w:rsid w:val="13EF1061"/>
    <w:rsid w:val="140F09F0"/>
    <w:rsid w:val="141933E7"/>
    <w:rsid w:val="14ED6562"/>
    <w:rsid w:val="15311990"/>
    <w:rsid w:val="1547362C"/>
    <w:rsid w:val="16056195"/>
    <w:rsid w:val="163273D8"/>
    <w:rsid w:val="16844327"/>
    <w:rsid w:val="17FA3A7D"/>
    <w:rsid w:val="180D2E91"/>
    <w:rsid w:val="182D52E8"/>
    <w:rsid w:val="183E6502"/>
    <w:rsid w:val="187A59CE"/>
    <w:rsid w:val="18973085"/>
    <w:rsid w:val="18BD287C"/>
    <w:rsid w:val="1936276D"/>
    <w:rsid w:val="19816126"/>
    <w:rsid w:val="19D41002"/>
    <w:rsid w:val="1A143D7D"/>
    <w:rsid w:val="1A2607AC"/>
    <w:rsid w:val="1A5C37F6"/>
    <w:rsid w:val="1B0B47AF"/>
    <w:rsid w:val="1B731B5D"/>
    <w:rsid w:val="1C110770"/>
    <w:rsid w:val="1C574C2D"/>
    <w:rsid w:val="1C7E26A9"/>
    <w:rsid w:val="1D29119E"/>
    <w:rsid w:val="1D755453"/>
    <w:rsid w:val="1D844161"/>
    <w:rsid w:val="1D916087"/>
    <w:rsid w:val="1EAB538D"/>
    <w:rsid w:val="1EC95EAB"/>
    <w:rsid w:val="1ED8616E"/>
    <w:rsid w:val="1F046112"/>
    <w:rsid w:val="1F09272A"/>
    <w:rsid w:val="1F5D62F6"/>
    <w:rsid w:val="1F64637B"/>
    <w:rsid w:val="1F8347E5"/>
    <w:rsid w:val="1F99257F"/>
    <w:rsid w:val="1FB71588"/>
    <w:rsid w:val="200B33F7"/>
    <w:rsid w:val="200D44D1"/>
    <w:rsid w:val="2025726D"/>
    <w:rsid w:val="205449CD"/>
    <w:rsid w:val="20A45167"/>
    <w:rsid w:val="20B34055"/>
    <w:rsid w:val="21934391"/>
    <w:rsid w:val="219C109C"/>
    <w:rsid w:val="21A53D24"/>
    <w:rsid w:val="2204442F"/>
    <w:rsid w:val="22066748"/>
    <w:rsid w:val="23232B12"/>
    <w:rsid w:val="232D7EF6"/>
    <w:rsid w:val="234702A0"/>
    <w:rsid w:val="23730F9E"/>
    <w:rsid w:val="237A0BB4"/>
    <w:rsid w:val="23ED1ACC"/>
    <w:rsid w:val="2423299C"/>
    <w:rsid w:val="24837AEF"/>
    <w:rsid w:val="24AD002F"/>
    <w:rsid w:val="24B03BEA"/>
    <w:rsid w:val="250B4F4C"/>
    <w:rsid w:val="2534036B"/>
    <w:rsid w:val="255158C0"/>
    <w:rsid w:val="25AA348D"/>
    <w:rsid w:val="25C93C98"/>
    <w:rsid w:val="26002E4A"/>
    <w:rsid w:val="26194C16"/>
    <w:rsid w:val="27586AD6"/>
    <w:rsid w:val="27AC5C9D"/>
    <w:rsid w:val="27BB7CDD"/>
    <w:rsid w:val="27C33DE8"/>
    <w:rsid w:val="27CC5CF7"/>
    <w:rsid w:val="289F4C4F"/>
    <w:rsid w:val="28F300CE"/>
    <w:rsid w:val="29092714"/>
    <w:rsid w:val="298A5020"/>
    <w:rsid w:val="29B72372"/>
    <w:rsid w:val="29F24CC8"/>
    <w:rsid w:val="29F5666A"/>
    <w:rsid w:val="2A3F3AE8"/>
    <w:rsid w:val="2A463C80"/>
    <w:rsid w:val="2AD21943"/>
    <w:rsid w:val="2AFF04FB"/>
    <w:rsid w:val="2BD845C2"/>
    <w:rsid w:val="2C843721"/>
    <w:rsid w:val="2CD43B60"/>
    <w:rsid w:val="2CF5337C"/>
    <w:rsid w:val="2D2739E5"/>
    <w:rsid w:val="2D45207C"/>
    <w:rsid w:val="2D5149EC"/>
    <w:rsid w:val="2D687058"/>
    <w:rsid w:val="2DB13B7C"/>
    <w:rsid w:val="302A31FD"/>
    <w:rsid w:val="30441A6A"/>
    <w:rsid w:val="304F0E2E"/>
    <w:rsid w:val="3053512E"/>
    <w:rsid w:val="30543024"/>
    <w:rsid w:val="30B640FD"/>
    <w:rsid w:val="31212790"/>
    <w:rsid w:val="313824A3"/>
    <w:rsid w:val="31575397"/>
    <w:rsid w:val="31C67879"/>
    <w:rsid w:val="32B86EF4"/>
    <w:rsid w:val="32BA5485"/>
    <w:rsid w:val="33047D3A"/>
    <w:rsid w:val="336F3EAC"/>
    <w:rsid w:val="33FC6C6A"/>
    <w:rsid w:val="34334CC4"/>
    <w:rsid w:val="344627F6"/>
    <w:rsid w:val="347D502B"/>
    <w:rsid w:val="34DC6E65"/>
    <w:rsid w:val="359B528D"/>
    <w:rsid w:val="35A3120D"/>
    <w:rsid w:val="35DA1572"/>
    <w:rsid w:val="35EB41B3"/>
    <w:rsid w:val="35F10C53"/>
    <w:rsid w:val="36265B54"/>
    <w:rsid w:val="36500FF1"/>
    <w:rsid w:val="36BD1B51"/>
    <w:rsid w:val="383F7D79"/>
    <w:rsid w:val="38A169BD"/>
    <w:rsid w:val="38BA3CF6"/>
    <w:rsid w:val="393176F5"/>
    <w:rsid w:val="393269B9"/>
    <w:rsid w:val="3A127AAD"/>
    <w:rsid w:val="3A374AD7"/>
    <w:rsid w:val="3A7372DC"/>
    <w:rsid w:val="3AB60A51"/>
    <w:rsid w:val="3AC433BC"/>
    <w:rsid w:val="3AC70635"/>
    <w:rsid w:val="3C0649F2"/>
    <w:rsid w:val="3C294184"/>
    <w:rsid w:val="3C4C08A7"/>
    <w:rsid w:val="3C66077B"/>
    <w:rsid w:val="3CF670E8"/>
    <w:rsid w:val="3D8C618A"/>
    <w:rsid w:val="3DD469B6"/>
    <w:rsid w:val="3DDC19D6"/>
    <w:rsid w:val="3DDE7F2F"/>
    <w:rsid w:val="3DEC1346"/>
    <w:rsid w:val="3E28242E"/>
    <w:rsid w:val="3E85277C"/>
    <w:rsid w:val="4073272D"/>
    <w:rsid w:val="409108BD"/>
    <w:rsid w:val="40B740F3"/>
    <w:rsid w:val="40CF31F2"/>
    <w:rsid w:val="41084965"/>
    <w:rsid w:val="41631C11"/>
    <w:rsid w:val="41635491"/>
    <w:rsid w:val="41771AF4"/>
    <w:rsid w:val="420F0628"/>
    <w:rsid w:val="4253758B"/>
    <w:rsid w:val="42705E62"/>
    <w:rsid w:val="42F672F9"/>
    <w:rsid w:val="43D970FF"/>
    <w:rsid w:val="43DE5CCD"/>
    <w:rsid w:val="43FE7C21"/>
    <w:rsid w:val="44394B9C"/>
    <w:rsid w:val="450B0370"/>
    <w:rsid w:val="45DC2C97"/>
    <w:rsid w:val="464140B2"/>
    <w:rsid w:val="46C931C7"/>
    <w:rsid w:val="472134CC"/>
    <w:rsid w:val="479F6A57"/>
    <w:rsid w:val="47C4309B"/>
    <w:rsid w:val="47E707AA"/>
    <w:rsid w:val="4833049D"/>
    <w:rsid w:val="48FB686E"/>
    <w:rsid w:val="495643F5"/>
    <w:rsid w:val="495A73E3"/>
    <w:rsid w:val="49722327"/>
    <w:rsid w:val="49831310"/>
    <w:rsid w:val="49C426D9"/>
    <w:rsid w:val="49C440C2"/>
    <w:rsid w:val="4A223B2A"/>
    <w:rsid w:val="4A6E5F8A"/>
    <w:rsid w:val="4B2C7EA1"/>
    <w:rsid w:val="4B301BAD"/>
    <w:rsid w:val="4BA7177B"/>
    <w:rsid w:val="4C364D1C"/>
    <w:rsid w:val="4C855355"/>
    <w:rsid w:val="4C8F0672"/>
    <w:rsid w:val="4CB0653D"/>
    <w:rsid w:val="4D10384C"/>
    <w:rsid w:val="4E032752"/>
    <w:rsid w:val="4E5B5D3B"/>
    <w:rsid w:val="4E9F5DB7"/>
    <w:rsid w:val="4EB804F6"/>
    <w:rsid w:val="4ECE1190"/>
    <w:rsid w:val="4F0D6A8C"/>
    <w:rsid w:val="4F8C7A0E"/>
    <w:rsid w:val="4FAB09C9"/>
    <w:rsid w:val="4FC3284B"/>
    <w:rsid w:val="50245DDB"/>
    <w:rsid w:val="504961F2"/>
    <w:rsid w:val="50523DE7"/>
    <w:rsid w:val="50FB7B4C"/>
    <w:rsid w:val="51041548"/>
    <w:rsid w:val="515A6962"/>
    <w:rsid w:val="51CB11C4"/>
    <w:rsid w:val="51EB4E67"/>
    <w:rsid w:val="528E1535"/>
    <w:rsid w:val="52F52242"/>
    <w:rsid w:val="53482555"/>
    <w:rsid w:val="535318FC"/>
    <w:rsid w:val="5357640F"/>
    <w:rsid w:val="53584E91"/>
    <w:rsid w:val="53B6244E"/>
    <w:rsid w:val="53E85AB5"/>
    <w:rsid w:val="5428054F"/>
    <w:rsid w:val="548C37E2"/>
    <w:rsid w:val="54AD05B0"/>
    <w:rsid w:val="55120B53"/>
    <w:rsid w:val="553F1671"/>
    <w:rsid w:val="55CA6A9A"/>
    <w:rsid w:val="560B4F8D"/>
    <w:rsid w:val="56B90BD1"/>
    <w:rsid w:val="572E2E04"/>
    <w:rsid w:val="57CA69D3"/>
    <w:rsid w:val="58000AFF"/>
    <w:rsid w:val="582760B6"/>
    <w:rsid w:val="58487F53"/>
    <w:rsid w:val="59155547"/>
    <w:rsid w:val="59211ED5"/>
    <w:rsid w:val="59261235"/>
    <w:rsid w:val="594C3F96"/>
    <w:rsid w:val="598334D4"/>
    <w:rsid w:val="5983682A"/>
    <w:rsid w:val="5A152EEA"/>
    <w:rsid w:val="5A7A78E1"/>
    <w:rsid w:val="5A8252E8"/>
    <w:rsid w:val="5AF776E2"/>
    <w:rsid w:val="5AFC0567"/>
    <w:rsid w:val="5B8D2EE1"/>
    <w:rsid w:val="5B9163B2"/>
    <w:rsid w:val="5BE45712"/>
    <w:rsid w:val="5BFD6000"/>
    <w:rsid w:val="5C07113F"/>
    <w:rsid w:val="5C677A83"/>
    <w:rsid w:val="5D503936"/>
    <w:rsid w:val="5E18435C"/>
    <w:rsid w:val="5E710816"/>
    <w:rsid w:val="5F5F2C94"/>
    <w:rsid w:val="5F641E64"/>
    <w:rsid w:val="5F7231A5"/>
    <w:rsid w:val="5F8E2893"/>
    <w:rsid w:val="5FF25EDD"/>
    <w:rsid w:val="6004165E"/>
    <w:rsid w:val="603118E9"/>
    <w:rsid w:val="60E16CC2"/>
    <w:rsid w:val="60E663E6"/>
    <w:rsid w:val="60EE2E6A"/>
    <w:rsid w:val="619A76F5"/>
    <w:rsid w:val="61AF6A60"/>
    <w:rsid w:val="61C43C9B"/>
    <w:rsid w:val="61EA70AD"/>
    <w:rsid w:val="622E2367"/>
    <w:rsid w:val="623B35B5"/>
    <w:rsid w:val="62541C29"/>
    <w:rsid w:val="625E4E77"/>
    <w:rsid w:val="6276711F"/>
    <w:rsid w:val="63C422B4"/>
    <w:rsid w:val="63FD5095"/>
    <w:rsid w:val="6449082D"/>
    <w:rsid w:val="649E1217"/>
    <w:rsid w:val="64B04558"/>
    <w:rsid w:val="65C0786C"/>
    <w:rsid w:val="65D82E54"/>
    <w:rsid w:val="66335DC1"/>
    <w:rsid w:val="666C515F"/>
    <w:rsid w:val="66A046D3"/>
    <w:rsid w:val="678F6A39"/>
    <w:rsid w:val="67AB6A0F"/>
    <w:rsid w:val="67F16D7B"/>
    <w:rsid w:val="680D438F"/>
    <w:rsid w:val="6879548D"/>
    <w:rsid w:val="68A77C7A"/>
    <w:rsid w:val="68D82B6D"/>
    <w:rsid w:val="69453FA4"/>
    <w:rsid w:val="69546479"/>
    <w:rsid w:val="69CE479C"/>
    <w:rsid w:val="6A623B14"/>
    <w:rsid w:val="6A64283F"/>
    <w:rsid w:val="6AA96D82"/>
    <w:rsid w:val="6AEE6B5B"/>
    <w:rsid w:val="6AFC3D91"/>
    <w:rsid w:val="6B05082A"/>
    <w:rsid w:val="6B0F1D41"/>
    <w:rsid w:val="6B2232F3"/>
    <w:rsid w:val="6B2C6549"/>
    <w:rsid w:val="6B5126B7"/>
    <w:rsid w:val="6B512E9A"/>
    <w:rsid w:val="6B7C1208"/>
    <w:rsid w:val="6C5774AE"/>
    <w:rsid w:val="6C9015F9"/>
    <w:rsid w:val="6CD9352A"/>
    <w:rsid w:val="6CE003C7"/>
    <w:rsid w:val="6D9A5160"/>
    <w:rsid w:val="6DA86DDA"/>
    <w:rsid w:val="6DC27C2D"/>
    <w:rsid w:val="6DE32D22"/>
    <w:rsid w:val="6E10343A"/>
    <w:rsid w:val="6E1F7399"/>
    <w:rsid w:val="6F586265"/>
    <w:rsid w:val="6F597666"/>
    <w:rsid w:val="6F986B56"/>
    <w:rsid w:val="6FA63A58"/>
    <w:rsid w:val="6FAD0082"/>
    <w:rsid w:val="6FB27DAD"/>
    <w:rsid w:val="701872FD"/>
    <w:rsid w:val="70304328"/>
    <w:rsid w:val="703E0785"/>
    <w:rsid w:val="70494790"/>
    <w:rsid w:val="70916E20"/>
    <w:rsid w:val="70933000"/>
    <w:rsid w:val="70A45F42"/>
    <w:rsid w:val="70B2613C"/>
    <w:rsid w:val="70F900D4"/>
    <w:rsid w:val="72125B1D"/>
    <w:rsid w:val="72472426"/>
    <w:rsid w:val="72546686"/>
    <w:rsid w:val="72FB348D"/>
    <w:rsid w:val="733E1042"/>
    <w:rsid w:val="7353540C"/>
    <w:rsid w:val="73B4206C"/>
    <w:rsid w:val="73C72FBB"/>
    <w:rsid w:val="74F936F0"/>
    <w:rsid w:val="758C3078"/>
    <w:rsid w:val="7662387B"/>
    <w:rsid w:val="76D448F6"/>
    <w:rsid w:val="7757486E"/>
    <w:rsid w:val="776E29DC"/>
    <w:rsid w:val="778C13D9"/>
    <w:rsid w:val="77A0123B"/>
    <w:rsid w:val="78335D76"/>
    <w:rsid w:val="78521EC2"/>
    <w:rsid w:val="7875535B"/>
    <w:rsid w:val="7883283A"/>
    <w:rsid w:val="78F460F1"/>
    <w:rsid w:val="79AD171F"/>
    <w:rsid w:val="79AF64DF"/>
    <w:rsid w:val="79B73536"/>
    <w:rsid w:val="79CD4E8C"/>
    <w:rsid w:val="79D006BC"/>
    <w:rsid w:val="79E25293"/>
    <w:rsid w:val="79F073E4"/>
    <w:rsid w:val="7A3C441C"/>
    <w:rsid w:val="7A783123"/>
    <w:rsid w:val="7A7C075D"/>
    <w:rsid w:val="7B1C2F4A"/>
    <w:rsid w:val="7B7E54C5"/>
    <w:rsid w:val="7C3400C2"/>
    <w:rsid w:val="7C6361C2"/>
    <w:rsid w:val="7CC4238A"/>
    <w:rsid w:val="7D3A1A50"/>
    <w:rsid w:val="7D5D1915"/>
    <w:rsid w:val="7D9B36F4"/>
    <w:rsid w:val="7DF324E4"/>
    <w:rsid w:val="7E0D4FEA"/>
    <w:rsid w:val="7E5930D3"/>
    <w:rsid w:val="7E6700AA"/>
    <w:rsid w:val="7F644A11"/>
    <w:rsid w:val="7F806141"/>
    <w:rsid w:val="7F921AE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weight="0.5pt"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iPriority="0" w:semiHidden="0"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uiPriority="0" w:name="index heading"/>
    <w:lsdException w:qFormat="1" w:unhideWhenUsed="0" w:uiPriority="35" w:semiHidden="0" w:name="caption"/>
    <w:lsdException w:uiPriority="0" w:name="table of figures"/>
    <w:lsdException w:uiPriority="0" w:name="envelope address"/>
    <w:lsdException w:uiPriority="0" w:name="envelope return"/>
    <w:lsdException w:qFormat="1" w:uiPriority="0" w:semiHidden="0" w:name="footnote reference"/>
    <w:lsdException w:qFormat="1" w:unhideWhenUsed="0" w:uiPriority="0" w:semiHidden="0" w:name="annotation reference"/>
    <w:lsdException w:uiPriority="0" w:name="line number"/>
    <w:lsdException w:qFormat="1" w:unhideWhenUsed="0" w:uiPriority="0" w:semiHidden="0" w:name="page number"/>
    <w:lsdException w:qFormat="1" w:uiPriority="99" w:semiHidden="0" w:name="endnote reference"/>
    <w:lsdException w:qFormat="1" w:uiPriority="99" w:semiHidden="0" w:name="endnote text"/>
    <w:lsdException w:unhideWhenUsed="0" w:uiPriority="0" w:semiHidden="0" w:name="table of authorities"/>
    <w:lsdException w:uiPriority="0" w:name="macro"/>
    <w:lsdException w:uiPriority="0" w:name="toa heading"/>
    <w:lsdException w:qFormat="1" w:unhideWhenUsed="0" w:uiPriority="0" w:semiHidden="0" w:name="List"/>
    <w:lsdException w:qFormat="1" w:unhideWhenUsed="0" w:uiPriority="0" w:semiHidden="0" w:name="List Bullet"/>
    <w:lsdException w:uiPriority="0" w:name="List Number"/>
    <w:lsdException w:qFormat="1" w:uiPriority="0" w:semiHidden="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iPriority="0" w:semiHidden="0" w:name="Closing"/>
    <w:lsdException w:uiPriority="0" w:name="Signature"/>
    <w:lsdException w:qFormat="1" w:uiPriority="1" w:name="Default Paragraph Font"/>
    <w:lsdException w:qFormat="1" w:unhideWhenUsed="0" w:uiPriority="99" w:semiHidden="0" w:name="Body Text"/>
    <w:lsdException w:qFormat="1" w:unhideWhenUsed="0" w:uiPriority="99"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11" w:semiHidden="0" w:name="Subtitle"/>
    <w:lsdException w:qFormat="1" w:uiPriority="0" w:semiHidden="0" w:name="Salutation"/>
    <w:lsdException w:qFormat="1" w:unhideWhenUsed="0" w:uiPriority="0" w:semiHidden="0" w:name="Date"/>
    <w:lsdException w:qFormat="1" w:unhideWhenUsed="0" w:uiPriority="0" w:semiHidden="0" w:name="Body Text First Indent"/>
    <w:lsdException w:qFormat="1"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99"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34" w:semiHidden="0" w:name="Normal (Web)"/>
    <w:lsdException w:uiPriority="0" w:name="HTML Acronym"/>
    <w:lsdException w:uiPriority="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qFormat="1" w:unhideWhenUsed="0" w:uiPriority="0" w:semiHidden="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qFormat="1"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360" w:lineRule="auto"/>
      <w:ind w:firstLine="602" w:firstLineChars="200"/>
      <w:jc w:val="both"/>
    </w:pPr>
    <w:rPr>
      <w:rFonts w:ascii="Times New Roman" w:hAnsi="Times New Roman" w:eastAsia="宋体" w:cs="Times New Roman"/>
      <w:kern w:val="2"/>
      <w:sz w:val="24"/>
      <w:szCs w:val="24"/>
      <w:lang w:val="en-US" w:eastAsia="zh-CN" w:bidi="ar-SA"/>
    </w:rPr>
  </w:style>
  <w:style w:type="paragraph" w:styleId="2">
    <w:name w:val="heading 1"/>
    <w:basedOn w:val="1"/>
    <w:next w:val="1"/>
    <w:link w:val="75"/>
    <w:autoRedefine/>
    <w:qFormat/>
    <w:uiPriority w:val="0"/>
    <w:pPr>
      <w:pageBreakBefore/>
      <w:widowControl/>
      <w:jc w:val="left"/>
      <w:outlineLvl w:val="0"/>
    </w:pPr>
    <w:rPr>
      <w:rFonts w:ascii="宋体" w:hAnsi="宋体" w:eastAsia="宋体" w:cs="宋体"/>
      <w:b/>
      <w:color w:val="000000"/>
      <w:kern w:val="28"/>
      <w:sz w:val="30"/>
      <w:szCs w:val="20"/>
    </w:rPr>
  </w:style>
  <w:style w:type="paragraph" w:styleId="3">
    <w:name w:val="heading 2"/>
    <w:basedOn w:val="1"/>
    <w:next w:val="4"/>
    <w:link w:val="76"/>
    <w:autoRedefine/>
    <w:qFormat/>
    <w:uiPriority w:val="0"/>
    <w:pPr>
      <w:keepNext/>
      <w:keepLines/>
      <w:widowControl/>
      <w:numPr>
        <w:ilvl w:val="1"/>
        <w:numId w:val="1"/>
      </w:numPr>
      <w:jc w:val="left"/>
      <w:outlineLvl w:val="1"/>
    </w:pPr>
    <w:rPr>
      <w:rFonts w:ascii="Times New Roman" w:hAnsi="Times New Roman" w:eastAsia="宋体"/>
      <w:b/>
      <w:bCs/>
      <w:color w:val="000000"/>
      <w:sz w:val="28"/>
      <w:szCs w:val="32"/>
    </w:rPr>
  </w:style>
  <w:style w:type="paragraph" w:styleId="5">
    <w:name w:val="heading 3"/>
    <w:basedOn w:val="1"/>
    <w:next w:val="4"/>
    <w:link w:val="77"/>
    <w:autoRedefine/>
    <w:qFormat/>
    <w:uiPriority w:val="0"/>
    <w:pPr>
      <w:keepNext/>
      <w:keepLines/>
      <w:widowControl/>
      <w:numPr>
        <w:ilvl w:val="2"/>
        <w:numId w:val="1"/>
      </w:numPr>
      <w:spacing w:before="60" w:after="60"/>
      <w:outlineLvl w:val="2"/>
    </w:pPr>
    <w:rPr>
      <w:b/>
      <w:bCs/>
      <w:color w:val="000000"/>
      <w:szCs w:val="32"/>
    </w:rPr>
  </w:style>
  <w:style w:type="paragraph" w:styleId="6">
    <w:name w:val="heading 4"/>
    <w:basedOn w:val="1"/>
    <w:next w:val="1"/>
    <w:link w:val="78"/>
    <w:autoRedefine/>
    <w:qFormat/>
    <w:uiPriority w:val="0"/>
    <w:pPr>
      <w:keepNext/>
      <w:keepLines/>
      <w:widowControl/>
      <w:numPr>
        <w:ilvl w:val="3"/>
        <w:numId w:val="1"/>
      </w:numPr>
      <w:jc w:val="left"/>
      <w:outlineLvl w:val="3"/>
    </w:pPr>
    <w:rPr>
      <w:b/>
      <w:bCs/>
      <w:color w:val="000000"/>
      <w:szCs w:val="28"/>
    </w:rPr>
  </w:style>
  <w:style w:type="paragraph" w:styleId="7">
    <w:name w:val="heading 5"/>
    <w:basedOn w:val="1"/>
    <w:next w:val="1"/>
    <w:link w:val="79"/>
    <w:autoRedefine/>
    <w:qFormat/>
    <w:uiPriority w:val="0"/>
    <w:pPr>
      <w:keepNext/>
      <w:keepLines/>
      <w:widowControl/>
      <w:numPr>
        <w:ilvl w:val="4"/>
        <w:numId w:val="1"/>
      </w:numPr>
      <w:spacing w:before="280" w:after="290" w:line="372" w:lineRule="auto"/>
      <w:outlineLvl w:val="4"/>
    </w:pPr>
    <w:rPr>
      <w:b/>
      <w:bCs/>
      <w:color w:val="000000"/>
      <w:sz w:val="28"/>
      <w:szCs w:val="28"/>
    </w:rPr>
  </w:style>
  <w:style w:type="paragraph" w:styleId="8">
    <w:name w:val="heading 6"/>
    <w:basedOn w:val="1"/>
    <w:next w:val="1"/>
    <w:link w:val="80"/>
    <w:autoRedefine/>
    <w:qFormat/>
    <w:uiPriority w:val="0"/>
    <w:pPr>
      <w:keepNext/>
      <w:keepLines/>
      <w:widowControl/>
      <w:numPr>
        <w:ilvl w:val="5"/>
        <w:numId w:val="1"/>
      </w:numPr>
      <w:spacing w:before="240" w:after="64" w:line="317" w:lineRule="auto"/>
      <w:outlineLvl w:val="5"/>
    </w:pPr>
    <w:rPr>
      <w:rFonts w:ascii="Arial" w:hAnsi="Arial" w:eastAsia="黑体"/>
      <w:b/>
      <w:bCs/>
      <w:color w:val="000000"/>
    </w:rPr>
  </w:style>
  <w:style w:type="paragraph" w:styleId="9">
    <w:name w:val="heading 7"/>
    <w:basedOn w:val="1"/>
    <w:next w:val="1"/>
    <w:link w:val="81"/>
    <w:autoRedefine/>
    <w:qFormat/>
    <w:uiPriority w:val="0"/>
    <w:pPr>
      <w:keepNext/>
      <w:keepLines/>
      <w:widowControl/>
      <w:numPr>
        <w:ilvl w:val="6"/>
        <w:numId w:val="1"/>
      </w:numPr>
      <w:spacing w:before="240" w:after="64" w:line="317" w:lineRule="auto"/>
      <w:outlineLvl w:val="6"/>
    </w:pPr>
    <w:rPr>
      <w:b/>
      <w:bCs/>
      <w:color w:val="000000"/>
    </w:rPr>
  </w:style>
  <w:style w:type="paragraph" w:styleId="10">
    <w:name w:val="heading 8"/>
    <w:basedOn w:val="1"/>
    <w:next w:val="1"/>
    <w:link w:val="82"/>
    <w:autoRedefine/>
    <w:qFormat/>
    <w:uiPriority w:val="0"/>
    <w:pPr>
      <w:keepNext/>
      <w:keepLines/>
      <w:widowControl/>
      <w:numPr>
        <w:ilvl w:val="7"/>
        <w:numId w:val="1"/>
      </w:numPr>
      <w:spacing w:before="240" w:after="64" w:line="317" w:lineRule="auto"/>
      <w:outlineLvl w:val="7"/>
    </w:pPr>
    <w:rPr>
      <w:rFonts w:ascii="Arial" w:hAnsi="Arial" w:eastAsia="黑体"/>
      <w:color w:val="000000"/>
    </w:rPr>
  </w:style>
  <w:style w:type="paragraph" w:styleId="11">
    <w:name w:val="heading 9"/>
    <w:basedOn w:val="1"/>
    <w:next w:val="1"/>
    <w:link w:val="83"/>
    <w:autoRedefine/>
    <w:qFormat/>
    <w:uiPriority w:val="0"/>
    <w:pPr>
      <w:keepNext/>
      <w:keepLines/>
      <w:widowControl/>
      <w:numPr>
        <w:ilvl w:val="8"/>
        <w:numId w:val="1"/>
      </w:numPr>
      <w:spacing w:beforeLines="50" w:after="64" w:line="400" w:lineRule="exact"/>
      <w:jc w:val="center"/>
      <w:outlineLvl w:val="8"/>
    </w:pPr>
    <w:rPr>
      <w:color w:val="000000"/>
      <w:szCs w:val="21"/>
    </w:rPr>
  </w:style>
  <w:style w:type="character" w:default="1" w:styleId="56">
    <w:name w:val="Default Paragraph Font"/>
    <w:autoRedefine/>
    <w:semiHidden/>
    <w:unhideWhenUsed/>
    <w:qFormat/>
    <w:uiPriority w:val="1"/>
  </w:style>
  <w:style w:type="table" w:default="1" w:styleId="52">
    <w:name w:val="Normal Table"/>
    <w:autoRedefine/>
    <w:semiHidden/>
    <w:unhideWhenUsed/>
    <w:qFormat/>
    <w:uiPriority w:val="99"/>
    <w:tblPr>
      <w:tblCellMar>
        <w:top w:w="0" w:type="dxa"/>
        <w:left w:w="108" w:type="dxa"/>
        <w:bottom w:w="0" w:type="dxa"/>
        <w:right w:w="108" w:type="dxa"/>
      </w:tblCellMar>
    </w:tblPr>
  </w:style>
  <w:style w:type="paragraph" w:customStyle="1" w:styleId="4">
    <w:name w:val="正文格式"/>
    <w:basedOn w:val="1"/>
    <w:link w:val="261"/>
    <w:autoRedefine/>
    <w:qFormat/>
    <w:uiPriority w:val="0"/>
    <w:pPr>
      <w:spacing w:line="360" w:lineRule="auto"/>
      <w:ind w:firstLine="544" w:firstLineChars="200"/>
    </w:pPr>
  </w:style>
  <w:style w:type="paragraph" w:styleId="12">
    <w:name w:val="toc 7"/>
    <w:basedOn w:val="1"/>
    <w:next w:val="1"/>
    <w:autoRedefine/>
    <w:qFormat/>
    <w:uiPriority w:val="39"/>
    <w:pPr>
      <w:ind w:left="1440"/>
      <w:jc w:val="left"/>
    </w:pPr>
    <w:rPr>
      <w:rFonts w:asciiTheme="minorHAnsi" w:hAnsiTheme="minorHAnsi"/>
      <w:sz w:val="18"/>
      <w:szCs w:val="18"/>
    </w:rPr>
  </w:style>
  <w:style w:type="paragraph" w:styleId="13">
    <w:name w:val="Note Heading"/>
    <w:basedOn w:val="1"/>
    <w:next w:val="1"/>
    <w:link w:val="87"/>
    <w:autoRedefine/>
    <w:qFormat/>
    <w:uiPriority w:val="0"/>
    <w:pPr>
      <w:spacing w:line="240" w:lineRule="auto"/>
      <w:jc w:val="center"/>
    </w:pPr>
    <w:rPr>
      <w:sz w:val="21"/>
    </w:rPr>
  </w:style>
  <w:style w:type="paragraph" w:styleId="14">
    <w:name w:val="Normal Indent"/>
    <w:basedOn w:val="1"/>
    <w:link w:val="88"/>
    <w:autoRedefine/>
    <w:qFormat/>
    <w:uiPriority w:val="0"/>
    <w:pPr>
      <w:spacing w:line="240" w:lineRule="auto"/>
    </w:pPr>
    <w:rPr>
      <w:sz w:val="28"/>
    </w:rPr>
  </w:style>
  <w:style w:type="paragraph" w:styleId="15">
    <w:name w:val="caption"/>
    <w:basedOn w:val="1"/>
    <w:next w:val="1"/>
    <w:link w:val="89"/>
    <w:autoRedefine/>
    <w:qFormat/>
    <w:uiPriority w:val="35"/>
    <w:pPr>
      <w:spacing w:before="152" w:after="160" w:line="240" w:lineRule="auto"/>
    </w:pPr>
    <w:rPr>
      <w:rFonts w:ascii="Arial" w:hAnsi="Arial" w:eastAsia="黑体" w:cs="Arial"/>
      <w:sz w:val="20"/>
      <w:szCs w:val="20"/>
    </w:rPr>
  </w:style>
  <w:style w:type="paragraph" w:styleId="16">
    <w:name w:val="List Bullet"/>
    <w:basedOn w:val="1"/>
    <w:autoRedefine/>
    <w:qFormat/>
    <w:uiPriority w:val="0"/>
    <w:pPr>
      <w:numPr>
        <w:ilvl w:val="0"/>
        <w:numId w:val="2"/>
      </w:numPr>
    </w:pPr>
  </w:style>
  <w:style w:type="paragraph" w:styleId="17">
    <w:name w:val="Document Map"/>
    <w:basedOn w:val="1"/>
    <w:link w:val="90"/>
    <w:autoRedefine/>
    <w:qFormat/>
    <w:uiPriority w:val="0"/>
    <w:pPr>
      <w:shd w:val="clear" w:color="auto" w:fill="000080"/>
    </w:pPr>
  </w:style>
  <w:style w:type="paragraph" w:styleId="18">
    <w:name w:val="annotation text"/>
    <w:basedOn w:val="1"/>
    <w:link w:val="84"/>
    <w:autoRedefine/>
    <w:qFormat/>
    <w:uiPriority w:val="99"/>
    <w:pPr>
      <w:jc w:val="left"/>
    </w:pPr>
  </w:style>
  <w:style w:type="paragraph" w:styleId="19">
    <w:name w:val="Salutation"/>
    <w:basedOn w:val="1"/>
    <w:next w:val="1"/>
    <w:link w:val="456"/>
    <w:autoRedefine/>
    <w:unhideWhenUsed/>
    <w:qFormat/>
    <w:uiPriority w:val="0"/>
    <w:pPr>
      <w:spacing w:line="240" w:lineRule="auto"/>
    </w:pPr>
    <w:rPr>
      <w:rFonts w:asciiTheme="minorHAnsi" w:hAnsiTheme="minorHAnsi" w:eastAsiaTheme="minorEastAsia" w:cstheme="minorBidi"/>
      <w:sz w:val="21"/>
      <w:szCs w:val="22"/>
    </w:rPr>
  </w:style>
  <w:style w:type="paragraph" w:styleId="20">
    <w:name w:val="Body Text 3"/>
    <w:basedOn w:val="1"/>
    <w:link w:val="364"/>
    <w:autoRedefine/>
    <w:qFormat/>
    <w:uiPriority w:val="0"/>
    <w:pPr>
      <w:spacing w:line="240" w:lineRule="auto"/>
    </w:pPr>
    <w:rPr>
      <w:rFonts w:ascii="宋体"/>
      <w:szCs w:val="20"/>
    </w:rPr>
  </w:style>
  <w:style w:type="paragraph" w:styleId="21">
    <w:name w:val="Closing"/>
    <w:basedOn w:val="1"/>
    <w:link w:val="946"/>
    <w:autoRedefine/>
    <w:unhideWhenUsed/>
    <w:qFormat/>
    <w:uiPriority w:val="0"/>
    <w:pPr>
      <w:spacing w:line="240" w:lineRule="auto"/>
      <w:ind w:left="100" w:leftChars="2100"/>
    </w:pPr>
    <w:rPr>
      <w:rFonts w:asciiTheme="minorHAnsi" w:hAnsiTheme="minorHAnsi" w:eastAsiaTheme="minorEastAsia" w:cstheme="minorBidi"/>
      <w:sz w:val="21"/>
      <w:szCs w:val="22"/>
    </w:rPr>
  </w:style>
  <w:style w:type="paragraph" w:styleId="22">
    <w:name w:val="Body Text"/>
    <w:basedOn w:val="1"/>
    <w:link w:val="91"/>
    <w:autoRedefine/>
    <w:qFormat/>
    <w:uiPriority w:val="99"/>
    <w:pPr>
      <w:spacing w:after="120"/>
    </w:pPr>
  </w:style>
  <w:style w:type="paragraph" w:styleId="23">
    <w:name w:val="Body Text Indent"/>
    <w:basedOn w:val="1"/>
    <w:link w:val="92"/>
    <w:autoRedefine/>
    <w:qFormat/>
    <w:uiPriority w:val="99"/>
    <w:pPr>
      <w:spacing w:after="120"/>
      <w:ind w:left="420" w:leftChars="200"/>
    </w:pPr>
  </w:style>
  <w:style w:type="paragraph" w:styleId="24">
    <w:name w:val="List 2"/>
    <w:basedOn w:val="1"/>
    <w:autoRedefine/>
    <w:unhideWhenUsed/>
    <w:qFormat/>
    <w:uiPriority w:val="0"/>
    <w:pPr>
      <w:spacing w:line="240" w:lineRule="auto"/>
      <w:ind w:left="100" w:leftChars="200" w:hanging="200" w:hangingChars="200"/>
      <w:contextualSpacing/>
    </w:pPr>
    <w:rPr>
      <w:rFonts w:asciiTheme="minorHAnsi" w:hAnsiTheme="minorHAnsi" w:eastAsiaTheme="minorEastAsia" w:cstheme="minorBidi"/>
      <w:sz w:val="21"/>
      <w:szCs w:val="22"/>
    </w:rPr>
  </w:style>
  <w:style w:type="paragraph" w:styleId="25">
    <w:name w:val="Block Text"/>
    <w:basedOn w:val="1"/>
    <w:autoRedefine/>
    <w:qFormat/>
    <w:uiPriority w:val="0"/>
    <w:pPr>
      <w:spacing w:after="120"/>
      <w:ind w:left="1440" w:leftChars="700" w:right="1440" w:rightChars="700"/>
    </w:pPr>
  </w:style>
  <w:style w:type="paragraph" w:styleId="26">
    <w:name w:val="toc 5"/>
    <w:basedOn w:val="1"/>
    <w:next w:val="1"/>
    <w:autoRedefine/>
    <w:qFormat/>
    <w:uiPriority w:val="39"/>
    <w:pPr>
      <w:ind w:left="960"/>
      <w:jc w:val="left"/>
    </w:pPr>
    <w:rPr>
      <w:rFonts w:asciiTheme="minorHAnsi" w:hAnsiTheme="minorHAnsi"/>
      <w:sz w:val="18"/>
      <w:szCs w:val="18"/>
    </w:rPr>
  </w:style>
  <w:style w:type="paragraph" w:styleId="27">
    <w:name w:val="toc 3"/>
    <w:basedOn w:val="1"/>
    <w:next w:val="1"/>
    <w:autoRedefine/>
    <w:qFormat/>
    <w:uiPriority w:val="39"/>
    <w:pPr>
      <w:ind w:left="480"/>
      <w:jc w:val="left"/>
    </w:pPr>
    <w:rPr>
      <w:rFonts w:asciiTheme="minorHAnsi" w:hAnsiTheme="minorHAnsi"/>
      <w:i/>
      <w:iCs/>
      <w:sz w:val="20"/>
      <w:szCs w:val="20"/>
    </w:rPr>
  </w:style>
  <w:style w:type="paragraph" w:styleId="28">
    <w:name w:val="Plain Text"/>
    <w:basedOn w:val="1"/>
    <w:link w:val="93"/>
    <w:autoRedefine/>
    <w:qFormat/>
    <w:uiPriority w:val="0"/>
    <w:pPr>
      <w:widowControl/>
      <w:spacing w:line="240" w:lineRule="auto"/>
    </w:pPr>
    <w:rPr>
      <w:rFonts w:ascii="宋体" w:hAnsi="宋体" w:cs="宋体"/>
      <w:color w:val="000000"/>
      <w:sz w:val="28"/>
      <w:szCs w:val="21"/>
    </w:rPr>
  </w:style>
  <w:style w:type="paragraph" w:styleId="29">
    <w:name w:val="toc 8"/>
    <w:basedOn w:val="1"/>
    <w:next w:val="1"/>
    <w:autoRedefine/>
    <w:qFormat/>
    <w:uiPriority w:val="39"/>
    <w:pPr>
      <w:ind w:left="1680"/>
      <w:jc w:val="left"/>
    </w:pPr>
    <w:rPr>
      <w:rFonts w:asciiTheme="minorHAnsi" w:hAnsiTheme="minorHAnsi"/>
      <w:sz w:val="18"/>
      <w:szCs w:val="18"/>
    </w:rPr>
  </w:style>
  <w:style w:type="paragraph" w:styleId="30">
    <w:name w:val="Date"/>
    <w:basedOn w:val="1"/>
    <w:next w:val="1"/>
    <w:link w:val="94"/>
    <w:autoRedefine/>
    <w:qFormat/>
    <w:uiPriority w:val="0"/>
    <w:pPr>
      <w:spacing w:line="240" w:lineRule="auto"/>
    </w:pPr>
    <w:rPr>
      <w:rFonts w:eastAsia="楷体_GB2312"/>
      <w:sz w:val="28"/>
      <w:szCs w:val="20"/>
    </w:rPr>
  </w:style>
  <w:style w:type="paragraph" w:styleId="31">
    <w:name w:val="Body Text Indent 2"/>
    <w:basedOn w:val="1"/>
    <w:next w:val="1"/>
    <w:link w:val="74"/>
    <w:autoRedefine/>
    <w:qFormat/>
    <w:uiPriority w:val="99"/>
    <w:pPr>
      <w:spacing w:after="120" w:line="480" w:lineRule="auto"/>
      <w:ind w:left="420" w:leftChars="200"/>
    </w:pPr>
  </w:style>
  <w:style w:type="paragraph" w:styleId="32">
    <w:name w:val="endnote text"/>
    <w:basedOn w:val="1"/>
    <w:link w:val="376"/>
    <w:autoRedefine/>
    <w:unhideWhenUsed/>
    <w:qFormat/>
    <w:uiPriority w:val="99"/>
    <w:pPr>
      <w:snapToGrid w:val="0"/>
      <w:spacing w:line="240" w:lineRule="auto"/>
      <w:jc w:val="left"/>
    </w:pPr>
    <w:rPr>
      <w:kern w:val="0"/>
    </w:rPr>
  </w:style>
  <w:style w:type="paragraph" w:styleId="33">
    <w:name w:val="Balloon Text"/>
    <w:basedOn w:val="1"/>
    <w:link w:val="95"/>
    <w:autoRedefine/>
    <w:qFormat/>
    <w:uiPriority w:val="0"/>
    <w:rPr>
      <w:sz w:val="18"/>
      <w:szCs w:val="18"/>
    </w:rPr>
  </w:style>
  <w:style w:type="paragraph" w:styleId="34">
    <w:name w:val="footer"/>
    <w:basedOn w:val="1"/>
    <w:link w:val="96"/>
    <w:qFormat/>
    <w:uiPriority w:val="0"/>
    <w:pPr>
      <w:tabs>
        <w:tab w:val="center" w:pos="4153"/>
        <w:tab w:val="right" w:pos="8306"/>
      </w:tabs>
      <w:snapToGrid w:val="0"/>
      <w:spacing w:line="240" w:lineRule="atLeast"/>
      <w:jc w:val="left"/>
    </w:pPr>
    <w:rPr>
      <w:sz w:val="18"/>
      <w:szCs w:val="18"/>
    </w:rPr>
  </w:style>
  <w:style w:type="paragraph" w:styleId="35">
    <w:name w:val="header"/>
    <w:basedOn w:val="1"/>
    <w:link w:val="97"/>
    <w:autoRedefine/>
    <w:qFormat/>
    <w:uiPriority w:val="0"/>
    <w:pPr>
      <w:pBdr>
        <w:bottom w:val="single" w:color="auto" w:sz="6" w:space="1"/>
      </w:pBdr>
      <w:tabs>
        <w:tab w:val="center" w:pos="4153"/>
        <w:tab w:val="right" w:pos="8306"/>
      </w:tabs>
      <w:snapToGrid w:val="0"/>
      <w:spacing w:line="240" w:lineRule="atLeast"/>
      <w:jc w:val="center"/>
    </w:pPr>
    <w:rPr>
      <w:sz w:val="18"/>
      <w:szCs w:val="18"/>
    </w:rPr>
  </w:style>
  <w:style w:type="paragraph" w:styleId="36">
    <w:name w:val="toc 1"/>
    <w:basedOn w:val="1"/>
    <w:next w:val="1"/>
    <w:qFormat/>
    <w:uiPriority w:val="39"/>
    <w:pPr>
      <w:spacing w:before="120" w:after="120"/>
      <w:jc w:val="left"/>
    </w:pPr>
    <w:rPr>
      <w:rFonts w:asciiTheme="minorHAnsi" w:hAnsiTheme="minorHAnsi"/>
      <w:b/>
      <w:bCs/>
      <w:caps/>
      <w:sz w:val="20"/>
      <w:szCs w:val="20"/>
    </w:rPr>
  </w:style>
  <w:style w:type="paragraph" w:styleId="37">
    <w:name w:val="toc 4"/>
    <w:basedOn w:val="1"/>
    <w:next w:val="1"/>
    <w:autoRedefine/>
    <w:qFormat/>
    <w:uiPriority w:val="39"/>
    <w:pPr>
      <w:ind w:left="720"/>
      <w:jc w:val="left"/>
    </w:pPr>
    <w:rPr>
      <w:rFonts w:asciiTheme="minorHAnsi" w:hAnsiTheme="minorHAnsi"/>
      <w:sz w:val="18"/>
      <w:szCs w:val="18"/>
    </w:rPr>
  </w:style>
  <w:style w:type="paragraph" w:styleId="38">
    <w:name w:val="Subtitle"/>
    <w:basedOn w:val="1"/>
    <w:next w:val="1"/>
    <w:link w:val="378"/>
    <w:autoRedefine/>
    <w:qFormat/>
    <w:uiPriority w:val="11"/>
    <w:pPr>
      <w:spacing w:before="240" w:after="60" w:line="312" w:lineRule="auto"/>
      <w:jc w:val="center"/>
      <w:outlineLvl w:val="1"/>
    </w:pPr>
    <w:rPr>
      <w:rFonts w:ascii="Cambria" w:hAnsi="Cambria" w:cs="黑体"/>
      <w:b/>
      <w:bCs/>
      <w:kern w:val="28"/>
      <w:sz w:val="32"/>
      <w:szCs w:val="32"/>
    </w:rPr>
  </w:style>
  <w:style w:type="paragraph" w:styleId="39">
    <w:name w:val="List"/>
    <w:basedOn w:val="1"/>
    <w:autoRedefine/>
    <w:qFormat/>
    <w:uiPriority w:val="0"/>
    <w:pPr>
      <w:spacing w:line="320" w:lineRule="exact"/>
      <w:jc w:val="center"/>
    </w:pPr>
    <w:rPr>
      <w:sz w:val="20"/>
    </w:rPr>
  </w:style>
  <w:style w:type="paragraph" w:styleId="40">
    <w:name w:val="footnote text"/>
    <w:basedOn w:val="1"/>
    <w:link w:val="375"/>
    <w:autoRedefine/>
    <w:unhideWhenUsed/>
    <w:qFormat/>
    <w:uiPriority w:val="0"/>
    <w:pPr>
      <w:snapToGrid w:val="0"/>
      <w:spacing w:line="240" w:lineRule="auto"/>
      <w:jc w:val="left"/>
    </w:pPr>
    <w:rPr>
      <w:kern w:val="0"/>
      <w:sz w:val="18"/>
      <w:szCs w:val="18"/>
    </w:rPr>
  </w:style>
  <w:style w:type="paragraph" w:styleId="41">
    <w:name w:val="toc 6"/>
    <w:basedOn w:val="1"/>
    <w:next w:val="1"/>
    <w:autoRedefine/>
    <w:qFormat/>
    <w:uiPriority w:val="39"/>
    <w:pPr>
      <w:ind w:left="1200"/>
      <w:jc w:val="left"/>
    </w:pPr>
    <w:rPr>
      <w:rFonts w:asciiTheme="minorHAnsi" w:hAnsiTheme="minorHAnsi"/>
      <w:sz w:val="18"/>
      <w:szCs w:val="18"/>
    </w:rPr>
  </w:style>
  <w:style w:type="paragraph" w:styleId="42">
    <w:name w:val="Body Text Indent 3"/>
    <w:basedOn w:val="1"/>
    <w:link w:val="98"/>
    <w:autoRedefine/>
    <w:qFormat/>
    <w:uiPriority w:val="0"/>
    <w:pPr>
      <w:spacing w:after="120"/>
      <w:ind w:left="420" w:leftChars="200"/>
    </w:pPr>
    <w:rPr>
      <w:sz w:val="16"/>
      <w:szCs w:val="16"/>
    </w:rPr>
  </w:style>
  <w:style w:type="paragraph" w:styleId="43">
    <w:name w:val="toc 2"/>
    <w:basedOn w:val="1"/>
    <w:next w:val="1"/>
    <w:autoRedefine/>
    <w:qFormat/>
    <w:uiPriority w:val="39"/>
    <w:pPr>
      <w:ind w:left="240"/>
      <w:jc w:val="left"/>
    </w:pPr>
    <w:rPr>
      <w:rFonts w:asciiTheme="minorHAnsi" w:hAnsiTheme="minorHAnsi"/>
      <w:smallCaps/>
      <w:sz w:val="20"/>
      <w:szCs w:val="20"/>
    </w:rPr>
  </w:style>
  <w:style w:type="paragraph" w:styleId="44">
    <w:name w:val="toc 9"/>
    <w:basedOn w:val="1"/>
    <w:next w:val="1"/>
    <w:qFormat/>
    <w:uiPriority w:val="39"/>
    <w:pPr>
      <w:ind w:left="1920"/>
      <w:jc w:val="left"/>
    </w:pPr>
    <w:rPr>
      <w:rFonts w:asciiTheme="minorHAnsi" w:hAnsiTheme="minorHAnsi"/>
      <w:sz w:val="18"/>
      <w:szCs w:val="18"/>
    </w:rPr>
  </w:style>
  <w:style w:type="paragraph" w:styleId="45">
    <w:name w:val="Body Text 2"/>
    <w:basedOn w:val="1"/>
    <w:link w:val="99"/>
    <w:autoRedefine/>
    <w:qFormat/>
    <w:uiPriority w:val="0"/>
    <w:pPr>
      <w:spacing w:after="120" w:line="480" w:lineRule="auto"/>
    </w:pPr>
  </w:style>
  <w:style w:type="paragraph" w:styleId="46">
    <w:name w:val="HTML Preformatted"/>
    <w:basedOn w:val="1"/>
    <w:link w:val="100"/>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left"/>
    </w:pPr>
    <w:rPr>
      <w:rFonts w:ascii="Arial" w:hAnsi="Arial" w:cs="Arial"/>
      <w:kern w:val="0"/>
      <w:sz w:val="21"/>
      <w:szCs w:val="21"/>
    </w:rPr>
  </w:style>
  <w:style w:type="paragraph" w:styleId="47">
    <w:name w:val="Normal (Web)"/>
    <w:basedOn w:val="1"/>
    <w:link w:val="101"/>
    <w:autoRedefine/>
    <w:qFormat/>
    <w:uiPriority w:val="34"/>
    <w:pPr>
      <w:widowControl/>
      <w:spacing w:before="100" w:beforeAutospacing="1" w:after="100" w:afterAutospacing="1" w:line="240" w:lineRule="auto"/>
      <w:jc w:val="left"/>
    </w:pPr>
    <w:rPr>
      <w:rFonts w:ascii="宋体" w:hAnsi="宋体" w:cs="宋体"/>
      <w:kern w:val="0"/>
    </w:rPr>
  </w:style>
  <w:style w:type="paragraph" w:styleId="48">
    <w:name w:val="Title"/>
    <w:basedOn w:val="1"/>
    <w:link w:val="102"/>
    <w:autoRedefine/>
    <w:qFormat/>
    <w:uiPriority w:val="0"/>
    <w:pPr>
      <w:spacing w:before="240" w:after="60" w:line="240" w:lineRule="auto"/>
      <w:jc w:val="center"/>
      <w:outlineLvl w:val="0"/>
    </w:pPr>
    <w:rPr>
      <w:rFonts w:ascii="Arial" w:hAnsi="Arial" w:cs="Arial"/>
      <w:b/>
      <w:bCs/>
      <w:sz w:val="32"/>
      <w:szCs w:val="32"/>
    </w:rPr>
  </w:style>
  <w:style w:type="paragraph" w:styleId="49">
    <w:name w:val="annotation subject"/>
    <w:basedOn w:val="18"/>
    <w:next w:val="18"/>
    <w:link w:val="85"/>
    <w:qFormat/>
    <w:uiPriority w:val="0"/>
    <w:rPr>
      <w:b/>
      <w:bCs/>
    </w:rPr>
  </w:style>
  <w:style w:type="paragraph" w:styleId="50">
    <w:name w:val="Body Text First Indent"/>
    <w:basedOn w:val="22"/>
    <w:link w:val="356"/>
    <w:qFormat/>
    <w:uiPriority w:val="0"/>
    <w:pPr>
      <w:spacing w:line="240" w:lineRule="auto"/>
      <w:ind w:firstLine="420" w:firstLineChars="100"/>
    </w:pPr>
    <w:rPr>
      <w:rFonts w:ascii="宋体"/>
      <w:sz w:val="28"/>
      <w:szCs w:val="20"/>
    </w:rPr>
  </w:style>
  <w:style w:type="paragraph" w:styleId="51">
    <w:name w:val="Body Text First Indent 2"/>
    <w:basedOn w:val="23"/>
    <w:link w:val="943"/>
    <w:unhideWhenUsed/>
    <w:qFormat/>
    <w:uiPriority w:val="0"/>
    <w:pPr>
      <w:spacing w:line="240" w:lineRule="auto"/>
      <w:ind w:firstLine="420" w:firstLineChars="200"/>
    </w:pPr>
    <w:rPr>
      <w:rFonts w:asciiTheme="minorHAnsi" w:hAnsiTheme="minorHAnsi" w:eastAsiaTheme="minorEastAsia" w:cstheme="minorBidi"/>
      <w:sz w:val="21"/>
      <w:szCs w:val="22"/>
    </w:rPr>
  </w:style>
  <w:style w:type="table" w:styleId="53">
    <w:name w:val="Table Grid"/>
    <w:basedOn w:val="52"/>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54">
    <w:name w:val="Table List 4"/>
    <w:basedOn w:val="52"/>
    <w:autoRedefine/>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top w:val="nil"/>
          <w:left w:val="nil"/>
          <w:bottom w:val="single" w:color="000000" w:sz="12" w:space="0"/>
          <w:right w:val="nil"/>
          <w:insideH w:val="nil"/>
          <w:insideV w:val="nil"/>
          <w:tl2br w:val="nil"/>
          <w:tr2bl w:val="nil"/>
        </w:tcBorders>
        <w:shd w:val="solid" w:color="808080" w:fill="FFFFFF"/>
      </w:tcPr>
    </w:tblStylePr>
  </w:style>
  <w:style w:type="table" w:styleId="55">
    <w:name w:val="Light List Accent 3"/>
    <w:basedOn w:val="52"/>
    <w:autoRedefine/>
    <w:qFormat/>
    <w:uiPriority w:val="61"/>
    <w:rPr>
      <w:rFonts w:ascii="Calibri" w:hAnsi="Calibri"/>
      <w:sz w:val="22"/>
      <w:szCs w:val="22"/>
    </w:rPr>
    <w:tblPr>
      <w:tblBorders>
        <w:top w:val="single" w:color="9BBB59" w:sz="8" w:space="0"/>
        <w:left w:val="single" w:color="9BBB59" w:sz="8" w:space="0"/>
        <w:bottom w:val="single" w:color="9BBB59" w:sz="8" w:space="0"/>
        <w:right w:val="single" w:color="9BBB59" w:sz="8" w:space="0"/>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color="9BBB59" w:sz="6" w:space="0"/>
          <w:left w:val="single" w:color="9BBB59" w:sz="8" w:space="0"/>
          <w:bottom w:val="single" w:color="9BBB59" w:sz="8" w:space="0"/>
          <w:right w:val="single" w:color="9BBB59" w:sz="8" w:space="0"/>
        </w:tcBorders>
      </w:tcPr>
    </w:tblStylePr>
    <w:tblStylePr w:type="firstCol">
      <w:rPr>
        <w:b/>
        <w:bCs/>
      </w:rPr>
    </w:tblStylePr>
    <w:tblStylePr w:type="lastCol">
      <w:rPr>
        <w:b/>
        <w:bCs/>
      </w:rPr>
    </w:tblStylePr>
    <w:tblStylePr w:type="band1Vert">
      <w:tblPr/>
      <w:tcPr>
        <w:tcBorders>
          <w:top w:val="single" w:color="9BBB59" w:sz="8" w:space="0"/>
          <w:left w:val="single" w:color="9BBB59" w:sz="8" w:space="0"/>
          <w:bottom w:val="single" w:color="9BBB59" w:sz="8" w:space="0"/>
          <w:right w:val="single" w:color="9BBB59" w:sz="8" w:space="0"/>
        </w:tcBorders>
      </w:tcPr>
    </w:tblStylePr>
    <w:tblStylePr w:type="band1Horz">
      <w:tblPr/>
      <w:tcPr>
        <w:tcBorders>
          <w:top w:val="single" w:color="9BBB59" w:sz="8" w:space="0"/>
          <w:left w:val="single" w:color="9BBB59" w:sz="8" w:space="0"/>
          <w:bottom w:val="single" w:color="9BBB59" w:sz="8" w:space="0"/>
          <w:right w:val="single" w:color="9BBB59" w:sz="8" w:space="0"/>
        </w:tcBorders>
      </w:tcPr>
    </w:tblStylePr>
  </w:style>
  <w:style w:type="character" w:styleId="57">
    <w:name w:val="Strong"/>
    <w:autoRedefine/>
    <w:qFormat/>
    <w:uiPriority w:val="0"/>
    <w:rPr>
      <w:rFonts w:hAnsi="宋体" w:cs="宋体"/>
      <w:b/>
      <w:bCs/>
      <w:sz w:val="24"/>
      <w:szCs w:val="24"/>
    </w:rPr>
  </w:style>
  <w:style w:type="character" w:styleId="58">
    <w:name w:val="endnote reference"/>
    <w:autoRedefine/>
    <w:unhideWhenUsed/>
    <w:qFormat/>
    <w:uiPriority w:val="99"/>
    <w:rPr>
      <w:vertAlign w:val="superscript"/>
    </w:rPr>
  </w:style>
  <w:style w:type="character" w:styleId="59">
    <w:name w:val="page number"/>
    <w:basedOn w:val="56"/>
    <w:autoRedefine/>
    <w:qFormat/>
    <w:uiPriority w:val="0"/>
  </w:style>
  <w:style w:type="character" w:styleId="60">
    <w:name w:val="FollowedHyperlink"/>
    <w:autoRedefine/>
    <w:unhideWhenUsed/>
    <w:qFormat/>
    <w:uiPriority w:val="99"/>
    <w:rPr>
      <w:color w:val="954F72"/>
      <w:u w:val="single"/>
    </w:rPr>
  </w:style>
  <w:style w:type="character" w:styleId="61">
    <w:name w:val="Emphasis"/>
    <w:autoRedefine/>
    <w:qFormat/>
    <w:uiPriority w:val="0"/>
    <w:rPr>
      <w:rFonts w:hAnsi="宋体" w:cs="宋体"/>
      <w:i/>
      <w:iCs/>
      <w:sz w:val="24"/>
      <w:szCs w:val="24"/>
    </w:rPr>
  </w:style>
  <w:style w:type="character" w:styleId="62">
    <w:name w:val="HTML Definition"/>
    <w:basedOn w:val="56"/>
    <w:autoRedefine/>
    <w:qFormat/>
    <w:uiPriority w:val="0"/>
  </w:style>
  <w:style w:type="character" w:styleId="63">
    <w:name w:val="HTML Typewriter"/>
    <w:autoRedefine/>
    <w:unhideWhenUsed/>
    <w:qFormat/>
    <w:uiPriority w:val="0"/>
    <w:rPr>
      <w:rFonts w:hint="default" w:ascii="Courier New" w:hAnsi="Courier New" w:eastAsia="Times New Roman" w:cs="Courier New"/>
      <w:sz w:val="24"/>
      <w:szCs w:val="24"/>
    </w:rPr>
  </w:style>
  <w:style w:type="character" w:styleId="64">
    <w:name w:val="HTML Variable"/>
    <w:basedOn w:val="56"/>
    <w:autoRedefine/>
    <w:qFormat/>
    <w:uiPriority w:val="0"/>
  </w:style>
  <w:style w:type="character" w:styleId="65">
    <w:name w:val="Hyperlink"/>
    <w:basedOn w:val="56"/>
    <w:autoRedefine/>
    <w:qFormat/>
    <w:uiPriority w:val="99"/>
    <w:rPr>
      <w:color w:val="0000FF"/>
      <w:u w:val="single"/>
    </w:rPr>
  </w:style>
  <w:style w:type="character" w:styleId="66">
    <w:name w:val="HTML Code"/>
    <w:basedOn w:val="56"/>
    <w:autoRedefine/>
    <w:qFormat/>
    <w:uiPriority w:val="0"/>
    <w:rPr>
      <w:rFonts w:hint="default" w:ascii="monospace" w:hAnsi="monospace" w:eastAsia="monospace" w:cs="monospace"/>
      <w:sz w:val="21"/>
      <w:szCs w:val="21"/>
    </w:rPr>
  </w:style>
  <w:style w:type="character" w:styleId="67">
    <w:name w:val="annotation reference"/>
    <w:basedOn w:val="56"/>
    <w:autoRedefine/>
    <w:qFormat/>
    <w:uiPriority w:val="0"/>
    <w:rPr>
      <w:sz w:val="21"/>
      <w:szCs w:val="21"/>
    </w:rPr>
  </w:style>
  <w:style w:type="character" w:styleId="68">
    <w:name w:val="HTML Cite"/>
    <w:basedOn w:val="56"/>
    <w:autoRedefine/>
    <w:qFormat/>
    <w:uiPriority w:val="0"/>
  </w:style>
  <w:style w:type="character" w:styleId="69">
    <w:name w:val="footnote reference"/>
    <w:autoRedefine/>
    <w:unhideWhenUsed/>
    <w:qFormat/>
    <w:uiPriority w:val="0"/>
    <w:rPr>
      <w:vertAlign w:val="superscript"/>
    </w:rPr>
  </w:style>
  <w:style w:type="character" w:styleId="70">
    <w:name w:val="HTML Keyboard"/>
    <w:basedOn w:val="56"/>
    <w:autoRedefine/>
    <w:qFormat/>
    <w:uiPriority w:val="0"/>
    <w:rPr>
      <w:rFonts w:hint="default" w:ascii="monospace" w:hAnsi="monospace" w:eastAsia="monospace" w:cs="monospace"/>
      <w:sz w:val="21"/>
      <w:szCs w:val="21"/>
    </w:rPr>
  </w:style>
  <w:style w:type="character" w:styleId="71">
    <w:name w:val="HTML Sample"/>
    <w:basedOn w:val="56"/>
    <w:autoRedefine/>
    <w:qFormat/>
    <w:uiPriority w:val="0"/>
    <w:rPr>
      <w:rFonts w:ascii="monospace" w:hAnsi="monospace" w:eastAsia="monospace" w:cs="monospace"/>
      <w:sz w:val="21"/>
      <w:szCs w:val="21"/>
    </w:rPr>
  </w:style>
  <w:style w:type="paragraph" w:customStyle="1" w:styleId="72">
    <w:name w:val="_Style 4"/>
    <w:autoRedefine/>
    <w:qFormat/>
    <w:uiPriority w:val="0"/>
    <w:pPr>
      <w:widowControl w:val="0"/>
      <w:jc w:val="both"/>
    </w:pPr>
    <w:rPr>
      <w:rFonts w:ascii="Times New Roman" w:hAnsi="Times New Roman" w:eastAsia="仿宋_GB2312" w:cs="Times New Roman"/>
      <w:kern w:val="2"/>
      <w:sz w:val="24"/>
      <w:szCs w:val="22"/>
      <w:lang w:val="en-US" w:eastAsia="zh-CN" w:bidi="ar-SA"/>
    </w:rPr>
  </w:style>
  <w:style w:type="paragraph" w:customStyle="1" w:styleId="73">
    <w:name w:val="0正文"/>
    <w:basedOn w:val="23"/>
    <w:autoRedefine/>
    <w:qFormat/>
    <w:uiPriority w:val="0"/>
    <w:pPr>
      <w:spacing w:line="360" w:lineRule="auto"/>
      <w:ind w:firstLine="200"/>
    </w:pPr>
    <w:rPr>
      <w:rFonts w:cs="宋体"/>
      <w:kern w:val="0"/>
    </w:rPr>
  </w:style>
  <w:style w:type="character" w:customStyle="1" w:styleId="74">
    <w:name w:val="正文文本缩进 2 字符"/>
    <w:basedOn w:val="56"/>
    <w:link w:val="31"/>
    <w:autoRedefine/>
    <w:qFormat/>
    <w:uiPriority w:val="99"/>
    <w:rPr>
      <w:kern w:val="2"/>
      <w:sz w:val="24"/>
      <w:szCs w:val="24"/>
    </w:rPr>
  </w:style>
  <w:style w:type="character" w:customStyle="1" w:styleId="75">
    <w:name w:val="标题 1 字符"/>
    <w:basedOn w:val="56"/>
    <w:link w:val="2"/>
    <w:autoRedefine/>
    <w:qFormat/>
    <w:uiPriority w:val="0"/>
    <w:rPr>
      <w:rFonts w:ascii="宋体" w:hAnsi="宋体" w:eastAsia="宋体" w:cs="宋体"/>
      <w:b/>
      <w:color w:val="000000"/>
      <w:kern w:val="28"/>
      <w:sz w:val="30"/>
    </w:rPr>
  </w:style>
  <w:style w:type="character" w:customStyle="1" w:styleId="76">
    <w:name w:val="标题 2 字符"/>
    <w:basedOn w:val="56"/>
    <w:link w:val="3"/>
    <w:autoRedefine/>
    <w:qFormat/>
    <w:uiPriority w:val="0"/>
    <w:rPr>
      <w:rFonts w:ascii="Times New Roman" w:hAnsi="Times New Roman" w:eastAsia="宋体"/>
      <w:b/>
      <w:bCs/>
      <w:color w:val="000000"/>
      <w:kern w:val="2"/>
      <w:sz w:val="28"/>
      <w:szCs w:val="32"/>
    </w:rPr>
  </w:style>
  <w:style w:type="character" w:customStyle="1" w:styleId="77">
    <w:name w:val="标题 3 字符"/>
    <w:basedOn w:val="56"/>
    <w:link w:val="5"/>
    <w:autoRedefine/>
    <w:qFormat/>
    <w:uiPriority w:val="0"/>
    <w:rPr>
      <w:b/>
      <w:bCs/>
      <w:color w:val="000000"/>
      <w:kern w:val="2"/>
      <w:sz w:val="24"/>
      <w:szCs w:val="32"/>
    </w:rPr>
  </w:style>
  <w:style w:type="character" w:customStyle="1" w:styleId="78">
    <w:name w:val="标题 4 字符"/>
    <w:basedOn w:val="56"/>
    <w:link w:val="6"/>
    <w:autoRedefine/>
    <w:qFormat/>
    <w:uiPriority w:val="0"/>
    <w:rPr>
      <w:b/>
      <w:bCs/>
      <w:color w:val="000000"/>
      <w:kern w:val="2"/>
      <w:sz w:val="24"/>
      <w:szCs w:val="28"/>
    </w:rPr>
  </w:style>
  <w:style w:type="character" w:customStyle="1" w:styleId="79">
    <w:name w:val="标题 5 字符"/>
    <w:basedOn w:val="56"/>
    <w:link w:val="7"/>
    <w:autoRedefine/>
    <w:qFormat/>
    <w:uiPriority w:val="0"/>
    <w:rPr>
      <w:b/>
      <w:bCs/>
      <w:color w:val="000000"/>
      <w:kern w:val="2"/>
      <w:sz w:val="28"/>
      <w:szCs w:val="28"/>
    </w:rPr>
  </w:style>
  <w:style w:type="character" w:customStyle="1" w:styleId="80">
    <w:name w:val="标题 6 字符"/>
    <w:basedOn w:val="56"/>
    <w:link w:val="8"/>
    <w:autoRedefine/>
    <w:qFormat/>
    <w:uiPriority w:val="0"/>
    <w:rPr>
      <w:rFonts w:ascii="Arial" w:hAnsi="Arial" w:eastAsia="黑体"/>
      <w:b/>
      <w:bCs/>
      <w:color w:val="000000"/>
      <w:kern w:val="2"/>
      <w:sz w:val="24"/>
      <w:szCs w:val="24"/>
    </w:rPr>
  </w:style>
  <w:style w:type="character" w:customStyle="1" w:styleId="81">
    <w:name w:val="标题 7 字符"/>
    <w:basedOn w:val="56"/>
    <w:link w:val="9"/>
    <w:autoRedefine/>
    <w:qFormat/>
    <w:uiPriority w:val="0"/>
    <w:rPr>
      <w:b/>
      <w:bCs/>
      <w:color w:val="000000"/>
      <w:kern w:val="2"/>
      <w:sz w:val="24"/>
      <w:szCs w:val="24"/>
    </w:rPr>
  </w:style>
  <w:style w:type="character" w:customStyle="1" w:styleId="82">
    <w:name w:val="标题 8 字符"/>
    <w:basedOn w:val="56"/>
    <w:link w:val="10"/>
    <w:autoRedefine/>
    <w:qFormat/>
    <w:uiPriority w:val="0"/>
    <w:rPr>
      <w:rFonts w:ascii="Arial" w:hAnsi="Arial" w:eastAsia="黑体"/>
      <w:color w:val="000000"/>
      <w:kern w:val="2"/>
      <w:sz w:val="24"/>
      <w:szCs w:val="24"/>
    </w:rPr>
  </w:style>
  <w:style w:type="character" w:customStyle="1" w:styleId="83">
    <w:name w:val="标题 9 字符"/>
    <w:basedOn w:val="56"/>
    <w:link w:val="11"/>
    <w:autoRedefine/>
    <w:qFormat/>
    <w:uiPriority w:val="0"/>
    <w:rPr>
      <w:color w:val="000000"/>
      <w:kern w:val="2"/>
      <w:sz w:val="24"/>
      <w:szCs w:val="21"/>
    </w:rPr>
  </w:style>
  <w:style w:type="character" w:customStyle="1" w:styleId="84">
    <w:name w:val="批注文字 字符"/>
    <w:basedOn w:val="56"/>
    <w:link w:val="18"/>
    <w:autoRedefine/>
    <w:qFormat/>
    <w:locked/>
    <w:uiPriority w:val="99"/>
    <w:rPr>
      <w:kern w:val="2"/>
      <w:sz w:val="24"/>
      <w:szCs w:val="24"/>
    </w:rPr>
  </w:style>
  <w:style w:type="character" w:customStyle="1" w:styleId="85">
    <w:name w:val="批注主题 字符"/>
    <w:basedOn w:val="86"/>
    <w:link w:val="49"/>
    <w:autoRedefine/>
    <w:qFormat/>
    <w:uiPriority w:val="0"/>
    <w:rPr>
      <w:rFonts w:asciiTheme="minorHAnsi" w:hAnsiTheme="minorHAnsi" w:eastAsiaTheme="minorEastAsia" w:cstheme="minorBidi"/>
      <w:b/>
      <w:bCs/>
      <w:kern w:val="2"/>
      <w:sz w:val="24"/>
      <w:szCs w:val="24"/>
    </w:rPr>
  </w:style>
  <w:style w:type="character" w:customStyle="1" w:styleId="86">
    <w:name w:val="批注文字 Char"/>
    <w:basedOn w:val="56"/>
    <w:autoRedefine/>
    <w:semiHidden/>
    <w:qFormat/>
    <w:uiPriority w:val="99"/>
    <w:rPr>
      <w:rFonts w:asciiTheme="minorHAnsi" w:hAnsiTheme="minorHAnsi" w:eastAsiaTheme="minorEastAsia" w:cstheme="minorBidi"/>
      <w:kern w:val="2"/>
      <w:sz w:val="21"/>
      <w:szCs w:val="22"/>
    </w:rPr>
  </w:style>
  <w:style w:type="character" w:customStyle="1" w:styleId="87">
    <w:name w:val="注释标题 字符"/>
    <w:basedOn w:val="56"/>
    <w:link w:val="13"/>
    <w:autoRedefine/>
    <w:qFormat/>
    <w:uiPriority w:val="0"/>
    <w:rPr>
      <w:rFonts w:eastAsia="宋体"/>
      <w:kern w:val="2"/>
      <w:sz w:val="21"/>
      <w:lang w:val="en-US" w:eastAsia="zh-CN" w:bidi="ar-SA"/>
    </w:rPr>
  </w:style>
  <w:style w:type="character" w:customStyle="1" w:styleId="88">
    <w:name w:val="正文缩进 字符"/>
    <w:basedOn w:val="56"/>
    <w:link w:val="14"/>
    <w:autoRedefine/>
    <w:qFormat/>
    <w:uiPriority w:val="99"/>
    <w:rPr>
      <w:rFonts w:eastAsia="宋体"/>
      <w:kern w:val="2"/>
      <w:sz w:val="28"/>
      <w:lang w:val="en-US" w:eastAsia="zh-CN" w:bidi="ar-SA"/>
    </w:rPr>
  </w:style>
  <w:style w:type="character" w:customStyle="1" w:styleId="89">
    <w:name w:val="题注 字符"/>
    <w:link w:val="15"/>
    <w:autoRedefine/>
    <w:qFormat/>
    <w:locked/>
    <w:uiPriority w:val="35"/>
    <w:rPr>
      <w:rFonts w:ascii="Arial" w:hAnsi="Arial" w:eastAsia="黑体" w:cs="Arial"/>
      <w:kern w:val="2"/>
    </w:rPr>
  </w:style>
  <w:style w:type="character" w:customStyle="1" w:styleId="90">
    <w:name w:val="文档结构图 字符"/>
    <w:basedOn w:val="56"/>
    <w:link w:val="17"/>
    <w:autoRedefine/>
    <w:qFormat/>
    <w:uiPriority w:val="0"/>
    <w:rPr>
      <w:kern w:val="2"/>
      <w:sz w:val="24"/>
      <w:szCs w:val="24"/>
      <w:shd w:val="clear" w:color="auto" w:fill="000080"/>
    </w:rPr>
  </w:style>
  <w:style w:type="character" w:customStyle="1" w:styleId="91">
    <w:name w:val="正文文本 字符"/>
    <w:link w:val="22"/>
    <w:autoRedefine/>
    <w:semiHidden/>
    <w:qFormat/>
    <w:uiPriority w:val="99"/>
    <w:rPr>
      <w:rFonts w:eastAsia="宋体"/>
      <w:kern w:val="2"/>
      <w:sz w:val="24"/>
      <w:szCs w:val="24"/>
      <w:lang w:val="en-US" w:eastAsia="zh-CN" w:bidi="ar-SA"/>
    </w:rPr>
  </w:style>
  <w:style w:type="character" w:customStyle="1" w:styleId="92">
    <w:name w:val="正文文本缩进 字符"/>
    <w:basedOn w:val="56"/>
    <w:link w:val="23"/>
    <w:autoRedefine/>
    <w:qFormat/>
    <w:uiPriority w:val="99"/>
    <w:rPr>
      <w:kern w:val="2"/>
      <w:sz w:val="24"/>
      <w:szCs w:val="24"/>
    </w:rPr>
  </w:style>
  <w:style w:type="character" w:customStyle="1" w:styleId="93">
    <w:name w:val="纯文本 字符"/>
    <w:basedOn w:val="56"/>
    <w:link w:val="28"/>
    <w:autoRedefine/>
    <w:qFormat/>
    <w:uiPriority w:val="0"/>
    <w:rPr>
      <w:rFonts w:ascii="宋体" w:hAnsi="宋体" w:eastAsia="宋体" w:cs="宋体"/>
      <w:color w:val="000000"/>
      <w:kern w:val="2"/>
      <w:sz w:val="28"/>
      <w:szCs w:val="21"/>
      <w:lang w:val="en-US" w:eastAsia="zh-CN" w:bidi="ar-SA"/>
    </w:rPr>
  </w:style>
  <w:style w:type="character" w:customStyle="1" w:styleId="94">
    <w:name w:val="日期 字符"/>
    <w:basedOn w:val="56"/>
    <w:link w:val="30"/>
    <w:autoRedefine/>
    <w:qFormat/>
    <w:uiPriority w:val="0"/>
    <w:rPr>
      <w:rFonts w:eastAsia="楷体_GB2312"/>
      <w:kern w:val="2"/>
      <w:sz w:val="28"/>
    </w:rPr>
  </w:style>
  <w:style w:type="character" w:customStyle="1" w:styleId="95">
    <w:name w:val="批注框文本 字符"/>
    <w:link w:val="33"/>
    <w:autoRedefine/>
    <w:qFormat/>
    <w:uiPriority w:val="0"/>
    <w:rPr>
      <w:kern w:val="2"/>
      <w:sz w:val="18"/>
      <w:szCs w:val="18"/>
    </w:rPr>
  </w:style>
  <w:style w:type="character" w:customStyle="1" w:styleId="96">
    <w:name w:val="页脚 字符"/>
    <w:basedOn w:val="56"/>
    <w:link w:val="34"/>
    <w:autoRedefine/>
    <w:qFormat/>
    <w:uiPriority w:val="0"/>
    <w:rPr>
      <w:rFonts w:eastAsia="宋体"/>
      <w:kern w:val="2"/>
      <w:sz w:val="18"/>
      <w:szCs w:val="18"/>
      <w:lang w:val="en-US" w:eastAsia="zh-CN" w:bidi="ar-SA"/>
    </w:rPr>
  </w:style>
  <w:style w:type="character" w:customStyle="1" w:styleId="97">
    <w:name w:val="页眉 字符"/>
    <w:link w:val="35"/>
    <w:autoRedefine/>
    <w:qFormat/>
    <w:uiPriority w:val="99"/>
    <w:rPr>
      <w:kern w:val="2"/>
      <w:sz w:val="18"/>
      <w:szCs w:val="18"/>
    </w:rPr>
  </w:style>
  <w:style w:type="character" w:customStyle="1" w:styleId="98">
    <w:name w:val="正文文本缩进 3 字符"/>
    <w:link w:val="42"/>
    <w:autoRedefine/>
    <w:qFormat/>
    <w:locked/>
    <w:uiPriority w:val="0"/>
    <w:rPr>
      <w:kern w:val="2"/>
      <w:sz w:val="16"/>
      <w:szCs w:val="16"/>
    </w:rPr>
  </w:style>
  <w:style w:type="character" w:customStyle="1" w:styleId="99">
    <w:name w:val="正文文本 2 字符"/>
    <w:basedOn w:val="56"/>
    <w:link w:val="45"/>
    <w:autoRedefine/>
    <w:qFormat/>
    <w:uiPriority w:val="0"/>
    <w:rPr>
      <w:kern w:val="2"/>
      <w:sz w:val="24"/>
      <w:szCs w:val="24"/>
    </w:rPr>
  </w:style>
  <w:style w:type="character" w:customStyle="1" w:styleId="100">
    <w:name w:val="HTML 预设格式 字符"/>
    <w:basedOn w:val="56"/>
    <w:link w:val="46"/>
    <w:autoRedefine/>
    <w:qFormat/>
    <w:uiPriority w:val="0"/>
    <w:rPr>
      <w:rFonts w:ascii="Arial" w:hAnsi="Arial" w:cs="Arial"/>
      <w:sz w:val="21"/>
      <w:szCs w:val="21"/>
    </w:rPr>
  </w:style>
  <w:style w:type="character" w:customStyle="1" w:styleId="101">
    <w:name w:val="普通(网站) 字符"/>
    <w:link w:val="47"/>
    <w:autoRedefine/>
    <w:qFormat/>
    <w:locked/>
    <w:uiPriority w:val="34"/>
    <w:rPr>
      <w:rFonts w:ascii="宋体" w:hAnsi="宋体" w:cs="宋体"/>
      <w:sz w:val="24"/>
      <w:szCs w:val="24"/>
    </w:rPr>
  </w:style>
  <w:style w:type="character" w:customStyle="1" w:styleId="102">
    <w:name w:val="标题 字符"/>
    <w:basedOn w:val="56"/>
    <w:link w:val="48"/>
    <w:autoRedefine/>
    <w:qFormat/>
    <w:uiPriority w:val="0"/>
    <w:rPr>
      <w:rFonts w:ascii="Arial" w:hAnsi="Arial" w:cs="Arial"/>
      <w:b/>
      <w:bCs/>
      <w:kern w:val="2"/>
      <w:sz w:val="32"/>
      <w:szCs w:val="32"/>
    </w:rPr>
  </w:style>
  <w:style w:type="paragraph" w:customStyle="1" w:styleId="103">
    <w:name w:val="Char Char Char Char Char Char Char Char Char Char"/>
    <w:basedOn w:val="1"/>
    <w:autoRedefine/>
    <w:qFormat/>
    <w:uiPriority w:val="0"/>
    <w:pPr>
      <w:spacing w:line="240" w:lineRule="auto"/>
      <w:jc w:val="left"/>
    </w:pPr>
    <w:rPr>
      <w:sz w:val="21"/>
    </w:rPr>
  </w:style>
  <w:style w:type="character" w:customStyle="1" w:styleId="104">
    <w:name w:val="Body text + 16.5 pt4"/>
    <w:basedOn w:val="105"/>
    <w:autoRedefine/>
    <w:qFormat/>
    <w:uiPriority w:val="0"/>
    <w:rPr>
      <w:rFonts w:ascii="黑体" w:eastAsia="黑体" w:cs="黑体"/>
      <w:sz w:val="33"/>
      <w:szCs w:val="33"/>
      <w:lang w:bidi="ar-SA"/>
    </w:rPr>
  </w:style>
  <w:style w:type="character" w:customStyle="1" w:styleId="105">
    <w:name w:val="Body text_"/>
    <w:basedOn w:val="56"/>
    <w:link w:val="106"/>
    <w:autoRedefine/>
    <w:qFormat/>
    <w:uiPriority w:val="0"/>
    <w:rPr>
      <w:rFonts w:ascii="黑体" w:eastAsia="黑体"/>
      <w:sz w:val="27"/>
      <w:szCs w:val="27"/>
      <w:lang w:bidi="ar-SA"/>
    </w:rPr>
  </w:style>
  <w:style w:type="paragraph" w:customStyle="1" w:styleId="106">
    <w:name w:val="Body text1"/>
    <w:basedOn w:val="1"/>
    <w:link w:val="105"/>
    <w:autoRedefine/>
    <w:qFormat/>
    <w:uiPriority w:val="0"/>
    <w:pPr>
      <w:shd w:val="clear" w:color="auto" w:fill="FFFFFF"/>
      <w:spacing w:line="240" w:lineRule="atLeast"/>
      <w:ind w:hanging="880"/>
    </w:pPr>
    <w:rPr>
      <w:rFonts w:ascii="黑体" w:eastAsia="黑体"/>
      <w:sz w:val="27"/>
      <w:szCs w:val="27"/>
    </w:rPr>
  </w:style>
  <w:style w:type="character" w:customStyle="1" w:styleId="107">
    <w:name w:val="Body text (33)_"/>
    <w:basedOn w:val="56"/>
    <w:link w:val="108"/>
    <w:autoRedefine/>
    <w:qFormat/>
    <w:uiPriority w:val="0"/>
    <w:rPr>
      <w:rFonts w:ascii="黑体" w:eastAsia="黑体"/>
      <w:sz w:val="24"/>
      <w:szCs w:val="24"/>
      <w:lang w:bidi="ar-SA"/>
    </w:rPr>
  </w:style>
  <w:style w:type="paragraph" w:customStyle="1" w:styleId="108">
    <w:name w:val="Body text (33)1"/>
    <w:basedOn w:val="1"/>
    <w:link w:val="107"/>
    <w:autoRedefine/>
    <w:qFormat/>
    <w:uiPriority w:val="0"/>
    <w:pPr>
      <w:shd w:val="clear" w:color="auto" w:fill="FFFFFF"/>
      <w:spacing w:line="240" w:lineRule="atLeast"/>
    </w:pPr>
    <w:rPr>
      <w:rFonts w:ascii="黑体" w:eastAsia="黑体"/>
    </w:rPr>
  </w:style>
  <w:style w:type="character" w:customStyle="1" w:styleId="109">
    <w:name w:val="Body text7"/>
    <w:basedOn w:val="105"/>
    <w:autoRedefine/>
    <w:qFormat/>
    <w:uiPriority w:val="0"/>
    <w:rPr>
      <w:rFonts w:ascii="黑体" w:eastAsia="黑体" w:cs="黑体"/>
      <w:w w:val="100"/>
      <w:sz w:val="27"/>
      <w:szCs w:val="27"/>
      <w:lang w:bidi="ar-SA"/>
    </w:rPr>
  </w:style>
  <w:style w:type="character" w:customStyle="1" w:styleId="110">
    <w:name w:val="Body text + Palatino Linotype2"/>
    <w:basedOn w:val="105"/>
    <w:autoRedefine/>
    <w:qFormat/>
    <w:uiPriority w:val="0"/>
    <w:rPr>
      <w:rFonts w:ascii="Palatino Linotype" w:hAnsi="Palatino Linotype" w:eastAsia="黑体" w:cs="Palatino Linotype"/>
      <w:i/>
      <w:iCs/>
      <w:spacing w:val="0"/>
      <w:sz w:val="24"/>
      <w:szCs w:val="24"/>
      <w:lang w:bidi="ar-SA"/>
    </w:rPr>
  </w:style>
  <w:style w:type="character" w:customStyle="1" w:styleId="111">
    <w:name w:val="highlight1"/>
    <w:basedOn w:val="56"/>
    <w:autoRedefine/>
    <w:qFormat/>
    <w:uiPriority w:val="0"/>
    <w:rPr>
      <w:sz w:val="21"/>
      <w:szCs w:val="21"/>
    </w:rPr>
  </w:style>
  <w:style w:type="character" w:customStyle="1" w:styleId="112">
    <w:name w:val="正文内容 Char Char"/>
    <w:basedOn w:val="56"/>
    <w:link w:val="113"/>
    <w:autoRedefine/>
    <w:qFormat/>
    <w:uiPriority w:val="0"/>
    <w:rPr>
      <w:rFonts w:eastAsia="宋体"/>
      <w:kern w:val="2"/>
      <w:sz w:val="28"/>
      <w:szCs w:val="28"/>
      <w:lang w:val="en-US" w:eastAsia="zh-CN" w:bidi="ar-SA"/>
    </w:rPr>
  </w:style>
  <w:style w:type="paragraph" w:customStyle="1" w:styleId="113">
    <w:name w:val="正文内容"/>
    <w:basedOn w:val="1"/>
    <w:link w:val="112"/>
    <w:autoRedefine/>
    <w:qFormat/>
    <w:uiPriority w:val="0"/>
    <w:pPr>
      <w:overflowPunct w:val="0"/>
      <w:topLinePunct/>
      <w:spacing w:beforeLines="50" w:line="240" w:lineRule="auto"/>
    </w:pPr>
    <w:rPr>
      <w:sz w:val="28"/>
      <w:szCs w:val="28"/>
    </w:rPr>
  </w:style>
  <w:style w:type="character" w:customStyle="1" w:styleId="114">
    <w:name w:val="Table caption_"/>
    <w:basedOn w:val="56"/>
    <w:link w:val="115"/>
    <w:autoRedefine/>
    <w:qFormat/>
    <w:uiPriority w:val="0"/>
    <w:rPr>
      <w:rFonts w:ascii="黑体" w:eastAsia="黑体"/>
      <w:sz w:val="27"/>
      <w:szCs w:val="27"/>
      <w:lang w:bidi="ar-SA"/>
    </w:rPr>
  </w:style>
  <w:style w:type="paragraph" w:customStyle="1" w:styleId="115">
    <w:name w:val="Table caption1"/>
    <w:basedOn w:val="1"/>
    <w:link w:val="114"/>
    <w:autoRedefine/>
    <w:qFormat/>
    <w:uiPriority w:val="0"/>
    <w:pPr>
      <w:shd w:val="clear" w:color="auto" w:fill="FFFFFF"/>
      <w:spacing w:line="240" w:lineRule="atLeast"/>
    </w:pPr>
    <w:rPr>
      <w:rFonts w:ascii="黑体" w:eastAsia="黑体"/>
      <w:sz w:val="27"/>
      <w:szCs w:val="27"/>
    </w:rPr>
  </w:style>
  <w:style w:type="character" w:customStyle="1" w:styleId="116">
    <w:name w:val="Body text + 9 pt"/>
    <w:basedOn w:val="105"/>
    <w:autoRedefine/>
    <w:qFormat/>
    <w:uiPriority w:val="0"/>
    <w:rPr>
      <w:rFonts w:ascii="黑体" w:hAnsi="黑体" w:eastAsia="黑体" w:cs="黑体"/>
      <w:sz w:val="18"/>
      <w:szCs w:val="18"/>
      <w:lang w:val="en-US" w:eastAsia="zh-CN" w:bidi="ar-SA"/>
    </w:rPr>
  </w:style>
  <w:style w:type="character" w:customStyle="1" w:styleId="117">
    <w:name w:val="Table caption"/>
    <w:basedOn w:val="114"/>
    <w:autoRedefine/>
    <w:qFormat/>
    <w:uiPriority w:val="0"/>
    <w:rPr>
      <w:rFonts w:ascii="黑体" w:eastAsia="黑体"/>
      <w:sz w:val="27"/>
      <w:szCs w:val="27"/>
      <w:u w:val="single"/>
      <w:lang w:bidi="ar-SA"/>
    </w:rPr>
  </w:style>
  <w:style w:type="character" w:customStyle="1" w:styleId="118">
    <w:name w:val="Body text + 10.5 pt2"/>
    <w:basedOn w:val="105"/>
    <w:autoRedefine/>
    <w:qFormat/>
    <w:uiPriority w:val="0"/>
    <w:rPr>
      <w:rFonts w:ascii="黑体" w:hAnsi="黑体" w:eastAsia="黑体" w:cs="黑体"/>
      <w:sz w:val="21"/>
      <w:szCs w:val="21"/>
      <w:lang w:val="en-US" w:eastAsia="zh-CN" w:bidi="ar-SA"/>
    </w:rPr>
  </w:style>
  <w:style w:type="character" w:customStyle="1" w:styleId="119">
    <w:name w:val="a121"/>
    <w:basedOn w:val="56"/>
    <w:autoRedefine/>
    <w:qFormat/>
    <w:uiPriority w:val="0"/>
    <w:rPr>
      <w:rFonts w:hint="default" w:ascii="ˎ̥" w:hAnsi="ˎ̥"/>
      <w:color w:val="004891"/>
      <w:sz w:val="18"/>
      <w:szCs w:val="18"/>
      <w:u w:val="none"/>
    </w:rPr>
  </w:style>
  <w:style w:type="character" w:customStyle="1" w:styleId="120">
    <w:name w:val="Heading #4_"/>
    <w:basedOn w:val="56"/>
    <w:link w:val="121"/>
    <w:autoRedefine/>
    <w:qFormat/>
    <w:uiPriority w:val="0"/>
    <w:rPr>
      <w:rFonts w:ascii="黑体" w:eastAsia="黑体"/>
      <w:sz w:val="33"/>
      <w:szCs w:val="33"/>
      <w:lang w:bidi="ar-SA"/>
    </w:rPr>
  </w:style>
  <w:style w:type="paragraph" w:customStyle="1" w:styleId="121">
    <w:name w:val="Heading #4"/>
    <w:basedOn w:val="1"/>
    <w:link w:val="120"/>
    <w:autoRedefine/>
    <w:qFormat/>
    <w:uiPriority w:val="0"/>
    <w:pPr>
      <w:shd w:val="clear" w:color="auto" w:fill="FFFFFF"/>
      <w:spacing w:before="480" w:after="300" w:line="240" w:lineRule="atLeast"/>
      <w:ind w:hanging="280"/>
      <w:outlineLvl w:val="3"/>
    </w:pPr>
    <w:rPr>
      <w:rFonts w:ascii="黑体" w:eastAsia="黑体"/>
      <w:sz w:val="33"/>
      <w:szCs w:val="33"/>
    </w:rPr>
  </w:style>
  <w:style w:type="character" w:customStyle="1" w:styleId="122">
    <w:name w:val="Body text + MingLiU13"/>
    <w:basedOn w:val="105"/>
    <w:autoRedefine/>
    <w:qFormat/>
    <w:uiPriority w:val="0"/>
    <w:rPr>
      <w:rFonts w:ascii="MingLiU" w:eastAsia="MingLiU" w:cs="MingLiU"/>
      <w:spacing w:val="-30"/>
      <w:sz w:val="27"/>
      <w:szCs w:val="27"/>
      <w:lang w:bidi="ar-SA"/>
    </w:rPr>
  </w:style>
  <w:style w:type="character" w:customStyle="1" w:styleId="123">
    <w:name w:val="默认段落字体 New New New New"/>
    <w:autoRedefine/>
    <w:qFormat/>
    <w:uiPriority w:val="0"/>
    <w:rPr>
      <w:rFonts w:hint="default"/>
    </w:rPr>
  </w:style>
  <w:style w:type="character" w:customStyle="1" w:styleId="124">
    <w:name w:val="Body text + MingLiU23"/>
    <w:basedOn w:val="105"/>
    <w:autoRedefine/>
    <w:qFormat/>
    <w:uiPriority w:val="0"/>
    <w:rPr>
      <w:rFonts w:ascii="MingLiU" w:eastAsia="MingLiU" w:cs="MingLiU"/>
      <w:sz w:val="9"/>
      <w:szCs w:val="9"/>
      <w:lang w:bidi="ar-SA"/>
    </w:rPr>
  </w:style>
  <w:style w:type="character" w:customStyle="1" w:styleId="125">
    <w:name w:val="Body text (23) + 13.5 pt1"/>
    <w:basedOn w:val="56"/>
    <w:autoRedefine/>
    <w:qFormat/>
    <w:uiPriority w:val="0"/>
    <w:rPr>
      <w:rFonts w:ascii="黑体" w:eastAsia="黑体" w:cs="黑体"/>
      <w:sz w:val="27"/>
      <w:szCs w:val="27"/>
    </w:rPr>
  </w:style>
  <w:style w:type="character" w:customStyle="1" w:styleId="126">
    <w:name w:val="Body text + 11 pt"/>
    <w:basedOn w:val="105"/>
    <w:autoRedefine/>
    <w:qFormat/>
    <w:uiPriority w:val="0"/>
    <w:rPr>
      <w:rFonts w:ascii="黑体" w:hAnsi="黑体" w:eastAsia="黑体" w:cs="黑体"/>
      <w:sz w:val="22"/>
      <w:szCs w:val="22"/>
      <w:lang w:val="en-US" w:eastAsia="zh-CN" w:bidi="ar-SA"/>
    </w:rPr>
  </w:style>
  <w:style w:type="character" w:customStyle="1" w:styleId="127">
    <w:name w:val="Body text + MS Gothic5"/>
    <w:basedOn w:val="105"/>
    <w:autoRedefine/>
    <w:qFormat/>
    <w:uiPriority w:val="0"/>
    <w:rPr>
      <w:rFonts w:ascii="MS Gothic" w:eastAsia="MS Gothic" w:cs="MS Gothic"/>
      <w:spacing w:val="10"/>
      <w:sz w:val="21"/>
      <w:szCs w:val="21"/>
      <w:lang w:bidi="ar-SA"/>
    </w:rPr>
  </w:style>
  <w:style w:type="character" w:customStyle="1" w:styleId="128">
    <w:name w:val="li-正文 Char Char"/>
    <w:basedOn w:val="56"/>
    <w:link w:val="129"/>
    <w:autoRedefine/>
    <w:qFormat/>
    <w:uiPriority w:val="0"/>
    <w:rPr>
      <w:rFonts w:eastAsia="宋体" w:cs="宋体"/>
      <w:kern w:val="2"/>
      <w:sz w:val="24"/>
      <w:lang w:val="en-US" w:eastAsia="zh-CN" w:bidi="ar-SA"/>
    </w:rPr>
  </w:style>
  <w:style w:type="paragraph" w:customStyle="1" w:styleId="129">
    <w:name w:val="li-正文"/>
    <w:basedOn w:val="1"/>
    <w:link w:val="128"/>
    <w:autoRedefine/>
    <w:qFormat/>
    <w:uiPriority w:val="0"/>
    <w:pPr>
      <w:spacing w:line="360" w:lineRule="auto"/>
      <w:ind w:firstLine="480" w:firstLineChars="200"/>
    </w:pPr>
    <w:rPr>
      <w:rFonts w:cs="宋体"/>
    </w:rPr>
  </w:style>
  <w:style w:type="character" w:customStyle="1" w:styleId="130">
    <w:name w:val="Body text + MingLiU18"/>
    <w:basedOn w:val="105"/>
    <w:autoRedefine/>
    <w:qFormat/>
    <w:uiPriority w:val="0"/>
    <w:rPr>
      <w:rFonts w:ascii="MingLiU" w:eastAsia="MingLiU" w:cs="MingLiU"/>
      <w:spacing w:val="0"/>
      <w:sz w:val="27"/>
      <w:szCs w:val="27"/>
      <w:lang w:bidi="ar-SA"/>
    </w:rPr>
  </w:style>
  <w:style w:type="character" w:customStyle="1" w:styleId="131">
    <w:name w:val="表头1 Char Char"/>
    <w:basedOn w:val="56"/>
    <w:link w:val="132"/>
    <w:autoRedefine/>
    <w:qFormat/>
    <w:uiPriority w:val="0"/>
    <w:rPr>
      <w:rFonts w:cs="宋体"/>
      <w:b/>
      <w:kern w:val="2"/>
      <w:sz w:val="24"/>
      <w:szCs w:val="24"/>
      <w:lang w:val="en-US" w:eastAsia="zh-CN" w:bidi="ar-SA"/>
    </w:rPr>
  </w:style>
  <w:style w:type="paragraph" w:customStyle="1" w:styleId="132">
    <w:name w:val="表头1"/>
    <w:link w:val="131"/>
    <w:autoRedefine/>
    <w:qFormat/>
    <w:uiPriority w:val="0"/>
    <w:pPr>
      <w:widowControl w:val="0"/>
      <w:tabs>
        <w:tab w:val="left" w:pos="7560"/>
      </w:tabs>
      <w:jc w:val="both"/>
    </w:pPr>
    <w:rPr>
      <w:rFonts w:ascii="Times New Roman" w:hAnsi="Times New Roman" w:eastAsia="宋体" w:cs="宋体"/>
      <w:b/>
      <w:kern w:val="2"/>
      <w:sz w:val="24"/>
      <w:szCs w:val="24"/>
      <w:lang w:val="en-US" w:eastAsia="zh-CN" w:bidi="ar-SA"/>
    </w:rPr>
  </w:style>
  <w:style w:type="character" w:customStyle="1" w:styleId="133">
    <w:name w:val="Body text + MingLiU10"/>
    <w:basedOn w:val="105"/>
    <w:autoRedefine/>
    <w:qFormat/>
    <w:uiPriority w:val="0"/>
    <w:rPr>
      <w:rFonts w:ascii="MingLiU" w:eastAsia="MingLiU" w:cs="MingLiU"/>
      <w:sz w:val="25"/>
      <w:szCs w:val="25"/>
      <w:lang w:bidi="ar-SA"/>
    </w:rPr>
  </w:style>
  <w:style w:type="character" w:customStyle="1" w:styleId="134">
    <w:name w:val="Body text6"/>
    <w:basedOn w:val="105"/>
    <w:autoRedefine/>
    <w:qFormat/>
    <w:uiPriority w:val="0"/>
    <w:rPr>
      <w:rFonts w:ascii="黑体" w:eastAsia="黑体" w:cs="黑体"/>
      <w:w w:val="100"/>
      <w:sz w:val="27"/>
      <w:szCs w:val="27"/>
      <w:lang w:bidi="ar-SA"/>
    </w:rPr>
  </w:style>
  <w:style w:type="character" w:customStyle="1" w:styleId="135">
    <w:name w:val="页眉或页脚 + Sylfaen"/>
    <w:basedOn w:val="136"/>
    <w:autoRedefine/>
    <w:qFormat/>
    <w:uiPriority w:val="0"/>
    <w:rPr>
      <w:rFonts w:hint="default" w:ascii="Sylfaen"/>
      <w:spacing w:val="20"/>
    </w:rPr>
  </w:style>
  <w:style w:type="character" w:customStyle="1" w:styleId="136">
    <w:name w:val="页眉或页脚_"/>
    <w:basedOn w:val="137"/>
    <w:link w:val="138"/>
    <w:autoRedefine/>
    <w:qFormat/>
    <w:uiPriority w:val="0"/>
    <w:rPr>
      <w:rFonts w:hint="default" w:ascii="Times New Roman"/>
    </w:rPr>
  </w:style>
  <w:style w:type="character" w:customStyle="1" w:styleId="137">
    <w:name w:val="默认段落字体 New"/>
    <w:autoRedefine/>
    <w:qFormat/>
    <w:uiPriority w:val="0"/>
    <w:rPr>
      <w:rFonts w:hint="default"/>
    </w:rPr>
  </w:style>
  <w:style w:type="paragraph" w:customStyle="1" w:styleId="138">
    <w:name w:val="页眉或页脚"/>
    <w:basedOn w:val="1"/>
    <w:link w:val="136"/>
    <w:autoRedefine/>
    <w:qFormat/>
    <w:uiPriority w:val="0"/>
    <w:pPr>
      <w:shd w:val="clear" w:color="auto" w:fill="FFFFFF"/>
    </w:pPr>
  </w:style>
  <w:style w:type="character" w:customStyle="1" w:styleId="139">
    <w:name w:val="正文1 Char Char"/>
    <w:basedOn w:val="56"/>
    <w:link w:val="140"/>
    <w:autoRedefine/>
    <w:qFormat/>
    <w:uiPriority w:val="0"/>
    <w:rPr>
      <w:color w:val="FF00FF"/>
      <w:kern w:val="2"/>
      <w:sz w:val="24"/>
      <w:szCs w:val="24"/>
      <w:lang w:val="en-US" w:eastAsia="zh-CN" w:bidi="ar-SA"/>
    </w:rPr>
  </w:style>
  <w:style w:type="paragraph" w:customStyle="1" w:styleId="140">
    <w:name w:val="正文1"/>
    <w:link w:val="139"/>
    <w:autoRedefine/>
    <w:qFormat/>
    <w:uiPriority w:val="0"/>
    <w:pPr>
      <w:widowControl w:val="0"/>
      <w:suppressAutoHyphens/>
      <w:spacing w:beforeLines="50" w:after="156" w:line="480" w:lineRule="exact"/>
      <w:ind w:firstLine="480" w:firstLineChars="200"/>
      <w:jc w:val="both"/>
    </w:pPr>
    <w:rPr>
      <w:rFonts w:ascii="Times New Roman" w:hAnsi="Times New Roman" w:eastAsia="宋体" w:cs="Times New Roman"/>
      <w:color w:val="FF00FF"/>
      <w:kern w:val="2"/>
      <w:sz w:val="24"/>
      <w:szCs w:val="24"/>
      <w:lang w:val="en-US" w:eastAsia="zh-CN" w:bidi="ar-SA"/>
    </w:rPr>
  </w:style>
  <w:style w:type="character" w:customStyle="1" w:styleId="141">
    <w:name w:val="Body text + 16.5 pt3"/>
    <w:basedOn w:val="105"/>
    <w:autoRedefine/>
    <w:qFormat/>
    <w:uiPriority w:val="0"/>
    <w:rPr>
      <w:rFonts w:ascii="黑体" w:eastAsia="黑体"/>
      <w:sz w:val="33"/>
      <w:szCs w:val="33"/>
      <w:lang w:bidi="ar-SA"/>
    </w:rPr>
  </w:style>
  <w:style w:type="character" w:customStyle="1" w:styleId="142">
    <w:name w:val="表内文字 Char Char"/>
    <w:basedOn w:val="56"/>
    <w:link w:val="143"/>
    <w:autoRedefine/>
    <w:qFormat/>
    <w:uiPriority w:val="0"/>
    <w:rPr>
      <w:sz w:val="21"/>
      <w:szCs w:val="21"/>
      <w:lang w:val="en-US" w:eastAsia="zh-CN" w:bidi="ar-SA"/>
    </w:rPr>
  </w:style>
  <w:style w:type="paragraph" w:customStyle="1" w:styleId="143">
    <w:name w:val="表内文字"/>
    <w:link w:val="142"/>
    <w:autoRedefine/>
    <w:qFormat/>
    <w:uiPriority w:val="0"/>
    <w:pPr>
      <w:adjustRightInd w:val="0"/>
      <w:snapToGrid w:val="0"/>
      <w:jc w:val="center"/>
    </w:pPr>
    <w:rPr>
      <w:rFonts w:ascii="Times New Roman" w:hAnsi="Times New Roman" w:eastAsia="宋体" w:cs="Times New Roman"/>
      <w:sz w:val="21"/>
      <w:szCs w:val="21"/>
      <w:lang w:val="en-US" w:eastAsia="zh-CN" w:bidi="ar-SA"/>
    </w:rPr>
  </w:style>
  <w:style w:type="character" w:customStyle="1" w:styleId="144">
    <w:name w:val="Body text (17)5"/>
    <w:basedOn w:val="56"/>
    <w:autoRedefine/>
    <w:qFormat/>
    <w:uiPriority w:val="0"/>
    <w:rPr>
      <w:rFonts w:ascii="黑体" w:hAnsi="黑体" w:eastAsia="黑体" w:cs="黑体"/>
      <w:w w:val="100"/>
      <w:sz w:val="27"/>
      <w:szCs w:val="27"/>
      <w:lang w:val="en-US" w:eastAsia="zh-CN"/>
    </w:rPr>
  </w:style>
  <w:style w:type="character" w:customStyle="1" w:styleId="145">
    <w:name w:val="Body text + 11 pt1"/>
    <w:basedOn w:val="105"/>
    <w:autoRedefine/>
    <w:qFormat/>
    <w:uiPriority w:val="0"/>
    <w:rPr>
      <w:rFonts w:ascii="黑体" w:hAnsi="黑体" w:eastAsia="黑体" w:cs="黑体"/>
      <w:sz w:val="22"/>
      <w:szCs w:val="22"/>
      <w:lang w:val="en-US" w:eastAsia="zh-CN" w:bidi="ar-SA"/>
    </w:rPr>
  </w:style>
  <w:style w:type="character" w:customStyle="1" w:styleId="146">
    <w:name w:val="Body text + MingLiU16"/>
    <w:basedOn w:val="105"/>
    <w:autoRedefine/>
    <w:qFormat/>
    <w:uiPriority w:val="0"/>
    <w:rPr>
      <w:rFonts w:ascii="MingLiU" w:eastAsia="MingLiU" w:cs="MingLiU"/>
      <w:spacing w:val="-30"/>
      <w:sz w:val="27"/>
      <w:szCs w:val="27"/>
      <w:lang w:bidi="ar-SA"/>
    </w:rPr>
  </w:style>
  <w:style w:type="character" w:customStyle="1" w:styleId="147">
    <w:name w:val="Body text + MingLiU12"/>
    <w:basedOn w:val="105"/>
    <w:autoRedefine/>
    <w:qFormat/>
    <w:uiPriority w:val="0"/>
    <w:rPr>
      <w:rFonts w:ascii="MingLiU" w:eastAsia="MingLiU" w:cs="MingLiU"/>
      <w:spacing w:val="-30"/>
      <w:sz w:val="27"/>
      <w:szCs w:val="27"/>
      <w:lang w:val="en-US" w:eastAsia="zh-CN" w:bidi="ar-SA"/>
    </w:rPr>
  </w:style>
  <w:style w:type="character" w:customStyle="1" w:styleId="148">
    <w:name w:val="Body text + MingLiU17"/>
    <w:basedOn w:val="105"/>
    <w:autoRedefine/>
    <w:qFormat/>
    <w:uiPriority w:val="0"/>
    <w:rPr>
      <w:rFonts w:ascii="MingLiU" w:eastAsia="MingLiU" w:cs="MingLiU"/>
      <w:spacing w:val="-30"/>
      <w:sz w:val="27"/>
      <w:szCs w:val="27"/>
      <w:lang w:bidi="ar-SA"/>
    </w:rPr>
  </w:style>
  <w:style w:type="character" w:customStyle="1" w:styleId="149">
    <w:name w:val="Body text + 10.5 pt3"/>
    <w:basedOn w:val="105"/>
    <w:autoRedefine/>
    <w:qFormat/>
    <w:uiPriority w:val="0"/>
    <w:rPr>
      <w:rFonts w:ascii="黑体" w:eastAsia="黑体" w:cs="黑体"/>
      <w:sz w:val="21"/>
      <w:szCs w:val="21"/>
      <w:lang w:bidi="ar-SA"/>
    </w:rPr>
  </w:style>
  <w:style w:type="character" w:customStyle="1" w:styleId="150">
    <w:name w:val="Body text + Palatino Linotype"/>
    <w:basedOn w:val="105"/>
    <w:autoRedefine/>
    <w:qFormat/>
    <w:uiPriority w:val="0"/>
    <w:rPr>
      <w:rFonts w:ascii="Palatino Linotype" w:hAnsi="Palatino Linotype" w:eastAsia="黑体" w:cs="Palatino Linotype"/>
      <w:spacing w:val="10"/>
      <w:sz w:val="14"/>
      <w:szCs w:val="14"/>
      <w:lang w:bidi="ar-SA"/>
    </w:rPr>
  </w:style>
  <w:style w:type="character" w:customStyle="1" w:styleId="151">
    <w:name w:val="Body text (27)_"/>
    <w:basedOn w:val="56"/>
    <w:autoRedefine/>
    <w:qFormat/>
    <w:uiPriority w:val="0"/>
    <w:rPr>
      <w:rFonts w:ascii="黑体" w:eastAsia="黑体" w:cs="黑体"/>
      <w:sz w:val="21"/>
      <w:szCs w:val="21"/>
    </w:rPr>
  </w:style>
  <w:style w:type="character" w:customStyle="1" w:styleId="152">
    <w:name w:val="图头 Char Char"/>
    <w:basedOn w:val="56"/>
    <w:link w:val="153"/>
    <w:autoRedefine/>
    <w:qFormat/>
    <w:uiPriority w:val="0"/>
    <w:rPr>
      <w:b/>
      <w:kern w:val="2"/>
      <w:sz w:val="24"/>
      <w:szCs w:val="24"/>
      <w:lang w:val="en-US" w:eastAsia="zh-CN" w:bidi="ar-SA"/>
    </w:rPr>
  </w:style>
  <w:style w:type="paragraph" w:customStyle="1" w:styleId="153">
    <w:name w:val="图头"/>
    <w:link w:val="152"/>
    <w:autoRedefine/>
    <w:qFormat/>
    <w:uiPriority w:val="0"/>
    <w:pPr>
      <w:adjustRightInd w:val="0"/>
      <w:snapToGrid w:val="0"/>
      <w:spacing w:line="360" w:lineRule="auto"/>
      <w:jc w:val="center"/>
    </w:pPr>
    <w:rPr>
      <w:rFonts w:ascii="Times New Roman" w:hAnsi="Times New Roman" w:eastAsia="宋体" w:cs="Times New Roman"/>
      <w:b/>
      <w:kern w:val="2"/>
      <w:sz w:val="24"/>
      <w:szCs w:val="24"/>
      <w:lang w:val="en-US" w:eastAsia="zh-CN" w:bidi="ar-SA"/>
    </w:rPr>
  </w:style>
  <w:style w:type="character" w:customStyle="1" w:styleId="154">
    <w:name w:val="Body text + MingLiU14"/>
    <w:basedOn w:val="105"/>
    <w:autoRedefine/>
    <w:qFormat/>
    <w:uiPriority w:val="0"/>
    <w:rPr>
      <w:rFonts w:ascii="MingLiU" w:eastAsia="MingLiU" w:cs="MingLiU"/>
      <w:spacing w:val="0"/>
      <w:sz w:val="27"/>
      <w:szCs w:val="27"/>
      <w:lang w:bidi="ar-SA"/>
    </w:rPr>
  </w:style>
  <w:style w:type="character" w:customStyle="1" w:styleId="155">
    <w:name w:val="表头 Char Char"/>
    <w:basedOn w:val="56"/>
    <w:link w:val="156"/>
    <w:autoRedefine/>
    <w:qFormat/>
    <w:uiPriority w:val="0"/>
    <w:rPr>
      <w:rFonts w:eastAsia="宋体"/>
      <w:b/>
      <w:color w:val="000000"/>
      <w:kern w:val="32"/>
      <w:sz w:val="24"/>
      <w:lang w:val="en-US" w:eastAsia="zh-CN" w:bidi="ar-SA"/>
    </w:rPr>
  </w:style>
  <w:style w:type="paragraph" w:customStyle="1" w:styleId="156">
    <w:name w:val="表头"/>
    <w:basedOn w:val="1"/>
    <w:next w:val="1"/>
    <w:link w:val="155"/>
    <w:autoRedefine/>
    <w:qFormat/>
    <w:uiPriority w:val="0"/>
    <w:pPr>
      <w:autoSpaceDE w:val="0"/>
      <w:autoSpaceDN w:val="0"/>
      <w:adjustRightInd w:val="0"/>
      <w:snapToGrid w:val="0"/>
      <w:spacing w:before="80" w:after="80"/>
      <w:jc w:val="center"/>
    </w:pPr>
    <w:rPr>
      <w:b/>
      <w:color w:val="000000"/>
      <w:kern w:val="32"/>
    </w:rPr>
  </w:style>
  <w:style w:type="character" w:customStyle="1" w:styleId="157">
    <w:name w:val="Body text + MS Gothic6"/>
    <w:basedOn w:val="105"/>
    <w:autoRedefine/>
    <w:qFormat/>
    <w:uiPriority w:val="0"/>
    <w:rPr>
      <w:rFonts w:ascii="MS Gothic" w:eastAsia="MS Gothic" w:cs="MS Gothic"/>
      <w:spacing w:val="-20"/>
      <w:sz w:val="21"/>
      <w:szCs w:val="21"/>
      <w:lang w:bidi="ar-SA"/>
    </w:rPr>
  </w:style>
  <w:style w:type="character" w:customStyle="1" w:styleId="158">
    <w:name w:val="Body text + MingLiU15"/>
    <w:basedOn w:val="105"/>
    <w:autoRedefine/>
    <w:qFormat/>
    <w:uiPriority w:val="0"/>
    <w:rPr>
      <w:rFonts w:ascii="MingLiU" w:eastAsia="MingLiU" w:cs="MingLiU"/>
      <w:spacing w:val="-30"/>
      <w:sz w:val="27"/>
      <w:szCs w:val="27"/>
      <w:lang w:bidi="ar-SA"/>
    </w:rPr>
  </w:style>
  <w:style w:type="character" w:customStyle="1" w:styleId="159">
    <w:name w:val="页眉或页脚 + 宋体2"/>
    <w:basedOn w:val="136"/>
    <w:autoRedefine/>
    <w:qFormat/>
    <w:uiPriority w:val="0"/>
    <w:rPr>
      <w:rFonts w:hint="default" w:ascii="宋体"/>
      <w:i/>
      <w:w w:val="60"/>
      <w:sz w:val="8"/>
      <w:lang w:val="en-US" w:eastAsia="zh-CN"/>
    </w:rPr>
  </w:style>
  <w:style w:type="character" w:customStyle="1" w:styleId="160">
    <w:name w:val="页眉或页脚 + 宋体"/>
    <w:basedOn w:val="136"/>
    <w:autoRedefine/>
    <w:qFormat/>
    <w:uiPriority w:val="0"/>
    <w:rPr>
      <w:rFonts w:hint="eastAsia" w:ascii="宋体" w:eastAsia="宋体"/>
      <w:sz w:val="17"/>
    </w:rPr>
  </w:style>
  <w:style w:type="character" w:customStyle="1" w:styleId="161">
    <w:name w:val="页眉或页脚 + 宋体5"/>
    <w:basedOn w:val="136"/>
    <w:autoRedefine/>
    <w:qFormat/>
    <w:uiPriority w:val="0"/>
    <w:rPr>
      <w:rFonts w:hint="eastAsia" w:ascii="宋体" w:eastAsia="宋体"/>
      <w:b/>
      <w:sz w:val="15"/>
    </w:rPr>
  </w:style>
  <w:style w:type="character" w:customStyle="1" w:styleId="162">
    <w:name w:val="正文文本 (14)_"/>
    <w:basedOn w:val="163"/>
    <w:autoRedefine/>
    <w:qFormat/>
    <w:uiPriority w:val="0"/>
    <w:rPr>
      <w:rFonts w:hint="eastAsia" w:ascii="宋体" w:eastAsia="宋体"/>
      <w:sz w:val="21"/>
    </w:rPr>
  </w:style>
  <w:style w:type="character" w:customStyle="1" w:styleId="163">
    <w:name w:val="默认段落字体 New New New New New"/>
    <w:autoRedefine/>
    <w:qFormat/>
    <w:uiPriority w:val="0"/>
    <w:rPr>
      <w:rFonts w:hint="default"/>
    </w:rPr>
  </w:style>
  <w:style w:type="character" w:customStyle="1" w:styleId="164">
    <w:name w:val="默认段落字体 New New"/>
    <w:autoRedefine/>
    <w:qFormat/>
    <w:uiPriority w:val="0"/>
    <w:rPr>
      <w:rFonts w:hint="default"/>
    </w:rPr>
  </w:style>
  <w:style w:type="character" w:customStyle="1" w:styleId="165">
    <w:name w:val="正文文本 (14)3"/>
    <w:basedOn w:val="162"/>
    <w:autoRedefine/>
    <w:qFormat/>
    <w:uiPriority w:val="0"/>
    <w:rPr>
      <w:rFonts w:hint="default" w:ascii="宋体" w:eastAsia="宋体"/>
      <w:strike/>
      <w:sz w:val="21"/>
      <w:lang w:val="en-US" w:eastAsia="zh-CN"/>
    </w:rPr>
  </w:style>
  <w:style w:type="character" w:customStyle="1" w:styleId="166">
    <w:name w:val="正文文本_"/>
    <w:basedOn w:val="164"/>
    <w:link w:val="167"/>
    <w:autoRedefine/>
    <w:qFormat/>
    <w:uiPriority w:val="0"/>
    <w:rPr>
      <w:rFonts w:hint="eastAsia" w:ascii="宋体" w:eastAsia="宋体"/>
      <w:sz w:val="23"/>
    </w:rPr>
  </w:style>
  <w:style w:type="paragraph" w:customStyle="1" w:styleId="167">
    <w:name w:val="正文文本 New New New"/>
    <w:basedOn w:val="1"/>
    <w:link w:val="166"/>
    <w:autoRedefine/>
    <w:qFormat/>
    <w:uiPriority w:val="0"/>
    <w:pPr>
      <w:shd w:val="clear" w:color="auto" w:fill="FFFFFF"/>
      <w:spacing w:before="540" w:line="240" w:lineRule="atLeast"/>
      <w:ind w:hanging="560"/>
      <w:jc w:val="distribute"/>
    </w:pPr>
    <w:rPr>
      <w:rFonts w:hint="eastAsia" w:ascii="宋体"/>
      <w:sz w:val="23"/>
    </w:rPr>
  </w:style>
  <w:style w:type="paragraph" w:customStyle="1" w:styleId="168">
    <w:name w:val="正文文本 New New New New"/>
    <w:basedOn w:val="1"/>
    <w:autoRedefine/>
    <w:qFormat/>
    <w:uiPriority w:val="0"/>
    <w:pPr>
      <w:shd w:val="clear" w:color="auto" w:fill="FFFFFF"/>
      <w:spacing w:before="540" w:line="240" w:lineRule="atLeast"/>
      <w:ind w:hanging="560"/>
      <w:jc w:val="distribute"/>
    </w:pPr>
    <w:rPr>
      <w:rFonts w:hint="eastAsia" w:ascii="宋体"/>
      <w:sz w:val="23"/>
    </w:rPr>
  </w:style>
  <w:style w:type="paragraph" w:customStyle="1" w:styleId="169">
    <w:name w:val="正文文本 New New New New New"/>
    <w:basedOn w:val="1"/>
    <w:autoRedefine/>
    <w:qFormat/>
    <w:uiPriority w:val="0"/>
    <w:pPr>
      <w:shd w:val="clear" w:color="auto" w:fill="FFFFFF"/>
      <w:spacing w:before="540" w:line="240" w:lineRule="atLeast"/>
      <w:ind w:hanging="560"/>
      <w:jc w:val="distribute"/>
    </w:pPr>
    <w:rPr>
      <w:rFonts w:hint="eastAsia" w:ascii="宋体"/>
      <w:sz w:val="23"/>
    </w:rPr>
  </w:style>
  <w:style w:type="paragraph" w:customStyle="1" w:styleId="170">
    <w:name w:val="正文文本 New New"/>
    <w:basedOn w:val="1"/>
    <w:autoRedefine/>
    <w:qFormat/>
    <w:uiPriority w:val="0"/>
    <w:pPr>
      <w:shd w:val="clear" w:color="auto" w:fill="FFFFFF"/>
      <w:spacing w:before="540" w:line="240" w:lineRule="atLeast"/>
      <w:ind w:hanging="560"/>
      <w:jc w:val="distribute"/>
    </w:pPr>
    <w:rPr>
      <w:rFonts w:hint="eastAsia" w:ascii="宋体"/>
      <w:sz w:val="23"/>
    </w:rPr>
  </w:style>
  <w:style w:type="character" w:customStyle="1" w:styleId="171">
    <w:name w:val="正文文本 + 10.5 pt8"/>
    <w:basedOn w:val="166"/>
    <w:autoRedefine/>
    <w:qFormat/>
    <w:uiPriority w:val="0"/>
    <w:rPr>
      <w:rFonts w:hint="eastAsia" w:ascii="宋体" w:eastAsia="宋体"/>
      <w:spacing w:val="-20"/>
      <w:sz w:val="21"/>
    </w:rPr>
  </w:style>
  <w:style w:type="character" w:customStyle="1" w:styleId="172">
    <w:name w:val="页眉或页脚 + 宋体1"/>
    <w:basedOn w:val="136"/>
    <w:autoRedefine/>
    <w:qFormat/>
    <w:uiPriority w:val="0"/>
    <w:rPr>
      <w:rFonts w:hint="default" w:ascii="宋体"/>
      <w:b/>
      <w:color w:val="FFFFFF"/>
      <w:sz w:val="15"/>
      <w:lang w:val="en-US" w:eastAsia="zh-CN"/>
    </w:rPr>
  </w:style>
  <w:style w:type="character" w:customStyle="1" w:styleId="173">
    <w:name w:val="默认段落字体 New New New"/>
    <w:autoRedefine/>
    <w:qFormat/>
    <w:uiPriority w:val="0"/>
    <w:rPr>
      <w:rFonts w:hint="default"/>
    </w:rPr>
  </w:style>
  <w:style w:type="character" w:customStyle="1" w:styleId="174">
    <w:name w:val="正文文本 (14) + 4 pt1"/>
    <w:basedOn w:val="162"/>
    <w:autoRedefine/>
    <w:qFormat/>
    <w:uiPriority w:val="0"/>
    <w:rPr>
      <w:rFonts w:hint="default" w:ascii="宋体" w:eastAsia="宋体"/>
      <w:strike/>
      <w:w w:val="80"/>
      <w:sz w:val="8"/>
      <w:lang w:val="en-US" w:eastAsia="zh-CN"/>
    </w:rPr>
  </w:style>
  <w:style w:type="character" w:customStyle="1" w:styleId="175">
    <w:name w:val="正文文本 + 粗体6"/>
    <w:basedOn w:val="166"/>
    <w:autoRedefine/>
    <w:qFormat/>
    <w:uiPriority w:val="0"/>
    <w:rPr>
      <w:rFonts w:hint="eastAsia" w:ascii="宋体" w:eastAsia="宋体"/>
      <w:b/>
      <w:spacing w:val="-20"/>
      <w:sz w:val="23"/>
    </w:rPr>
  </w:style>
  <w:style w:type="character" w:customStyle="1" w:styleId="176">
    <w:name w:val="正文文本 + 10.5 pt7"/>
    <w:basedOn w:val="166"/>
    <w:autoRedefine/>
    <w:qFormat/>
    <w:uiPriority w:val="0"/>
    <w:rPr>
      <w:rFonts w:hint="eastAsia" w:ascii="宋体" w:eastAsia="宋体"/>
      <w:spacing w:val="-20"/>
      <w:sz w:val="21"/>
    </w:rPr>
  </w:style>
  <w:style w:type="character" w:customStyle="1" w:styleId="177">
    <w:name w:val="正文文本 (14) + MingLiU2"/>
    <w:basedOn w:val="162"/>
    <w:autoRedefine/>
    <w:qFormat/>
    <w:uiPriority w:val="0"/>
    <w:rPr>
      <w:rFonts w:hint="eastAsia" w:ascii="MingLiU" w:eastAsia="MingLiU"/>
      <w:w w:val="120"/>
      <w:sz w:val="8"/>
    </w:rPr>
  </w:style>
  <w:style w:type="character" w:customStyle="1" w:styleId="178">
    <w:name w:val="正文文本 (14) + MingLiU1"/>
    <w:basedOn w:val="162"/>
    <w:autoRedefine/>
    <w:qFormat/>
    <w:uiPriority w:val="0"/>
    <w:rPr>
      <w:rFonts w:hint="eastAsia" w:ascii="MingLiU" w:eastAsia="MingLiU"/>
      <w:strike/>
      <w:w w:val="120"/>
      <w:sz w:val="8"/>
      <w:lang w:val="en-US" w:eastAsia="zh-CN"/>
    </w:rPr>
  </w:style>
  <w:style w:type="character" w:customStyle="1" w:styleId="179">
    <w:name w:val="正文文本 (14) + Arial Narrow2"/>
    <w:basedOn w:val="162"/>
    <w:autoRedefine/>
    <w:qFormat/>
    <w:uiPriority w:val="0"/>
    <w:rPr>
      <w:rFonts w:hint="default" w:ascii="Arial Narrow" w:eastAsia="宋体"/>
      <w:i/>
      <w:strike/>
      <w:sz w:val="20"/>
      <w:lang w:val="en-US" w:eastAsia="zh-CN"/>
    </w:rPr>
  </w:style>
  <w:style w:type="character" w:customStyle="1" w:styleId="180">
    <w:name w:val="正文文本 + 10.5 pt6"/>
    <w:basedOn w:val="166"/>
    <w:autoRedefine/>
    <w:qFormat/>
    <w:uiPriority w:val="0"/>
    <w:rPr>
      <w:rFonts w:hint="default" w:ascii="宋体" w:eastAsia="宋体"/>
      <w:spacing w:val="-10"/>
      <w:sz w:val="21"/>
      <w:lang w:val="en-US" w:eastAsia="zh-CN"/>
    </w:rPr>
  </w:style>
  <w:style w:type="paragraph" w:customStyle="1" w:styleId="181">
    <w:name w:val="公式"/>
    <w:basedOn w:val="1"/>
    <w:link w:val="182"/>
    <w:autoRedefine/>
    <w:qFormat/>
    <w:uiPriority w:val="0"/>
    <w:pPr>
      <w:spacing w:beforeLines="50" w:afterLines="50" w:line="240" w:lineRule="auto"/>
      <w:jc w:val="center"/>
    </w:pPr>
    <w:rPr>
      <w:szCs w:val="20"/>
    </w:rPr>
  </w:style>
  <w:style w:type="character" w:customStyle="1" w:styleId="182">
    <w:name w:val="公式 Char"/>
    <w:link w:val="181"/>
    <w:autoRedefine/>
    <w:qFormat/>
    <w:locked/>
    <w:uiPriority w:val="0"/>
    <w:rPr>
      <w:kern w:val="2"/>
      <w:sz w:val="24"/>
    </w:rPr>
  </w:style>
  <w:style w:type="paragraph" w:customStyle="1" w:styleId="183">
    <w:name w:val="Body text (23)"/>
    <w:basedOn w:val="1"/>
    <w:autoRedefine/>
    <w:qFormat/>
    <w:uiPriority w:val="0"/>
    <w:pPr>
      <w:shd w:val="clear" w:color="auto" w:fill="FFFFFF"/>
      <w:spacing w:line="240" w:lineRule="atLeast"/>
    </w:pPr>
    <w:rPr>
      <w:rFonts w:ascii="黑体" w:eastAsia="黑体" w:cs="黑体"/>
      <w:sz w:val="33"/>
      <w:szCs w:val="33"/>
    </w:rPr>
  </w:style>
  <w:style w:type="paragraph" w:customStyle="1" w:styleId="184">
    <w:name w:val="Body text (36)"/>
    <w:basedOn w:val="1"/>
    <w:autoRedefine/>
    <w:qFormat/>
    <w:uiPriority w:val="0"/>
    <w:pPr>
      <w:shd w:val="clear" w:color="auto" w:fill="FFFFFF"/>
      <w:spacing w:after="420" w:line="240" w:lineRule="atLeast"/>
    </w:pPr>
    <w:rPr>
      <w:sz w:val="25"/>
      <w:szCs w:val="25"/>
    </w:rPr>
  </w:style>
  <w:style w:type="paragraph" w:customStyle="1" w:styleId="185">
    <w:name w:val="正文文本 (14)1"/>
    <w:basedOn w:val="1"/>
    <w:autoRedefine/>
    <w:qFormat/>
    <w:uiPriority w:val="0"/>
    <w:pPr>
      <w:shd w:val="clear" w:color="auto" w:fill="FFFFFF"/>
      <w:spacing w:line="240" w:lineRule="atLeast"/>
      <w:ind w:hanging="1480"/>
    </w:pPr>
    <w:rPr>
      <w:rFonts w:hint="eastAsia" w:ascii="宋体"/>
      <w:sz w:val="21"/>
    </w:rPr>
  </w:style>
  <w:style w:type="paragraph" w:customStyle="1" w:styleId="186">
    <w:name w:val="Char"/>
    <w:basedOn w:val="1"/>
    <w:autoRedefine/>
    <w:qFormat/>
    <w:uiPriority w:val="0"/>
    <w:pPr>
      <w:snapToGrid w:val="0"/>
      <w:spacing w:line="360" w:lineRule="auto"/>
      <w:ind w:firstLine="529" w:firstLineChars="200"/>
    </w:pPr>
    <w:rPr>
      <w:rFonts w:ascii="宋体" w:hAnsi="宋体"/>
      <w:b/>
      <w:sz w:val="21"/>
    </w:rPr>
  </w:style>
  <w:style w:type="paragraph" w:customStyle="1" w:styleId="187">
    <w:name w:val="表头标题"/>
    <w:basedOn w:val="1"/>
    <w:autoRedefine/>
    <w:qFormat/>
    <w:uiPriority w:val="0"/>
    <w:pPr>
      <w:adjustRightInd w:val="0"/>
      <w:snapToGrid w:val="0"/>
      <w:jc w:val="center"/>
    </w:pPr>
    <w:rPr>
      <w:b/>
      <w:bCs/>
      <w:sz w:val="28"/>
      <w:szCs w:val="28"/>
      <w:lang w:val="zh-CN"/>
    </w:rPr>
  </w:style>
  <w:style w:type="paragraph" w:customStyle="1" w:styleId="188">
    <w:name w:val="3号宋体正文"/>
    <w:basedOn w:val="1"/>
    <w:autoRedefine/>
    <w:qFormat/>
    <w:uiPriority w:val="0"/>
    <w:pPr>
      <w:spacing w:line="360" w:lineRule="auto"/>
      <w:ind w:firstLine="737"/>
      <w:jc w:val="left"/>
    </w:pPr>
    <w:rPr>
      <w:rFonts w:eastAsia="仿宋_GB2312"/>
      <w:snapToGrid w:val="0"/>
      <w:spacing w:val="20"/>
      <w:sz w:val="32"/>
    </w:rPr>
  </w:style>
  <w:style w:type="paragraph" w:customStyle="1" w:styleId="189">
    <w:name w:val="山焦报告正文"/>
    <w:basedOn w:val="1"/>
    <w:autoRedefine/>
    <w:qFormat/>
    <w:uiPriority w:val="0"/>
    <w:pPr>
      <w:adjustRightInd w:val="0"/>
      <w:snapToGrid w:val="0"/>
      <w:spacing w:beforeLines="25"/>
      <w:ind w:firstLine="200" w:firstLineChars="200"/>
    </w:pPr>
    <w:rPr>
      <w:color w:val="000000"/>
    </w:rPr>
  </w:style>
  <w:style w:type="paragraph" w:customStyle="1" w:styleId="190">
    <w:name w:val="Default"/>
    <w:autoRedefine/>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paragraph" w:customStyle="1" w:styleId="191">
    <w:name w:val="CC Char Char Char Char Char Char"/>
    <w:basedOn w:val="31"/>
    <w:next w:val="31"/>
    <w:autoRedefine/>
    <w:qFormat/>
    <w:uiPriority w:val="0"/>
    <w:pPr>
      <w:ind w:left="630" w:leftChars="100" w:right="100" w:rightChars="100"/>
    </w:pPr>
    <w:rPr>
      <w:sz w:val="28"/>
      <w:szCs w:val="28"/>
    </w:rPr>
  </w:style>
  <w:style w:type="paragraph" w:customStyle="1" w:styleId="192">
    <w:name w:val="xl24"/>
    <w:basedOn w:val="1"/>
    <w:autoRedefine/>
    <w:qFormat/>
    <w:uiPriority w:val="0"/>
    <w:pPr>
      <w:widowControl/>
      <w:pBdr>
        <w:bottom w:val="single" w:color="auto" w:sz="4" w:space="0"/>
        <w:right w:val="single" w:color="auto" w:sz="4" w:space="0"/>
      </w:pBdr>
      <w:spacing w:before="100" w:beforeAutospacing="1" w:after="100" w:afterAutospacing="1" w:line="240" w:lineRule="auto"/>
      <w:jc w:val="center"/>
    </w:pPr>
    <w:rPr>
      <w:kern w:val="0"/>
      <w:sz w:val="21"/>
      <w:szCs w:val="21"/>
    </w:rPr>
  </w:style>
  <w:style w:type="paragraph" w:customStyle="1" w:styleId="193">
    <w:name w:val="kt2"/>
    <w:basedOn w:val="1"/>
    <w:autoRedefine/>
    <w:qFormat/>
    <w:uiPriority w:val="0"/>
    <w:pPr>
      <w:adjustRightInd w:val="0"/>
      <w:snapToGrid w:val="0"/>
      <w:spacing w:line="240" w:lineRule="auto"/>
      <w:jc w:val="center"/>
    </w:pPr>
    <w:rPr>
      <w:rFonts w:ascii="宋体" w:hAnsi="宋体"/>
      <w:snapToGrid w:val="0"/>
      <w:sz w:val="21"/>
    </w:rPr>
  </w:style>
  <w:style w:type="paragraph" w:customStyle="1" w:styleId="194">
    <w:name w:val="1"/>
    <w:basedOn w:val="1"/>
    <w:next w:val="28"/>
    <w:autoRedefine/>
    <w:qFormat/>
    <w:uiPriority w:val="0"/>
    <w:pPr>
      <w:spacing w:line="240" w:lineRule="auto"/>
    </w:pPr>
    <w:rPr>
      <w:rFonts w:ascii="宋体" w:hAnsi="Courier New"/>
      <w:sz w:val="21"/>
      <w:szCs w:val="20"/>
    </w:rPr>
  </w:style>
  <w:style w:type="paragraph" w:customStyle="1" w:styleId="195">
    <w:name w:val="表格文字9"/>
    <w:basedOn w:val="196"/>
    <w:autoRedefine/>
    <w:qFormat/>
    <w:uiPriority w:val="0"/>
    <w:rPr>
      <w:sz w:val="18"/>
    </w:rPr>
  </w:style>
  <w:style w:type="paragraph" w:customStyle="1" w:styleId="196">
    <w:name w:val="表格文字"/>
    <w:basedOn w:val="1"/>
    <w:link w:val="197"/>
    <w:autoRedefine/>
    <w:qFormat/>
    <w:uiPriority w:val="0"/>
    <w:pPr>
      <w:adjustRightInd w:val="0"/>
      <w:snapToGrid w:val="0"/>
      <w:spacing w:line="400" w:lineRule="exact"/>
      <w:jc w:val="center"/>
    </w:pPr>
    <w:rPr>
      <w:color w:val="000000"/>
      <w:kern w:val="32"/>
      <w:sz w:val="21"/>
      <w:szCs w:val="20"/>
    </w:rPr>
  </w:style>
  <w:style w:type="character" w:customStyle="1" w:styleId="197">
    <w:name w:val="表格文字 Char Char"/>
    <w:link w:val="196"/>
    <w:autoRedefine/>
    <w:qFormat/>
    <w:uiPriority w:val="0"/>
    <w:rPr>
      <w:color w:val="000000"/>
      <w:kern w:val="32"/>
      <w:sz w:val="21"/>
    </w:rPr>
  </w:style>
  <w:style w:type="paragraph" w:customStyle="1" w:styleId="198">
    <w:name w:val="封面标准文稿编辑信息"/>
    <w:autoRedefine/>
    <w:qFormat/>
    <w:uiPriority w:val="0"/>
    <w:pPr>
      <w:spacing w:before="180" w:line="180" w:lineRule="atLeast"/>
      <w:jc w:val="center"/>
    </w:pPr>
    <w:rPr>
      <w:rFonts w:hint="eastAsia" w:ascii="宋体" w:hAnsi="Times New Roman" w:eastAsia="宋体" w:cs="Times New Roman"/>
      <w:sz w:val="21"/>
      <w:lang w:val="en-US" w:eastAsia="zh-CN" w:bidi="ar-SA"/>
    </w:rPr>
  </w:style>
  <w:style w:type="paragraph" w:customStyle="1" w:styleId="199">
    <w:name w:val="正文文字缩进"/>
    <w:basedOn w:val="1"/>
    <w:next w:val="1"/>
    <w:autoRedefine/>
    <w:qFormat/>
    <w:uiPriority w:val="0"/>
    <w:pPr>
      <w:autoSpaceDE w:val="0"/>
      <w:autoSpaceDN w:val="0"/>
      <w:adjustRightInd w:val="0"/>
      <w:spacing w:line="240" w:lineRule="auto"/>
      <w:jc w:val="left"/>
    </w:pPr>
    <w:rPr>
      <w:rFonts w:ascii="宋体"/>
      <w:kern w:val="0"/>
    </w:rPr>
  </w:style>
  <w:style w:type="paragraph" w:customStyle="1" w:styleId="200">
    <w:name w:val="样式3"/>
    <w:basedOn w:val="37"/>
    <w:autoRedefine/>
    <w:qFormat/>
    <w:uiPriority w:val="0"/>
    <w:pPr>
      <w:tabs>
        <w:tab w:val="right" w:leader="dot" w:pos="9628"/>
      </w:tabs>
      <w:spacing w:line="360" w:lineRule="auto"/>
      <w:ind w:left="600" w:leftChars="258" w:firstLine="200" w:firstLineChars="200"/>
    </w:pPr>
    <w:rPr>
      <w:rFonts w:ascii="宋体" w:hAnsi="宋体"/>
      <w:b/>
      <w:sz w:val="28"/>
    </w:rPr>
  </w:style>
  <w:style w:type="paragraph" w:customStyle="1" w:styleId="201">
    <w:name w:val="表格文字/16"/>
    <w:basedOn w:val="1"/>
    <w:autoRedefine/>
    <w:qFormat/>
    <w:uiPriority w:val="0"/>
    <w:pPr>
      <w:adjustRightInd w:val="0"/>
      <w:snapToGrid w:val="0"/>
      <w:spacing w:line="320" w:lineRule="exact"/>
      <w:jc w:val="center"/>
    </w:pPr>
    <w:rPr>
      <w:color w:val="000000"/>
      <w:kern w:val="32"/>
      <w:sz w:val="21"/>
      <w:szCs w:val="20"/>
    </w:rPr>
  </w:style>
  <w:style w:type="paragraph" w:customStyle="1" w:styleId="202">
    <w:name w:val="表格"/>
    <w:next w:val="1"/>
    <w:link w:val="203"/>
    <w:autoRedefine/>
    <w:qFormat/>
    <w:uiPriority w:val="0"/>
    <w:pPr>
      <w:spacing w:line="380" w:lineRule="exact"/>
      <w:jc w:val="center"/>
    </w:pPr>
    <w:rPr>
      <w:rFonts w:ascii="宋体" w:hAnsi="宋体" w:eastAsia="宋体" w:cs="Times New Roman"/>
      <w:snapToGrid w:val="0"/>
      <w:sz w:val="21"/>
      <w:lang w:val="en-US" w:eastAsia="zh-CN" w:bidi="ar-SA"/>
    </w:rPr>
  </w:style>
  <w:style w:type="character" w:customStyle="1" w:styleId="203">
    <w:name w:val="表格 Char Char Char"/>
    <w:link w:val="202"/>
    <w:autoRedefine/>
    <w:qFormat/>
    <w:locked/>
    <w:uiPriority w:val="0"/>
    <w:rPr>
      <w:rFonts w:ascii="宋体" w:hAnsi="宋体"/>
      <w:snapToGrid w:val="0"/>
      <w:sz w:val="21"/>
    </w:rPr>
  </w:style>
  <w:style w:type="paragraph" w:customStyle="1" w:styleId="204">
    <w:name w:val="表格1"/>
    <w:link w:val="205"/>
    <w:autoRedefine/>
    <w:qFormat/>
    <w:uiPriority w:val="0"/>
    <w:pPr>
      <w:ind w:firstLine="1"/>
      <w:jc w:val="center"/>
    </w:pPr>
    <w:rPr>
      <w:rFonts w:ascii="Times New Roman" w:hAnsi="Times New Roman" w:eastAsia="宋体" w:cs="Times New Roman"/>
      <w:sz w:val="21"/>
      <w:szCs w:val="21"/>
      <w:lang w:val="en-US" w:eastAsia="zh-CN" w:bidi="ar-SA"/>
    </w:rPr>
  </w:style>
  <w:style w:type="character" w:customStyle="1" w:styleId="205">
    <w:name w:val="表格1 Char"/>
    <w:basedOn w:val="56"/>
    <w:link w:val="204"/>
    <w:autoRedefine/>
    <w:qFormat/>
    <w:uiPriority w:val="0"/>
    <w:rPr>
      <w:sz w:val="21"/>
      <w:szCs w:val="21"/>
      <w:lang w:val="en-US" w:eastAsia="zh-CN" w:bidi="ar-SA"/>
    </w:rPr>
  </w:style>
  <w:style w:type="paragraph" w:customStyle="1" w:styleId="206">
    <w:name w:val="Body text (27)1"/>
    <w:basedOn w:val="1"/>
    <w:autoRedefine/>
    <w:qFormat/>
    <w:uiPriority w:val="0"/>
    <w:pPr>
      <w:shd w:val="clear" w:color="auto" w:fill="FFFFFF"/>
      <w:spacing w:after="720" w:line="240" w:lineRule="atLeast"/>
      <w:ind w:hanging="620"/>
    </w:pPr>
    <w:rPr>
      <w:rFonts w:ascii="黑体" w:eastAsia="黑体" w:cs="黑体"/>
      <w:sz w:val="21"/>
      <w:szCs w:val="21"/>
    </w:rPr>
  </w:style>
  <w:style w:type="paragraph" w:customStyle="1" w:styleId="207">
    <w:name w:val="Char1"/>
    <w:basedOn w:val="1"/>
    <w:autoRedefine/>
    <w:qFormat/>
    <w:uiPriority w:val="0"/>
    <w:pPr>
      <w:snapToGrid w:val="0"/>
      <w:spacing w:line="360" w:lineRule="auto"/>
      <w:ind w:firstLine="200" w:firstLineChars="200"/>
    </w:pPr>
    <w:rPr>
      <w:rFonts w:eastAsia="仿宋_GB2312"/>
    </w:rPr>
  </w:style>
  <w:style w:type="paragraph" w:customStyle="1" w:styleId="208">
    <w:name w:val="正文文本最新 Char Char Char"/>
    <w:basedOn w:val="1"/>
    <w:autoRedefine/>
    <w:qFormat/>
    <w:uiPriority w:val="0"/>
    <w:pPr>
      <w:spacing w:line="360" w:lineRule="auto"/>
      <w:ind w:firstLine="200" w:firstLineChars="200"/>
    </w:pPr>
    <w:rPr>
      <w:bCs/>
      <w:sz w:val="28"/>
    </w:rPr>
  </w:style>
  <w:style w:type="paragraph" w:customStyle="1" w:styleId="209">
    <w:name w:val="Char2"/>
    <w:basedOn w:val="1"/>
    <w:autoRedefine/>
    <w:qFormat/>
    <w:uiPriority w:val="0"/>
    <w:pPr>
      <w:snapToGrid w:val="0"/>
      <w:spacing w:line="360" w:lineRule="auto"/>
      <w:ind w:firstLine="529" w:firstLineChars="200"/>
    </w:pPr>
    <w:rPr>
      <w:rFonts w:ascii="宋体" w:hAnsi="宋体"/>
      <w:b/>
      <w:sz w:val="21"/>
    </w:rPr>
  </w:style>
  <w:style w:type="paragraph" w:customStyle="1" w:styleId="210">
    <w:name w:val="正文文本 (138)"/>
    <w:basedOn w:val="1"/>
    <w:autoRedefine/>
    <w:qFormat/>
    <w:uiPriority w:val="0"/>
    <w:pPr>
      <w:shd w:val="clear" w:color="auto" w:fill="FFFFFF"/>
      <w:spacing w:line="240" w:lineRule="atLeast"/>
    </w:pPr>
    <w:rPr>
      <w:rFonts w:ascii="Arial Narrow"/>
      <w:sz w:val="8"/>
    </w:rPr>
  </w:style>
  <w:style w:type="paragraph" w:customStyle="1" w:styleId="211">
    <w:name w:val="标题 #15"/>
    <w:basedOn w:val="1"/>
    <w:autoRedefine/>
    <w:qFormat/>
    <w:uiPriority w:val="0"/>
    <w:pPr>
      <w:shd w:val="clear" w:color="auto" w:fill="FFFFFF"/>
      <w:spacing w:before="300" w:line="465" w:lineRule="exact"/>
    </w:pPr>
    <w:rPr>
      <w:rFonts w:hint="eastAsia" w:ascii="宋体"/>
      <w:sz w:val="23"/>
    </w:rPr>
  </w:style>
  <w:style w:type="paragraph" w:customStyle="1" w:styleId="212">
    <w:name w:val="正文文本 (135)"/>
    <w:basedOn w:val="1"/>
    <w:autoRedefine/>
    <w:qFormat/>
    <w:uiPriority w:val="0"/>
    <w:pPr>
      <w:shd w:val="clear" w:color="auto" w:fill="FFFFFF"/>
      <w:spacing w:line="240" w:lineRule="atLeast"/>
    </w:pPr>
    <w:rPr>
      <w:rFonts w:ascii="Arial Narrow"/>
      <w:sz w:val="8"/>
    </w:rPr>
  </w:style>
  <w:style w:type="paragraph" w:customStyle="1" w:styleId="213">
    <w:name w:val="正文文本 (134)"/>
    <w:basedOn w:val="1"/>
    <w:autoRedefine/>
    <w:qFormat/>
    <w:uiPriority w:val="0"/>
    <w:pPr>
      <w:shd w:val="clear" w:color="auto" w:fill="FFFFFF"/>
      <w:spacing w:line="240" w:lineRule="atLeast"/>
    </w:pPr>
    <w:rPr>
      <w:rFonts w:ascii="宋体"/>
      <w:sz w:val="8"/>
    </w:rPr>
  </w:style>
  <w:style w:type="paragraph" w:customStyle="1" w:styleId="214">
    <w:name w:val="正文文本 (136)"/>
    <w:basedOn w:val="1"/>
    <w:autoRedefine/>
    <w:qFormat/>
    <w:uiPriority w:val="0"/>
    <w:pPr>
      <w:shd w:val="clear" w:color="auto" w:fill="FFFFFF"/>
      <w:spacing w:line="240" w:lineRule="atLeast"/>
    </w:pPr>
    <w:rPr>
      <w:rFonts w:ascii="Arial Narrow"/>
      <w:sz w:val="8"/>
    </w:rPr>
  </w:style>
  <w:style w:type="paragraph" w:customStyle="1" w:styleId="215">
    <w:name w:val="正文文本 (137)"/>
    <w:basedOn w:val="1"/>
    <w:autoRedefine/>
    <w:qFormat/>
    <w:uiPriority w:val="0"/>
    <w:pPr>
      <w:shd w:val="clear" w:color="auto" w:fill="FFFFFF"/>
      <w:spacing w:line="240" w:lineRule="atLeast"/>
    </w:pPr>
    <w:rPr>
      <w:rFonts w:ascii="宋体"/>
      <w:w w:val="150"/>
      <w:sz w:val="8"/>
    </w:rPr>
  </w:style>
  <w:style w:type="paragraph" w:customStyle="1" w:styleId="216">
    <w:name w:val="正文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7">
    <w:name w:val="正文文本 New"/>
    <w:basedOn w:val="1"/>
    <w:autoRedefine/>
    <w:qFormat/>
    <w:uiPriority w:val="0"/>
    <w:pPr>
      <w:shd w:val="clear" w:color="auto" w:fill="FFFFFF"/>
      <w:spacing w:before="540" w:line="240" w:lineRule="atLeast"/>
      <w:ind w:hanging="560"/>
      <w:jc w:val="distribute"/>
    </w:pPr>
    <w:rPr>
      <w:rFonts w:hint="eastAsia" w:ascii="宋体"/>
      <w:sz w:val="23"/>
    </w:rPr>
  </w:style>
  <w:style w:type="paragraph" w:customStyle="1" w:styleId="218">
    <w:name w:val="7"/>
    <w:basedOn w:val="1"/>
    <w:link w:val="219"/>
    <w:autoRedefine/>
    <w:qFormat/>
    <w:uiPriority w:val="0"/>
    <w:pPr>
      <w:autoSpaceDE w:val="0"/>
      <w:autoSpaceDN w:val="0"/>
      <w:adjustRightInd w:val="0"/>
      <w:snapToGrid w:val="0"/>
      <w:spacing w:line="360" w:lineRule="auto"/>
      <w:ind w:firstLine="200" w:firstLineChars="200"/>
      <w:textAlignment w:val="baseline"/>
    </w:pPr>
    <w:rPr>
      <w:sz w:val="28"/>
      <w:szCs w:val="28"/>
    </w:rPr>
  </w:style>
  <w:style w:type="character" w:customStyle="1" w:styleId="219">
    <w:name w:val="7 Char"/>
    <w:basedOn w:val="56"/>
    <w:link w:val="218"/>
    <w:autoRedefine/>
    <w:qFormat/>
    <w:uiPriority w:val="0"/>
    <w:rPr>
      <w:rFonts w:eastAsia="宋体"/>
      <w:kern w:val="2"/>
      <w:sz w:val="28"/>
      <w:szCs w:val="28"/>
      <w:lang w:val="en-US" w:eastAsia="zh-CN" w:bidi="ar-SA"/>
    </w:rPr>
  </w:style>
  <w:style w:type="paragraph" w:customStyle="1" w:styleId="220">
    <w:name w:val="字元 字元 Char Char 字元 字元1 Char Char Char"/>
    <w:basedOn w:val="1"/>
    <w:autoRedefine/>
    <w:qFormat/>
    <w:uiPriority w:val="0"/>
    <w:pPr>
      <w:spacing w:line="240" w:lineRule="auto"/>
    </w:pPr>
  </w:style>
  <w:style w:type="character" w:customStyle="1" w:styleId="221">
    <w:name w:val="表格标题 Char"/>
    <w:basedOn w:val="56"/>
    <w:autoRedefine/>
    <w:qFormat/>
    <w:uiPriority w:val="0"/>
    <w:rPr>
      <w:rFonts w:eastAsia="宋体"/>
      <w:kern w:val="2"/>
      <w:sz w:val="28"/>
      <w:lang w:val="en-US" w:eastAsia="zh-CN" w:bidi="ar-SA"/>
    </w:rPr>
  </w:style>
  <w:style w:type="paragraph" w:customStyle="1" w:styleId="222">
    <w:name w:val="样式 首行缩进:  2 字符"/>
    <w:basedOn w:val="1"/>
    <w:autoRedefine/>
    <w:qFormat/>
    <w:uiPriority w:val="0"/>
    <w:pPr>
      <w:ind w:firstLine="480" w:firstLineChars="200"/>
    </w:pPr>
    <w:rPr>
      <w:rFonts w:cs="宋体"/>
      <w:szCs w:val="20"/>
    </w:rPr>
  </w:style>
  <w:style w:type="paragraph" w:customStyle="1" w:styleId="223">
    <w:name w:val="样式 样式 仿宋_GB2312 小三 行距: 1.5 倍行距 + 首行缩进:  2 字符"/>
    <w:basedOn w:val="1"/>
    <w:autoRedefine/>
    <w:qFormat/>
    <w:uiPriority w:val="0"/>
    <w:pPr>
      <w:spacing w:line="360" w:lineRule="auto"/>
      <w:ind w:firstLine="560" w:firstLineChars="200"/>
    </w:pPr>
    <w:rPr>
      <w:rFonts w:ascii="仿宋_GB2312" w:hAnsi="宋体" w:eastAsia="仿宋_GB2312" w:cs="宋体"/>
      <w:sz w:val="28"/>
      <w:szCs w:val="20"/>
    </w:rPr>
  </w:style>
  <w:style w:type="character" w:customStyle="1" w:styleId="224">
    <w:name w:val="Char Char3"/>
    <w:basedOn w:val="56"/>
    <w:autoRedefine/>
    <w:qFormat/>
    <w:uiPriority w:val="0"/>
    <w:rPr>
      <w:kern w:val="2"/>
      <w:sz w:val="21"/>
      <w:szCs w:val="24"/>
    </w:rPr>
  </w:style>
  <w:style w:type="paragraph" w:customStyle="1" w:styleId="225">
    <w:name w:val="样式1"/>
    <w:basedOn w:val="1"/>
    <w:next w:val="25"/>
    <w:link w:val="226"/>
    <w:autoRedefine/>
    <w:qFormat/>
    <w:uiPriority w:val="0"/>
    <w:pPr>
      <w:adjustRightInd w:val="0"/>
      <w:snapToGrid w:val="0"/>
      <w:spacing w:line="360" w:lineRule="auto"/>
      <w:ind w:firstLine="200" w:firstLineChars="200"/>
      <w:jc w:val="center"/>
    </w:pPr>
    <w:rPr>
      <w:rFonts w:ascii="仿宋_GB2312" w:hAnsi="宋体" w:eastAsia="仿宋_GB2312"/>
      <w:bCs/>
    </w:rPr>
  </w:style>
  <w:style w:type="character" w:customStyle="1" w:styleId="226">
    <w:name w:val="样式1 Char"/>
    <w:link w:val="225"/>
    <w:autoRedefine/>
    <w:qFormat/>
    <w:locked/>
    <w:uiPriority w:val="0"/>
    <w:rPr>
      <w:rFonts w:ascii="仿宋_GB2312" w:hAnsi="宋体" w:eastAsia="仿宋_GB2312"/>
      <w:bCs/>
      <w:kern w:val="2"/>
      <w:sz w:val="24"/>
      <w:szCs w:val="24"/>
    </w:rPr>
  </w:style>
  <w:style w:type="character" w:customStyle="1" w:styleId="227">
    <w:name w:val="样式 (符号) 宋体 四号"/>
    <w:basedOn w:val="56"/>
    <w:autoRedefine/>
    <w:semiHidden/>
    <w:qFormat/>
    <w:uiPriority w:val="0"/>
    <w:rPr>
      <w:rFonts w:ascii="Times New Roman" w:hAnsi="Times New Roman"/>
      <w:sz w:val="28"/>
    </w:rPr>
  </w:style>
  <w:style w:type="paragraph" w:customStyle="1" w:styleId="228">
    <w:name w:val="正文 New New"/>
    <w:autoRedefine/>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229">
    <w:name w:val="段 Char"/>
    <w:basedOn w:val="56"/>
    <w:link w:val="230"/>
    <w:autoRedefine/>
    <w:qFormat/>
    <w:uiPriority w:val="0"/>
    <w:rPr>
      <w:rFonts w:ascii="宋体" w:eastAsia="宋体"/>
      <w:kern w:val="2"/>
      <w:sz w:val="24"/>
      <w:szCs w:val="24"/>
      <w:lang w:val="en-US" w:eastAsia="zh-CN" w:bidi="ar-SA"/>
    </w:rPr>
  </w:style>
  <w:style w:type="paragraph" w:customStyle="1" w:styleId="230">
    <w:name w:val="段"/>
    <w:basedOn w:val="1"/>
    <w:link w:val="229"/>
    <w:autoRedefine/>
    <w:qFormat/>
    <w:uiPriority w:val="0"/>
    <w:pPr>
      <w:spacing w:line="240" w:lineRule="auto"/>
      <w:ind w:firstLine="200" w:firstLineChars="200"/>
      <w:jc w:val="left"/>
    </w:pPr>
    <w:rPr>
      <w:rFonts w:ascii="宋体"/>
    </w:rPr>
  </w:style>
  <w:style w:type="paragraph" w:customStyle="1" w:styleId="231">
    <w:name w:val="标题四"/>
    <w:basedOn w:val="6"/>
    <w:next w:val="22"/>
    <w:link w:val="232"/>
    <w:autoRedefine/>
    <w:qFormat/>
    <w:uiPriority w:val="0"/>
    <w:pPr>
      <w:widowControl w:val="0"/>
      <w:numPr>
        <w:ilvl w:val="0"/>
        <w:numId w:val="0"/>
      </w:numPr>
      <w:adjustRightInd w:val="0"/>
      <w:snapToGrid w:val="0"/>
      <w:spacing w:after="290" w:line="240" w:lineRule="auto"/>
    </w:pPr>
    <w:rPr>
      <w:rFonts w:eastAsia="仿宋"/>
      <w:color w:val="auto"/>
    </w:rPr>
  </w:style>
  <w:style w:type="character" w:customStyle="1" w:styleId="232">
    <w:name w:val="标题四 Char"/>
    <w:basedOn w:val="56"/>
    <w:link w:val="231"/>
    <w:autoRedefine/>
    <w:qFormat/>
    <w:uiPriority w:val="0"/>
    <w:rPr>
      <w:rFonts w:eastAsia="仿宋"/>
      <w:b/>
      <w:bCs/>
      <w:kern w:val="2"/>
      <w:sz w:val="24"/>
      <w:szCs w:val="28"/>
      <w:lang w:val="en-US" w:eastAsia="zh-CN" w:bidi="ar-SA"/>
    </w:rPr>
  </w:style>
  <w:style w:type="paragraph" w:customStyle="1" w:styleId="233">
    <w:name w:val="表内容"/>
    <w:basedOn w:val="1"/>
    <w:link w:val="234"/>
    <w:autoRedefine/>
    <w:qFormat/>
    <w:uiPriority w:val="0"/>
    <w:pPr>
      <w:jc w:val="center"/>
    </w:pPr>
    <w:rPr>
      <w:rFonts w:eastAsia="仿宋_GB2312"/>
      <w:sz w:val="21"/>
    </w:rPr>
  </w:style>
  <w:style w:type="character" w:customStyle="1" w:styleId="234">
    <w:name w:val="表内容 Char"/>
    <w:basedOn w:val="56"/>
    <w:link w:val="233"/>
    <w:autoRedefine/>
    <w:qFormat/>
    <w:uiPriority w:val="0"/>
    <w:rPr>
      <w:rFonts w:eastAsia="仿宋_GB2312"/>
      <w:kern w:val="2"/>
      <w:sz w:val="21"/>
      <w:szCs w:val="24"/>
      <w:lang w:val="en-US" w:eastAsia="zh-CN" w:bidi="ar-SA"/>
    </w:rPr>
  </w:style>
  <w:style w:type="paragraph" w:customStyle="1" w:styleId="235">
    <w:name w:val="reader-word-layer reader-word-s1-0"/>
    <w:basedOn w:val="1"/>
    <w:autoRedefine/>
    <w:qFormat/>
    <w:uiPriority w:val="0"/>
    <w:pPr>
      <w:widowControl/>
      <w:spacing w:before="100" w:beforeAutospacing="1" w:after="100" w:afterAutospacing="1" w:line="240" w:lineRule="auto"/>
      <w:jc w:val="left"/>
    </w:pPr>
    <w:rPr>
      <w:rFonts w:ascii="宋体" w:hAnsi="宋体" w:cs="宋体"/>
      <w:kern w:val="0"/>
    </w:rPr>
  </w:style>
  <w:style w:type="paragraph" w:customStyle="1" w:styleId="236">
    <w:name w:val="reader-word-layer reader-word-s1-1"/>
    <w:basedOn w:val="1"/>
    <w:autoRedefine/>
    <w:qFormat/>
    <w:uiPriority w:val="0"/>
    <w:pPr>
      <w:widowControl/>
      <w:spacing w:before="100" w:beforeAutospacing="1" w:after="100" w:afterAutospacing="1" w:line="240" w:lineRule="auto"/>
      <w:jc w:val="left"/>
    </w:pPr>
    <w:rPr>
      <w:rFonts w:ascii="宋体" w:hAnsi="宋体" w:cs="宋体"/>
      <w:kern w:val="0"/>
    </w:rPr>
  </w:style>
  <w:style w:type="paragraph" w:customStyle="1" w:styleId="237">
    <w:name w:val="reader-word-layer reader-word-s3-5"/>
    <w:basedOn w:val="1"/>
    <w:autoRedefine/>
    <w:qFormat/>
    <w:uiPriority w:val="0"/>
    <w:pPr>
      <w:widowControl/>
      <w:spacing w:before="100" w:beforeAutospacing="1" w:after="100" w:afterAutospacing="1" w:line="240" w:lineRule="auto"/>
      <w:jc w:val="left"/>
    </w:pPr>
    <w:rPr>
      <w:rFonts w:ascii="宋体" w:hAnsi="宋体" w:cs="宋体"/>
      <w:kern w:val="0"/>
    </w:rPr>
  </w:style>
  <w:style w:type="paragraph" w:customStyle="1" w:styleId="238">
    <w:name w:val="reader-word-layer reader-word-s3-7"/>
    <w:basedOn w:val="1"/>
    <w:autoRedefine/>
    <w:qFormat/>
    <w:uiPriority w:val="0"/>
    <w:pPr>
      <w:widowControl/>
      <w:spacing w:before="100" w:beforeAutospacing="1" w:after="100" w:afterAutospacing="1" w:line="240" w:lineRule="auto"/>
      <w:jc w:val="left"/>
    </w:pPr>
    <w:rPr>
      <w:rFonts w:ascii="宋体" w:hAnsi="宋体" w:cs="宋体"/>
      <w:kern w:val="0"/>
    </w:rPr>
  </w:style>
  <w:style w:type="paragraph" w:customStyle="1" w:styleId="239">
    <w:name w:val="样式2"/>
    <w:basedOn w:val="1"/>
    <w:link w:val="240"/>
    <w:autoRedefine/>
    <w:qFormat/>
    <w:uiPriority w:val="0"/>
    <w:pPr>
      <w:tabs>
        <w:tab w:val="left" w:pos="1275"/>
      </w:tabs>
      <w:spacing w:beforeLines="50" w:afterLines="50" w:line="360" w:lineRule="auto"/>
      <w:ind w:firstLine="196" w:firstLineChars="196"/>
    </w:pPr>
    <w:rPr>
      <w:rFonts w:ascii="宋体" w:hAnsi="宋体"/>
    </w:rPr>
  </w:style>
  <w:style w:type="character" w:customStyle="1" w:styleId="240">
    <w:name w:val="样式2 Char"/>
    <w:link w:val="239"/>
    <w:autoRedefine/>
    <w:qFormat/>
    <w:locked/>
    <w:uiPriority w:val="0"/>
    <w:rPr>
      <w:rFonts w:ascii="宋体" w:hAnsi="宋体"/>
      <w:kern w:val="2"/>
      <w:sz w:val="24"/>
      <w:szCs w:val="24"/>
    </w:rPr>
  </w:style>
  <w:style w:type="paragraph" w:customStyle="1" w:styleId="241">
    <w:name w:val="CM45"/>
    <w:basedOn w:val="190"/>
    <w:next w:val="190"/>
    <w:autoRedefine/>
    <w:qFormat/>
    <w:uiPriority w:val="0"/>
    <w:pPr>
      <w:spacing w:after="263"/>
    </w:pPr>
    <w:rPr>
      <w:rFonts w:cs="Times New Roman"/>
      <w:color w:val="auto"/>
    </w:rPr>
  </w:style>
  <w:style w:type="paragraph" w:customStyle="1" w:styleId="242">
    <w:name w:val="CM44"/>
    <w:basedOn w:val="190"/>
    <w:next w:val="190"/>
    <w:autoRedefine/>
    <w:qFormat/>
    <w:uiPriority w:val="0"/>
    <w:pPr>
      <w:spacing w:after="435"/>
    </w:pPr>
    <w:rPr>
      <w:rFonts w:cs="Times New Roman"/>
      <w:color w:val="auto"/>
    </w:rPr>
  </w:style>
  <w:style w:type="paragraph" w:customStyle="1" w:styleId="243">
    <w:name w:val="表格样式"/>
    <w:basedOn w:val="1"/>
    <w:autoRedefine/>
    <w:qFormat/>
    <w:uiPriority w:val="0"/>
    <w:pPr>
      <w:adjustRightInd w:val="0"/>
      <w:snapToGrid w:val="0"/>
      <w:spacing w:line="240" w:lineRule="auto"/>
      <w:jc w:val="center"/>
      <w:textAlignment w:val="center"/>
    </w:pPr>
    <w:rPr>
      <w:sz w:val="28"/>
    </w:rPr>
  </w:style>
  <w:style w:type="paragraph" w:customStyle="1" w:styleId="244">
    <w:name w:val="默认段落字体 Para Char Char Char Char Char Char Char"/>
    <w:basedOn w:val="1"/>
    <w:autoRedefine/>
    <w:qFormat/>
    <w:uiPriority w:val="0"/>
    <w:pPr>
      <w:snapToGrid w:val="0"/>
      <w:spacing w:line="360" w:lineRule="auto"/>
      <w:ind w:firstLine="200" w:firstLineChars="200"/>
    </w:pPr>
    <w:rPr>
      <w:sz w:val="28"/>
    </w:rPr>
  </w:style>
  <w:style w:type="character" w:customStyle="1" w:styleId="245">
    <w:name w:val="纯文本 Char"/>
    <w:basedOn w:val="56"/>
    <w:link w:val="246"/>
    <w:autoRedefine/>
    <w:qFormat/>
    <w:uiPriority w:val="0"/>
    <w:rPr>
      <w:rFonts w:ascii="宋体" w:hAnsi="Courier New" w:eastAsia="宋体" w:cs="Courier New"/>
      <w:kern w:val="2"/>
      <w:sz w:val="21"/>
      <w:szCs w:val="21"/>
      <w:lang w:val="en-US" w:eastAsia="zh-CN" w:bidi="ar-SA"/>
    </w:rPr>
  </w:style>
  <w:style w:type="paragraph" w:customStyle="1" w:styleId="246">
    <w:name w:val="表格内容"/>
    <w:basedOn w:val="1"/>
    <w:link w:val="245"/>
    <w:autoRedefine/>
    <w:qFormat/>
    <w:uiPriority w:val="0"/>
    <w:pPr>
      <w:adjustRightInd w:val="0"/>
      <w:snapToGrid w:val="0"/>
      <w:spacing w:line="280" w:lineRule="exact"/>
      <w:ind w:left="-31" w:leftChars="-15" w:right="-31" w:rightChars="-15"/>
      <w:jc w:val="center"/>
    </w:pPr>
    <w:rPr>
      <w:rFonts w:ascii="宋体" w:hAnsi="Courier New" w:cs="Courier New"/>
      <w:sz w:val="21"/>
      <w:szCs w:val="21"/>
    </w:rPr>
  </w:style>
  <w:style w:type="character" w:customStyle="1" w:styleId="247">
    <w:name w:val="ca-2"/>
    <w:basedOn w:val="56"/>
    <w:autoRedefine/>
    <w:qFormat/>
    <w:uiPriority w:val="0"/>
  </w:style>
  <w:style w:type="character" w:customStyle="1" w:styleId="248">
    <w:name w:val="ca-1"/>
    <w:basedOn w:val="56"/>
    <w:autoRedefine/>
    <w:qFormat/>
    <w:uiPriority w:val="0"/>
  </w:style>
  <w:style w:type="paragraph" w:customStyle="1" w:styleId="249">
    <w:name w:val="表中正文"/>
    <w:basedOn w:val="1"/>
    <w:link w:val="250"/>
    <w:autoRedefine/>
    <w:qFormat/>
    <w:uiPriority w:val="0"/>
    <w:pPr>
      <w:tabs>
        <w:tab w:val="left" w:pos="958"/>
        <w:tab w:val="left" w:pos="7320"/>
        <w:tab w:val="left" w:pos="8160"/>
      </w:tabs>
      <w:adjustRightInd w:val="0"/>
      <w:spacing w:line="360" w:lineRule="atLeast"/>
      <w:ind w:right="113"/>
      <w:jc w:val="center"/>
      <w:textAlignment w:val="baseline"/>
    </w:pPr>
    <w:rPr>
      <w:rFonts w:ascii="宋体" w:hAnsi="宋体"/>
      <w:spacing w:val="6"/>
      <w:kern w:val="20"/>
      <w:sz w:val="21"/>
    </w:rPr>
  </w:style>
  <w:style w:type="character" w:customStyle="1" w:styleId="250">
    <w:name w:val="表中正文 Char Char"/>
    <w:link w:val="249"/>
    <w:autoRedefine/>
    <w:qFormat/>
    <w:locked/>
    <w:uiPriority w:val="0"/>
    <w:rPr>
      <w:rFonts w:ascii="宋体" w:hAnsi="宋体"/>
      <w:spacing w:val="6"/>
      <w:kern w:val="20"/>
      <w:sz w:val="21"/>
      <w:szCs w:val="24"/>
    </w:rPr>
  </w:style>
  <w:style w:type="paragraph" w:customStyle="1" w:styleId="251">
    <w:name w:val="CM56"/>
    <w:basedOn w:val="190"/>
    <w:next w:val="190"/>
    <w:autoRedefine/>
    <w:qFormat/>
    <w:uiPriority w:val="0"/>
    <w:pPr>
      <w:spacing w:after="188"/>
    </w:pPr>
    <w:rPr>
      <w:rFonts w:cs="Times New Roman"/>
      <w:color w:val="auto"/>
    </w:rPr>
  </w:style>
  <w:style w:type="paragraph" w:customStyle="1" w:styleId="252">
    <w:name w:val="CM47"/>
    <w:basedOn w:val="190"/>
    <w:next w:val="190"/>
    <w:autoRedefine/>
    <w:qFormat/>
    <w:uiPriority w:val="0"/>
    <w:pPr>
      <w:spacing w:after="110"/>
    </w:pPr>
    <w:rPr>
      <w:rFonts w:cs="Times New Roman"/>
      <w:color w:val="auto"/>
    </w:rPr>
  </w:style>
  <w:style w:type="paragraph" w:customStyle="1" w:styleId="253">
    <w:name w:val="CM59"/>
    <w:basedOn w:val="190"/>
    <w:next w:val="190"/>
    <w:autoRedefine/>
    <w:qFormat/>
    <w:uiPriority w:val="0"/>
    <w:pPr>
      <w:spacing w:after="670"/>
    </w:pPr>
    <w:rPr>
      <w:rFonts w:cs="Times New Roman"/>
      <w:color w:val="auto"/>
    </w:rPr>
  </w:style>
  <w:style w:type="paragraph" w:customStyle="1" w:styleId="254">
    <w:name w:val="CM6"/>
    <w:basedOn w:val="190"/>
    <w:next w:val="190"/>
    <w:autoRedefine/>
    <w:qFormat/>
    <w:uiPriority w:val="0"/>
    <w:pPr>
      <w:spacing w:line="483" w:lineRule="atLeast"/>
    </w:pPr>
    <w:rPr>
      <w:rFonts w:ascii="宋体" w:hAnsi="Calibri" w:eastAsia="宋体" w:cs="Times New Roman"/>
      <w:color w:val="auto"/>
    </w:rPr>
  </w:style>
  <w:style w:type="character" w:customStyle="1" w:styleId="255">
    <w:name w:val="ca-3"/>
    <w:basedOn w:val="56"/>
    <w:autoRedefine/>
    <w:qFormat/>
    <w:uiPriority w:val="0"/>
  </w:style>
  <w:style w:type="character" w:customStyle="1" w:styleId="256">
    <w:name w:val="ca-7"/>
    <w:basedOn w:val="56"/>
    <w:autoRedefine/>
    <w:qFormat/>
    <w:uiPriority w:val="0"/>
  </w:style>
  <w:style w:type="paragraph" w:customStyle="1" w:styleId="257">
    <w:name w:val="单元格"/>
    <w:basedOn w:val="1"/>
    <w:autoRedefine/>
    <w:qFormat/>
    <w:uiPriority w:val="0"/>
    <w:pPr>
      <w:spacing w:line="240" w:lineRule="auto"/>
      <w:jc w:val="center"/>
    </w:pPr>
    <w:rPr>
      <w:rFonts w:ascii="楷体_GB2312" w:eastAsia="楷体_GB2312"/>
      <w:sz w:val="21"/>
      <w:szCs w:val="20"/>
    </w:rPr>
  </w:style>
  <w:style w:type="paragraph" w:customStyle="1" w:styleId="258">
    <w:name w:val="列出段落1"/>
    <w:basedOn w:val="1"/>
    <w:autoRedefine/>
    <w:qFormat/>
    <w:uiPriority w:val="0"/>
    <w:pPr>
      <w:ind w:firstLine="420" w:firstLineChars="200"/>
    </w:pPr>
  </w:style>
  <w:style w:type="paragraph" w:customStyle="1" w:styleId="259">
    <w:name w:val="Char Char Char Char Char Char Char Char Char Char Char Char Char Char Char Char"/>
    <w:basedOn w:val="1"/>
    <w:autoRedefine/>
    <w:qFormat/>
    <w:uiPriority w:val="0"/>
    <w:pPr>
      <w:spacing w:line="360" w:lineRule="auto"/>
      <w:ind w:firstLine="200" w:firstLineChars="200"/>
    </w:pPr>
    <w:rPr>
      <w:rFonts w:ascii="宋体" w:hAnsi="宋体" w:cs="宋体"/>
    </w:rPr>
  </w:style>
  <w:style w:type="paragraph" w:customStyle="1" w:styleId="260">
    <w:name w:val="样式 行距: 固定值 24 磅"/>
    <w:basedOn w:val="1"/>
    <w:autoRedefine/>
    <w:qFormat/>
    <w:uiPriority w:val="0"/>
    <w:pPr>
      <w:ind w:firstLine="200" w:firstLineChars="200"/>
    </w:pPr>
    <w:rPr>
      <w:kern w:val="0"/>
      <w:szCs w:val="20"/>
    </w:rPr>
  </w:style>
  <w:style w:type="character" w:customStyle="1" w:styleId="261">
    <w:name w:val="正文格式 Char Char"/>
    <w:link w:val="4"/>
    <w:autoRedefine/>
    <w:qFormat/>
    <w:uiPriority w:val="0"/>
    <w:rPr>
      <w:kern w:val="2"/>
      <w:sz w:val="24"/>
      <w:szCs w:val="24"/>
    </w:rPr>
  </w:style>
  <w:style w:type="character" w:customStyle="1" w:styleId="262">
    <w:name w:val="line1"/>
    <w:basedOn w:val="56"/>
    <w:autoRedefine/>
    <w:qFormat/>
    <w:uiPriority w:val="0"/>
  </w:style>
  <w:style w:type="paragraph" w:customStyle="1" w:styleId="263">
    <w:name w:val="样式 Arial 小四 行距: 1.5 倍行距"/>
    <w:basedOn w:val="1"/>
    <w:autoRedefine/>
    <w:qFormat/>
    <w:uiPriority w:val="0"/>
    <w:pPr>
      <w:spacing w:beforeLines="50"/>
      <w:ind w:firstLine="480" w:firstLineChars="200"/>
    </w:pPr>
    <w:rPr>
      <w:color w:val="000000"/>
    </w:rPr>
  </w:style>
  <w:style w:type="paragraph" w:customStyle="1" w:styleId="264">
    <w:name w:val="brdrw15brsp20 tqctx4153t"/>
    <w:autoRedefine/>
    <w:qFormat/>
    <w:uiPriority w:val="0"/>
    <w:pPr>
      <w:widowControl w:val="0"/>
      <w:pBdr>
        <w:bottom w:val="single" w:color="auto" w:sz="6" w:space="0"/>
      </w:pBdr>
      <w:adjustRightInd w:val="0"/>
      <w:spacing w:line="312" w:lineRule="atLeast"/>
      <w:jc w:val="center"/>
      <w:textAlignment w:val="baseline"/>
    </w:pPr>
    <w:rPr>
      <w:rFonts w:ascii="Times New Roman" w:hAnsi="Times New Roman" w:eastAsia="宋体" w:cs="Times New Roman"/>
      <w:sz w:val="21"/>
      <w:lang w:val="en-US" w:eastAsia="zh-CN" w:bidi="ar-SA"/>
    </w:rPr>
  </w:style>
  <w:style w:type="paragraph" w:customStyle="1" w:styleId="265">
    <w:name w:val="默认段落字体 Para Char Char Char Char"/>
    <w:basedOn w:val="1"/>
    <w:autoRedefine/>
    <w:qFormat/>
    <w:uiPriority w:val="0"/>
    <w:pPr>
      <w:spacing w:line="240" w:lineRule="auto"/>
    </w:pPr>
  </w:style>
  <w:style w:type="paragraph" w:customStyle="1" w:styleId="266">
    <w:name w:val="报告书-正文"/>
    <w:autoRedefine/>
    <w:qFormat/>
    <w:uiPriority w:val="0"/>
    <w:pPr>
      <w:spacing w:beforeLines="50" w:line="360" w:lineRule="auto"/>
      <w:ind w:left="545"/>
      <w:jc w:val="both"/>
    </w:pPr>
    <w:rPr>
      <w:rFonts w:ascii="Times New Roman" w:hAnsi="Times New Roman" w:eastAsia="宋体" w:cs="Times New Roman"/>
      <w:bCs/>
      <w:snapToGrid w:val="0"/>
      <w:sz w:val="24"/>
      <w:szCs w:val="24"/>
      <w:lang w:val="en-US" w:eastAsia="zh-CN" w:bidi="ar-SA"/>
    </w:rPr>
  </w:style>
  <w:style w:type="paragraph" w:customStyle="1" w:styleId="267">
    <w:name w:val="标题1.1.1.1-报告书"/>
    <w:basedOn w:val="268"/>
    <w:autoRedefine/>
    <w:qFormat/>
    <w:uiPriority w:val="0"/>
    <w:pPr>
      <w:outlineLvl w:val="3"/>
    </w:pPr>
    <w:rPr>
      <w:color w:val="000000" w:themeColor="text1"/>
      <w14:textFill>
        <w14:solidFill>
          <w14:schemeClr w14:val="tx1"/>
        </w14:solidFill>
      </w14:textFill>
    </w:rPr>
  </w:style>
  <w:style w:type="paragraph" w:customStyle="1" w:styleId="268">
    <w:name w:val="标题1-报告书"/>
    <w:autoRedefine/>
    <w:qFormat/>
    <w:uiPriority w:val="0"/>
    <w:pPr>
      <w:spacing w:line="360" w:lineRule="auto"/>
      <w:outlineLvl w:val="0"/>
    </w:pPr>
    <w:rPr>
      <w:rFonts w:ascii="Arial" w:hAnsi="Arial" w:eastAsia="宋体" w:cstheme="minorBidi"/>
      <w:b/>
      <w:bCs/>
      <w:kern w:val="2"/>
      <w:sz w:val="36"/>
      <w:szCs w:val="32"/>
      <w:shd w:val="pct10" w:color="auto" w:fill="FFFFFF"/>
      <w:lang w:val="en-US" w:eastAsia="zh-CN" w:bidi="ar-SA"/>
    </w:rPr>
  </w:style>
  <w:style w:type="paragraph" w:customStyle="1" w:styleId="269">
    <w:name w:val="标题1.1.1-报告书"/>
    <w:autoRedefine/>
    <w:qFormat/>
    <w:uiPriority w:val="0"/>
    <w:pPr>
      <w:spacing w:beforeLines="50" w:line="360" w:lineRule="auto"/>
      <w:outlineLvl w:val="2"/>
    </w:pPr>
    <w:rPr>
      <w:rFonts w:ascii="Times New Roman" w:hAnsi="Times New Roman" w:eastAsia="宋体" w:cs="Times New Roman"/>
      <w:b/>
      <w:bCs/>
      <w:kern w:val="2"/>
      <w:sz w:val="30"/>
      <w:szCs w:val="32"/>
      <w:lang w:val="en-US" w:eastAsia="zh-CN" w:bidi="ar-SA"/>
    </w:rPr>
  </w:style>
  <w:style w:type="paragraph" w:customStyle="1" w:styleId="270">
    <w:name w:val="表标题-报告书"/>
    <w:autoRedefine/>
    <w:qFormat/>
    <w:uiPriority w:val="0"/>
    <w:pPr>
      <w:adjustRightInd w:val="0"/>
      <w:snapToGrid w:val="0"/>
      <w:spacing w:beforeLines="50"/>
      <w:jc w:val="center"/>
    </w:pPr>
    <w:rPr>
      <w:rFonts w:ascii="Times New Roman" w:hAnsi="Times New Roman" w:eastAsia="宋体" w:cs="Times New Roman"/>
      <w:b/>
      <w:bCs/>
      <w:color w:val="000000" w:themeColor="text1"/>
      <w:kern w:val="2"/>
      <w:sz w:val="21"/>
      <w:szCs w:val="32"/>
      <w:shd w:val="pct10" w:color="auto" w:fill="FFFFFF"/>
      <w:lang w:val="en-US" w:eastAsia="zh-CN" w:bidi="ar-SA"/>
      <w14:textFill>
        <w14:solidFill>
          <w14:schemeClr w14:val="tx1"/>
        </w14:solidFill>
      </w14:textFill>
    </w:rPr>
  </w:style>
  <w:style w:type="paragraph" w:customStyle="1" w:styleId="271">
    <w:name w:val="表格文字-报告书"/>
    <w:autoRedefine/>
    <w:qFormat/>
    <w:uiPriority w:val="0"/>
    <w:pPr>
      <w:jc w:val="center"/>
    </w:pPr>
    <w:rPr>
      <w:rFonts w:ascii="Times New Roman" w:hAnsi="Times New Roman" w:eastAsia="宋体" w:cs="Times New Roman"/>
      <w:kern w:val="2"/>
      <w:sz w:val="21"/>
      <w:szCs w:val="24"/>
      <w:lang w:val="en-US" w:eastAsia="zh-CN" w:bidi="ar-SA"/>
    </w:rPr>
  </w:style>
  <w:style w:type="paragraph" w:customStyle="1" w:styleId="272">
    <w:name w:val="标语"/>
    <w:basedOn w:val="1"/>
    <w:autoRedefine/>
    <w:qFormat/>
    <w:uiPriority w:val="0"/>
    <w:pPr>
      <w:framePr w:w="2734" w:h="817" w:hRule="exact" w:hSpace="187" w:vSpace="187" w:wrap="around" w:vAnchor="page" w:hAnchor="page" w:x="987" w:y="14257" w:anchorLock="1"/>
      <w:widowControl/>
      <w:spacing w:line="240" w:lineRule="auto"/>
      <w:jc w:val="left"/>
    </w:pPr>
    <w:rPr>
      <w:rFonts w:ascii="Impact" w:hAnsi="Impact" w:eastAsia="黑体"/>
      <w:caps/>
      <w:color w:val="FFFFFF"/>
      <w:spacing w:val="20"/>
      <w:kern w:val="0"/>
      <w:position w:val="12"/>
      <w:sz w:val="84"/>
      <w:szCs w:val="20"/>
    </w:rPr>
  </w:style>
  <w:style w:type="paragraph" w:customStyle="1" w:styleId="273">
    <w:name w:val="表"/>
    <w:basedOn w:val="1"/>
    <w:next w:val="1"/>
    <w:qFormat/>
    <w:uiPriority w:val="0"/>
    <w:pPr>
      <w:adjustRightInd w:val="0"/>
      <w:spacing w:before="120" w:line="240" w:lineRule="auto"/>
      <w:jc w:val="center"/>
      <w:textAlignment w:val="baseline"/>
    </w:pPr>
    <w:rPr>
      <w:kern w:val="0"/>
      <w:sz w:val="21"/>
      <w:szCs w:val="20"/>
    </w:rPr>
  </w:style>
  <w:style w:type="paragraph" w:customStyle="1" w:styleId="274">
    <w:name w:val="正文样式1"/>
    <w:basedOn w:val="1"/>
    <w:qFormat/>
    <w:uiPriority w:val="0"/>
    <w:pPr>
      <w:adjustRightInd w:val="0"/>
      <w:spacing w:line="360" w:lineRule="auto"/>
      <w:ind w:firstLine="510"/>
      <w:textAlignment w:val="baseline"/>
    </w:pPr>
    <w:rPr>
      <w:spacing w:val="8"/>
      <w:kern w:val="0"/>
      <w:szCs w:val="20"/>
    </w:rPr>
  </w:style>
  <w:style w:type="paragraph" w:customStyle="1" w:styleId="275">
    <w:name w:val="Char4 Char Char Char Char Char Char"/>
    <w:basedOn w:val="1"/>
    <w:qFormat/>
    <w:uiPriority w:val="0"/>
    <w:pPr>
      <w:spacing w:line="360" w:lineRule="auto"/>
      <w:ind w:firstLine="200" w:firstLineChars="200"/>
    </w:pPr>
    <w:rPr>
      <w:rFonts w:ascii="宋体" w:hAnsi="宋体" w:cs="宋体"/>
    </w:rPr>
  </w:style>
  <w:style w:type="paragraph" w:customStyle="1" w:styleId="276">
    <w:name w:val="表内字"/>
    <w:link w:val="277"/>
    <w:qFormat/>
    <w:uiPriority w:val="0"/>
    <w:pPr>
      <w:spacing w:line="312" w:lineRule="auto"/>
      <w:jc w:val="center"/>
    </w:pPr>
    <w:rPr>
      <w:rFonts w:ascii="Times New Roman" w:hAnsi="Times New Roman" w:eastAsia="宋体" w:cs="Times New Roman"/>
      <w:color w:val="000000"/>
      <w:sz w:val="21"/>
      <w:lang w:val="en-US" w:eastAsia="zh-CN" w:bidi="ar-SA"/>
    </w:rPr>
  </w:style>
  <w:style w:type="character" w:customStyle="1" w:styleId="277">
    <w:name w:val="表内字 Char"/>
    <w:link w:val="276"/>
    <w:qFormat/>
    <w:locked/>
    <w:uiPriority w:val="0"/>
    <w:rPr>
      <w:color w:val="000000"/>
      <w:sz w:val="21"/>
    </w:rPr>
  </w:style>
  <w:style w:type="character" w:customStyle="1" w:styleId="278">
    <w:name w:val="注释标题1 Char Char"/>
    <w:qFormat/>
    <w:uiPriority w:val="0"/>
    <w:rPr>
      <w:rFonts w:eastAsia="宋体"/>
    </w:rPr>
  </w:style>
  <w:style w:type="paragraph" w:customStyle="1" w:styleId="279">
    <w:name w:val="xl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pPr>
    <w:rPr>
      <w:rFonts w:ascii="宋体" w:hAnsi="宋体" w:cs="宋体"/>
      <w:kern w:val="0"/>
      <w:sz w:val="20"/>
      <w:szCs w:val="20"/>
    </w:rPr>
  </w:style>
  <w:style w:type="paragraph" w:customStyle="1" w:styleId="280">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pPr>
    <w:rPr>
      <w:rFonts w:ascii="宋体" w:hAnsi="宋体" w:cs="宋体"/>
      <w:kern w:val="0"/>
      <w:sz w:val="20"/>
      <w:szCs w:val="20"/>
    </w:rPr>
  </w:style>
  <w:style w:type="paragraph" w:customStyle="1" w:styleId="281">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pPr>
    <w:rPr>
      <w:rFonts w:ascii="宋体" w:hAnsi="宋体" w:cs="宋体"/>
      <w:kern w:val="0"/>
      <w:sz w:val="20"/>
      <w:szCs w:val="20"/>
    </w:rPr>
  </w:style>
  <w:style w:type="paragraph" w:customStyle="1" w:styleId="282">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pPr>
    <w:rPr>
      <w:rFonts w:ascii="宋体" w:hAnsi="宋体" w:cs="宋体"/>
      <w:kern w:val="0"/>
      <w:sz w:val="20"/>
      <w:szCs w:val="20"/>
    </w:rPr>
  </w:style>
  <w:style w:type="paragraph" w:customStyle="1" w:styleId="283">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pPr>
    <w:rPr>
      <w:rFonts w:ascii="宋体" w:hAnsi="宋体" w:cs="宋体"/>
      <w:kern w:val="0"/>
      <w:sz w:val="20"/>
      <w:szCs w:val="20"/>
    </w:rPr>
  </w:style>
  <w:style w:type="paragraph" w:customStyle="1" w:styleId="284">
    <w:name w:val="Char Char2 Char Char"/>
    <w:basedOn w:val="1"/>
    <w:qFormat/>
    <w:uiPriority w:val="0"/>
    <w:pPr>
      <w:spacing w:line="240" w:lineRule="auto"/>
    </w:pPr>
    <w:rPr>
      <w:sz w:val="21"/>
    </w:rPr>
  </w:style>
  <w:style w:type="paragraph" w:customStyle="1" w:styleId="285">
    <w:name w:val="【正文】"/>
    <w:basedOn w:val="1"/>
    <w:link w:val="286"/>
    <w:qFormat/>
    <w:uiPriority w:val="0"/>
    <w:pPr>
      <w:spacing w:before="120" w:after="120" w:line="312" w:lineRule="auto"/>
      <w:ind w:firstLine="200" w:firstLineChars="200"/>
    </w:pPr>
    <w:rPr>
      <w:szCs w:val="20"/>
    </w:rPr>
  </w:style>
  <w:style w:type="character" w:customStyle="1" w:styleId="286">
    <w:name w:val="【正文】 Char"/>
    <w:link w:val="285"/>
    <w:qFormat/>
    <w:uiPriority w:val="0"/>
    <w:rPr>
      <w:kern w:val="2"/>
      <w:sz w:val="24"/>
    </w:rPr>
  </w:style>
  <w:style w:type="paragraph" w:customStyle="1" w:styleId="287">
    <w:name w:val="我的正文"/>
    <w:basedOn w:val="1"/>
    <w:link w:val="288"/>
    <w:qFormat/>
    <w:uiPriority w:val="0"/>
    <w:pPr>
      <w:spacing w:line="360" w:lineRule="auto"/>
      <w:ind w:firstLine="480" w:firstLineChars="200"/>
    </w:pPr>
    <w:rPr>
      <w:rFonts w:cs="宋体"/>
      <w:szCs w:val="20"/>
    </w:rPr>
  </w:style>
  <w:style w:type="character" w:customStyle="1" w:styleId="288">
    <w:name w:val="我的正文 Char"/>
    <w:link w:val="287"/>
    <w:qFormat/>
    <w:uiPriority w:val="0"/>
    <w:rPr>
      <w:rFonts w:cs="宋体"/>
      <w:kern w:val="2"/>
      <w:sz w:val="24"/>
    </w:rPr>
  </w:style>
  <w:style w:type="paragraph" w:customStyle="1" w:styleId="289">
    <w:name w:val="图表标题"/>
    <w:basedOn w:val="1"/>
    <w:qFormat/>
    <w:uiPriority w:val="0"/>
    <w:pPr>
      <w:adjustRightInd w:val="0"/>
      <w:snapToGrid w:val="0"/>
      <w:spacing w:line="360" w:lineRule="auto"/>
      <w:jc w:val="center"/>
    </w:pPr>
    <w:rPr>
      <w:rFonts w:ascii="黑体" w:eastAsia="黑体"/>
      <w:b/>
      <w:color w:val="000000"/>
      <w:szCs w:val="21"/>
    </w:rPr>
  </w:style>
  <w:style w:type="paragraph" w:customStyle="1" w:styleId="290">
    <w:name w:val="图"/>
    <w:basedOn w:val="22"/>
    <w:link w:val="291"/>
    <w:qFormat/>
    <w:uiPriority w:val="0"/>
    <w:pPr>
      <w:adjustRightInd w:val="0"/>
      <w:spacing w:after="0" w:line="288" w:lineRule="auto"/>
      <w:jc w:val="center"/>
      <w:textAlignment w:val="baseline"/>
    </w:pPr>
    <w:rPr>
      <w:rFonts w:ascii="黑体" w:eastAsia="黑体"/>
      <w:b/>
      <w:kern w:val="0"/>
      <w:sz w:val="21"/>
      <w:szCs w:val="20"/>
    </w:rPr>
  </w:style>
  <w:style w:type="character" w:customStyle="1" w:styleId="291">
    <w:name w:val="图 Char"/>
    <w:link w:val="290"/>
    <w:qFormat/>
    <w:uiPriority w:val="0"/>
    <w:rPr>
      <w:rFonts w:ascii="黑体" w:eastAsia="黑体"/>
      <w:b/>
      <w:sz w:val="21"/>
    </w:rPr>
  </w:style>
  <w:style w:type="paragraph" w:customStyle="1" w:styleId="292">
    <w:name w:val="新正文"/>
    <w:basedOn w:val="1"/>
    <w:qFormat/>
    <w:uiPriority w:val="0"/>
    <w:pPr>
      <w:spacing w:line="500" w:lineRule="exact"/>
      <w:ind w:firstLine="480" w:firstLineChars="200"/>
    </w:pPr>
    <w:rPr>
      <w:rFonts w:hint="eastAsia" w:ascii="Courier New" w:hAnsi="Calibri" w:eastAsia="Courier New"/>
      <w:bCs/>
      <w:kern w:val="0"/>
      <w:szCs w:val="20"/>
    </w:rPr>
  </w:style>
  <w:style w:type="paragraph" w:styleId="293">
    <w:name w:val="List Paragraph"/>
    <w:basedOn w:val="1"/>
    <w:unhideWhenUsed/>
    <w:qFormat/>
    <w:uiPriority w:val="1"/>
    <w:pPr>
      <w:ind w:firstLine="420" w:firstLineChars="200"/>
    </w:pPr>
  </w:style>
  <w:style w:type="paragraph" w:customStyle="1" w:styleId="294">
    <w:name w:val="样式 小四 首行缩进:  1.01 厘米 行距: 1.5 倍行距"/>
    <w:basedOn w:val="1"/>
    <w:qFormat/>
    <w:uiPriority w:val="0"/>
    <w:pPr>
      <w:adjustRightInd w:val="0"/>
      <w:snapToGrid w:val="0"/>
      <w:spacing w:line="360" w:lineRule="auto"/>
      <w:ind w:firstLine="200" w:firstLineChars="200"/>
    </w:pPr>
    <w:rPr>
      <w:kern w:val="24"/>
    </w:rPr>
  </w:style>
  <w:style w:type="paragraph" w:customStyle="1" w:styleId="295">
    <w:name w:val="reader-word-layer"/>
    <w:basedOn w:val="1"/>
    <w:qFormat/>
    <w:uiPriority w:val="0"/>
    <w:pPr>
      <w:widowControl/>
      <w:spacing w:before="100" w:beforeAutospacing="1" w:after="100" w:afterAutospacing="1" w:line="240" w:lineRule="auto"/>
      <w:jc w:val="left"/>
    </w:pPr>
    <w:rPr>
      <w:rFonts w:ascii="宋体" w:hAnsi="宋体" w:cs="宋体"/>
      <w:kern w:val="0"/>
    </w:rPr>
  </w:style>
  <w:style w:type="paragraph" w:customStyle="1" w:styleId="296">
    <w:name w:val="表体"/>
    <w:basedOn w:val="1"/>
    <w:link w:val="297"/>
    <w:qFormat/>
    <w:uiPriority w:val="0"/>
    <w:pPr>
      <w:overflowPunct w:val="0"/>
      <w:adjustRightInd w:val="0"/>
      <w:spacing w:line="300" w:lineRule="atLeast"/>
      <w:jc w:val="center"/>
      <w:textAlignment w:val="baseline"/>
    </w:pPr>
    <w:rPr>
      <w:color w:val="000000"/>
      <w:kern w:val="24"/>
      <w:sz w:val="18"/>
      <w:szCs w:val="20"/>
    </w:rPr>
  </w:style>
  <w:style w:type="character" w:customStyle="1" w:styleId="297">
    <w:name w:val="表体 Char"/>
    <w:link w:val="296"/>
    <w:qFormat/>
    <w:locked/>
    <w:uiPriority w:val="0"/>
    <w:rPr>
      <w:color w:val="000000"/>
      <w:kern w:val="24"/>
      <w:sz w:val="18"/>
    </w:rPr>
  </w:style>
  <w:style w:type="paragraph" w:customStyle="1" w:styleId="298">
    <w:name w:val="环保表头"/>
    <w:link w:val="299"/>
    <w:qFormat/>
    <w:uiPriority w:val="0"/>
    <w:pPr>
      <w:jc w:val="center"/>
    </w:pPr>
    <w:rPr>
      <w:rFonts w:ascii="Times New Roman" w:hAnsi="Times New Roman" w:eastAsia="黑体" w:cs="Times New Roman"/>
      <w:b/>
      <w:bCs/>
      <w:kern w:val="44"/>
      <w:sz w:val="24"/>
      <w:szCs w:val="30"/>
      <w:lang w:val="en-US" w:eastAsia="zh-CN" w:bidi="ar-SA"/>
    </w:rPr>
  </w:style>
  <w:style w:type="character" w:customStyle="1" w:styleId="299">
    <w:name w:val="环保表头 Char Char"/>
    <w:link w:val="298"/>
    <w:qFormat/>
    <w:locked/>
    <w:uiPriority w:val="0"/>
    <w:rPr>
      <w:rFonts w:eastAsia="黑体"/>
      <w:b/>
      <w:bCs/>
      <w:kern w:val="44"/>
      <w:sz w:val="24"/>
      <w:szCs w:val="30"/>
    </w:rPr>
  </w:style>
  <w:style w:type="paragraph" w:customStyle="1" w:styleId="300">
    <w:name w:val="环保表内字（小五）"/>
    <w:basedOn w:val="1"/>
    <w:link w:val="301"/>
    <w:qFormat/>
    <w:uiPriority w:val="0"/>
    <w:rPr>
      <w:b/>
      <w:snapToGrid w:val="0"/>
      <w:kern w:val="44"/>
      <w:sz w:val="18"/>
      <w:szCs w:val="30"/>
    </w:rPr>
  </w:style>
  <w:style w:type="character" w:customStyle="1" w:styleId="301">
    <w:name w:val="环保表内字（小五） Char Char"/>
    <w:link w:val="300"/>
    <w:qFormat/>
    <w:uiPriority w:val="0"/>
    <w:rPr>
      <w:b/>
      <w:snapToGrid w:val="0"/>
      <w:kern w:val="44"/>
      <w:sz w:val="18"/>
      <w:szCs w:val="30"/>
    </w:rPr>
  </w:style>
  <w:style w:type="paragraph" w:customStyle="1" w:styleId="302">
    <w:name w:val="标题 3环保 + 段前: 0.5 行"/>
    <w:basedOn w:val="5"/>
    <w:next w:val="1"/>
    <w:qFormat/>
    <w:uiPriority w:val="0"/>
    <w:pPr>
      <w:keepNext w:val="0"/>
      <w:keepLines w:val="0"/>
    </w:pPr>
    <w:rPr>
      <w:rFonts w:eastAsia="黑体"/>
      <w:szCs w:val="24"/>
    </w:rPr>
  </w:style>
  <w:style w:type="paragraph" w:customStyle="1" w:styleId="303">
    <w:name w:val="环保表内字（五号）"/>
    <w:basedOn w:val="1"/>
    <w:link w:val="304"/>
    <w:qFormat/>
    <w:uiPriority w:val="0"/>
    <w:pPr>
      <w:adjustRightInd w:val="0"/>
      <w:snapToGrid w:val="0"/>
      <w:spacing w:line="240" w:lineRule="auto"/>
      <w:ind w:left="-73"/>
    </w:pPr>
    <w:rPr>
      <w:rFonts w:ascii="宋体" w:hAnsi="宋体"/>
      <w:b/>
      <w:snapToGrid w:val="0"/>
      <w:sz w:val="21"/>
    </w:rPr>
  </w:style>
  <w:style w:type="character" w:customStyle="1" w:styleId="304">
    <w:name w:val="环保表内字（五号） Char"/>
    <w:link w:val="303"/>
    <w:qFormat/>
    <w:locked/>
    <w:uiPriority w:val="0"/>
    <w:rPr>
      <w:rFonts w:ascii="宋体" w:hAnsi="宋体"/>
      <w:b/>
      <w:snapToGrid w:val="0"/>
      <w:kern w:val="2"/>
      <w:sz w:val="21"/>
      <w:szCs w:val="24"/>
    </w:rPr>
  </w:style>
  <w:style w:type="paragraph" w:customStyle="1" w:styleId="305">
    <w:name w:val="页脚1"/>
    <w:basedOn w:val="1"/>
    <w:qFormat/>
    <w:uiPriority w:val="0"/>
    <w:pPr>
      <w:pBdr>
        <w:top w:val="single" w:color="auto" w:sz="4" w:space="1"/>
      </w:pBdr>
      <w:tabs>
        <w:tab w:val="center" w:pos="4153"/>
        <w:tab w:val="right" w:pos="8306"/>
      </w:tabs>
      <w:spacing w:line="240" w:lineRule="auto"/>
      <w:jc w:val="right"/>
    </w:pPr>
    <w:rPr>
      <w:snapToGrid w:val="0"/>
      <w:sz w:val="18"/>
    </w:rPr>
  </w:style>
  <w:style w:type="paragraph" w:customStyle="1" w:styleId="306">
    <w:name w:val="标题 2环保 + 段前: 0.5 行"/>
    <w:basedOn w:val="3"/>
    <w:next w:val="1"/>
    <w:link w:val="307"/>
    <w:qFormat/>
    <w:uiPriority w:val="0"/>
    <w:pPr>
      <w:keepLines w:val="0"/>
      <w:numPr>
        <w:ilvl w:val="0"/>
        <w:numId w:val="0"/>
      </w:numPr>
      <w:ind w:left="576" w:hanging="576"/>
    </w:pPr>
  </w:style>
  <w:style w:type="character" w:customStyle="1" w:styleId="307">
    <w:name w:val="标题 2环保 + 段前: 0.5 行 Char Char"/>
    <w:link w:val="306"/>
    <w:qFormat/>
    <w:locked/>
    <w:uiPriority w:val="0"/>
    <w:rPr>
      <w:b/>
      <w:bCs/>
      <w:color w:val="000000"/>
      <w:kern w:val="2"/>
      <w:sz w:val="28"/>
      <w:szCs w:val="32"/>
    </w:rPr>
  </w:style>
  <w:style w:type="paragraph" w:customStyle="1" w:styleId="308">
    <w:name w:val="5表标题"/>
    <w:qFormat/>
    <w:uiPriority w:val="0"/>
    <w:pPr>
      <w:spacing w:beforeLines="50"/>
      <w:jc w:val="both"/>
    </w:pPr>
    <w:rPr>
      <w:rFonts w:ascii="Times New Roman" w:hAnsi="Times New Roman" w:eastAsia="宋体" w:cs="宋体"/>
      <w:b/>
      <w:bCs/>
      <w:kern w:val="2"/>
      <w:sz w:val="24"/>
      <w:szCs w:val="22"/>
      <w:lang w:val="en-US" w:eastAsia="zh-CN" w:bidi="ar-SA"/>
    </w:rPr>
  </w:style>
  <w:style w:type="paragraph" w:customStyle="1" w:styleId="309">
    <w:name w:val="6表内文字 居中"/>
    <w:basedOn w:val="1"/>
    <w:qFormat/>
    <w:uiPriority w:val="0"/>
    <w:pPr>
      <w:adjustRightInd w:val="0"/>
      <w:spacing w:line="240" w:lineRule="auto"/>
      <w:jc w:val="center"/>
      <w:textAlignment w:val="baseline"/>
    </w:pPr>
    <w:rPr>
      <w:snapToGrid w:val="0"/>
      <w:kern w:val="0"/>
      <w:sz w:val="21"/>
    </w:rPr>
  </w:style>
  <w:style w:type="paragraph" w:customStyle="1" w:styleId="310">
    <w:name w:val="图表头"/>
    <w:basedOn w:val="1"/>
    <w:qFormat/>
    <w:uiPriority w:val="0"/>
    <w:pPr>
      <w:adjustRightInd w:val="0"/>
      <w:spacing w:line="360" w:lineRule="auto"/>
      <w:jc w:val="center"/>
      <w:textAlignment w:val="baseline"/>
    </w:pPr>
    <w:rPr>
      <w:rFonts w:ascii="黑体" w:eastAsia="黑体"/>
      <w:spacing w:val="5"/>
      <w:kern w:val="0"/>
      <w:szCs w:val="20"/>
    </w:rPr>
  </w:style>
  <w:style w:type="paragraph" w:customStyle="1" w:styleId="311">
    <w:name w:val="Table Paragraph"/>
    <w:basedOn w:val="1"/>
    <w:unhideWhenUsed/>
    <w:qFormat/>
    <w:uiPriority w:val="0"/>
  </w:style>
  <w:style w:type="character" w:customStyle="1" w:styleId="312">
    <w:name w:val="font11"/>
    <w:basedOn w:val="56"/>
    <w:qFormat/>
    <w:uiPriority w:val="0"/>
    <w:rPr>
      <w:rFonts w:hint="default" w:ascii="Times New Roman" w:hAnsi="Times New Roman" w:cs="Times New Roman"/>
      <w:color w:val="000000"/>
      <w:sz w:val="21"/>
      <w:szCs w:val="21"/>
      <w:u w:val="none"/>
      <w:vertAlign w:val="superscript"/>
    </w:rPr>
  </w:style>
  <w:style w:type="paragraph" w:customStyle="1" w:styleId="313">
    <w:name w:val="正文27磅"/>
    <w:basedOn w:val="1"/>
    <w:qFormat/>
    <w:uiPriority w:val="99"/>
    <w:pPr>
      <w:spacing w:line="540" w:lineRule="exact"/>
      <w:ind w:firstLine="480" w:firstLineChars="200"/>
    </w:pPr>
  </w:style>
  <w:style w:type="paragraph" w:customStyle="1" w:styleId="314">
    <w:name w:val="表头（铸造）3 Char Char"/>
    <w:basedOn w:val="1"/>
    <w:unhideWhenUsed/>
    <w:qFormat/>
    <w:uiPriority w:val="0"/>
    <w:pPr>
      <w:spacing w:line="360" w:lineRule="auto"/>
      <w:jc w:val="center"/>
    </w:pPr>
    <w:rPr>
      <w:rFonts w:eastAsia="方正宋黑简体" w:cs="宋体"/>
      <w:b/>
    </w:rPr>
  </w:style>
  <w:style w:type="paragraph" w:customStyle="1" w:styleId="315">
    <w:name w:val="表格内字体"/>
    <w:basedOn w:val="28"/>
    <w:next w:val="4"/>
    <w:qFormat/>
    <w:uiPriority w:val="0"/>
    <w:pPr>
      <w:adjustRightInd w:val="0"/>
      <w:snapToGrid w:val="0"/>
      <w:jc w:val="center"/>
    </w:pPr>
    <w:rPr>
      <w:rFonts w:eastAsia="彩虹粗仿宋"/>
      <w:snapToGrid w:val="0"/>
      <w:kern w:val="0"/>
      <w:sz w:val="20"/>
      <w:szCs w:val="24"/>
    </w:rPr>
  </w:style>
  <w:style w:type="character" w:customStyle="1" w:styleId="316">
    <w:name w:val="font01"/>
    <w:basedOn w:val="56"/>
    <w:qFormat/>
    <w:uiPriority w:val="0"/>
    <w:rPr>
      <w:rFonts w:hint="eastAsia" w:ascii="宋体" w:hAnsi="宋体" w:eastAsia="宋体" w:cs="宋体"/>
      <w:color w:val="000000"/>
      <w:sz w:val="24"/>
      <w:szCs w:val="24"/>
      <w:u w:val="none"/>
    </w:rPr>
  </w:style>
  <w:style w:type="paragraph" w:customStyle="1" w:styleId="317">
    <w:name w:val="科隆表格文字"/>
    <w:basedOn w:val="1"/>
    <w:qFormat/>
    <w:uiPriority w:val="0"/>
    <w:pPr>
      <w:autoSpaceDE w:val="0"/>
      <w:autoSpaceDN w:val="0"/>
      <w:adjustRightInd w:val="0"/>
      <w:spacing w:line="240" w:lineRule="auto"/>
      <w:jc w:val="center"/>
    </w:pPr>
    <w:rPr>
      <w:kern w:val="0"/>
      <w:sz w:val="34"/>
      <w:szCs w:val="20"/>
      <w:lang w:val="zh-CN"/>
    </w:rPr>
  </w:style>
  <w:style w:type="paragraph" w:customStyle="1" w:styleId="318">
    <w:name w:val="环评一室报告报告正文"/>
    <w:basedOn w:val="1"/>
    <w:qFormat/>
    <w:uiPriority w:val="0"/>
    <w:pPr>
      <w:spacing w:line="360" w:lineRule="auto"/>
      <w:ind w:firstLine="480" w:firstLineChars="200"/>
    </w:pPr>
    <w:rPr>
      <w:rFonts w:ascii="宋体" w:hAnsi="宋体" w:cs="宋体"/>
      <w:kern w:val="0"/>
    </w:rPr>
  </w:style>
  <w:style w:type="character" w:customStyle="1" w:styleId="319">
    <w:name w:val="表文字 Char1"/>
    <w:basedOn w:val="56"/>
    <w:link w:val="320"/>
    <w:qFormat/>
    <w:locked/>
    <w:uiPriority w:val="0"/>
    <w:rPr>
      <w:rFonts w:ascii="宋体" w:hAnsi="宋体"/>
      <w:kern w:val="2"/>
      <w:sz w:val="28"/>
      <w:szCs w:val="21"/>
    </w:rPr>
  </w:style>
  <w:style w:type="paragraph" w:customStyle="1" w:styleId="320">
    <w:name w:val="表文字"/>
    <w:basedOn w:val="1"/>
    <w:link w:val="319"/>
    <w:qFormat/>
    <w:uiPriority w:val="0"/>
    <w:pPr>
      <w:topLinePunct/>
      <w:adjustRightInd w:val="0"/>
      <w:spacing w:line="240" w:lineRule="exact"/>
    </w:pPr>
    <w:rPr>
      <w:rFonts w:ascii="宋体" w:hAnsi="宋体"/>
      <w:sz w:val="28"/>
      <w:szCs w:val="21"/>
    </w:rPr>
  </w:style>
  <w:style w:type="paragraph" w:customStyle="1" w:styleId="321">
    <w:name w:val="表格式"/>
    <w:basedOn w:val="39"/>
    <w:qFormat/>
    <w:uiPriority w:val="0"/>
    <w:pPr>
      <w:spacing w:line="240" w:lineRule="auto"/>
    </w:pPr>
    <w:rPr>
      <w:sz w:val="21"/>
      <w:szCs w:val="21"/>
    </w:rPr>
  </w:style>
  <w:style w:type="character" w:customStyle="1" w:styleId="322">
    <w:name w:val="Char Char"/>
    <w:basedOn w:val="56"/>
    <w:qFormat/>
    <w:uiPriority w:val="0"/>
    <w:rPr>
      <w:rFonts w:ascii="Times New Roman" w:hAnsi="Times New Roman" w:eastAsia="宋体" w:cs="Times New Roman"/>
      <w:sz w:val="28"/>
      <w:szCs w:val="20"/>
    </w:rPr>
  </w:style>
  <w:style w:type="character" w:customStyle="1" w:styleId="323">
    <w:name w:val="pass-placeholder-smsphone1"/>
    <w:basedOn w:val="56"/>
    <w:qFormat/>
    <w:uiPriority w:val="0"/>
  </w:style>
  <w:style w:type="character" w:customStyle="1" w:styleId="324">
    <w:name w:val="keyword-span-wrap"/>
    <w:basedOn w:val="56"/>
    <w:qFormat/>
    <w:uiPriority w:val="0"/>
    <w:rPr>
      <w:color w:val="19A97B"/>
    </w:rPr>
  </w:style>
  <w:style w:type="character" w:customStyle="1" w:styleId="325">
    <w:name w:val="style8"/>
    <w:basedOn w:val="56"/>
    <w:qFormat/>
    <w:uiPriority w:val="0"/>
  </w:style>
  <w:style w:type="character" w:customStyle="1" w:styleId="326">
    <w:name w:val="style1"/>
    <w:basedOn w:val="56"/>
    <w:qFormat/>
    <w:uiPriority w:val="0"/>
  </w:style>
  <w:style w:type="character" w:customStyle="1" w:styleId="327">
    <w:name w:val="pass-placeholder4"/>
    <w:basedOn w:val="56"/>
    <w:qFormat/>
    <w:uiPriority w:val="0"/>
  </w:style>
  <w:style w:type="character" w:customStyle="1" w:styleId="328">
    <w:name w:val="pass-clearbtn-verifycode"/>
    <w:basedOn w:val="56"/>
    <w:qFormat/>
    <w:uiPriority w:val="0"/>
  </w:style>
  <w:style w:type="character" w:customStyle="1" w:styleId="329">
    <w:name w:val="pass-clearbtn-verifycode1"/>
    <w:basedOn w:val="56"/>
    <w:qFormat/>
    <w:uiPriority w:val="0"/>
  </w:style>
  <w:style w:type="character" w:customStyle="1" w:styleId="330">
    <w:name w:val="pass-placeholder-password1"/>
    <w:basedOn w:val="56"/>
    <w:autoRedefine/>
    <w:qFormat/>
    <w:uiPriority w:val="0"/>
  </w:style>
  <w:style w:type="character" w:customStyle="1" w:styleId="331">
    <w:name w:val="表格文字 Char"/>
    <w:qFormat/>
    <w:uiPriority w:val="0"/>
    <w:rPr>
      <w:rFonts w:hAnsi="宋体" w:eastAsia="宋体" w:cs="宋体"/>
      <w:color w:val="000000"/>
      <w:kern w:val="32"/>
      <w:sz w:val="21"/>
      <w:szCs w:val="24"/>
      <w:lang w:val="en-US" w:eastAsia="zh-CN" w:bidi="ar-SA"/>
    </w:rPr>
  </w:style>
  <w:style w:type="character" w:customStyle="1" w:styleId="332">
    <w:name w:val="pass-placeholder-password"/>
    <w:basedOn w:val="56"/>
    <w:qFormat/>
    <w:uiPriority w:val="0"/>
  </w:style>
  <w:style w:type="character" w:customStyle="1" w:styleId="333">
    <w:name w:val="pass-placeholder2"/>
    <w:basedOn w:val="56"/>
    <w:qFormat/>
    <w:uiPriority w:val="0"/>
  </w:style>
  <w:style w:type="character" w:customStyle="1" w:styleId="334">
    <w:name w:val="pass-placeholder-username1"/>
    <w:basedOn w:val="56"/>
    <w:qFormat/>
    <w:uiPriority w:val="0"/>
  </w:style>
  <w:style w:type="character" w:customStyle="1" w:styleId="335">
    <w:name w:val="pass-placeholder-smsphone2"/>
    <w:basedOn w:val="56"/>
    <w:qFormat/>
    <w:uiPriority w:val="0"/>
  </w:style>
  <w:style w:type="character" w:customStyle="1" w:styleId="336">
    <w:name w:val="pass-placeholder-username"/>
    <w:basedOn w:val="56"/>
    <w:qFormat/>
    <w:uiPriority w:val="0"/>
  </w:style>
  <w:style w:type="character" w:customStyle="1" w:styleId="337">
    <w:name w:val="pass-placeholder-password2"/>
    <w:basedOn w:val="56"/>
    <w:qFormat/>
    <w:uiPriority w:val="0"/>
  </w:style>
  <w:style w:type="character" w:customStyle="1" w:styleId="338">
    <w:name w:val="pass-clearbtn-verifycode2"/>
    <w:basedOn w:val="56"/>
    <w:qFormat/>
    <w:uiPriority w:val="0"/>
  </w:style>
  <w:style w:type="character" w:customStyle="1" w:styleId="339">
    <w:name w:val="pass-clearbtn-smsverifycode2"/>
    <w:basedOn w:val="56"/>
    <w:qFormat/>
    <w:uiPriority w:val="0"/>
  </w:style>
  <w:style w:type="character" w:customStyle="1" w:styleId="340">
    <w:name w:val="pass-placeholder3"/>
    <w:basedOn w:val="56"/>
    <w:qFormat/>
    <w:uiPriority w:val="0"/>
  </w:style>
  <w:style w:type="character" w:customStyle="1" w:styleId="341">
    <w:name w:val="pass-placeholder5"/>
    <w:basedOn w:val="56"/>
    <w:qFormat/>
    <w:uiPriority w:val="0"/>
  </w:style>
  <w:style w:type="character" w:customStyle="1" w:styleId="342">
    <w:name w:val="pass-placeholder-username2"/>
    <w:basedOn w:val="56"/>
    <w:qFormat/>
    <w:uiPriority w:val="0"/>
  </w:style>
  <w:style w:type="character" w:customStyle="1" w:styleId="343">
    <w:name w:val="fontstrikethrough"/>
    <w:basedOn w:val="56"/>
    <w:qFormat/>
    <w:uiPriority w:val="0"/>
    <w:rPr>
      <w:strike/>
    </w:rPr>
  </w:style>
  <w:style w:type="character" w:customStyle="1" w:styleId="344">
    <w:name w:val="pass-clearbtn-smsverifycode1"/>
    <w:basedOn w:val="56"/>
    <w:qFormat/>
    <w:uiPriority w:val="0"/>
  </w:style>
  <w:style w:type="character" w:customStyle="1" w:styleId="345">
    <w:name w:val="open"/>
    <w:basedOn w:val="56"/>
    <w:qFormat/>
    <w:uiPriority w:val="0"/>
  </w:style>
  <w:style w:type="character" w:customStyle="1" w:styleId="346">
    <w:name w:val="fontborder"/>
    <w:basedOn w:val="56"/>
    <w:qFormat/>
    <w:uiPriority w:val="0"/>
    <w:rPr>
      <w:bdr w:val="single" w:color="000000" w:sz="6" w:space="0"/>
    </w:rPr>
  </w:style>
  <w:style w:type="character" w:customStyle="1" w:styleId="347">
    <w:name w:val="pass-placeholder-smsphone"/>
    <w:basedOn w:val="56"/>
    <w:qFormat/>
    <w:uiPriority w:val="0"/>
  </w:style>
  <w:style w:type="character" w:customStyle="1" w:styleId="348">
    <w:name w:val="pass-clearbtn-smsverifycode"/>
    <w:basedOn w:val="56"/>
    <w:qFormat/>
    <w:uiPriority w:val="0"/>
  </w:style>
  <w:style w:type="character" w:customStyle="1" w:styleId="349">
    <w:name w:val="pass-generalerror"/>
    <w:basedOn w:val="56"/>
    <w:qFormat/>
    <w:uiPriority w:val="0"/>
    <w:rPr>
      <w:color w:val="FC4343"/>
      <w:sz w:val="18"/>
      <w:szCs w:val="18"/>
    </w:rPr>
  </w:style>
  <w:style w:type="character" w:customStyle="1" w:styleId="350">
    <w:name w:val="正文格式 Char"/>
    <w:qFormat/>
    <w:uiPriority w:val="0"/>
    <w:rPr>
      <w:rFonts w:hAnsi="宋体"/>
      <w:sz w:val="24"/>
      <w:lang w:bidi="ar-SA"/>
    </w:rPr>
  </w:style>
  <w:style w:type="paragraph" w:customStyle="1" w:styleId="351">
    <w:name w:val="Char Char Char Char"/>
    <w:basedOn w:val="1"/>
    <w:qFormat/>
    <w:uiPriority w:val="0"/>
    <w:pPr>
      <w:spacing w:beforeLines="20" w:line="440" w:lineRule="atLeast"/>
      <w:ind w:firstLine="200" w:firstLineChars="200"/>
    </w:pPr>
  </w:style>
  <w:style w:type="paragraph" w:customStyle="1" w:styleId="352">
    <w:name w:val="Char Char Char Char Char Char Char Char Char Char Char Char1 Char Char Char Char"/>
    <w:basedOn w:val="1"/>
    <w:qFormat/>
    <w:uiPriority w:val="0"/>
    <w:pPr>
      <w:spacing w:line="240" w:lineRule="auto"/>
    </w:pPr>
    <w:rPr>
      <w:sz w:val="28"/>
    </w:rPr>
  </w:style>
  <w:style w:type="paragraph" w:customStyle="1" w:styleId="353">
    <w:name w:val="W三级"/>
    <w:basedOn w:val="1"/>
    <w:qFormat/>
    <w:uiPriority w:val="0"/>
    <w:pPr>
      <w:tabs>
        <w:tab w:val="left" w:pos="720"/>
      </w:tabs>
      <w:autoSpaceDE w:val="0"/>
      <w:autoSpaceDN w:val="0"/>
      <w:adjustRightInd w:val="0"/>
      <w:spacing w:beforeLines="50" w:afterLines="50" w:line="480" w:lineRule="exact"/>
      <w:outlineLvl w:val="2"/>
    </w:pPr>
    <w:rPr>
      <w:rFonts w:eastAsia="黑体" w:cs="宋体"/>
      <w:bCs/>
      <w:kern w:val="0"/>
      <w:sz w:val="28"/>
      <w:szCs w:val="28"/>
    </w:rPr>
  </w:style>
  <w:style w:type="paragraph" w:customStyle="1" w:styleId="354">
    <w:name w:val="正文（首行缩进两字）"/>
    <w:basedOn w:val="1"/>
    <w:qFormat/>
    <w:uiPriority w:val="0"/>
    <w:pPr>
      <w:widowControl/>
      <w:spacing w:line="240" w:lineRule="auto"/>
      <w:ind w:firstLine="420"/>
    </w:pPr>
    <w:rPr>
      <w:rFonts w:ascii="宋体"/>
      <w:color w:val="000000"/>
      <w:kern w:val="0"/>
      <w:sz w:val="28"/>
      <w:szCs w:val="21"/>
    </w:rPr>
  </w:style>
  <w:style w:type="paragraph" w:customStyle="1" w:styleId="355">
    <w:name w:val="默认段落字体 Para Char"/>
    <w:basedOn w:val="1"/>
    <w:next w:val="1"/>
    <w:qFormat/>
    <w:uiPriority w:val="0"/>
    <w:pPr>
      <w:spacing w:line="360" w:lineRule="auto"/>
      <w:ind w:firstLine="200" w:firstLineChars="200"/>
    </w:pPr>
    <w:rPr>
      <w:rFonts w:ascii="宋体" w:hAnsi="宋体" w:cs="宋体"/>
    </w:rPr>
  </w:style>
  <w:style w:type="character" w:customStyle="1" w:styleId="356">
    <w:name w:val="正文文本首行缩进 字符"/>
    <w:basedOn w:val="91"/>
    <w:link w:val="50"/>
    <w:qFormat/>
    <w:uiPriority w:val="0"/>
    <w:rPr>
      <w:rFonts w:ascii="宋体" w:eastAsia="宋体"/>
      <w:kern w:val="2"/>
      <w:sz w:val="28"/>
      <w:szCs w:val="24"/>
      <w:lang w:val="en-US" w:eastAsia="zh-CN" w:bidi="ar-SA"/>
    </w:rPr>
  </w:style>
  <w:style w:type="paragraph" w:customStyle="1" w:styleId="357">
    <w:name w:val="简单回函地址"/>
    <w:basedOn w:val="1"/>
    <w:qFormat/>
    <w:uiPriority w:val="0"/>
    <w:pPr>
      <w:spacing w:line="240" w:lineRule="auto"/>
    </w:pPr>
    <w:rPr>
      <w:sz w:val="21"/>
      <w:szCs w:val="20"/>
    </w:rPr>
  </w:style>
  <w:style w:type="paragraph" w:customStyle="1" w:styleId="358">
    <w:name w:val="正文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59">
    <w:name w:val="1表格"/>
    <w:basedOn w:val="1"/>
    <w:qFormat/>
    <w:uiPriority w:val="0"/>
    <w:pPr>
      <w:snapToGrid w:val="0"/>
      <w:spacing w:line="160" w:lineRule="atLeast"/>
      <w:jc w:val="center"/>
    </w:pPr>
    <w:rPr>
      <w:rFonts w:eastAsia="仿宋_GB2312"/>
      <w:sz w:val="21"/>
      <w:szCs w:val="20"/>
    </w:rPr>
  </w:style>
  <w:style w:type="paragraph" w:customStyle="1" w:styleId="360">
    <w:name w:val="p0"/>
    <w:basedOn w:val="1"/>
    <w:qFormat/>
    <w:uiPriority w:val="0"/>
    <w:pPr>
      <w:widowControl/>
      <w:spacing w:line="240" w:lineRule="auto"/>
    </w:pPr>
    <w:rPr>
      <w:kern w:val="0"/>
      <w:sz w:val="21"/>
      <w:szCs w:val="21"/>
    </w:rPr>
  </w:style>
  <w:style w:type="paragraph" w:customStyle="1" w:styleId="361">
    <w:name w:val="char"/>
    <w:basedOn w:val="1"/>
    <w:qFormat/>
    <w:uiPriority w:val="0"/>
    <w:pPr>
      <w:widowControl/>
      <w:spacing w:after="160" w:line="240" w:lineRule="exact"/>
      <w:jc w:val="left"/>
    </w:pPr>
    <w:rPr>
      <w:rFonts w:ascii="Verdana" w:hAnsi="Verdana" w:eastAsia="仿宋_GB2312" w:cs="”“Times New Roman”“"/>
      <w:kern w:val="0"/>
      <w:szCs w:val="20"/>
      <w:lang w:eastAsia="en-US"/>
    </w:rPr>
  </w:style>
  <w:style w:type="paragraph" w:customStyle="1" w:styleId="362">
    <w:name w:val="报告正文"/>
    <w:link w:val="363"/>
    <w:qFormat/>
    <w:uiPriority w:val="0"/>
    <w:pPr>
      <w:adjustRightInd w:val="0"/>
      <w:snapToGrid w:val="0"/>
      <w:spacing w:line="360" w:lineRule="auto"/>
      <w:ind w:firstLine="200" w:firstLineChars="200"/>
    </w:pPr>
    <w:rPr>
      <w:rFonts w:ascii="宋体" w:hAnsi="Times New Roman" w:eastAsia="宋体" w:cs="Times New Roman"/>
      <w:sz w:val="24"/>
      <w:lang w:val="en-US" w:eastAsia="zh-CN" w:bidi="ar-SA"/>
    </w:rPr>
  </w:style>
  <w:style w:type="character" w:customStyle="1" w:styleId="363">
    <w:name w:val="报告正文 Char"/>
    <w:link w:val="362"/>
    <w:qFormat/>
    <w:locked/>
    <w:uiPriority w:val="0"/>
    <w:rPr>
      <w:rFonts w:ascii="宋体"/>
      <w:sz w:val="24"/>
    </w:rPr>
  </w:style>
  <w:style w:type="character" w:customStyle="1" w:styleId="364">
    <w:name w:val="正文文本 3 字符"/>
    <w:basedOn w:val="56"/>
    <w:link w:val="20"/>
    <w:qFormat/>
    <w:uiPriority w:val="0"/>
    <w:rPr>
      <w:rFonts w:ascii="宋体"/>
      <w:kern w:val="2"/>
      <w:sz w:val="24"/>
    </w:rPr>
  </w:style>
  <w:style w:type="character" w:customStyle="1" w:styleId="365">
    <w:name w:val="正文缩进 Char1"/>
    <w:qFormat/>
    <w:uiPriority w:val="0"/>
    <w:rPr>
      <w:kern w:val="2"/>
      <w:sz w:val="24"/>
    </w:rPr>
  </w:style>
  <w:style w:type="character" w:customStyle="1" w:styleId="366">
    <w:name w:val="正文文本 + 间距 0 pt"/>
    <w:basedOn w:val="56"/>
    <w:qFormat/>
    <w:uiPriority w:val="0"/>
    <w:rPr>
      <w:rFonts w:ascii="MingLiU" w:hAnsi="MingLiU" w:eastAsia="MingLiU" w:cs="MingLiU"/>
      <w:color w:val="000000"/>
      <w:spacing w:val="0"/>
      <w:w w:val="100"/>
      <w:position w:val="0"/>
      <w:sz w:val="21"/>
      <w:szCs w:val="21"/>
      <w:shd w:val="clear" w:color="auto" w:fill="FFFFFF"/>
      <w:lang w:val="zh-CN"/>
    </w:rPr>
  </w:style>
  <w:style w:type="paragraph" w:customStyle="1" w:styleId="367">
    <w:name w:val="正文(首行缩进)"/>
    <w:basedOn w:val="1"/>
    <w:link w:val="368"/>
    <w:qFormat/>
    <w:uiPriority w:val="0"/>
    <w:pPr>
      <w:spacing w:line="240" w:lineRule="auto"/>
      <w:jc w:val="center"/>
    </w:pPr>
    <w:rPr>
      <w:rFonts w:ascii="黑体" w:hAnsi="黑体" w:eastAsia="黑体"/>
      <w:bCs/>
      <w:snapToGrid w:val="0"/>
      <w:kern w:val="0"/>
      <w:sz w:val="21"/>
      <w:szCs w:val="21"/>
    </w:rPr>
  </w:style>
  <w:style w:type="character" w:customStyle="1" w:styleId="368">
    <w:name w:val="正文(首行缩进) Char1"/>
    <w:link w:val="367"/>
    <w:qFormat/>
    <w:uiPriority w:val="0"/>
    <w:rPr>
      <w:rFonts w:ascii="黑体" w:hAnsi="黑体" w:eastAsia="黑体"/>
      <w:bCs/>
      <w:snapToGrid w:val="0"/>
      <w:sz w:val="21"/>
      <w:szCs w:val="21"/>
    </w:rPr>
  </w:style>
  <w:style w:type="paragraph" w:customStyle="1" w:styleId="369">
    <w:name w:val="段落"/>
    <w:basedOn w:val="1"/>
    <w:qFormat/>
    <w:uiPriority w:val="0"/>
    <w:pPr>
      <w:adjustRightInd w:val="0"/>
      <w:spacing w:line="400" w:lineRule="atLeast"/>
      <w:ind w:firstLine="482"/>
    </w:pPr>
    <w:rPr>
      <w:kern w:val="0"/>
      <w:szCs w:val="20"/>
    </w:rPr>
  </w:style>
  <w:style w:type="paragraph" w:customStyle="1" w:styleId="370">
    <w:name w:val="正文（首行缩进）"/>
    <w:basedOn w:val="1"/>
    <w:qFormat/>
    <w:uiPriority w:val="0"/>
    <w:pPr>
      <w:widowControl/>
      <w:snapToGrid w:val="0"/>
      <w:spacing w:line="360" w:lineRule="auto"/>
      <w:ind w:firstLine="200" w:firstLineChars="200"/>
      <w:jc w:val="left"/>
    </w:pPr>
    <w:rPr>
      <w:rFonts w:ascii="宋体" w:hAnsi="宋体"/>
      <w:color w:val="000000"/>
      <w:szCs w:val="20"/>
    </w:rPr>
  </w:style>
  <w:style w:type="paragraph" w:customStyle="1" w:styleId="371">
    <w:name w:val="样式 标题 3条标题1.1.1H3style3h3sect1.2.3标题 3 Char Charsect1.2.3..."/>
    <w:basedOn w:val="5"/>
    <w:next w:val="1"/>
    <w:qFormat/>
    <w:uiPriority w:val="0"/>
    <w:pPr>
      <w:widowControl w:val="0"/>
      <w:numPr>
        <w:ilvl w:val="0"/>
        <w:numId w:val="0"/>
      </w:numPr>
      <w:snapToGrid w:val="0"/>
      <w:spacing w:beforeLines="50" w:afterLines="30" w:line="360" w:lineRule="auto"/>
    </w:pPr>
    <w:rPr>
      <w:rFonts w:cs="宋体"/>
      <w:color w:val="auto"/>
      <w:szCs w:val="20"/>
    </w:rPr>
  </w:style>
  <w:style w:type="character" w:customStyle="1" w:styleId="372">
    <w:name w:val="apple-style-span"/>
    <w:basedOn w:val="56"/>
    <w:qFormat/>
    <w:uiPriority w:val="0"/>
  </w:style>
  <w:style w:type="paragraph" w:customStyle="1" w:styleId="373">
    <w:name w:val="TOC Heading"/>
    <w:basedOn w:val="2"/>
    <w:next w:val="1"/>
    <w:semiHidden/>
    <w:unhideWhenUsed/>
    <w:qFormat/>
    <w:uiPriority w:val="39"/>
    <w:pPr>
      <w:keepNext/>
      <w:keepLines/>
      <w:pageBreakBefore w:val="0"/>
      <w:spacing w:before="480" w:after="0" w:line="276" w:lineRule="auto"/>
      <w:outlineLvl w:val="9"/>
    </w:pPr>
    <w:rPr>
      <w:rFonts w:asciiTheme="majorHAnsi" w:hAnsiTheme="majorHAnsi" w:eastAsiaTheme="majorEastAsia" w:cstheme="majorBidi"/>
      <w:bCs/>
      <w:color w:val="376092" w:themeColor="accent1" w:themeShade="BF"/>
      <w:kern w:val="0"/>
      <w:sz w:val="28"/>
      <w:szCs w:val="28"/>
    </w:rPr>
  </w:style>
  <w:style w:type="table" w:customStyle="1" w:styleId="374">
    <w:name w:val="Table Normal"/>
    <w:semiHidden/>
    <w:qFormat/>
    <w:uiPriority w:val="2"/>
    <w:pPr>
      <w:widowControl w:val="0"/>
      <w:autoSpaceDE w:val="0"/>
      <w:autoSpaceDN w:val="0"/>
    </w:pPr>
    <w:rPr>
      <w:rFonts w:eastAsia="Times New Roman" w:asciiTheme="minorHAnsi" w:hAnsiTheme="minorHAnsi" w:cstheme="minorBidi"/>
      <w:sz w:val="22"/>
      <w:szCs w:val="22"/>
      <w:lang w:eastAsia="en-US"/>
    </w:rPr>
    <w:tblPr>
      <w:tblCellMar>
        <w:top w:w="0" w:type="dxa"/>
        <w:left w:w="0" w:type="dxa"/>
        <w:bottom w:w="0" w:type="dxa"/>
        <w:right w:w="0" w:type="dxa"/>
      </w:tblCellMar>
    </w:tblPr>
  </w:style>
  <w:style w:type="character" w:customStyle="1" w:styleId="375">
    <w:name w:val="脚注文本 字符"/>
    <w:link w:val="40"/>
    <w:qFormat/>
    <w:locked/>
    <w:uiPriority w:val="0"/>
    <w:rPr>
      <w:sz w:val="18"/>
      <w:szCs w:val="18"/>
    </w:rPr>
  </w:style>
  <w:style w:type="character" w:customStyle="1" w:styleId="376">
    <w:name w:val="尾注文本 字符"/>
    <w:basedOn w:val="56"/>
    <w:link w:val="32"/>
    <w:qFormat/>
    <w:locked/>
    <w:uiPriority w:val="99"/>
    <w:rPr>
      <w:sz w:val="24"/>
      <w:szCs w:val="24"/>
    </w:rPr>
  </w:style>
  <w:style w:type="character" w:customStyle="1" w:styleId="377">
    <w:name w:val="结束语 Char"/>
    <w:qFormat/>
    <w:locked/>
    <w:uiPriority w:val="0"/>
    <w:rPr>
      <w:rFonts w:hint="eastAsia" w:ascii="楷体_GB2312" w:eastAsia="楷体_GB2312"/>
      <w:sz w:val="28"/>
      <w:szCs w:val="24"/>
    </w:rPr>
  </w:style>
  <w:style w:type="character" w:customStyle="1" w:styleId="378">
    <w:name w:val="副标题 字符"/>
    <w:link w:val="38"/>
    <w:qFormat/>
    <w:locked/>
    <w:uiPriority w:val="11"/>
    <w:rPr>
      <w:rFonts w:ascii="Cambria" w:hAnsi="Cambria" w:cs="黑体"/>
      <w:b/>
      <w:bCs/>
      <w:kern w:val="28"/>
      <w:sz w:val="32"/>
      <w:szCs w:val="32"/>
    </w:rPr>
  </w:style>
  <w:style w:type="character" w:customStyle="1" w:styleId="379">
    <w:name w:val="称呼 Char"/>
    <w:qFormat/>
    <w:locked/>
    <w:uiPriority w:val="0"/>
    <w:rPr>
      <w:rFonts w:hint="eastAsia" w:ascii="楷体_GB2312" w:eastAsia="楷体_GB2312"/>
      <w:sz w:val="28"/>
      <w:szCs w:val="24"/>
    </w:rPr>
  </w:style>
  <w:style w:type="character" w:customStyle="1" w:styleId="380">
    <w:name w:val="正文首行缩进 2 Char"/>
    <w:qFormat/>
    <w:locked/>
    <w:uiPriority w:val="0"/>
    <w:rPr>
      <w:rFonts w:hint="default" w:ascii="Times New Roman" w:hAnsi="Times New Roman" w:cs="Times New Roman"/>
      <w:sz w:val="24"/>
      <w:szCs w:val="24"/>
    </w:rPr>
  </w:style>
  <w:style w:type="character" w:customStyle="1" w:styleId="381">
    <w:name w:val="批注主题 Char"/>
    <w:qFormat/>
    <w:locked/>
    <w:uiPriority w:val="0"/>
    <w:rPr>
      <w:rFonts w:hint="eastAsia" w:ascii="宋体" w:hAnsi="宋体" w:eastAsia="宋体"/>
      <w:b/>
      <w:bCs/>
      <w:szCs w:val="24"/>
    </w:rPr>
  </w:style>
  <w:style w:type="character" w:customStyle="1" w:styleId="382">
    <w:name w:val="无间隔 字符"/>
    <w:link w:val="383"/>
    <w:qFormat/>
    <w:locked/>
    <w:uiPriority w:val="0"/>
    <w:rPr>
      <w:rFonts w:ascii="Calibri" w:hAnsi="Calibri"/>
      <w:sz w:val="22"/>
    </w:rPr>
  </w:style>
  <w:style w:type="paragraph" w:styleId="383">
    <w:name w:val="No Spacing"/>
    <w:link w:val="382"/>
    <w:qFormat/>
    <w:uiPriority w:val="0"/>
    <w:pPr>
      <w:widowControl w:val="0"/>
      <w:jc w:val="both"/>
    </w:pPr>
    <w:rPr>
      <w:rFonts w:ascii="Calibri" w:hAnsi="Calibri" w:eastAsia="宋体" w:cs="Times New Roman"/>
      <w:sz w:val="22"/>
      <w:lang w:val="en-US" w:eastAsia="zh-CN" w:bidi="ar-SA"/>
    </w:rPr>
  </w:style>
  <w:style w:type="paragraph" w:customStyle="1" w:styleId="384">
    <w:name w:val="样式 (符号) 宋体 小四 黑色 首行缩进:  2 字符"/>
    <w:basedOn w:val="1"/>
    <w:qFormat/>
    <w:uiPriority w:val="0"/>
    <w:pPr>
      <w:ind w:firstLine="480" w:firstLineChars="200"/>
    </w:pPr>
    <w:rPr>
      <w:rFonts w:hAnsi="宋体" w:cs="宋体"/>
      <w:color w:val="000000"/>
      <w:szCs w:val="20"/>
    </w:rPr>
  </w:style>
  <w:style w:type="paragraph" w:customStyle="1" w:styleId="385">
    <w:name w:val="公式编辑器"/>
    <w:basedOn w:val="14"/>
    <w:qFormat/>
    <w:uiPriority w:val="0"/>
    <w:pPr>
      <w:ind w:firstLine="200" w:firstLineChars="200"/>
    </w:pPr>
    <w:rPr>
      <w:rFonts w:hint="eastAsia" w:ascii="宋体" w:hAnsi="宋体" w:cs="黑体"/>
      <w:kern w:val="0"/>
      <w:sz w:val="25"/>
      <w:szCs w:val="20"/>
    </w:rPr>
  </w:style>
  <w:style w:type="paragraph" w:customStyle="1" w:styleId="386">
    <w:name w:val="工艺流程图"/>
    <w:basedOn w:val="1"/>
    <w:qFormat/>
    <w:uiPriority w:val="0"/>
    <w:pPr>
      <w:snapToGrid w:val="0"/>
      <w:spacing w:line="240" w:lineRule="auto"/>
      <w:jc w:val="center"/>
    </w:pPr>
    <w:rPr>
      <w:b/>
      <w:bCs/>
      <w:kern w:val="0"/>
      <w:szCs w:val="20"/>
    </w:rPr>
  </w:style>
  <w:style w:type="paragraph" w:customStyle="1" w:styleId="387">
    <w:name w:val="册除格式 Char"/>
    <w:qFormat/>
    <w:uiPriority w:val="0"/>
    <w:pPr>
      <w:snapToGrid w:val="0"/>
      <w:spacing w:line="360" w:lineRule="auto"/>
      <w:ind w:firstLine="482"/>
    </w:pPr>
    <w:rPr>
      <w:rFonts w:ascii="黑体" w:hAnsi="Arial" w:eastAsia="宋体" w:cs="Arial"/>
      <w:spacing w:val="4"/>
      <w:kern w:val="18"/>
      <w:sz w:val="24"/>
      <w:szCs w:val="28"/>
      <w:lang w:val="en-US" w:eastAsia="zh-CN" w:bidi="ar-SA"/>
    </w:rPr>
  </w:style>
  <w:style w:type="paragraph" w:customStyle="1" w:styleId="388">
    <w:name w:val="Char Char Char1 Char Char Char Char"/>
    <w:basedOn w:val="1"/>
    <w:qFormat/>
    <w:uiPriority w:val="0"/>
    <w:pPr>
      <w:spacing w:line="240" w:lineRule="auto"/>
    </w:pPr>
  </w:style>
  <w:style w:type="paragraph" w:customStyle="1" w:styleId="389">
    <w:name w:val="Char Char Char Char Char Char1"/>
    <w:basedOn w:val="1"/>
    <w:qFormat/>
    <w:uiPriority w:val="0"/>
    <w:pPr>
      <w:spacing w:line="240" w:lineRule="auto"/>
    </w:pPr>
    <w:rPr>
      <w:szCs w:val="21"/>
    </w:rPr>
  </w:style>
  <w:style w:type="paragraph" w:customStyle="1" w:styleId="390">
    <w:name w:val="Header Left"/>
    <w:basedOn w:val="35"/>
    <w:qFormat/>
    <w:uiPriority w:val="35"/>
    <w:pPr>
      <w:widowControl/>
      <w:pBdr>
        <w:bottom w:val="dashed" w:color="7F7F7F" w:sz="4" w:space="18"/>
      </w:pBdr>
      <w:tabs>
        <w:tab w:val="center" w:pos="4320"/>
        <w:tab w:val="right" w:pos="8640"/>
        <w:tab w:val="clear" w:pos="4153"/>
        <w:tab w:val="clear" w:pos="8306"/>
      </w:tabs>
      <w:snapToGrid/>
      <w:spacing w:after="200" w:line="396" w:lineRule="auto"/>
      <w:jc w:val="left"/>
    </w:pPr>
    <w:rPr>
      <w:rFonts w:ascii="Calibri" w:hAnsi="Calibri"/>
      <w:color w:val="7F7F7F"/>
      <w:kern w:val="0"/>
      <w:sz w:val="20"/>
      <w:szCs w:val="20"/>
    </w:rPr>
  </w:style>
  <w:style w:type="paragraph" w:customStyle="1" w:styleId="391">
    <w:name w:val="Char Char Char"/>
    <w:basedOn w:val="17"/>
    <w:next w:val="1"/>
    <w:qFormat/>
    <w:uiPriority w:val="0"/>
    <w:pPr>
      <w:adjustRightInd w:val="0"/>
      <w:spacing w:line="436" w:lineRule="exact"/>
      <w:ind w:left="357"/>
      <w:jc w:val="left"/>
      <w:outlineLvl w:val="3"/>
    </w:pPr>
    <w:rPr>
      <w:rFonts w:ascii="Tahoma" w:hAnsi="Tahoma"/>
      <w:b/>
    </w:rPr>
  </w:style>
  <w:style w:type="paragraph" w:customStyle="1" w:styleId="392">
    <w:name w:val="样式 样式 正文缩进四号表正文正文非缩进特点ALT+Z水上软件段1 + 首行缩进:  2 字符 + 首行缩进:  2 字符"/>
    <w:basedOn w:val="1"/>
    <w:qFormat/>
    <w:uiPriority w:val="0"/>
    <w:pPr>
      <w:spacing w:line="480" w:lineRule="exact"/>
      <w:ind w:firstLine="560" w:firstLineChars="200"/>
    </w:pPr>
    <w:rPr>
      <w:rFonts w:ascii="宋体" w:hAnsi="宋体" w:cs="宋体"/>
      <w:sz w:val="28"/>
      <w:szCs w:val="20"/>
    </w:rPr>
  </w:style>
  <w:style w:type="character" w:customStyle="1" w:styleId="393">
    <w:name w:val="结论样式 Char Char"/>
    <w:link w:val="394"/>
    <w:qFormat/>
    <w:locked/>
    <w:uiPriority w:val="0"/>
    <w:rPr>
      <w:rFonts w:ascii="黑体" w:hAnsi="黑体" w:eastAsia="黑体"/>
      <w:b/>
      <w:color w:val="000000"/>
      <w:sz w:val="24"/>
      <w:szCs w:val="24"/>
      <w:shd w:val="pct10" w:color="auto" w:fill="FFFFFF"/>
    </w:rPr>
  </w:style>
  <w:style w:type="paragraph" w:customStyle="1" w:styleId="394">
    <w:name w:val="结论样式"/>
    <w:basedOn w:val="1"/>
    <w:link w:val="393"/>
    <w:qFormat/>
    <w:uiPriority w:val="0"/>
    <w:pPr>
      <w:shd w:val="pct10" w:color="auto" w:fill="FFFFFF"/>
      <w:adjustRightInd w:val="0"/>
      <w:snapToGrid w:val="0"/>
      <w:spacing w:line="360" w:lineRule="auto"/>
      <w:ind w:firstLine="200" w:firstLineChars="200"/>
    </w:pPr>
    <w:rPr>
      <w:rFonts w:ascii="黑体" w:hAnsi="黑体" w:eastAsia="黑体"/>
      <w:b/>
      <w:color w:val="000000"/>
      <w:kern w:val="0"/>
    </w:rPr>
  </w:style>
  <w:style w:type="paragraph" w:customStyle="1" w:styleId="395">
    <w:name w:val="字元 字元2"/>
    <w:basedOn w:val="1"/>
    <w:qFormat/>
    <w:uiPriority w:val="0"/>
    <w:pPr>
      <w:widowControl/>
      <w:spacing w:before="100" w:beforeAutospacing="1" w:after="100" w:afterAutospacing="1" w:line="240" w:lineRule="auto"/>
      <w:ind w:firstLine="200" w:firstLineChars="200"/>
      <w:jc w:val="left"/>
    </w:pPr>
    <w:rPr>
      <w:rFonts w:ascii="Verdana" w:hAnsi="Verdana" w:eastAsia="仿宋_GB2312"/>
      <w:kern w:val="0"/>
      <w:sz w:val="20"/>
      <w:szCs w:val="21"/>
      <w:lang w:eastAsia="en-US"/>
    </w:rPr>
  </w:style>
  <w:style w:type="paragraph" w:customStyle="1" w:styleId="396">
    <w:name w:val="Char Char Char2 Char"/>
    <w:basedOn w:val="1"/>
    <w:qFormat/>
    <w:uiPriority w:val="0"/>
    <w:pPr>
      <w:tabs>
        <w:tab w:val="left" w:pos="1280"/>
      </w:tabs>
      <w:spacing w:line="360" w:lineRule="auto"/>
      <w:ind w:left="1280" w:hanging="720"/>
    </w:pPr>
  </w:style>
  <w:style w:type="paragraph" w:customStyle="1" w:styleId="397">
    <w:name w:val="标题5"/>
    <w:next w:val="1"/>
    <w:autoRedefine/>
    <w:qFormat/>
    <w:uiPriority w:val="0"/>
    <w:pPr>
      <w:spacing w:beforeLines="50" w:line="360" w:lineRule="exact"/>
      <w:ind w:firstLine="480" w:firstLineChars="200"/>
    </w:pPr>
    <w:rPr>
      <w:rFonts w:ascii="Times New Roman" w:hAnsi="Times New Roman" w:eastAsia="宋体" w:cs="Times New Roman"/>
      <w:bCs/>
      <w:color w:val="000000"/>
      <w:sz w:val="24"/>
      <w:szCs w:val="24"/>
      <w:lang w:val="en-US" w:eastAsia="zh-CN" w:bidi="ar-SA"/>
    </w:rPr>
  </w:style>
  <w:style w:type="paragraph" w:customStyle="1" w:styleId="398">
    <w:name w:val="5文章(治)"/>
    <w:basedOn w:val="1"/>
    <w:qFormat/>
    <w:uiPriority w:val="0"/>
    <w:pPr>
      <w:snapToGrid w:val="0"/>
      <w:spacing w:line="360" w:lineRule="auto"/>
      <w:ind w:firstLine="480" w:firstLineChars="200"/>
    </w:pPr>
    <w:rPr>
      <w:color w:val="000000"/>
      <w:kern w:val="0"/>
      <w:szCs w:val="20"/>
    </w:rPr>
  </w:style>
  <w:style w:type="paragraph" w:customStyle="1" w:styleId="399">
    <w:name w:val="表格标注"/>
    <w:basedOn w:val="14"/>
    <w:qFormat/>
    <w:uiPriority w:val="0"/>
    <w:pPr>
      <w:ind w:firstLine="412" w:firstLineChars="200"/>
      <w:jc w:val="left"/>
    </w:pPr>
    <w:rPr>
      <w:rFonts w:hint="eastAsia" w:ascii="宋体" w:hAnsi="宋体" w:cs="黑体"/>
      <w:b/>
      <w:kern w:val="0"/>
      <w:sz w:val="24"/>
      <w:szCs w:val="20"/>
    </w:rPr>
  </w:style>
  <w:style w:type="paragraph" w:customStyle="1" w:styleId="400">
    <w:name w:val="条文2"/>
    <w:basedOn w:val="14"/>
    <w:qFormat/>
    <w:uiPriority w:val="0"/>
    <w:pPr>
      <w:tabs>
        <w:tab w:val="left" w:pos="900"/>
      </w:tabs>
      <w:spacing w:line="540" w:lineRule="exact"/>
      <w:ind w:left="900" w:hanging="420"/>
    </w:pPr>
    <w:rPr>
      <w:rFonts w:hint="eastAsia" w:ascii="宋体" w:hAnsi="宋体" w:cs="黑体"/>
      <w:kern w:val="0"/>
      <w:sz w:val="25"/>
      <w:szCs w:val="20"/>
    </w:rPr>
  </w:style>
  <w:style w:type="paragraph" w:customStyle="1" w:styleId="401">
    <w:name w:val="图标注"/>
    <w:basedOn w:val="1"/>
    <w:qFormat/>
    <w:uiPriority w:val="0"/>
    <w:pPr>
      <w:spacing w:beforeLines="50" w:line="360" w:lineRule="auto"/>
      <w:jc w:val="center"/>
    </w:pPr>
    <w:rPr>
      <w:rFonts w:ascii="仿宋_GB2312" w:hAnsi="Calibri"/>
      <w:szCs w:val="21"/>
    </w:rPr>
  </w:style>
  <w:style w:type="paragraph" w:customStyle="1" w:styleId="402">
    <w:name w:val="样式4"/>
    <w:basedOn w:val="5"/>
    <w:qFormat/>
    <w:uiPriority w:val="0"/>
    <w:pPr>
      <w:widowControl w:val="0"/>
      <w:numPr>
        <w:ilvl w:val="0"/>
        <w:numId w:val="0"/>
      </w:numPr>
      <w:spacing w:before="120" w:after="120" w:line="280" w:lineRule="exact"/>
      <w:jc w:val="center"/>
      <w:outlineLvl w:val="9"/>
    </w:pPr>
    <w:rPr>
      <w:rFonts w:eastAsia="仿宋_GB2312"/>
      <w:b w:val="0"/>
      <w:bCs w:val="0"/>
      <w:color w:val="auto"/>
      <w:kern w:val="0"/>
      <w:sz w:val="30"/>
      <w:szCs w:val="28"/>
    </w:rPr>
  </w:style>
  <w:style w:type="paragraph" w:customStyle="1" w:styleId="403">
    <w:name w:val="表注"/>
    <w:basedOn w:val="1"/>
    <w:qFormat/>
    <w:uiPriority w:val="0"/>
    <w:pPr>
      <w:tabs>
        <w:tab w:val="left" w:pos="6660"/>
      </w:tabs>
      <w:spacing w:beforeLines="20" w:line="240" w:lineRule="atLeast"/>
    </w:pPr>
    <w:rPr>
      <w:color w:val="000000"/>
      <w:sz w:val="18"/>
    </w:rPr>
  </w:style>
  <w:style w:type="paragraph" w:customStyle="1" w:styleId="404">
    <w:name w:val="8--"/>
    <w:basedOn w:val="1"/>
    <w:qFormat/>
    <w:uiPriority w:val="0"/>
    <w:pPr>
      <w:adjustRightInd w:val="0"/>
      <w:spacing w:line="360" w:lineRule="atLeast"/>
      <w:jc w:val="left"/>
    </w:pPr>
    <w:rPr>
      <w:kern w:val="0"/>
      <w:szCs w:val="20"/>
    </w:rPr>
  </w:style>
  <w:style w:type="paragraph" w:customStyle="1" w:styleId="405">
    <w:name w:val="表格内容 5号 两端对齐"/>
    <w:qFormat/>
    <w:uiPriority w:val="0"/>
    <w:pPr>
      <w:spacing w:beforeLines="30" w:line="360" w:lineRule="exact"/>
      <w:ind w:firstLine="420" w:firstLineChars="200"/>
      <w:jc w:val="both"/>
    </w:pPr>
    <w:rPr>
      <w:rFonts w:ascii="宋体" w:hAnsi="宋体" w:eastAsia="宋体" w:cs="Times New Roman"/>
      <w:color w:val="000000"/>
      <w:kern w:val="2"/>
      <w:sz w:val="21"/>
      <w:szCs w:val="18"/>
      <w:lang w:val="en-US" w:eastAsia="zh-CN" w:bidi="ar-SA"/>
    </w:rPr>
  </w:style>
  <w:style w:type="paragraph" w:customStyle="1" w:styleId="406">
    <w:name w:val="条文"/>
    <w:basedOn w:val="14"/>
    <w:qFormat/>
    <w:uiPriority w:val="0"/>
    <w:pPr>
      <w:tabs>
        <w:tab w:val="left" w:pos="360"/>
        <w:tab w:val="left" w:pos="1472"/>
      </w:tabs>
      <w:spacing w:beforeLines="50" w:line="360" w:lineRule="auto"/>
    </w:pPr>
    <w:rPr>
      <w:rFonts w:hint="eastAsia" w:ascii="宋体" w:hAnsi="宋体" w:cs="黑体"/>
      <w:kern w:val="0"/>
      <w:szCs w:val="20"/>
    </w:rPr>
  </w:style>
  <w:style w:type="paragraph" w:customStyle="1" w:styleId="407">
    <w:name w:val="7表格(治)"/>
    <w:qFormat/>
    <w:uiPriority w:val="0"/>
    <w:pPr>
      <w:jc w:val="both"/>
    </w:pPr>
    <w:rPr>
      <w:rFonts w:ascii="Times New Roman" w:hAnsi="Times New Roman" w:eastAsia="楷体_GB2312" w:cs="Times New Roman"/>
      <w:color w:val="FF0000"/>
      <w:sz w:val="21"/>
      <w:lang w:val="en-US" w:eastAsia="zh-CN" w:bidi="ar-SA"/>
    </w:rPr>
  </w:style>
  <w:style w:type="paragraph" w:customStyle="1" w:styleId="408">
    <w:name w:val="样式 首行缩进:  0 字符"/>
    <w:basedOn w:val="1"/>
    <w:qFormat/>
    <w:uiPriority w:val="0"/>
    <w:pPr>
      <w:ind w:firstLine="480"/>
    </w:pPr>
    <w:rPr>
      <w:rFonts w:cs="宋体"/>
      <w:szCs w:val="20"/>
    </w:rPr>
  </w:style>
  <w:style w:type="paragraph" w:customStyle="1" w:styleId="409">
    <w:name w:val="样式 标题 3 + 首行缩进:  2 字符1"/>
    <w:basedOn w:val="5"/>
    <w:qFormat/>
    <w:uiPriority w:val="0"/>
    <w:pPr>
      <w:widowControl w:val="0"/>
      <w:numPr>
        <w:ilvl w:val="0"/>
        <w:numId w:val="0"/>
      </w:numPr>
      <w:spacing w:before="240" w:after="120" w:line="360" w:lineRule="auto"/>
    </w:pPr>
    <w:rPr>
      <w:rFonts w:eastAsia="楷体_GB2312" w:cs="宋体"/>
      <w:color w:val="auto"/>
      <w:kern w:val="0"/>
      <w:sz w:val="30"/>
      <w:szCs w:val="20"/>
    </w:rPr>
  </w:style>
  <w:style w:type="paragraph" w:customStyle="1" w:styleId="410">
    <w:name w:val="样式 标题 2标题 1.1 + 宋体 小三 黑色"/>
    <w:basedOn w:val="3"/>
    <w:qFormat/>
    <w:uiPriority w:val="0"/>
    <w:pPr>
      <w:widowControl w:val="0"/>
      <w:numPr>
        <w:ilvl w:val="0"/>
        <w:numId w:val="0"/>
      </w:numPr>
      <w:tabs>
        <w:tab w:val="left" w:pos="576"/>
      </w:tabs>
      <w:spacing w:before="0" w:after="0" w:line="240" w:lineRule="auto"/>
      <w:ind w:left="576" w:hanging="576"/>
    </w:pPr>
    <w:rPr>
      <w:rFonts w:ascii="宋体" w:hAnsi="宋体"/>
      <w:b w:val="0"/>
      <w:bCs w:val="0"/>
      <w:kern w:val="0"/>
      <w:sz w:val="32"/>
      <w:szCs w:val="30"/>
    </w:rPr>
  </w:style>
  <w:style w:type="paragraph" w:customStyle="1" w:styleId="411">
    <w:name w:val="Char Char Char1 Char Char Char Char1"/>
    <w:basedOn w:val="1"/>
    <w:qFormat/>
    <w:uiPriority w:val="0"/>
    <w:pPr>
      <w:spacing w:line="240" w:lineRule="auto"/>
    </w:pPr>
  </w:style>
  <w:style w:type="paragraph" w:customStyle="1" w:styleId="412">
    <w:name w:val="无间隔1"/>
    <w:qFormat/>
    <w:uiPriority w:val="0"/>
    <w:pPr>
      <w:widowControl w:val="0"/>
      <w:spacing w:line="400" w:lineRule="exact"/>
      <w:jc w:val="center"/>
    </w:pPr>
    <w:rPr>
      <w:rFonts w:ascii="Times New Roman" w:hAnsi="Times New Roman" w:eastAsia="宋体" w:cs="Times New Roman"/>
      <w:kern w:val="2"/>
      <w:sz w:val="21"/>
      <w:szCs w:val="24"/>
      <w:lang w:val="en-US" w:eastAsia="zh-CN" w:bidi="ar-SA"/>
    </w:rPr>
  </w:style>
  <w:style w:type="paragraph" w:customStyle="1" w:styleId="413">
    <w:name w:val="附件"/>
    <w:basedOn w:val="1"/>
    <w:qFormat/>
    <w:uiPriority w:val="0"/>
    <w:pPr>
      <w:snapToGrid w:val="0"/>
      <w:spacing w:line="240" w:lineRule="auto"/>
      <w:jc w:val="center"/>
    </w:pPr>
    <w:rPr>
      <w:rFonts w:eastAsia="黑体"/>
      <w:szCs w:val="20"/>
    </w:rPr>
  </w:style>
  <w:style w:type="paragraph" w:customStyle="1" w:styleId="414">
    <w:name w:val="5"/>
    <w:basedOn w:val="1"/>
    <w:next w:val="14"/>
    <w:qFormat/>
    <w:uiPriority w:val="0"/>
    <w:pPr>
      <w:adjustRightInd w:val="0"/>
      <w:snapToGrid w:val="0"/>
      <w:spacing w:line="500" w:lineRule="atLeast"/>
      <w:ind w:firstLine="420" w:firstLineChars="200"/>
    </w:pPr>
    <w:rPr>
      <w:sz w:val="28"/>
    </w:rPr>
  </w:style>
  <w:style w:type="paragraph" w:customStyle="1" w:styleId="415">
    <w:name w:val="Char Char1 Char Char Char Char"/>
    <w:basedOn w:val="1"/>
    <w:qFormat/>
    <w:uiPriority w:val="0"/>
    <w:pPr>
      <w:spacing w:line="240" w:lineRule="auto"/>
    </w:pPr>
  </w:style>
  <w:style w:type="paragraph" w:customStyle="1" w:styleId="416">
    <w:name w:val="二级条文"/>
    <w:basedOn w:val="406"/>
    <w:qFormat/>
    <w:uiPriority w:val="0"/>
    <w:pPr>
      <w:tabs>
        <w:tab w:val="left" w:pos="927"/>
        <w:tab w:val="clear" w:pos="360"/>
        <w:tab w:val="clear" w:pos="1472"/>
      </w:tabs>
      <w:spacing w:beforeLines="0" w:line="440" w:lineRule="exact"/>
      <w:ind w:firstLine="567"/>
    </w:pPr>
    <w:rPr>
      <w:sz w:val="25"/>
    </w:rPr>
  </w:style>
  <w:style w:type="paragraph" w:customStyle="1" w:styleId="417">
    <w:name w:val="_Style 30"/>
    <w:basedOn w:val="1"/>
    <w:qFormat/>
    <w:uiPriority w:val="0"/>
    <w:pPr>
      <w:spacing w:line="360" w:lineRule="auto"/>
    </w:pPr>
  </w:style>
  <w:style w:type="paragraph" w:customStyle="1" w:styleId="418">
    <w:name w:val="样式 样式 宋体 小四 黑色 首行缩进:  2字符 行距: 1.5 倍行距 + 首行缩进:  2 字符"/>
    <w:basedOn w:val="1"/>
    <w:qFormat/>
    <w:uiPriority w:val="0"/>
    <w:pPr>
      <w:autoSpaceDE w:val="0"/>
      <w:autoSpaceDN w:val="0"/>
      <w:adjustRightInd w:val="0"/>
      <w:snapToGrid w:val="0"/>
      <w:spacing w:line="500" w:lineRule="atLeast"/>
      <w:ind w:firstLine="480" w:firstLineChars="200"/>
    </w:pPr>
    <w:rPr>
      <w:rFonts w:ascii="宋体" w:hAnsi="宋体"/>
      <w:color w:val="000000"/>
      <w:kern w:val="0"/>
      <w:szCs w:val="20"/>
    </w:rPr>
  </w:style>
  <w:style w:type="paragraph" w:customStyle="1" w:styleId="419">
    <w:name w:val="样式 宋体 小四 黑色 首行缩进:  2字符 行距: 1.5 倍"/>
    <w:basedOn w:val="1"/>
    <w:qFormat/>
    <w:uiPriority w:val="0"/>
    <w:pPr>
      <w:spacing w:line="360" w:lineRule="auto"/>
      <w:ind w:firstLine="480" w:firstLineChars="200"/>
    </w:pPr>
    <w:rPr>
      <w:rFonts w:ascii="宋体" w:hAnsi="宋体"/>
      <w:color w:val="000000"/>
      <w:szCs w:val="20"/>
    </w:rPr>
  </w:style>
  <w:style w:type="paragraph" w:customStyle="1" w:styleId="420">
    <w:name w:val="new Char Char Char Char Char Char Char Char Char Char Char Char Char Char Char Char Char Char Char Char Char Char Char Char"/>
    <w:basedOn w:val="1"/>
    <w:next w:val="1"/>
    <w:qFormat/>
    <w:uiPriority w:val="0"/>
    <w:pPr>
      <w:spacing w:line="360" w:lineRule="auto"/>
      <w:ind w:firstLine="200" w:firstLineChars="200"/>
    </w:pPr>
    <w:rPr>
      <w:rFonts w:ascii="宋体" w:hAnsi="宋体" w:cs="宋体"/>
    </w:rPr>
  </w:style>
  <w:style w:type="paragraph" w:customStyle="1" w:styleId="421">
    <w:name w:val="表格内容 5号 居中"/>
    <w:basedOn w:val="1"/>
    <w:qFormat/>
    <w:uiPriority w:val="0"/>
    <w:pPr>
      <w:spacing w:beforeLines="1" w:line="240" w:lineRule="atLeast"/>
      <w:jc w:val="center"/>
    </w:pPr>
    <w:rPr>
      <w:rFonts w:hAnsi="宋体"/>
      <w:sz w:val="21"/>
      <w:szCs w:val="21"/>
    </w:rPr>
  </w:style>
  <w:style w:type="paragraph" w:customStyle="1" w:styleId="422">
    <w:name w:val="表名"/>
    <w:basedOn w:val="1"/>
    <w:qFormat/>
    <w:uiPriority w:val="0"/>
    <w:pPr>
      <w:shd w:val="clear" w:color="auto" w:fill="FFFFFF"/>
      <w:tabs>
        <w:tab w:val="left" w:pos="1350"/>
      </w:tabs>
      <w:autoSpaceDE w:val="0"/>
      <w:autoSpaceDN w:val="0"/>
      <w:adjustRightInd w:val="0"/>
      <w:snapToGrid w:val="0"/>
      <w:spacing w:before="234" w:after="78" w:line="320" w:lineRule="exact"/>
      <w:ind w:firstLine="241" w:firstLineChars="100"/>
      <w:jc w:val="center"/>
    </w:pPr>
    <w:rPr>
      <w:rFonts w:ascii="Arial" w:hAnsi="Arial" w:eastAsia="楷体_GB2312" w:cs="Arial"/>
      <w:b/>
    </w:rPr>
  </w:style>
  <w:style w:type="paragraph" w:customStyle="1" w:styleId="423">
    <w:name w:val="xl30"/>
    <w:basedOn w:val="1"/>
    <w:qFormat/>
    <w:uiPriority w:val="0"/>
    <w:pPr>
      <w:widowControl/>
      <w:pBdr>
        <w:bottom w:val="single" w:color="auto" w:sz="4" w:space="0"/>
        <w:right w:val="single" w:color="auto" w:sz="4" w:space="0"/>
      </w:pBdr>
      <w:spacing w:before="100" w:beforeAutospacing="1" w:after="100" w:afterAutospacing="1" w:line="360" w:lineRule="auto"/>
      <w:jc w:val="center"/>
    </w:pPr>
    <w:rPr>
      <w:rFonts w:ascii="宋体" w:hAnsi="宋体"/>
      <w:kern w:val="0"/>
      <w:szCs w:val="21"/>
    </w:rPr>
  </w:style>
  <w:style w:type="paragraph" w:customStyle="1" w:styleId="424">
    <w:name w:val="Char Char Char Char Char Char"/>
    <w:basedOn w:val="1"/>
    <w:qFormat/>
    <w:uiPriority w:val="0"/>
    <w:pPr>
      <w:spacing w:line="240" w:lineRule="auto"/>
    </w:pPr>
  </w:style>
  <w:style w:type="paragraph" w:customStyle="1" w:styleId="425">
    <w:name w:val="正文缩进 5号"/>
    <w:next w:val="1"/>
    <w:qFormat/>
    <w:uiPriority w:val="0"/>
    <w:pPr>
      <w:spacing w:beforeLines="40" w:line="360" w:lineRule="exact"/>
      <w:ind w:firstLine="422" w:firstLineChars="200"/>
      <w:jc w:val="both"/>
    </w:pPr>
    <w:rPr>
      <w:rFonts w:ascii="Times New Roman" w:hAnsi="Times New Roman" w:eastAsia="宋体" w:cs="Times New Roman"/>
      <w:color w:val="000000"/>
      <w:kern w:val="2"/>
      <w:sz w:val="21"/>
      <w:szCs w:val="28"/>
      <w:lang w:val="en-US" w:eastAsia="zh-CN" w:bidi="ar-SA"/>
    </w:rPr>
  </w:style>
  <w:style w:type="paragraph" w:customStyle="1" w:styleId="426">
    <w:name w:val="样式 样式 标题 3 + 首行缩进:  2 字符1 + 左"/>
    <w:basedOn w:val="409"/>
    <w:qFormat/>
    <w:uiPriority w:val="0"/>
    <w:pPr>
      <w:jc w:val="left"/>
    </w:pPr>
  </w:style>
  <w:style w:type="paragraph" w:customStyle="1" w:styleId="427">
    <w:name w:val="工艺流程（数据）"/>
    <w:basedOn w:val="1"/>
    <w:qFormat/>
    <w:uiPriority w:val="0"/>
    <w:pPr>
      <w:adjustRightInd w:val="0"/>
      <w:snapToGrid w:val="0"/>
      <w:spacing w:line="240" w:lineRule="auto"/>
      <w:jc w:val="center"/>
    </w:pPr>
    <w:rPr>
      <w:b/>
      <w:bCs/>
      <w:kern w:val="0"/>
      <w:szCs w:val="20"/>
    </w:rPr>
  </w:style>
  <w:style w:type="paragraph" w:customStyle="1" w:styleId="428">
    <w:name w:val="污水处理工艺"/>
    <w:qFormat/>
    <w:uiPriority w:val="0"/>
    <w:rPr>
      <w:rFonts w:ascii="Times New Roman" w:hAnsi="Times New Roman" w:eastAsia="宋体" w:cs="Times New Roman"/>
      <w:b/>
      <w:bCs/>
      <w:sz w:val="21"/>
      <w:lang w:val="en-US" w:eastAsia="zh-CN" w:bidi="ar-SA"/>
    </w:rPr>
  </w:style>
  <w:style w:type="paragraph" w:customStyle="1" w:styleId="429">
    <w:name w:val="a"/>
    <w:basedOn w:val="1"/>
    <w:qFormat/>
    <w:uiPriority w:val="0"/>
    <w:pPr>
      <w:widowControl/>
      <w:spacing w:before="100" w:beforeAutospacing="1" w:after="100" w:afterAutospacing="1" w:line="240" w:lineRule="auto"/>
      <w:jc w:val="left"/>
    </w:pPr>
    <w:rPr>
      <w:rFonts w:ascii="宋体" w:hAnsi="宋体" w:cs="宋体"/>
      <w:kern w:val="0"/>
    </w:rPr>
  </w:style>
  <w:style w:type="paragraph" w:customStyle="1" w:styleId="430">
    <w:name w:val="正文 不缩进"/>
    <w:basedOn w:val="1"/>
    <w:qFormat/>
    <w:uiPriority w:val="0"/>
    <w:pPr>
      <w:spacing w:line="360" w:lineRule="auto"/>
    </w:pPr>
  </w:style>
  <w:style w:type="paragraph" w:customStyle="1" w:styleId="431">
    <w:name w:val="样式 标题 2 + Times New Roman 左侧:  0 厘米 悬挂缩进: 5.67 字符"/>
    <w:basedOn w:val="3"/>
    <w:qFormat/>
    <w:uiPriority w:val="0"/>
    <w:pPr>
      <w:widowControl w:val="0"/>
      <w:numPr>
        <w:ilvl w:val="0"/>
        <w:numId w:val="0"/>
      </w:numPr>
      <w:adjustRightInd w:val="0"/>
      <w:snapToGrid w:val="0"/>
      <w:spacing w:beforeLines="100" w:afterLines="100" w:line="420" w:lineRule="auto"/>
      <w:jc w:val="both"/>
    </w:pPr>
    <w:rPr>
      <w:rFonts w:eastAsia="黑体" w:cs="宋体"/>
      <w:color w:val="auto"/>
      <w:kern w:val="0"/>
      <w:sz w:val="32"/>
      <w:szCs w:val="20"/>
    </w:rPr>
  </w:style>
  <w:style w:type="paragraph" w:customStyle="1" w:styleId="432">
    <w:name w:val="1标题2级"/>
    <w:basedOn w:val="1"/>
    <w:qFormat/>
    <w:uiPriority w:val="0"/>
    <w:pPr>
      <w:snapToGrid w:val="0"/>
      <w:spacing w:line="360" w:lineRule="auto"/>
    </w:pPr>
    <w:rPr>
      <w:rFonts w:eastAsia="仿宋_GB2312"/>
      <w:b/>
      <w:sz w:val="30"/>
      <w:szCs w:val="20"/>
    </w:rPr>
  </w:style>
  <w:style w:type="paragraph" w:customStyle="1" w:styleId="433">
    <w:name w:val="表格标题（居中）"/>
    <w:basedOn w:val="28"/>
    <w:qFormat/>
    <w:uiPriority w:val="0"/>
    <w:pPr>
      <w:widowControl w:val="0"/>
      <w:spacing w:beforeLines="50" w:line="440" w:lineRule="exact"/>
      <w:ind w:firstLine="200" w:firstLineChars="200"/>
      <w:jc w:val="center"/>
      <w:outlineLvl w:val="3"/>
    </w:pPr>
    <w:rPr>
      <w:rFonts w:ascii="Times New Roman" w:hAnsi="Times New Roman" w:eastAsia="黑体" w:cs="Courier New"/>
      <w:color w:val="auto"/>
      <w:sz w:val="21"/>
      <w:szCs w:val="20"/>
    </w:rPr>
  </w:style>
  <w:style w:type="character" w:customStyle="1" w:styleId="434">
    <w:name w:val="[正文格式] Char Char"/>
    <w:link w:val="435"/>
    <w:qFormat/>
    <w:locked/>
    <w:uiPriority w:val="0"/>
    <w:rPr>
      <w:rFonts w:ascii="宋体" w:hAnsi="宋体" w:cs="宋体"/>
      <w:sz w:val="25"/>
    </w:rPr>
  </w:style>
  <w:style w:type="paragraph" w:customStyle="1" w:styleId="435">
    <w:name w:val="[正文格式]"/>
    <w:basedOn w:val="1"/>
    <w:link w:val="434"/>
    <w:qFormat/>
    <w:uiPriority w:val="0"/>
    <w:pPr>
      <w:ind w:firstLine="500" w:firstLineChars="200"/>
    </w:pPr>
    <w:rPr>
      <w:rFonts w:ascii="宋体" w:hAnsi="宋体" w:cs="宋体"/>
      <w:kern w:val="0"/>
      <w:sz w:val="25"/>
      <w:szCs w:val="20"/>
    </w:rPr>
  </w:style>
  <w:style w:type="paragraph" w:customStyle="1" w:styleId="436">
    <w:name w:val="列项——"/>
    <w:qFormat/>
    <w:uiPriority w:val="0"/>
    <w:pPr>
      <w:widowControl w:val="0"/>
      <w:tabs>
        <w:tab w:val="left" w:pos="854"/>
        <w:tab w:val="left" w:pos="900"/>
      </w:tabs>
      <w:ind w:left="900" w:leftChars="200" w:hanging="420" w:hangingChars="200"/>
      <w:jc w:val="both"/>
    </w:pPr>
    <w:rPr>
      <w:rFonts w:ascii="宋体" w:hAnsi="Times New Roman" w:eastAsia="宋体" w:cs="Times New Roman"/>
      <w:sz w:val="21"/>
      <w:lang w:val="en-US" w:eastAsia="zh-CN" w:bidi="ar-SA"/>
    </w:rPr>
  </w:style>
  <w:style w:type="paragraph" w:customStyle="1" w:styleId="437">
    <w:name w:val="图名"/>
    <w:basedOn w:val="1"/>
    <w:qFormat/>
    <w:uiPriority w:val="0"/>
    <w:pPr>
      <w:spacing w:beforeLines="20" w:line="300" w:lineRule="auto"/>
      <w:ind w:firstLine="480" w:firstLineChars="200"/>
      <w:jc w:val="center"/>
    </w:pPr>
    <w:rPr>
      <w:rFonts w:ascii="Arial" w:hAnsi="Arial" w:eastAsia="楷体_GB2312"/>
      <w:b/>
      <w:bCs/>
    </w:rPr>
  </w:style>
  <w:style w:type="paragraph" w:customStyle="1" w:styleId="438">
    <w:name w:val="表、图名"/>
    <w:basedOn w:val="1"/>
    <w:qFormat/>
    <w:uiPriority w:val="0"/>
    <w:pPr>
      <w:adjustRightInd w:val="0"/>
      <w:snapToGrid w:val="0"/>
      <w:spacing w:line="240" w:lineRule="exact"/>
    </w:pPr>
    <w:rPr>
      <w:rFonts w:hAnsi="宋体"/>
      <w:b/>
      <w:color w:val="000000"/>
      <w:szCs w:val="21"/>
    </w:rPr>
  </w:style>
  <w:style w:type="paragraph" w:customStyle="1" w:styleId="439">
    <w:name w:val="公式注释"/>
    <w:basedOn w:val="14"/>
    <w:qFormat/>
    <w:uiPriority w:val="0"/>
    <w:pPr>
      <w:spacing w:line="440" w:lineRule="exact"/>
      <w:ind w:left="767" w:leftChars="200" w:hanging="567"/>
    </w:pPr>
    <w:rPr>
      <w:rFonts w:hint="eastAsia" w:ascii="宋体" w:hAnsi="宋体" w:cs="黑体"/>
      <w:kern w:val="0"/>
      <w:sz w:val="25"/>
      <w:szCs w:val="20"/>
    </w:rPr>
  </w:style>
  <w:style w:type="paragraph" w:customStyle="1" w:styleId="440">
    <w:name w:val="Char Char Char1 Char Char Char Char2"/>
    <w:basedOn w:val="1"/>
    <w:qFormat/>
    <w:uiPriority w:val="0"/>
    <w:pPr>
      <w:spacing w:beforeLines="50" w:line="360" w:lineRule="auto"/>
    </w:pPr>
  </w:style>
  <w:style w:type="paragraph" w:customStyle="1" w:styleId="441">
    <w:name w:val="样式 样式 左侧:  2 字符 段后: 0.5 行 + 首行缩进:  2 字符 段后: 0.5 行"/>
    <w:basedOn w:val="1"/>
    <w:qFormat/>
    <w:uiPriority w:val="0"/>
    <w:pPr>
      <w:spacing w:after="156" w:line="360" w:lineRule="auto"/>
      <w:ind w:firstLine="560" w:firstLineChars="200"/>
    </w:pPr>
    <w:rPr>
      <w:rFonts w:eastAsia="仿宋_GB2312"/>
      <w:sz w:val="28"/>
      <w:szCs w:val="20"/>
    </w:rPr>
  </w:style>
  <w:style w:type="paragraph" w:customStyle="1" w:styleId="442">
    <w:name w:val="填表大字"/>
    <w:basedOn w:val="1"/>
    <w:qFormat/>
    <w:uiPriority w:val="0"/>
    <w:pPr>
      <w:spacing w:before="360" w:line="240" w:lineRule="auto"/>
      <w:ind w:left="-8" w:leftChars="-4" w:hanging="3" w:hangingChars="1"/>
      <w:jc w:val="center"/>
    </w:pPr>
    <w:rPr>
      <w:rFonts w:eastAsia="楷体_GB2312"/>
      <w:sz w:val="30"/>
      <w:szCs w:val="20"/>
    </w:rPr>
  </w:style>
  <w:style w:type="paragraph" w:customStyle="1" w:styleId="443">
    <w:name w:val="备注"/>
    <w:basedOn w:val="1"/>
    <w:qFormat/>
    <w:uiPriority w:val="0"/>
    <w:pPr>
      <w:snapToGrid w:val="0"/>
      <w:spacing w:line="240" w:lineRule="auto"/>
      <w:ind w:firstLine="100" w:firstLineChars="100"/>
      <w:jc w:val="left"/>
    </w:pPr>
    <w:rPr>
      <w:szCs w:val="20"/>
    </w:rPr>
  </w:style>
  <w:style w:type="paragraph" w:customStyle="1" w:styleId="444">
    <w:name w:val="标3"/>
    <w:basedOn w:val="1"/>
    <w:qFormat/>
    <w:uiPriority w:val="0"/>
    <w:pPr>
      <w:keepNext/>
      <w:autoSpaceDE w:val="0"/>
      <w:autoSpaceDN w:val="0"/>
      <w:adjustRightInd w:val="0"/>
      <w:snapToGrid w:val="0"/>
      <w:spacing w:beforeLines="100" w:line="360" w:lineRule="auto"/>
      <w:outlineLvl w:val="2"/>
    </w:pPr>
    <w:rPr>
      <w:rFonts w:eastAsia="楷体_GB2312"/>
      <w:b/>
      <w:sz w:val="30"/>
      <w:szCs w:val="30"/>
    </w:rPr>
  </w:style>
  <w:style w:type="paragraph" w:customStyle="1" w:styleId="445">
    <w:name w:val="Char Char1 Char Char Char Char Char Char Char Char Char Char Char Char Char Char Char Char Char Char"/>
    <w:basedOn w:val="1"/>
    <w:qFormat/>
    <w:uiPriority w:val="0"/>
    <w:pPr>
      <w:spacing w:line="360" w:lineRule="auto"/>
      <w:ind w:firstLine="200" w:firstLineChars="200"/>
    </w:pPr>
    <w:rPr>
      <w:rFonts w:ascii="宋体" w:hAnsi="宋体" w:cs="宋体"/>
    </w:rPr>
  </w:style>
  <w:style w:type="paragraph" w:customStyle="1" w:styleId="446">
    <w:name w:val="大田正文"/>
    <w:basedOn w:val="23"/>
    <w:qFormat/>
    <w:uiPriority w:val="0"/>
    <w:pPr>
      <w:spacing w:after="0" w:line="520" w:lineRule="exact"/>
      <w:ind w:left="0" w:leftChars="0" w:firstLine="567"/>
    </w:pPr>
    <w:rPr>
      <w:rFonts w:eastAsiaTheme="minorEastAsia"/>
      <w:sz w:val="28"/>
      <w:szCs w:val="20"/>
    </w:rPr>
  </w:style>
  <w:style w:type="paragraph" w:customStyle="1" w:styleId="447">
    <w:name w:val="k正文"/>
    <w:basedOn w:val="1"/>
    <w:qFormat/>
    <w:uiPriority w:val="0"/>
    <w:pPr>
      <w:adjustRightInd w:val="0"/>
      <w:snapToGrid w:val="0"/>
      <w:spacing w:line="360" w:lineRule="auto"/>
      <w:ind w:firstLine="539"/>
    </w:pPr>
    <w:rPr>
      <w:rFonts w:eastAsia="仿宋_GB2312"/>
      <w:sz w:val="28"/>
    </w:rPr>
  </w:style>
  <w:style w:type="paragraph" w:customStyle="1" w:styleId="448">
    <w:name w:val="表格文本"/>
    <w:basedOn w:val="1"/>
    <w:next w:val="1"/>
    <w:qFormat/>
    <w:uiPriority w:val="0"/>
    <w:pPr>
      <w:adjustRightInd w:val="0"/>
      <w:snapToGrid w:val="0"/>
      <w:spacing w:line="240" w:lineRule="exact"/>
    </w:pPr>
    <w:rPr>
      <w:szCs w:val="20"/>
    </w:rPr>
  </w:style>
  <w:style w:type="paragraph" w:customStyle="1" w:styleId="449">
    <w:name w:val="不定式样"/>
    <w:basedOn w:val="442"/>
    <w:qFormat/>
    <w:uiPriority w:val="0"/>
    <w:pPr>
      <w:adjustRightInd w:val="0"/>
      <w:snapToGrid w:val="0"/>
      <w:spacing w:before="0"/>
      <w:ind w:left="0" w:leftChars="0" w:firstLine="0" w:firstLineChars="0"/>
    </w:pPr>
    <w:rPr>
      <w:rFonts w:ascii="楷体_GB2312"/>
      <w:bCs/>
      <w:sz w:val="28"/>
    </w:rPr>
  </w:style>
  <w:style w:type="character" w:customStyle="1" w:styleId="450">
    <w:name w:val="样式 首行缩进:  2 字符1 Char Char"/>
    <w:link w:val="451"/>
    <w:qFormat/>
    <w:locked/>
    <w:uiPriority w:val="0"/>
    <w:rPr>
      <w:rFonts w:ascii="宋体" w:hAnsi="宋体"/>
      <w:sz w:val="24"/>
    </w:rPr>
  </w:style>
  <w:style w:type="paragraph" w:customStyle="1" w:styleId="451">
    <w:name w:val="样式 首行缩进:  2 字符1"/>
    <w:basedOn w:val="1"/>
    <w:link w:val="450"/>
    <w:qFormat/>
    <w:uiPriority w:val="0"/>
    <w:pPr>
      <w:adjustRightInd w:val="0"/>
      <w:snapToGrid w:val="0"/>
      <w:spacing w:line="240" w:lineRule="auto"/>
      <w:ind w:firstLine="360" w:firstLineChars="150"/>
    </w:pPr>
    <w:rPr>
      <w:rFonts w:ascii="宋体" w:hAnsi="宋体"/>
      <w:kern w:val="0"/>
      <w:szCs w:val="20"/>
    </w:rPr>
  </w:style>
  <w:style w:type="paragraph" w:customStyle="1" w:styleId="452">
    <w:name w:val="6"/>
    <w:basedOn w:val="1"/>
    <w:next w:val="28"/>
    <w:qFormat/>
    <w:uiPriority w:val="0"/>
    <w:pPr>
      <w:spacing w:line="240" w:lineRule="auto"/>
    </w:pPr>
    <w:rPr>
      <w:rFonts w:ascii="宋体" w:hAnsi="Courier New"/>
      <w:szCs w:val="20"/>
    </w:rPr>
  </w:style>
  <w:style w:type="character" w:customStyle="1" w:styleId="453">
    <w:name w:val="明显引用 Char"/>
    <w:link w:val="454"/>
    <w:qFormat/>
    <w:locked/>
    <w:uiPriority w:val="0"/>
    <w:rPr>
      <w:b/>
      <w:bCs/>
      <w:i/>
      <w:iCs/>
      <w:color w:val="4F81BD"/>
      <w:sz w:val="24"/>
    </w:rPr>
  </w:style>
  <w:style w:type="paragraph" w:customStyle="1" w:styleId="454">
    <w:name w:val="明显引用1"/>
    <w:basedOn w:val="1"/>
    <w:next w:val="1"/>
    <w:link w:val="453"/>
    <w:qFormat/>
    <w:uiPriority w:val="0"/>
    <w:pPr>
      <w:pBdr>
        <w:bottom w:val="single" w:color="4F81BD" w:sz="4" w:space="4"/>
      </w:pBdr>
      <w:spacing w:beforeLines="50" w:after="280" w:line="360" w:lineRule="auto"/>
      <w:ind w:left="936" w:right="936"/>
    </w:pPr>
    <w:rPr>
      <w:b/>
      <w:bCs/>
      <w:i/>
      <w:iCs/>
      <w:color w:val="4F81BD"/>
      <w:kern w:val="0"/>
      <w:szCs w:val="20"/>
    </w:rPr>
  </w:style>
  <w:style w:type="paragraph" w:customStyle="1" w:styleId="455">
    <w:name w:val="正文11 Char"/>
    <w:basedOn w:val="1"/>
    <w:qFormat/>
    <w:uiPriority w:val="0"/>
    <w:pPr>
      <w:spacing w:line="520" w:lineRule="atLeast"/>
      <w:ind w:firstLine="480" w:firstLineChars="200"/>
    </w:pPr>
  </w:style>
  <w:style w:type="character" w:customStyle="1" w:styleId="456">
    <w:name w:val="称呼 字符"/>
    <w:basedOn w:val="56"/>
    <w:link w:val="19"/>
    <w:qFormat/>
    <w:locked/>
    <w:uiPriority w:val="0"/>
    <w:rPr>
      <w:rFonts w:asciiTheme="minorHAnsi" w:hAnsiTheme="minorHAnsi" w:eastAsiaTheme="minorEastAsia" w:cstheme="minorBidi"/>
      <w:kern w:val="2"/>
      <w:sz w:val="21"/>
      <w:szCs w:val="22"/>
    </w:rPr>
  </w:style>
  <w:style w:type="character" w:customStyle="1" w:styleId="457">
    <w:name w:val="称呼 Char1"/>
    <w:basedOn w:val="56"/>
    <w:qFormat/>
    <w:uiPriority w:val="99"/>
    <w:rPr>
      <w:kern w:val="2"/>
      <w:sz w:val="24"/>
      <w:szCs w:val="24"/>
    </w:rPr>
  </w:style>
  <w:style w:type="paragraph" w:customStyle="1" w:styleId="458">
    <w:name w:val="图文本框中字（小四）"/>
    <w:basedOn w:val="19"/>
    <w:qFormat/>
    <w:uiPriority w:val="0"/>
    <w:pPr>
      <w:jc w:val="center"/>
    </w:pPr>
    <w:rPr>
      <w:rFonts w:eastAsia="宋体"/>
      <w:b/>
      <w:sz w:val="24"/>
      <w:szCs w:val="24"/>
    </w:rPr>
  </w:style>
  <w:style w:type="character" w:customStyle="1" w:styleId="459">
    <w:name w:val="正文(首行缩进) Char Char"/>
    <w:qFormat/>
    <w:locked/>
    <w:uiPriority w:val="0"/>
    <w:rPr>
      <w:snapToGrid w:val="0"/>
      <w:color w:val="000000"/>
      <w:sz w:val="24"/>
      <w:szCs w:val="24"/>
    </w:rPr>
  </w:style>
  <w:style w:type="paragraph" w:customStyle="1" w:styleId="460">
    <w:name w:val="y表格"/>
    <w:basedOn w:val="22"/>
    <w:qFormat/>
    <w:uiPriority w:val="0"/>
    <w:pPr>
      <w:widowControl/>
      <w:snapToGrid w:val="0"/>
      <w:spacing w:after="0" w:line="240" w:lineRule="auto"/>
      <w:jc w:val="center"/>
    </w:pPr>
    <w:rPr>
      <w:kern w:val="0"/>
      <w:szCs w:val="20"/>
    </w:rPr>
  </w:style>
  <w:style w:type="paragraph" w:customStyle="1" w:styleId="461">
    <w:name w:val="样式 表格内容 5号 居中"/>
    <w:basedOn w:val="421"/>
    <w:qFormat/>
    <w:uiPriority w:val="0"/>
    <w:rPr>
      <w:rFonts w:cs="宋体"/>
      <w:kern w:val="0"/>
      <w:sz w:val="24"/>
      <w:szCs w:val="20"/>
    </w:rPr>
  </w:style>
  <w:style w:type="paragraph" w:customStyle="1" w:styleId="462">
    <w:name w:val="表中文字"/>
    <w:basedOn w:val="1"/>
    <w:qFormat/>
    <w:uiPriority w:val="0"/>
    <w:pPr>
      <w:shd w:val="clear" w:color="auto" w:fill="FFFFFF"/>
      <w:tabs>
        <w:tab w:val="left" w:pos="3286"/>
        <w:tab w:val="left" w:pos="8362"/>
      </w:tabs>
      <w:snapToGrid w:val="0"/>
      <w:spacing w:line="340" w:lineRule="exact"/>
      <w:jc w:val="center"/>
    </w:pPr>
    <w:rPr>
      <w:rFonts w:ascii="Arial" w:hAnsi="Arial" w:eastAsia="楷体_GB2312"/>
      <w:szCs w:val="21"/>
    </w:rPr>
  </w:style>
  <w:style w:type="paragraph" w:customStyle="1" w:styleId="463">
    <w:name w:val="xl31"/>
    <w:basedOn w:val="1"/>
    <w:qFormat/>
    <w:uiPriority w:val="0"/>
    <w:pPr>
      <w:widowControl/>
      <w:pBdr>
        <w:bottom w:val="single" w:color="auto" w:sz="4" w:space="0"/>
        <w:right w:val="single" w:color="auto" w:sz="4" w:space="0"/>
      </w:pBdr>
      <w:spacing w:before="100" w:beforeAutospacing="1" w:after="100" w:afterAutospacing="1" w:line="360" w:lineRule="auto"/>
      <w:jc w:val="center"/>
    </w:pPr>
    <w:rPr>
      <w:rFonts w:eastAsia="Arial Unicode MS"/>
      <w:kern w:val="0"/>
      <w:szCs w:val="20"/>
    </w:rPr>
  </w:style>
  <w:style w:type="character" w:customStyle="1" w:styleId="464">
    <w:name w:val="表的标题 Char Char"/>
    <w:link w:val="465"/>
    <w:qFormat/>
    <w:locked/>
    <w:uiPriority w:val="0"/>
    <w:rPr>
      <w:rFonts w:ascii="Arial" w:hAnsi="Arial" w:cs="宋体"/>
      <w:sz w:val="24"/>
    </w:rPr>
  </w:style>
  <w:style w:type="paragraph" w:customStyle="1" w:styleId="465">
    <w:name w:val="表的标题"/>
    <w:basedOn w:val="1"/>
    <w:next w:val="249"/>
    <w:link w:val="464"/>
    <w:qFormat/>
    <w:uiPriority w:val="0"/>
    <w:pPr>
      <w:adjustRightInd w:val="0"/>
      <w:snapToGrid w:val="0"/>
      <w:spacing w:line="240" w:lineRule="auto"/>
      <w:jc w:val="center"/>
    </w:pPr>
    <w:rPr>
      <w:rFonts w:ascii="Arial" w:hAnsi="Arial" w:cs="宋体"/>
      <w:kern w:val="0"/>
      <w:szCs w:val="20"/>
    </w:rPr>
  </w:style>
  <w:style w:type="paragraph" w:customStyle="1" w:styleId="466">
    <w:name w:val="样式 标题 3 + 黑体 小四 黑色"/>
    <w:basedOn w:val="5"/>
    <w:qFormat/>
    <w:uiPriority w:val="0"/>
    <w:pPr>
      <w:widowControl w:val="0"/>
      <w:numPr>
        <w:ilvl w:val="0"/>
        <w:numId w:val="0"/>
      </w:numPr>
      <w:tabs>
        <w:tab w:val="left" w:pos="1080"/>
      </w:tabs>
      <w:spacing w:before="120" w:after="120" w:line="480" w:lineRule="exact"/>
      <w:ind w:left="1080" w:hanging="720"/>
      <w:jc w:val="left"/>
    </w:pPr>
    <w:rPr>
      <w:rFonts w:ascii="黑体" w:hAnsi="黑体"/>
      <w:b w:val="0"/>
      <w:bCs w:val="0"/>
      <w:kern w:val="0"/>
      <w:sz w:val="30"/>
      <w:szCs w:val="24"/>
    </w:rPr>
  </w:style>
  <w:style w:type="paragraph" w:customStyle="1" w:styleId="467">
    <w:name w:val="正文不缩进 5号"/>
    <w:qFormat/>
    <w:uiPriority w:val="0"/>
    <w:pPr>
      <w:spacing w:beforeLines="10" w:line="240" w:lineRule="atLeast"/>
    </w:pPr>
    <w:rPr>
      <w:rFonts w:ascii="宋体" w:hAnsi="宋体" w:eastAsia="宋体" w:cs="Times New Roman"/>
      <w:color w:val="000000"/>
      <w:kern w:val="2"/>
      <w:sz w:val="21"/>
      <w:szCs w:val="28"/>
      <w:lang w:val="en-US" w:eastAsia="zh-CN" w:bidi="ar-SA"/>
    </w:rPr>
  </w:style>
  <w:style w:type="paragraph" w:customStyle="1" w:styleId="468">
    <w:name w:val="LNG－正文"/>
    <w:basedOn w:val="1"/>
    <w:qFormat/>
    <w:uiPriority w:val="0"/>
    <w:pPr>
      <w:spacing w:line="360" w:lineRule="auto"/>
    </w:pPr>
  </w:style>
  <w:style w:type="paragraph" w:customStyle="1" w:styleId="469">
    <w:name w:val="样式 标题 3H3l3CTHeading 3 - old标题 3-3.1.1标题 4.1.1章标题1h33rd...1"/>
    <w:basedOn w:val="5"/>
    <w:qFormat/>
    <w:uiPriority w:val="0"/>
    <w:pPr>
      <w:widowControl w:val="0"/>
      <w:numPr>
        <w:ilvl w:val="0"/>
        <w:numId w:val="0"/>
      </w:numPr>
      <w:tabs>
        <w:tab w:val="left" w:pos="720"/>
      </w:tabs>
      <w:spacing w:before="120" w:afterLines="50" w:line="360" w:lineRule="auto"/>
    </w:pPr>
    <w:rPr>
      <w:rFonts w:ascii="黑体" w:eastAsia="黑体" w:cs="宋体"/>
      <w:color w:val="auto"/>
      <w:spacing w:val="-3"/>
      <w:kern w:val="0"/>
      <w:sz w:val="28"/>
      <w:szCs w:val="20"/>
    </w:rPr>
  </w:style>
  <w:style w:type="paragraph" w:customStyle="1" w:styleId="470">
    <w:name w:val="表格头"/>
    <w:basedOn w:val="1"/>
    <w:qFormat/>
    <w:uiPriority w:val="0"/>
    <w:pPr>
      <w:spacing w:line="360" w:lineRule="auto"/>
      <w:ind w:firstLine="480" w:firstLineChars="200"/>
      <w:jc w:val="center"/>
    </w:pPr>
    <w:rPr>
      <w:rFonts w:ascii="黑体" w:hAnsi="Arial" w:eastAsia="黑体"/>
      <w:szCs w:val="20"/>
    </w:rPr>
  </w:style>
  <w:style w:type="paragraph" w:customStyle="1" w:styleId="471">
    <w:name w:val="文本框"/>
    <w:basedOn w:val="1"/>
    <w:qFormat/>
    <w:uiPriority w:val="0"/>
    <w:pPr>
      <w:spacing w:line="240" w:lineRule="auto"/>
      <w:jc w:val="center"/>
    </w:pPr>
    <w:rPr>
      <w:szCs w:val="20"/>
    </w:rPr>
  </w:style>
  <w:style w:type="paragraph" w:customStyle="1" w:styleId="472">
    <w:name w:val="正文-第几条"/>
    <w:basedOn w:val="1"/>
    <w:qFormat/>
    <w:uiPriority w:val="0"/>
    <w:pPr>
      <w:spacing w:line="360" w:lineRule="auto"/>
    </w:pPr>
    <w:rPr>
      <w:b/>
    </w:rPr>
  </w:style>
  <w:style w:type="character" w:customStyle="1" w:styleId="473">
    <w:name w:val="正文样式 Char Char"/>
    <w:link w:val="474"/>
    <w:qFormat/>
    <w:locked/>
    <w:uiPriority w:val="0"/>
    <w:rPr>
      <w:sz w:val="24"/>
      <w:szCs w:val="24"/>
    </w:rPr>
  </w:style>
  <w:style w:type="paragraph" w:customStyle="1" w:styleId="474">
    <w:name w:val="正文样式"/>
    <w:basedOn w:val="1"/>
    <w:link w:val="473"/>
    <w:qFormat/>
    <w:uiPriority w:val="0"/>
    <w:pPr>
      <w:adjustRightInd w:val="0"/>
      <w:snapToGrid w:val="0"/>
      <w:spacing w:line="360" w:lineRule="auto"/>
      <w:ind w:firstLine="200" w:firstLineChars="200"/>
      <w:jc w:val="left"/>
    </w:pPr>
    <w:rPr>
      <w:kern w:val="0"/>
    </w:rPr>
  </w:style>
  <w:style w:type="paragraph" w:customStyle="1" w:styleId="475">
    <w:name w:val="表格内容 左对齐 5号"/>
    <w:basedOn w:val="1"/>
    <w:qFormat/>
    <w:uiPriority w:val="0"/>
    <w:pPr>
      <w:spacing w:line="240" w:lineRule="exact"/>
    </w:pPr>
    <w:rPr>
      <w:color w:val="000000"/>
      <w:szCs w:val="21"/>
    </w:rPr>
  </w:style>
  <w:style w:type="paragraph" w:customStyle="1" w:styleId="476">
    <w:name w:val="样式 样式 (符号) 宋体 小四 黑色 首行缩进:  2 字符 + 首行缩进:  0.85 厘米 行距: 固定值 22 磅"/>
    <w:basedOn w:val="384"/>
    <w:qFormat/>
    <w:uiPriority w:val="0"/>
    <w:pPr>
      <w:ind w:firstLine="482"/>
    </w:pPr>
    <w:rPr>
      <w:szCs w:val="24"/>
    </w:rPr>
  </w:style>
  <w:style w:type="paragraph" w:customStyle="1" w:styleId="477">
    <w:name w:val="小标题1"/>
    <w:basedOn w:val="1"/>
    <w:qFormat/>
    <w:uiPriority w:val="0"/>
    <w:pPr>
      <w:tabs>
        <w:tab w:val="left" w:pos="591"/>
        <w:tab w:val="left" w:pos="900"/>
        <w:tab w:val="left" w:pos="7280"/>
      </w:tabs>
      <w:spacing w:line="240" w:lineRule="auto"/>
      <w:ind w:left="900"/>
      <w:jc w:val="left"/>
    </w:pPr>
    <w:rPr>
      <w:b/>
      <w:bCs/>
      <w:sz w:val="28"/>
      <w:szCs w:val="20"/>
    </w:rPr>
  </w:style>
  <w:style w:type="paragraph" w:customStyle="1" w:styleId="478">
    <w:name w:val="工艺流程数据"/>
    <w:basedOn w:val="1"/>
    <w:qFormat/>
    <w:uiPriority w:val="0"/>
    <w:pPr>
      <w:widowControl/>
      <w:spacing w:line="240" w:lineRule="auto"/>
      <w:jc w:val="center"/>
    </w:pPr>
    <w:rPr>
      <w:bCs/>
      <w:kern w:val="0"/>
      <w:sz w:val="25"/>
      <w:szCs w:val="20"/>
    </w:rPr>
  </w:style>
  <w:style w:type="paragraph" w:customStyle="1" w:styleId="479">
    <w:name w:val="小标题2"/>
    <w:basedOn w:val="406"/>
    <w:qFormat/>
    <w:uiPriority w:val="0"/>
    <w:pPr>
      <w:tabs>
        <w:tab w:val="left" w:pos="840"/>
        <w:tab w:val="left" w:pos="900"/>
        <w:tab w:val="left" w:pos="5894"/>
        <w:tab w:val="clear" w:pos="360"/>
        <w:tab w:val="clear" w:pos="1472"/>
      </w:tabs>
      <w:spacing w:beforeLines="0" w:line="440" w:lineRule="exact"/>
      <w:ind w:left="900" w:hanging="420"/>
    </w:pPr>
    <w:rPr>
      <w:sz w:val="25"/>
    </w:rPr>
  </w:style>
  <w:style w:type="paragraph" w:customStyle="1" w:styleId="480">
    <w:name w:val="法规"/>
    <w:basedOn w:val="1"/>
    <w:qFormat/>
    <w:uiPriority w:val="0"/>
    <w:pPr>
      <w:tabs>
        <w:tab w:val="left" w:pos="1304"/>
      </w:tabs>
      <w:ind w:left="1304" w:hanging="850"/>
    </w:pPr>
    <w:rPr>
      <w:spacing w:val="-4"/>
      <w:sz w:val="25"/>
      <w:szCs w:val="20"/>
    </w:rPr>
  </w:style>
  <w:style w:type="paragraph" w:customStyle="1" w:styleId="481">
    <w:name w:val="Char Char4"/>
    <w:basedOn w:val="1"/>
    <w:qFormat/>
    <w:uiPriority w:val="0"/>
    <w:pPr>
      <w:spacing w:before="156" w:after="156" w:line="300" w:lineRule="auto"/>
      <w:ind w:firstLine="200" w:firstLineChars="200"/>
    </w:pPr>
    <w:rPr>
      <w:szCs w:val="20"/>
    </w:rPr>
  </w:style>
  <w:style w:type="paragraph" w:customStyle="1" w:styleId="482">
    <w:name w:val="xl28"/>
    <w:basedOn w:val="1"/>
    <w:qFormat/>
    <w:uiPriority w:val="0"/>
    <w:pPr>
      <w:widowControl/>
      <w:pBdr>
        <w:left w:val="single" w:color="auto" w:sz="8" w:space="0"/>
        <w:right w:val="single" w:color="auto" w:sz="8" w:space="0"/>
      </w:pBdr>
      <w:autoSpaceDE w:val="0"/>
      <w:autoSpaceDN w:val="0"/>
      <w:adjustRightInd w:val="0"/>
      <w:snapToGrid w:val="0"/>
      <w:spacing w:before="100" w:after="100" w:line="240" w:lineRule="auto"/>
      <w:jc w:val="center"/>
    </w:pPr>
    <w:rPr>
      <w:rFonts w:ascii="宋体" w:hAnsi="宋体"/>
      <w:kern w:val="0"/>
      <w:szCs w:val="20"/>
    </w:rPr>
  </w:style>
  <w:style w:type="paragraph" w:customStyle="1" w:styleId="483">
    <w:name w:val="表格内容 5号居中"/>
    <w:qFormat/>
    <w:uiPriority w:val="0"/>
    <w:pPr>
      <w:adjustRightInd w:val="0"/>
      <w:snapToGrid w:val="0"/>
      <w:spacing w:line="240" w:lineRule="atLeast"/>
      <w:jc w:val="center"/>
    </w:pPr>
    <w:rPr>
      <w:rFonts w:ascii="Times New Roman" w:hAnsi="Times New Roman" w:eastAsia="宋体" w:cs="Times New Roman"/>
      <w:color w:val="000000"/>
      <w:sz w:val="21"/>
      <w:lang w:val="en-US" w:eastAsia="zh-CN" w:bidi="ar-SA"/>
    </w:rPr>
  </w:style>
  <w:style w:type="character" w:customStyle="1" w:styleId="484">
    <w:name w:val="报告 Char"/>
    <w:link w:val="485"/>
    <w:qFormat/>
    <w:locked/>
    <w:uiPriority w:val="0"/>
    <w:rPr>
      <w:sz w:val="24"/>
    </w:rPr>
  </w:style>
  <w:style w:type="paragraph" w:customStyle="1" w:styleId="485">
    <w:name w:val="报告"/>
    <w:basedOn w:val="1"/>
    <w:link w:val="484"/>
    <w:qFormat/>
    <w:uiPriority w:val="0"/>
    <w:pPr>
      <w:overflowPunct w:val="0"/>
      <w:autoSpaceDE w:val="0"/>
      <w:autoSpaceDN w:val="0"/>
      <w:adjustRightInd w:val="0"/>
      <w:spacing w:before="120" w:after="120" w:line="400" w:lineRule="atLeast"/>
      <w:ind w:left="840" w:leftChars="400"/>
    </w:pPr>
    <w:rPr>
      <w:kern w:val="0"/>
      <w:szCs w:val="20"/>
    </w:rPr>
  </w:style>
  <w:style w:type="character" w:customStyle="1" w:styleId="486">
    <w:name w:val="陈表格中内容 Char Char"/>
    <w:link w:val="487"/>
    <w:qFormat/>
    <w:locked/>
    <w:uiPriority w:val="0"/>
    <w:rPr>
      <w:rFonts w:ascii="仿宋_GB2312" w:eastAsia="仿宋_GB2312"/>
      <w:sz w:val="24"/>
      <w:szCs w:val="21"/>
    </w:rPr>
  </w:style>
  <w:style w:type="paragraph" w:customStyle="1" w:styleId="487">
    <w:name w:val="陈表格中内容"/>
    <w:basedOn w:val="1"/>
    <w:next w:val="1"/>
    <w:link w:val="486"/>
    <w:qFormat/>
    <w:uiPriority w:val="0"/>
    <w:pPr>
      <w:spacing w:beforeLines="50" w:line="360" w:lineRule="auto"/>
      <w:jc w:val="center"/>
    </w:pPr>
    <w:rPr>
      <w:rFonts w:ascii="仿宋_GB2312" w:eastAsia="仿宋_GB2312"/>
      <w:kern w:val="0"/>
      <w:szCs w:val="21"/>
    </w:rPr>
  </w:style>
  <w:style w:type="paragraph" w:customStyle="1" w:styleId="488">
    <w:name w:val="2"/>
    <w:basedOn w:val="1"/>
    <w:next w:val="25"/>
    <w:qFormat/>
    <w:uiPriority w:val="0"/>
    <w:pPr>
      <w:widowControl/>
      <w:ind w:left="113" w:right="113" w:firstLine="567"/>
    </w:pPr>
    <w:rPr>
      <w:rFonts w:ascii="仿宋_GB2312" w:eastAsia="仿宋_GB2312"/>
      <w:kern w:val="0"/>
      <w:sz w:val="28"/>
      <w:szCs w:val="20"/>
    </w:rPr>
  </w:style>
  <w:style w:type="paragraph" w:customStyle="1" w:styleId="489">
    <w:name w:val="表格标题"/>
    <w:basedOn w:val="1"/>
    <w:qFormat/>
    <w:uiPriority w:val="0"/>
    <w:pPr>
      <w:spacing w:line="360" w:lineRule="auto"/>
      <w:jc w:val="center"/>
    </w:pPr>
    <w:rPr>
      <w:rFonts w:ascii="黑体" w:eastAsia="黑体"/>
    </w:rPr>
  </w:style>
  <w:style w:type="paragraph" w:customStyle="1" w:styleId="490">
    <w:name w:val="表题"/>
    <w:basedOn w:val="1"/>
    <w:qFormat/>
    <w:uiPriority w:val="0"/>
    <w:pPr>
      <w:tabs>
        <w:tab w:val="left" w:pos="940"/>
      </w:tabs>
      <w:snapToGrid w:val="0"/>
      <w:spacing w:line="240" w:lineRule="auto"/>
      <w:jc w:val="center"/>
    </w:pPr>
    <w:rPr>
      <w:rFonts w:eastAsia="黑体"/>
      <w:szCs w:val="20"/>
    </w:rPr>
  </w:style>
  <w:style w:type="paragraph" w:customStyle="1" w:styleId="491">
    <w:name w:val="1文章"/>
    <w:basedOn w:val="1"/>
    <w:qFormat/>
    <w:uiPriority w:val="0"/>
    <w:pPr>
      <w:snapToGrid w:val="0"/>
      <w:spacing w:line="360" w:lineRule="auto"/>
      <w:ind w:firstLine="573"/>
    </w:pPr>
    <w:rPr>
      <w:sz w:val="28"/>
      <w:szCs w:val="20"/>
    </w:rPr>
  </w:style>
  <w:style w:type="paragraph" w:customStyle="1" w:styleId="492">
    <w:name w:val="样式 正文格式 + 小四 首行缩进:  2 字符"/>
    <w:basedOn w:val="1"/>
    <w:qFormat/>
    <w:uiPriority w:val="0"/>
    <w:pPr>
      <w:ind w:firstLine="482"/>
    </w:pPr>
    <w:rPr>
      <w:rFonts w:cs="宋体"/>
      <w:szCs w:val="20"/>
    </w:rPr>
  </w:style>
  <w:style w:type="character" w:customStyle="1" w:styleId="493">
    <w:name w:val="z正文 Char Char"/>
    <w:link w:val="494"/>
    <w:qFormat/>
    <w:locked/>
    <w:uiPriority w:val="0"/>
    <w:rPr>
      <w:kern w:val="2"/>
      <w:sz w:val="24"/>
    </w:rPr>
  </w:style>
  <w:style w:type="paragraph" w:customStyle="1" w:styleId="494">
    <w:name w:val="z正文"/>
    <w:basedOn w:val="23"/>
    <w:link w:val="493"/>
    <w:qFormat/>
    <w:uiPriority w:val="0"/>
    <w:pPr>
      <w:autoSpaceDE w:val="0"/>
      <w:autoSpaceDN w:val="0"/>
      <w:adjustRightInd w:val="0"/>
      <w:snapToGrid w:val="0"/>
      <w:spacing w:after="0" w:line="360" w:lineRule="auto"/>
      <w:ind w:left="0" w:leftChars="0" w:firstLine="200" w:firstLineChars="200"/>
    </w:pPr>
    <w:rPr>
      <w:szCs w:val="20"/>
    </w:rPr>
  </w:style>
  <w:style w:type="character" w:customStyle="1" w:styleId="495">
    <w:name w:val="正文样式新 Char Char"/>
    <w:link w:val="496"/>
    <w:qFormat/>
    <w:locked/>
    <w:uiPriority w:val="0"/>
    <w:rPr>
      <w:rFonts w:ascii="宋体" w:hAnsi="宋体"/>
      <w:sz w:val="24"/>
      <w:szCs w:val="24"/>
    </w:rPr>
  </w:style>
  <w:style w:type="paragraph" w:customStyle="1" w:styleId="496">
    <w:name w:val="正文样式新"/>
    <w:basedOn w:val="1"/>
    <w:link w:val="495"/>
    <w:qFormat/>
    <w:uiPriority w:val="0"/>
    <w:pPr>
      <w:spacing w:line="360" w:lineRule="auto"/>
      <w:ind w:firstLine="600" w:firstLineChars="250"/>
    </w:pPr>
    <w:rPr>
      <w:rFonts w:ascii="宋体" w:hAnsi="宋体"/>
      <w:kern w:val="0"/>
    </w:rPr>
  </w:style>
  <w:style w:type="paragraph" w:customStyle="1" w:styleId="497">
    <w:name w:val="LNG－标题2"/>
    <w:basedOn w:val="1"/>
    <w:qFormat/>
    <w:uiPriority w:val="0"/>
    <w:pPr>
      <w:tabs>
        <w:tab w:val="left" w:pos="425"/>
        <w:tab w:val="left" w:pos="851"/>
      </w:tabs>
      <w:spacing w:line="360" w:lineRule="auto"/>
      <w:ind w:left="851" w:hanging="567"/>
    </w:pPr>
    <w:rPr>
      <w:b/>
      <w:kern w:val="0"/>
      <w:sz w:val="28"/>
      <w:szCs w:val="28"/>
    </w:rPr>
  </w:style>
  <w:style w:type="paragraph" w:customStyle="1" w:styleId="498">
    <w:name w:val="xl29"/>
    <w:basedOn w:val="1"/>
    <w:qFormat/>
    <w:uiPriority w:val="0"/>
    <w:pPr>
      <w:widowControl/>
      <w:spacing w:before="100" w:beforeAutospacing="1" w:after="100" w:afterAutospacing="1" w:line="240" w:lineRule="auto"/>
      <w:jc w:val="center"/>
    </w:pPr>
    <w:rPr>
      <w:kern w:val="0"/>
      <w:sz w:val="20"/>
      <w:szCs w:val="20"/>
    </w:rPr>
  </w:style>
  <w:style w:type="paragraph" w:customStyle="1" w:styleId="499">
    <w:name w:val="样式 表中文字 + 两端对齐"/>
    <w:basedOn w:val="462"/>
    <w:qFormat/>
    <w:uiPriority w:val="0"/>
    <w:pPr>
      <w:spacing w:line="320" w:lineRule="exact"/>
      <w:jc w:val="both"/>
    </w:pPr>
    <w:rPr>
      <w:rFonts w:cs="宋体"/>
    </w:rPr>
  </w:style>
  <w:style w:type="paragraph" w:customStyle="1" w:styleId="500">
    <w:name w:val="正文文本缩进1"/>
    <w:basedOn w:val="1"/>
    <w:qFormat/>
    <w:uiPriority w:val="0"/>
    <w:pPr>
      <w:spacing w:line="240" w:lineRule="auto"/>
      <w:ind w:firstLine="555"/>
    </w:pPr>
    <w:rPr>
      <w:rFonts w:ascii="仿宋_GB2312" w:eastAsia="仿宋_GB2312"/>
      <w:sz w:val="28"/>
      <w:szCs w:val="20"/>
    </w:rPr>
  </w:style>
  <w:style w:type="paragraph" w:customStyle="1" w:styleId="501">
    <w:name w:val="111"/>
    <w:basedOn w:val="1"/>
    <w:qFormat/>
    <w:uiPriority w:val="0"/>
    <w:pPr>
      <w:spacing w:line="240" w:lineRule="auto"/>
      <w:jc w:val="center"/>
    </w:pPr>
  </w:style>
  <w:style w:type="paragraph" w:customStyle="1" w:styleId="502">
    <w:name w:val="正文m"/>
    <w:basedOn w:val="1"/>
    <w:qFormat/>
    <w:uiPriority w:val="0"/>
    <w:pPr>
      <w:spacing w:line="360" w:lineRule="auto"/>
      <w:ind w:firstLine="480" w:firstLineChars="200"/>
    </w:pPr>
    <w:rPr>
      <w:rFonts w:ascii="黑体" w:hAnsi="新宋体" w:eastAsia="仿宋_GB2312"/>
    </w:rPr>
  </w:style>
  <w:style w:type="paragraph" w:customStyle="1" w:styleId="503">
    <w:name w:val="图标题"/>
    <w:basedOn w:val="14"/>
    <w:qFormat/>
    <w:uiPriority w:val="0"/>
    <w:pPr>
      <w:spacing w:line="440" w:lineRule="exact"/>
      <w:jc w:val="center"/>
    </w:pPr>
    <w:rPr>
      <w:rFonts w:hint="eastAsia" w:ascii="宋体" w:hAnsi="宋体" w:eastAsia="黑体" w:cs="黑体"/>
      <w:kern w:val="0"/>
      <w:sz w:val="30"/>
      <w:szCs w:val="20"/>
    </w:rPr>
  </w:style>
  <w:style w:type="paragraph" w:customStyle="1" w:styleId="504">
    <w:name w:val="(1)"/>
    <w:basedOn w:val="1"/>
    <w:qFormat/>
    <w:uiPriority w:val="0"/>
    <w:pPr>
      <w:spacing w:line="360" w:lineRule="auto"/>
      <w:ind w:firstLine="224" w:firstLineChars="224"/>
    </w:pPr>
    <w:rPr>
      <w:rFonts w:ascii="宋体" w:hAnsi="宋体"/>
      <w:b/>
    </w:rPr>
  </w:style>
  <w:style w:type="paragraph" w:customStyle="1" w:styleId="505">
    <w:name w:val="图形文字"/>
    <w:basedOn w:val="1"/>
    <w:qFormat/>
    <w:uiPriority w:val="0"/>
    <w:pPr>
      <w:adjustRightInd w:val="0"/>
      <w:snapToGrid w:val="0"/>
      <w:spacing w:line="240" w:lineRule="auto"/>
      <w:jc w:val="center"/>
    </w:pPr>
    <w:rPr>
      <w:rFonts w:eastAsia="楷体_GB2312"/>
      <w:bCs/>
      <w:szCs w:val="20"/>
    </w:rPr>
  </w:style>
  <w:style w:type="paragraph" w:customStyle="1" w:styleId="506">
    <w:name w:val="LNG-标题3"/>
    <w:basedOn w:val="1"/>
    <w:qFormat/>
    <w:uiPriority w:val="0"/>
    <w:pPr>
      <w:tabs>
        <w:tab w:val="left" w:pos="425"/>
      </w:tabs>
      <w:spacing w:line="360" w:lineRule="auto"/>
      <w:outlineLvl w:val="2"/>
    </w:pPr>
    <w:rPr>
      <w:b/>
    </w:rPr>
  </w:style>
  <w:style w:type="paragraph" w:customStyle="1" w:styleId="507">
    <w:name w:val="new Char Char Char Char Char Char Char Char Char Char Char Char Char Char Char Char Char Char Char Char Char Char Char Char Char Char Char Char Char Char Char Char Char Char Char Char Char Char Char Char Char Char"/>
    <w:basedOn w:val="1"/>
    <w:next w:val="1"/>
    <w:qFormat/>
    <w:uiPriority w:val="0"/>
    <w:pPr>
      <w:spacing w:line="360" w:lineRule="auto"/>
      <w:ind w:firstLine="200" w:firstLineChars="200"/>
    </w:pPr>
    <w:rPr>
      <w:rFonts w:ascii="宋体" w:hAnsi="宋体" w:cs="宋体"/>
    </w:rPr>
  </w:style>
  <w:style w:type="paragraph" w:customStyle="1" w:styleId="508">
    <w:name w:val="图表名称"/>
    <w:next w:val="1"/>
    <w:qFormat/>
    <w:uiPriority w:val="0"/>
    <w:pPr>
      <w:spacing w:before="25" w:after="25" w:line="360" w:lineRule="auto"/>
      <w:jc w:val="center"/>
    </w:pPr>
    <w:rPr>
      <w:rFonts w:ascii="Times New Roman" w:hAnsi="Times New Roman" w:eastAsia="黑体" w:cs="Times New Roman"/>
      <w:b/>
      <w:bCs/>
      <w:sz w:val="24"/>
      <w:szCs w:val="21"/>
      <w:lang w:val="en-US" w:eastAsia="zh-CN" w:bidi="ar-SA"/>
    </w:rPr>
  </w:style>
  <w:style w:type="paragraph" w:customStyle="1" w:styleId="509">
    <w:name w:val="样式 标题 3 + (西文) Times New Roman (中文) 楷体_GB2312 小三 左 段前: 7.8 磅..."/>
    <w:basedOn w:val="5"/>
    <w:qFormat/>
    <w:uiPriority w:val="0"/>
    <w:pPr>
      <w:widowControl w:val="0"/>
      <w:numPr>
        <w:ilvl w:val="0"/>
        <w:numId w:val="0"/>
      </w:numPr>
      <w:spacing w:before="120" w:after="120" w:line="360" w:lineRule="auto"/>
      <w:jc w:val="left"/>
    </w:pPr>
    <w:rPr>
      <w:rFonts w:eastAsia="楷体_GB2312" w:cs="宋体"/>
      <w:color w:val="auto"/>
      <w:kern w:val="0"/>
      <w:sz w:val="30"/>
      <w:szCs w:val="20"/>
    </w:rPr>
  </w:style>
  <w:style w:type="paragraph" w:customStyle="1" w:styleId="510">
    <w:name w:val="3"/>
    <w:basedOn w:val="1"/>
    <w:next w:val="28"/>
    <w:qFormat/>
    <w:uiPriority w:val="0"/>
    <w:pPr>
      <w:ind w:firstLine="200" w:firstLineChars="200"/>
    </w:pPr>
    <w:rPr>
      <w:rFonts w:ascii="宋体" w:hAnsi="Courier New"/>
      <w:szCs w:val="20"/>
    </w:rPr>
  </w:style>
  <w:style w:type="paragraph" w:customStyle="1" w:styleId="511">
    <w:name w:val="WPS Plain"/>
    <w:qFormat/>
    <w:uiPriority w:val="0"/>
    <w:pPr>
      <w:spacing w:line="360" w:lineRule="auto"/>
    </w:pPr>
    <w:rPr>
      <w:rFonts w:ascii="Times New Roman" w:hAnsi="Times New Roman" w:eastAsia="宋体" w:cs="Times New Roman"/>
      <w:lang w:val="en-US" w:eastAsia="zh-CN" w:bidi="ar-SA"/>
    </w:rPr>
  </w:style>
  <w:style w:type="character" w:customStyle="1" w:styleId="512">
    <w:name w:val="正文　缩进３字符 Char Char"/>
    <w:link w:val="513"/>
    <w:qFormat/>
    <w:locked/>
    <w:uiPriority w:val="0"/>
    <w:rPr>
      <w:iCs/>
    </w:rPr>
  </w:style>
  <w:style w:type="paragraph" w:customStyle="1" w:styleId="513">
    <w:name w:val="正文　缩进３字符"/>
    <w:basedOn w:val="1"/>
    <w:link w:val="512"/>
    <w:qFormat/>
    <w:uiPriority w:val="0"/>
    <w:pPr>
      <w:spacing w:before="40" w:after="40" w:line="360" w:lineRule="auto"/>
      <w:ind w:firstLine="300" w:firstLineChars="300"/>
    </w:pPr>
    <w:rPr>
      <w:iCs/>
      <w:kern w:val="0"/>
      <w:sz w:val="20"/>
      <w:szCs w:val="20"/>
    </w:rPr>
  </w:style>
  <w:style w:type="paragraph" w:customStyle="1" w:styleId="514">
    <w:name w:val="表格内容1 小四号字"/>
    <w:basedOn w:val="1"/>
    <w:next w:val="1"/>
    <w:qFormat/>
    <w:uiPriority w:val="0"/>
    <w:pPr>
      <w:spacing w:beforeLines="10" w:line="240" w:lineRule="exact"/>
      <w:jc w:val="center"/>
    </w:pPr>
    <w:rPr>
      <w:color w:val="000000"/>
      <w:szCs w:val="18"/>
    </w:rPr>
  </w:style>
  <w:style w:type="paragraph" w:customStyle="1" w:styleId="515">
    <w:name w:val="Char11"/>
    <w:basedOn w:val="17"/>
    <w:qFormat/>
    <w:uiPriority w:val="0"/>
    <w:pPr>
      <w:spacing w:line="360" w:lineRule="auto"/>
    </w:pPr>
    <w:rPr>
      <w:rFonts w:ascii="Tahoma" w:hAnsi="Tahoma"/>
    </w:rPr>
  </w:style>
  <w:style w:type="paragraph" w:customStyle="1" w:styleId="516">
    <w:name w:val="标题6"/>
    <w:basedOn w:val="1"/>
    <w:qFormat/>
    <w:uiPriority w:val="0"/>
    <w:pPr>
      <w:spacing w:line="520" w:lineRule="exact"/>
      <w:ind w:right="5800" w:rightChars="2762" w:firstLine="480" w:firstLineChars="200"/>
    </w:pPr>
    <w:rPr>
      <w:rFonts w:ascii="宋体" w:hAnsi="宋体"/>
      <w:color w:val="000000"/>
    </w:rPr>
  </w:style>
  <w:style w:type="character" w:customStyle="1" w:styleId="517">
    <w:name w:val="样式 标题 3 + 楷体_GB2312 红色 Char Char"/>
    <w:link w:val="518"/>
    <w:qFormat/>
    <w:locked/>
    <w:uiPriority w:val="0"/>
    <w:rPr>
      <w:rFonts w:ascii="楷体_GB2312" w:hAnsi="楷体_GB2312" w:eastAsia="楷体_GB2312"/>
      <w:b/>
      <w:bCs/>
      <w:color w:val="FF0000"/>
      <w:sz w:val="24"/>
      <w:szCs w:val="32"/>
    </w:rPr>
  </w:style>
  <w:style w:type="paragraph" w:customStyle="1" w:styleId="518">
    <w:name w:val="样式 标题 3 + 楷体_GB2312 红色"/>
    <w:basedOn w:val="5"/>
    <w:link w:val="517"/>
    <w:qFormat/>
    <w:uiPriority w:val="0"/>
    <w:pPr>
      <w:widowControl w:val="0"/>
      <w:numPr>
        <w:ilvl w:val="0"/>
        <w:numId w:val="0"/>
      </w:numPr>
      <w:spacing w:before="120" w:after="120" w:line="360" w:lineRule="auto"/>
    </w:pPr>
    <w:rPr>
      <w:rFonts w:ascii="楷体_GB2312" w:hAnsi="楷体_GB2312" w:eastAsia="楷体_GB2312"/>
      <w:color w:val="FF0000"/>
      <w:kern w:val="0"/>
    </w:rPr>
  </w:style>
  <w:style w:type="paragraph" w:customStyle="1" w:styleId="519">
    <w:name w:val="样式 样式 LNG－标题1 + 段前: 0.5 行 段后: 0.5 行 + 段前: 0.5 行 段后: 0.5 行"/>
    <w:basedOn w:val="1"/>
    <w:qFormat/>
    <w:uiPriority w:val="0"/>
    <w:pPr>
      <w:tabs>
        <w:tab w:val="left" w:pos="425"/>
      </w:tabs>
      <w:adjustRightInd w:val="0"/>
      <w:spacing w:beforeLines="50" w:line="360" w:lineRule="auto"/>
      <w:ind w:left="425" w:hanging="425"/>
      <w:jc w:val="center"/>
      <w:outlineLvl w:val="0"/>
    </w:pPr>
    <w:rPr>
      <w:rFonts w:cs="宋体"/>
      <w:b/>
      <w:bCs/>
      <w:kern w:val="0"/>
      <w:sz w:val="32"/>
      <w:szCs w:val="20"/>
    </w:rPr>
  </w:style>
  <w:style w:type="paragraph" w:customStyle="1" w:styleId="520">
    <w:name w:val="样式 公式符号说明 + 段后: 0.5 行"/>
    <w:basedOn w:val="1"/>
    <w:qFormat/>
    <w:uiPriority w:val="0"/>
    <w:pPr>
      <w:spacing w:line="360" w:lineRule="auto"/>
      <w:jc w:val="left"/>
    </w:pPr>
    <w:rPr>
      <w:rFonts w:ascii="宋体" w:hAnsi="宋体"/>
      <w:color w:val="000000"/>
      <w:szCs w:val="20"/>
      <w:lang w:val="zh-CN"/>
    </w:rPr>
  </w:style>
  <w:style w:type="paragraph" w:customStyle="1" w:styleId="521">
    <w:name w:val="new Char Char Char Char Char Char Char Char Char Char Char Char Char Char Char Char Char Char"/>
    <w:basedOn w:val="1"/>
    <w:next w:val="1"/>
    <w:qFormat/>
    <w:uiPriority w:val="0"/>
    <w:pPr>
      <w:spacing w:line="360" w:lineRule="auto"/>
      <w:ind w:firstLine="200" w:firstLineChars="200"/>
    </w:pPr>
    <w:rPr>
      <w:rFonts w:ascii="宋体" w:hAnsi="宋体" w:cs="宋体"/>
    </w:rPr>
  </w:style>
  <w:style w:type="paragraph" w:customStyle="1" w:styleId="522">
    <w:name w:val="列出段落2"/>
    <w:basedOn w:val="1"/>
    <w:qFormat/>
    <w:uiPriority w:val="99"/>
    <w:pPr>
      <w:spacing w:line="360" w:lineRule="auto"/>
      <w:ind w:firstLine="420" w:firstLineChars="200"/>
    </w:pPr>
  </w:style>
  <w:style w:type="paragraph" w:customStyle="1" w:styleId="523">
    <w:name w:val="条例"/>
    <w:basedOn w:val="1"/>
    <w:qFormat/>
    <w:uiPriority w:val="0"/>
    <w:pPr>
      <w:spacing w:line="500" w:lineRule="exact"/>
      <w:ind w:right="-63"/>
      <w:jc w:val="center"/>
    </w:pPr>
    <w:rPr>
      <w:sz w:val="25"/>
      <w:szCs w:val="20"/>
    </w:rPr>
  </w:style>
  <w:style w:type="paragraph" w:customStyle="1" w:styleId="524">
    <w:name w:val="【表格文字】"/>
    <w:basedOn w:val="1"/>
    <w:next w:val="1"/>
    <w:qFormat/>
    <w:uiPriority w:val="0"/>
    <w:pPr>
      <w:spacing w:line="320" w:lineRule="atLeast"/>
      <w:jc w:val="center"/>
    </w:pPr>
  </w:style>
  <w:style w:type="paragraph" w:customStyle="1" w:styleId="525">
    <w:name w:val="表格文字2"/>
    <w:basedOn w:val="1"/>
    <w:qFormat/>
    <w:uiPriority w:val="0"/>
    <w:pPr>
      <w:adjustRightInd w:val="0"/>
      <w:spacing w:before="60" w:line="360" w:lineRule="auto"/>
      <w:jc w:val="center"/>
    </w:pPr>
    <w:rPr>
      <w:rFonts w:ascii="宋体"/>
      <w:kern w:val="0"/>
      <w:szCs w:val="20"/>
    </w:rPr>
  </w:style>
  <w:style w:type="paragraph" w:customStyle="1" w:styleId="526">
    <w:name w:val="编制依据"/>
    <w:basedOn w:val="14"/>
    <w:qFormat/>
    <w:uiPriority w:val="0"/>
    <w:pPr>
      <w:tabs>
        <w:tab w:val="left" w:pos="1304"/>
      </w:tabs>
      <w:spacing w:line="440" w:lineRule="exact"/>
      <w:ind w:left="1304" w:hanging="850"/>
    </w:pPr>
    <w:rPr>
      <w:rFonts w:hint="eastAsia" w:ascii="宋体" w:hAnsi="宋体" w:cs="黑体"/>
      <w:spacing w:val="-4"/>
      <w:kern w:val="0"/>
      <w:sz w:val="25"/>
      <w:szCs w:val="20"/>
    </w:rPr>
  </w:style>
  <w:style w:type="character" w:customStyle="1" w:styleId="527">
    <w:name w:val="样式 样式 标题 2 + 段后: 0.5 行 + (西文) 宋体 小四 Char"/>
    <w:link w:val="528"/>
    <w:qFormat/>
    <w:locked/>
    <w:uiPriority w:val="0"/>
    <w:rPr>
      <w:rFonts w:ascii="宋体" w:hAnsi="宋体" w:eastAsia="仿宋_GB2312"/>
      <w:b/>
      <w:sz w:val="28"/>
    </w:rPr>
  </w:style>
  <w:style w:type="paragraph" w:customStyle="1" w:styleId="528">
    <w:name w:val="样式 样式 标题 2 + 段后: 0.5 行 + (西文) 宋体 小四"/>
    <w:basedOn w:val="1"/>
    <w:link w:val="527"/>
    <w:qFormat/>
    <w:uiPriority w:val="0"/>
    <w:pPr>
      <w:tabs>
        <w:tab w:val="left" w:pos="1158"/>
        <w:tab w:val="left" w:pos="1738"/>
      </w:tabs>
      <w:spacing w:line="240" w:lineRule="auto"/>
      <w:ind w:left="1738" w:hanging="420" w:firstLineChars="200"/>
      <w:outlineLvl w:val="1"/>
    </w:pPr>
    <w:rPr>
      <w:rFonts w:ascii="宋体" w:hAnsi="宋体" w:eastAsia="仿宋_GB2312"/>
      <w:b/>
      <w:kern w:val="0"/>
      <w:sz w:val="28"/>
      <w:szCs w:val="20"/>
    </w:rPr>
  </w:style>
  <w:style w:type="character" w:customStyle="1" w:styleId="529">
    <w:name w:val="宋体正文小四蓝色 Char"/>
    <w:link w:val="530"/>
    <w:qFormat/>
    <w:locked/>
    <w:uiPriority w:val="0"/>
    <w:rPr>
      <w:rFonts w:hAnsi="宋体"/>
      <w:sz w:val="24"/>
      <w:szCs w:val="24"/>
    </w:rPr>
  </w:style>
  <w:style w:type="paragraph" w:customStyle="1" w:styleId="530">
    <w:name w:val="宋体正文小四蓝色"/>
    <w:link w:val="529"/>
    <w:qFormat/>
    <w:uiPriority w:val="0"/>
    <w:pPr>
      <w:spacing w:line="500" w:lineRule="exact"/>
      <w:ind w:firstLine="480" w:firstLineChars="200"/>
    </w:pPr>
    <w:rPr>
      <w:rFonts w:ascii="Times New Roman" w:hAnsi="宋体" w:eastAsia="宋体" w:cs="Times New Roman"/>
      <w:sz w:val="24"/>
      <w:szCs w:val="24"/>
      <w:lang w:val="en-US" w:eastAsia="zh-CN" w:bidi="ar-SA"/>
    </w:rPr>
  </w:style>
  <w:style w:type="character" w:customStyle="1" w:styleId="531">
    <w:name w:val="01正文 Char"/>
    <w:link w:val="532"/>
    <w:qFormat/>
    <w:locked/>
    <w:uiPriority w:val="0"/>
    <w:rPr>
      <w:color w:val="3333FF"/>
      <w:sz w:val="24"/>
      <w:szCs w:val="24"/>
    </w:rPr>
  </w:style>
  <w:style w:type="paragraph" w:customStyle="1" w:styleId="532">
    <w:name w:val="01正文"/>
    <w:basedOn w:val="1"/>
    <w:link w:val="531"/>
    <w:qFormat/>
    <w:uiPriority w:val="0"/>
    <w:pPr>
      <w:adjustRightInd w:val="0"/>
      <w:snapToGrid w:val="0"/>
      <w:spacing w:line="360" w:lineRule="auto"/>
      <w:ind w:firstLine="200" w:firstLineChars="200"/>
    </w:pPr>
    <w:rPr>
      <w:color w:val="3333FF"/>
      <w:kern w:val="0"/>
    </w:rPr>
  </w:style>
  <w:style w:type="character" w:customStyle="1" w:styleId="533">
    <w:name w:val="02表头 Char"/>
    <w:link w:val="534"/>
    <w:qFormat/>
    <w:locked/>
    <w:uiPriority w:val="0"/>
    <w:rPr>
      <w:b/>
      <w:color w:val="3333FF"/>
      <w:sz w:val="24"/>
      <w:szCs w:val="24"/>
    </w:rPr>
  </w:style>
  <w:style w:type="paragraph" w:customStyle="1" w:styleId="534">
    <w:name w:val="02表头"/>
    <w:basedOn w:val="1"/>
    <w:link w:val="533"/>
    <w:qFormat/>
    <w:uiPriority w:val="0"/>
    <w:pPr>
      <w:adjustRightInd w:val="0"/>
      <w:snapToGrid w:val="0"/>
      <w:spacing w:line="360" w:lineRule="auto"/>
      <w:jc w:val="center"/>
    </w:pPr>
    <w:rPr>
      <w:b/>
      <w:color w:val="3333FF"/>
      <w:kern w:val="0"/>
    </w:rPr>
  </w:style>
  <w:style w:type="character" w:customStyle="1" w:styleId="535">
    <w:name w:val="01表格正文 Char"/>
    <w:link w:val="536"/>
    <w:qFormat/>
    <w:locked/>
    <w:uiPriority w:val="0"/>
    <w:rPr>
      <w:color w:val="3333FF"/>
      <w:szCs w:val="21"/>
    </w:rPr>
  </w:style>
  <w:style w:type="paragraph" w:customStyle="1" w:styleId="536">
    <w:name w:val="01表格正文"/>
    <w:basedOn w:val="1"/>
    <w:link w:val="535"/>
    <w:qFormat/>
    <w:uiPriority w:val="0"/>
    <w:pPr>
      <w:adjustRightInd w:val="0"/>
      <w:snapToGrid w:val="0"/>
      <w:spacing w:line="240" w:lineRule="auto"/>
      <w:jc w:val="center"/>
    </w:pPr>
    <w:rPr>
      <w:color w:val="3333FF"/>
      <w:kern w:val="0"/>
      <w:sz w:val="20"/>
      <w:szCs w:val="21"/>
    </w:rPr>
  </w:style>
  <w:style w:type="paragraph" w:customStyle="1" w:styleId="537">
    <w:name w:val="Char Char Char Char Char Char2"/>
    <w:basedOn w:val="1"/>
    <w:qFormat/>
    <w:uiPriority w:val="0"/>
    <w:pPr>
      <w:spacing w:line="240" w:lineRule="auto"/>
    </w:pPr>
    <w:rPr>
      <w:sz w:val="21"/>
    </w:rPr>
  </w:style>
  <w:style w:type="character" w:customStyle="1" w:styleId="538">
    <w:name w:val="1正文 Char"/>
    <w:link w:val="539"/>
    <w:qFormat/>
    <w:locked/>
    <w:uiPriority w:val="0"/>
    <w:rPr>
      <w:color w:val="3333FF"/>
      <w:sz w:val="24"/>
      <w:szCs w:val="24"/>
    </w:rPr>
  </w:style>
  <w:style w:type="paragraph" w:customStyle="1" w:styleId="539">
    <w:name w:val="1正文"/>
    <w:basedOn w:val="1"/>
    <w:link w:val="538"/>
    <w:qFormat/>
    <w:uiPriority w:val="0"/>
    <w:pPr>
      <w:adjustRightInd w:val="0"/>
      <w:snapToGrid w:val="0"/>
      <w:spacing w:line="360" w:lineRule="auto"/>
      <w:ind w:firstLine="480" w:firstLineChars="200"/>
    </w:pPr>
    <w:rPr>
      <w:color w:val="3333FF"/>
      <w:kern w:val="0"/>
    </w:rPr>
  </w:style>
  <w:style w:type="character" w:customStyle="1" w:styleId="540">
    <w:name w:val="正文 Char Char"/>
    <w:link w:val="541"/>
    <w:qFormat/>
    <w:locked/>
    <w:uiPriority w:val="0"/>
    <w:rPr>
      <w:rFonts w:ascii="宋体" w:hAnsi="宋体"/>
      <w:sz w:val="24"/>
    </w:rPr>
  </w:style>
  <w:style w:type="paragraph" w:customStyle="1" w:styleId="541">
    <w:name w:val="正文3"/>
    <w:basedOn w:val="1"/>
    <w:next w:val="1"/>
    <w:link w:val="540"/>
    <w:qFormat/>
    <w:uiPriority w:val="0"/>
    <w:pPr>
      <w:spacing w:line="529" w:lineRule="exact"/>
      <w:ind w:firstLine="420"/>
    </w:pPr>
    <w:rPr>
      <w:rFonts w:ascii="宋体" w:hAnsi="宋体"/>
      <w:kern w:val="0"/>
      <w:szCs w:val="20"/>
    </w:rPr>
  </w:style>
  <w:style w:type="character" w:customStyle="1" w:styleId="542">
    <w:name w:val="li-正文 Char"/>
    <w:qFormat/>
    <w:locked/>
    <w:uiPriority w:val="0"/>
    <w:rPr>
      <w:rFonts w:ascii="宋体" w:hAnsi="宋体" w:cs="宋体"/>
      <w:sz w:val="24"/>
    </w:rPr>
  </w:style>
  <w:style w:type="paragraph" w:customStyle="1" w:styleId="543">
    <w:name w:val="样式 标题 1 + 右侧:  0.42 厘米 段前: 0.5 行 段后: 0.5 行"/>
    <w:basedOn w:val="2"/>
    <w:qFormat/>
    <w:uiPriority w:val="0"/>
    <w:pPr>
      <w:keepNext/>
      <w:keepLines/>
      <w:pageBreakBefore w:val="0"/>
      <w:widowControl w:val="0"/>
      <w:spacing w:beforeLines="50" w:afterLines="50" w:line="400" w:lineRule="exact"/>
      <w:ind w:left="2835" w:right="240" w:hanging="425"/>
      <w:jc w:val="center"/>
    </w:pPr>
    <w:rPr>
      <w:rFonts w:ascii="Times New Roman" w:hAnsi="Times New Roman" w:eastAsia="微软雅黑"/>
      <w:bCs/>
      <w:color w:val="auto"/>
      <w:kern w:val="44"/>
      <w:sz w:val="36"/>
    </w:rPr>
  </w:style>
  <w:style w:type="paragraph" w:customStyle="1" w:styleId="544">
    <w:name w:val="图表"/>
    <w:qFormat/>
    <w:uiPriority w:val="0"/>
    <w:pPr>
      <w:jc w:val="center"/>
    </w:pPr>
    <w:rPr>
      <w:rFonts w:ascii="Times New Roman" w:hAnsi="Times New Roman" w:eastAsia="宋体" w:cs="Times New Roman"/>
      <w:sz w:val="21"/>
      <w:lang w:val="en-US" w:eastAsia="zh-CN" w:bidi="ar-SA"/>
    </w:rPr>
  </w:style>
  <w:style w:type="paragraph" w:customStyle="1" w:styleId="545">
    <w:name w:val="标题 31"/>
    <w:basedOn w:val="1"/>
    <w:qFormat/>
    <w:uiPriority w:val="1"/>
    <w:pPr>
      <w:autoSpaceDE w:val="0"/>
      <w:autoSpaceDN w:val="0"/>
      <w:adjustRightInd w:val="0"/>
      <w:spacing w:line="240" w:lineRule="auto"/>
      <w:ind w:left="200"/>
      <w:jc w:val="left"/>
      <w:outlineLvl w:val="2"/>
    </w:pPr>
    <w:rPr>
      <w:rFonts w:ascii="微软雅黑" w:eastAsia="微软雅黑" w:cs="微软雅黑"/>
      <w:b/>
      <w:bCs/>
      <w:kern w:val="0"/>
    </w:rPr>
  </w:style>
  <w:style w:type="paragraph" w:customStyle="1" w:styleId="546">
    <w:name w:val="标题 41"/>
    <w:basedOn w:val="1"/>
    <w:qFormat/>
    <w:uiPriority w:val="1"/>
    <w:pPr>
      <w:spacing w:line="240" w:lineRule="auto"/>
      <w:ind w:left="341"/>
      <w:jc w:val="left"/>
      <w:outlineLvl w:val="4"/>
    </w:pPr>
    <w:rPr>
      <w:rFonts w:ascii="微软雅黑" w:hAnsi="微软雅黑" w:eastAsia="微软雅黑"/>
      <w:b/>
      <w:bCs/>
      <w:kern w:val="0"/>
      <w:sz w:val="28"/>
      <w:szCs w:val="28"/>
      <w:lang w:eastAsia="en-US"/>
    </w:rPr>
  </w:style>
  <w:style w:type="character" w:customStyle="1" w:styleId="547">
    <w:name w:val="环保表头 Char"/>
    <w:qFormat/>
    <w:locked/>
    <w:uiPriority w:val="0"/>
    <w:rPr>
      <w:rFonts w:eastAsia="黑体"/>
      <w:sz w:val="24"/>
    </w:rPr>
  </w:style>
  <w:style w:type="paragraph" w:customStyle="1" w:styleId="548">
    <w:name w:val="标题 51"/>
    <w:basedOn w:val="1"/>
    <w:qFormat/>
    <w:uiPriority w:val="1"/>
    <w:pPr>
      <w:spacing w:line="240" w:lineRule="auto"/>
      <w:ind w:left="680"/>
      <w:jc w:val="left"/>
      <w:outlineLvl w:val="5"/>
    </w:pPr>
    <w:rPr>
      <w:rFonts w:ascii="微软雅黑" w:hAnsi="微软雅黑" w:eastAsia="微软雅黑"/>
      <w:b/>
      <w:bCs/>
      <w:kern w:val="0"/>
      <w:lang w:eastAsia="en-US"/>
    </w:rPr>
  </w:style>
  <w:style w:type="paragraph" w:customStyle="1" w:styleId="549">
    <w:name w:val="内容11"/>
    <w:basedOn w:val="28"/>
    <w:qFormat/>
    <w:uiPriority w:val="0"/>
    <w:pPr>
      <w:widowControl w:val="0"/>
      <w:adjustRightInd w:val="0"/>
      <w:spacing w:line="360" w:lineRule="auto"/>
      <w:ind w:right="-92" w:rightChars="-44" w:firstLine="415" w:firstLineChars="179"/>
    </w:pPr>
    <w:rPr>
      <w:rFonts w:cs="Courier New" w:eastAsiaTheme="minorEastAsia"/>
      <w:color w:val="auto"/>
      <w:spacing w:val="-4"/>
      <w:position w:val="6"/>
      <w:sz w:val="24"/>
      <w:szCs w:val="24"/>
    </w:rPr>
  </w:style>
  <w:style w:type="paragraph" w:customStyle="1" w:styleId="550">
    <w:name w:val="普通(网站)1"/>
    <w:basedOn w:val="1"/>
    <w:qFormat/>
    <w:uiPriority w:val="0"/>
    <w:pPr>
      <w:widowControl/>
      <w:spacing w:before="100" w:beforeAutospacing="1" w:after="100" w:afterAutospacing="1" w:line="240" w:lineRule="auto"/>
      <w:jc w:val="left"/>
    </w:pPr>
    <w:rPr>
      <w:rFonts w:ascii="宋体" w:hAnsi="宋体"/>
      <w:szCs w:val="20"/>
    </w:rPr>
  </w:style>
  <w:style w:type="paragraph" w:customStyle="1" w:styleId="551">
    <w:name w:val="a表格中文字-表头"/>
    <w:basedOn w:val="1"/>
    <w:qFormat/>
    <w:uiPriority w:val="99"/>
    <w:pPr>
      <w:widowControl/>
      <w:adjustRightInd w:val="0"/>
      <w:snapToGrid w:val="0"/>
      <w:spacing w:line="240" w:lineRule="auto"/>
      <w:jc w:val="center"/>
    </w:pPr>
    <w:rPr>
      <w:rFonts w:ascii="宋体" w:hAnsi="Calibri" w:eastAsia="微软雅黑"/>
      <w:b/>
      <w:kern w:val="0"/>
      <w:sz w:val="22"/>
      <w:szCs w:val="21"/>
    </w:rPr>
  </w:style>
  <w:style w:type="paragraph" w:customStyle="1" w:styleId="552">
    <w:name w:val="二级"/>
    <w:basedOn w:val="1"/>
    <w:qFormat/>
    <w:uiPriority w:val="0"/>
    <w:pPr>
      <w:widowControl/>
      <w:adjustRightInd w:val="0"/>
      <w:snapToGrid w:val="0"/>
      <w:spacing w:beforeLines="50" w:line="500" w:lineRule="exact"/>
      <w:outlineLvl w:val="1"/>
    </w:pPr>
    <w:rPr>
      <w:rFonts w:ascii="Tahoma" w:hAnsi="Tahoma" w:eastAsia="微软雅黑"/>
      <w:b/>
      <w:kern w:val="0"/>
      <w:sz w:val="28"/>
      <w:szCs w:val="28"/>
    </w:rPr>
  </w:style>
  <w:style w:type="paragraph" w:customStyle="1" w:styleId="553">
    <w:name w:val="表格内容格式"/>
    <w:basedOn w:val="1"/>
    <w:qFormat/>
    <w:uiPriority w:val="99"/>
    <w:pPr>
      <w:widowControl/>
      <w:adjustRightInd w:val="0"/>
      <w:snapToGrid w:val="0"/>
      <w:spacing w:line="240" w:lineRule="auto"/>
      <w:jc w:val="center"/>
    </w:pPr>
    <w:rPr>
      <w:color w:val="0000FF"/>
      <w:kern w:val="0"/>
      <w:sz w:val="21"/>
      <w:szCs w:val="21"/>
      <w:lang w:bidi="en-US"/>
    </w:rPr>
  </w:style>
  <w:style w:type="paragraph" w:customStyle="1" w:styleId="554">
    <w:name w:val="正文五号无缩进表格内容字"/>
    <w:basedOn w:val="1"/>
    <w:qFormat/>
    <w:uiPriority w:val="0"/>
    <w:pPr>
      <w:adjustRightInd w:val="0"/>
      <w:snapToGrid w:val="0"/>
      <w:spacing w:line="240" w:lineRule="auto"/>
    </w:pPr>
    <w:rPr>
      <w:rFonts w:ascii="宋体"/>
      <w:kern w:val="0"/>
      <w:szCs w:val="20"/>
    </w:rPr>
  </w:style>
  <w:style w:type="character" w:customStyle="1" w:styleId="555">
    <w:name w:val="正文A Char"/>
    <w:link w:val="556"/>
    <w:qFormat/>
    <w:locked/>
    <w:uiPriority w:val="0"/>
    <w:rPr>
      <w:sz w:val="24"/>
      <w:szCs w:val="21"/>
    </w:rPr>
  </w:style>
  <w:style w:type="paragraph" w:customStyle="1" w:styleId="556">
    <w:name w:val="正文A"/>
    <w:basedOn w:val="28"/>
    <w:link w:val="555"/>
    <w:qFormat/>
    <w:uiPriority w:val="0"/>
    <w:pPr>
      <w:widowControl w:val="0"/>
      <w:snapToGrid w:val="0"/>
      <w:spacing w:line="360" w:lineRule="auto"/>
      <w:ind w:firstLine="201" w:firstLineChars="201"/>
    </w:pPr>
    <w:rPr>
      <w:rFonts w:ascii="Times New Roman" w:hAnsi="Times New Roman" w:cs="Times New Roman"/>
      <w:color w:val="auto"/>
      <w:kern w:val="0"/>
      <w:sz w:val="24"/>
    </w:rPr>
  </w:style>
  <w:style w:type="character" w:customStyle="1" w:styleId="557">
    <w:name w:val="表格（纵向） Char Char"/>
    <w:link w:val="558"/>
    <w:qFormat/>
    <w:locked/>
    <w:uiPriority w:val="0"/>
    <w:rPr>
      <w:rFonts w:ascii="宋体" w:hAnsi="宋体"/>
      <w:sz w:val="16"/>
    </w:rPr>
  </w:style>
  <w:style w:type="paragraph" w:customStyle="1" w:styleId="558">
    <w:name w:val="表格（纵向） Char"/>
    <w:basedOn w:val="1"/>
    <w:link w:val="557"/>
    <w:qFormat/>
    <w:uiPriority w:val="0"/>
    <w:pPr>
      <w:adjustRightInd w:val="0"/>
      <w:spacing w:before="160" w:line="240" w:lineRule="atLeast"/>
      <w:ind w:firstLine="482"/>
      <w:jc w:val="center"/>
    </w:pPr>
    <w:rPr>
      <w:rFonts w:ascii="宋体" w:hAnsi="宋体"/>
      <w:kern w:val="0"/>
      <w:sz w:val="16"/>
      <w:szCs w:val="20"/>
    </w:rPr>
  </w:style>
  <w:style w:type="character" w:customStyle="1" w:styleId="559">
    <w:name w:val="样式 标题 2节标题 2 Char Char Char Char1标题 2 Char Char Char Char Cha... Char"/>
    <w:link w:val="560"/>
    <w:qFormat/>
    <w:locked/>
    <w:uiPriority w:val="0"/>
    <w:rPr>
      <w:rFonts w:ascii="Arial" w:hAnsi="Arial" w:cs="Arial"/>
      <w:b/>
      <w:bCs/>
      <w:sz w:val="30"/>
      <w:szCs w:val="32"/>
    </w:rPr>
  </w:style>
  <w:style w:type="paragraph" w:customStyle="1" w:styleId="560">
    <w:name w:val="样式 标题 2节标题 2 Char Char Char Char1标题 2 Char Char Char Char Cha..."/>
    <w:basedOn w:val="3"/>
    <w:link w:val="559"/>
    <w:qFormat/>
    <w:uiPriority w:val="0"/>
    <w:pPr>
      <w:widowControl w:val="0"/>
      <w:numPr>
        <w:ilvl w:val="0"/>
        <w:numId w:val="0"/>
      </w:numPr>
      <w:spacing w:line="240" w:lineRule="auto"/>
      <w:jc w:val="both"/>
    </w:pPr>
    <w:rPr>
      <w:rFonts w:ascii="Arial" w:hAnsi="Arial" w:cs="Arial"/>
      <w:color w:val="auto"/>
      <w:kern w:val="0"/>
      <w:sz w:val="30"/>
    </w:rPr>
  </w:style>
  <w:style w:type="character" w:customStyle="1" w:styleId="561">
    <w:name w:val="样式 题注 + 首行缩进:  2 字符 Char"/>
    <w:link w:val="562"/>
    <w:qFormat/>
    <w:locked/>
    <w:uiPriority w:val="0"/>
    <w:rPr>
      <w:rFonts w:ascii="Arial" w:hAnsi="Arial" w:eastAsia="黑体" w:cs="宋体"/>
    </w:rPr>
  </w:style>
  <w:style w:type="paragraph" w:customStyle="1" w:styleId="562">
    <w:name w:val="样式 题注 + 首行缩进:  2 字符"/>
    <w:basedOn w:val="15"/>
    <w:link w:val="561"/>
    <w:qFormat/>
    <w:uiPriority w:val="0"/>
    <w:pPr>
      <w:spacing w:before="0" w:line="360" w:lineRule="auto"/>
      <w:ind w:firstLine="400" w:firstLineChars="200"/>
    </w:pPr>
    <w:rPr>
      <w:rFonts w:cs="宋体"/>
      <w:kern w:val="0"/>
    </w:rPr>
  </w:style>
  <w:style w:type="character" w:customStyle="1" w:styleId="563">
    <w:name w:val="正文文本缩进B Char"/>
    <w:link w:val="564"/>
    <w:qFormat/>
    <w:locked/>
    <w:uiPriority w:val="0"/>
    <w:rPr>
      <w:rFonts w:ascii="宋体" w:hAnsi="宋体"/>
      <w:sz w:val="24"/>
      <w:szCs w:val="24"/>
    </w:rPr>
  </w:style>
  <w:style w:type="paragraph" w:customStyle="1" w:styleId="564">
    <w:name w:val="正文文本缩进B"/>
    <w:basedOn w:val="23"/>
    <w:link w:val="563"/>
    <w:qFormat/>
    <w:uiPriority w:val="0"/>
    <w:pPr>
      <w:spacing w:after="0" w:line="360" w:lineRule="auto"/>
      <w:ind w:left="0" w:leftChars="0" w:firstLine="480" w:firstLineChars="200"/>
    </w:pPr>
    <w:rPr>
      <w:rFonts w:ascii="宋体" w:hAnsi="宋体"/>
      <w:kern w:val="0"/>
    </w:rPr>
  </w:style>
  <w:style w:type="character" w:customStyle="1" w:styleId="565">
    <w:name w:val="样式 样式 样式 首行缩进:  0.85 厘米 行距: 1.5 倍行距 + 黑色1 Char Char Char Char Ch...1 Char"/>
    <w:link w:val="566"/>
    <w:qFormat/>
    <w:locked/>
    <w:uiPriority w:val="0"/>
    <w:rPr>
      <w:rFonts w:ascii="宋体" w:hAnsi="宋体" w:cs="宋体"/>
      <w:color w:val="000000"/>
      <w:sz w:val="28"/>
      <w:szCs w:val="28"/>
    </w:rPr>
  </w:style>
  <w:style w:type="paragraph" w:customStyle="1" w:styleId="566">
    <w:name w:val="样式 样式 样式 首行缩进:  0.85 厘米 行距: 1.5 倍行距 + 黑色1 Char Char Char Char Ch...1"/>
    <w:basedOn w:val="1"/>
    <w:link w:val="565"/>
    <w:qFormat/>
    <w:uiPriority w:val="0"/>
    <w:pPr>
      <w:spacing w:line="500" w:lineRule="atLeast"/>
      <w:ind w:firstLine="561"/>
    </w:pPr>
    <w:rPr>
      <w:rFonts w:ascii="宋体" w:hAnsi="宋体" w:cs="宋体"/>
      <w:color w:val="000000"/>
      <w:kern w:val="0"/>
      <w:sz w:val="28"/>
      <w:szCs w:val="28"/>
    </w:rPr>
  </w:style>
  <w:style w:type="character" w:customStyle="1" w:styleId="567">
    <w:name w:val="插图 Char"/>
    <w:link w:val="568"/>
    <w:qFormat/>
    <w:locked/>
    <w:uiPriority w:val="0"/>
    <w:rPr>
      <w:bCs/>
      <w:szCs w:val="21"/>
    </w:rPr>
  </w:style>
  <w:style w:type="paragraph" w:customStyle="1" w:styleId="568">
    <w:name w:val="插图"/>
    <w:basedOn w:val="1"/>
    <w:link w:val="567"/>
    <w:qFormat/>
    <w:uiPriority w:val="0"/>
    <w:pPr>
      <w:widowControl/>
      <w:tabs>
        <w:tab w:val="left" w:pos="396"/>
      </w:tabs>
      <w:spacing w:line="240" w:lineRule="auto"/>
      <w:ind w:left="560"/>
      <w:jc w:val="center"/>
    </w:pPr>
    <w:rPr>
      <w:bCs/>
      <w:kern w:val="0"/>
      <w:sz w:val="20"/>
      <w:szCs w:val="21"/>
    </w:rPr>
  </w:style>
  <w:style w:type="character" w:customStyle="1" w:styleId="569">
    <w:name w:val="样式 样式 首行缩进:  0.85 厘米 行距: 1.5 倍行距 + 黑色1 Char Char Char Char Char Char"/>
    <w:link w:val="570"/>
    <w:qFormat/>
    <w:locked/>
    <w:uiPriority w:val="0"/>
    <w:rPr>
      <w:rFonts w:ascii="宋体" w:hAnsi="宋体" w:cs="宋体"/>
      <w:color w:val="000000"/>
      <w:sz w:val="28"/>
    </w:rPr>
  </w:style>
  <w:style w:type="paragraph" w:customStyle="1" w:styleId="570">
    <w:name w:val="样式 样式 首行缩进:  0.85 厘米 行距: 1.5 倍行距 + 黑色1 Char Char Char Char Char"/>
    <w:basedOn w:val="1"/>
    <w:link w:val="569"/>
    <w:qFormat/>
    <w:uiPriority w:val="0"/>
    <w:pPr>
      <w:spacing w:line="500" w:lineRule="atLeast"/>
      <w:ind w:firstLine="561"/>
    </w:pPr>
    <w:rPr>
      <w:rFonts w:ascii="宋体" w:hAnsi="宋体" w:cs="宋体"/>
      <w:color w:val="000000"/>
      <w:kern w:val="0"/>
      <w:sz w:val="28"/>
      <w:szCs w:val="20"/>
    </w:rPr>
  </w:style>
  <w:style w:type="character" w:customStyle="1" w:styleId="571">
    <w:name w:val="样式 样式 样式 样式 样式 四号 行距: 最小值 25 磅 + 首行缩进:  2 字符 + 首行缩进:  2 字符 + 黑色 ... Char"/>
    <w:link w:val="572"/>
    <w:qFormat/>
    <w:locked/>
    <w:uiPriority w:val="0"/>
    <w:rPr>
      <w:rFonts w:ascii="宋体" w:hAnsi="宋体" w:cs="宋体"/>
      <w:color w:val="000000"/>
      <w:sz w:val="28"/>
    </w:rPr>
  </w:style>
  <w:style w:type="paragraph" w:customStyle="1" w:styleId="572">
    <w:name w:val="样式 样式 样式 样式 样式 四号 行距: 最小值 25 磅 + 首行缩进:  2 字符 + 首行缩进:  2 字符 + 黑色 ..."/>
    <w:basedOn w:val="1"/>
    <w:link w:val="571"/>
    <w:qFormat/>
    <w:uiPriority w:val="0"/>
    <w:pPr>
      <w:spacing w:line="500" w:lineRule="atLeast"/>
      <w:ind w:firstLine="200" w:firstLineChars="200"/>
    </w:pPr>
    <w:rPr>
      <w:rFonts w:ascii="宋体" w:hAnsi="宋体" w:cs="宋体"/>
      <w:color w:val="000000"/>
      <w:kern w:val="0"/>
      <w:sz w:val="28"/>
      <w:szCs w:val="20"/>
    </w:rPr>
  </w:style>
  <w:style w:type="character" w:customStyle="1" w:styleId="573">
    <w:name w:val="标题A Char"/>
    <w:link w:val="574"/>
    <w:qFormat/>
    <w:locked/>
    <w:uiPriority w:val="0"/>
    <w:rPr>
      <w:b/>
      <w:kern w:val="24"/>
      <w:sz w:val="32"/>
      <w:szCs w:val="32"/>
    </w:rPr>
  </w:style>
  <w:style w:type="paragraph" w:customStyle="1" w:styleId="574">
    <w:name w:val="标题A"/>
    <w:basedOn w:val="1"/>
    <w:link w:val="573"/>
    <w:qFormat/>
    <w:uiPriority w:val="0"/>
    <w:pPr>
      <w:autoSpaceDE w:val="0"/>
      <w:autoSpaceDN w:val="0"/>
      <w:adjustRightInd w:val="0"/>
      <w:spacing w:beforeLines="50" w:line="300" w:lineRule="auto"/>
    </w:pPr>
    <w:rPr>
      <w:b/>
      <w:kern w:val="24"/>
      <w:sz w:val="32"/>
      <w:szCs w:val="32"/>
    </w:rPr>
  </w:style>
  <w:style w:type="character" w:customStyle="1" w:styleId="575">
    <w:name w:val="段落 Char Char"/>
    <w:link w:val="576"/>
    <w:qFormat/>
    <w:locked/>
    <w:uiPriority w:val="0"/>
    <w:rPr>
      <w:sz w:val="24"/>
      <w:szCs w:val="24"/>
    </w:rPr>
  </w:style>
  <w:style w:type="paragraph" w:customStyle="1" w:styleId="576">
    <w:name w:val="段落 Char"/>
    <w:basedOn w:val="1"/>
    <w:link w:val="575"/>
    <w:qFormat/>
    <w:uiPriority w:val="0"/>
    <w:pPr>
      <w:topLinePunct/>
      <w:snapToGrid w:val="0"/>
      <w:spacing w:line="360" w:lineRule="auto"/>
      <w:ind w:firstLine="200" w:firstLineChars="200"/>
    </w:pPr>
    <w:rPr>
      <w:kern w:val="0"/>
    </w:rPr>
  </w:style>
  <w:style w:type="character" w:customStyle="1" w:styleId="577">
    <w:name w:val="cc Char"/>
    <w:link w:val="578"/>
    <w:qFormat/>
    <w:locked/>
    <w:uiPriority w:val="0"/>
    <w:rPr>
      <w:b/>
      <w:bCs/>
      <w:sz w:val="24"/>
      <w:szCs w:val="24"/>
    </w:rPr>
  </w:style>
  <w:style w:type="paragraph" w:customStyle="1" w:styleId="578">
    <w:name w:val="cc"/>
    <w:basedOn w:val="1"/>
    <w:link w:val="577"/>
    <w:qFormat/>
    <w:uiPriority w:val="0"/>
    <w:pPr>
      <w:keepNext/>
      <w:widowControl/>
      <w:spacing w:line="360" w:lineRule="auto"/>
      <w:jc w:val="left"/>
      <w:outlineLvl w:val="2"/>
    </w:pPr>
    <w:rPr>
      <w:b/>
      <w:bCs/>
      <w:kern w:val="0"/>
    </w:rPr>
  </w:style>
  <w:style w:type="character" w:customStyle="1" w:styleId="579">
    <w:name w:val="单学凯段落格式 Char"/>
    <w:link w:val="580"/>
    <w:qFormat/>
    <w:locked/>
    <w:uiPriority w:val="0"/>
    <w:rPr>
      <w:rFonts w:ascii="仿宋_GB2312" w:eastAsia="仿宋_GB2312"/>
      <w:color w:val="000000"/>
      <w:sz w:val="28"/>
      <w:szCs w:val="28"/>
    </w:rPr>
  </w:style>
  <w:style w:type="paragraph" w:customStyle="1" w:styleId="580">
    <w:name w:val="单学凯段落格式"/>
    <w:basedOn w:val="1"/>
    <w:link w:val="579"/>
    <w:qFormat/>
    <w:uiPriority w:val="0"/>
    <w:pPr>
      <w:adjustRightInd w:val="0"/>
      <w:snapToGrid w:val="0"/>
      <w:spacing w:line="500" w:lineRule="exact"/>
      <w:ind w:firstLine="560" w:firstLineChars="200"/>
      <w:jc w:val="left"/>
    </w:pPr>
    <w:rPr>
      <w:rFonts w:ascii="仿宋_GB2312" w:eastAsia="仿宋_GB2312"/>
      <w:color w:val="000000"/>
      <w:kern w:val="0"/>
      <w:sz w:val="28"/>
      <w:szCs w:val="28"/>
    </w:rPr>
  </w:style>
  <w:style w:type="character" w:customStyle="1" w:styleId="581">
    <w:name w:val="样式 样式 样式 样式 (中文) 仿宋_GB2312 四号 黑色 首行缩进:  0.96 厘米 行距: 最小值 25 磅 + 自... Char"/>
    <w:link w:val="582"/>
    <w:qFormat/>
    <w:locked/>
    <w:uiPriority w:val="0"/>
    <w:rPr>
      <w:rFonts w:ascii="仿宋_GB2312" w:hAnsi="仿宋_GB2312" w:eastAsia="仿宋_GB2312" w:cs="宋体"/>
      <w:sz w:val="28"/>
    </w:rPr>
  </w:style>
  <w:style w:type="paragraph" w:customStyle="1" w:styleId="582">
    <w:name w:val="样式 样式 样式 样式 (中文) 仿宋_GB2312 四号 黑色 首行缩进:  0.96 厘米 行距: 最小值 25 磅 + 自..."/>
    <w:basedOn w:val="1"/>
    <w:link w:val="581"/>
    <w:qFormat/>
    <w:uiPriority w:val="0"/>
    <w:pPr>
      <w:spacing w:line="500" w:lineRule="atLeast"/>
      <w:ind w:firstLine="561"/>
    </w:pPr>
    <w:rPr>
      <w:rFonts w:ascii="仿宋_GB2312" w:hAnsi="仿宋_GB2312" w:eastAsia="仿宋_GB2312" w:cs="宋体"/>
      <w:kern w:val="0"/>
      <w:sz w:val="28"/>
      <w:szCs w:val="20"/>
    </w:rPr>
  </w:style>
  <w:style w:type="character" w:customStyle="1" w:styleId="583">
    <w:name w:val="Style First line:  2 ch Char Char"/>
    <w:link w:val="584"/>
    <w:qFormat/>
    <w:locked/>
    <w:uiPriority w:val="0"/>
    <w:rPr>
      <w:rFonts w:ascii="仿宋_GB2312" w:eastAsia="仿宋_GB2312" w:cs="宋体"/>
      <w:sz w:val="28"/>
    </w:rPr>
  </w:style>
  <w:style w:type="paragraph" w:customStyle="1" w:styleId="584">
    <w:name w:val="Style First line:  2 ch Char"/>
    <w:basedOn w:val="1"/>
    <w:link w:val="583"/>
    <w:qFormat/>
    <w:uiPriority w:val="0"/>
    <w:pPr>
      <w:spacing w:line="192" w:lineRule="auto"/>
      <w:ind w:firstLine="480" w:firstLineChars="200"/>
    </w:pPr>
    <w:rPr>
      <w:rFonts w:ascii="仿宋_GB2312" w:eastAsia="仿宋_GB2312" w:cs="宋体"/>
      <w:kern w:val="0"/>
      <w:sz w:val="28"/>
      <w:szCs w:val="20"/>
    </w:rPr>
  </w:style>
  <w:style w:type="character" w:customStyle="1" w:styleId="585">
    <w:name w:val="单学凯环表头 Char"/>
    <w:link w:val="586"/>
    <w:qFormat/>
    <w:locked/>
    <w:uiPriority w:val="0"/>
    <w:rPr>
      <w:rFonts w:ascii="仿宋_GB2312" w:hAnsi="宋体" w:eastAsia="仿宋_GB2312"/>
      <w:b/>
      <w:bCs/>
      <w:sz w:val="28"/>
      <w:szCs w:val="24"/>
    </w:rPr>
  </w:style>
  <w:style w:type="paragraph" w:customStyle="1" w:styleId="586">
    <w:name w:val="单学凯环表头"/>
    <w:basedOn w:val="1"/>
    <w:link w:val="585"/>
    <w:qFormat/>
    <w:uiPriority w:val="0"/>
    <w:pPr>
      <w:widowControl/>
      <w:tabs>
        <w:tab w:val="left" w:pos="-1008"/>
        <w:tab w:val="left" w:pos="4873"/>
      </w:tabs>
      <w:adjustRightInd w:val="0"/>
      <w:snapToGrid w:val="0"/>
      <w:spacing w:line="240" w:lineRule="auto"/>
      <w:jc w:val="center"/>
    </w:pPr>
    <w:rPr>
      <w:rFonts w:ascii="仿宋_GB2312" w:hAnsi="宋体" w:eastAsia="仿宋_GB2312"/>
      <w:b/>
      <w:bCs/>
      <w:kern w:val="0"/>
      <w:sz w:val="28"/>
    </w:rPr>
  </w:style>
  <w:style w:type="character" w:customStyle="1" w:styleId="587">
    <w:name w:val="样式 小三 行距: 最小值 25 磅 Char"/>
    <w:link w:val="588"/>
    <w:qFormat/>
    <w:locked/>
    <w:uiPriority w:val="0"/>
    <w:rPr>
      <w:rFonts w:ascii="宋体" w:hAnsi="宋体" w:cs="宋体"/>
      <w:sz w:val="28"/>
    </w:rPr>
  </w:style>
  <w:style w:type="paragraph" w:customStyle="1" w:styleId="588">
    <w:name w:val="样式 小三 行距: 最小值 25 磅"/>
    <w:basedOn w:val="1"/>
    <w:link w:val="587"/>
    <w:qFormat/>
    <w:uiPriority w:val="0"/>
    <w:pPr>
      <w:spacing w:line="500" w:lineRule="atLeast"/>
      <w:ind w:firstLine="200" w:firstLineChars="200"/>
    </w:pPr>
    <w:rPr>
      <w:rFonts w:ascii="宋体" w:hAnsi="宋体" w:cs="宋体"/>
      <w:kern w:val="0"/>
      <w:sz w:val="28"/>
      <w:szCs w:val="20"/>
    </w:rPr>
  </w:style>
  <w:style w:type="character" w:customStyle="1" w:styleId="589">
    <w:name w:val="俺的正文 Char"/>
    <w:link w:val="590"/>
    <w:qFormat/>
    <w:locked/>
    <w:uiPriority w:val="0"/>
    <w:rPr>
      <w:sz w:val="24"/>
      <w:szCs w:val="24"/>
    </w:rPr>
  </w:style>
  <w:style w:type="paragraph" w:customStyle="1" w:styleId="590">
    <w:name w:val="俺的正文"/>
    <w:basedOn w:val="1"/>
    <w:link w:val="589"/>
    <w:qFormat/>
    <w:uiPriority w:val="0"/>
    <w:pPr>
      <w:spacing w:line="460" w:lineRule="exact"/>
      <w:ind w:firstLine="200" w:firstLineChars="200"/>
    </w:pPr>
    <w:rPr>
      <w:kern w:val="0"/>
    </w:rPr>
  </w:style>
  <w:style w:type="character" w:customStyle="1" w:styleId="591">
    <w:name w:val="三级标题 Char"/>
    <w:link w:val="592"/>
    <w:qFormat/>
    <w:locked/>
    <w:uiPriority w:val="0"/>
    <w:rPr>
      <w:b/>
      <w:sz w:val="24"/>
      <w:szCs w:val="21"/>
    </w:rPr>
  </w:style>
  <w:style w:type="paragraph" w:customStyle="1" w:styleId="592">
    <w:name w:val="三级标题"/>
    <w:basedOn w:val="1"/>
    <w:link w:val="591"/>
    <w:qFormat/>
    <w:uiPriority w:val="0"/>
    <w:pPr>
      <w:snapToGrid w:val="0"/>
      <w:spacing w:beforeLines="50" w:line="360" w:lineRule="auto"/>
      <w:ind w:firstLine="200" w:firstLineChars="200"/>
    </w:pPr>
    <w:rPr>
      <w:b/>
      <w:kern w:val="0"/>
      <w:szCs w:val="21"/>
    </w:rPr>
  </w:style>
  <w:style w:type="character" w:customStyle="1" w:styleId="593">
    <w:name w:val="x正文 Char1"/>
    <w:link w:val="594"/>
    <w:qFormat/>
    <w:locked/>
    <w:uiPriority w:val="0"/>
    <w:rPr>
      <w:sz w:val="24"/>
      <w:szCs w:val="21"/>
    </w:rPr>
  </w:style>
  <w:style w:type="paragraph" w:customStyle="1" w:styleId="594">
    <w:name w:val="x正文"/>
    <w:basedOn w:val="1"/>
    <w:link w:val="593"/>
    <w:qFormat/>
    <w:uiPriority w:val="0"/>
    <w:pPr>
      <w:spacing w:line="300" w:lineRule="auto"/>
      <w:ind w:firstLine="200" w:firstLineChars="200"/>
    </w:pPr>
    <w:rPr>
      <w:kern w:val="0"/>
      <w:szCs w:val="21"/>
    </w:rPr>
  </w:style>
  <w:style w:type="character" w:customStyle="1" w:styleId="595">
    <w:name w:val="正文01 Char"/>
    <w:link w:val="596"/>
    <w:qFormat/>
    <w:locked/>
    <w:uiPriority w:val="0"/>
    <w:rPr>
      <w:rFonts w:ascii="宋体" w:hAnsi="宋体" w:cs="宋体"/>
      <w:sz w:val="28"/>
    </w:rPr>
  </w:style>
  <w:style w:type="paragraph" w:customStyle="1" w:styleId="596">
    <w:name w:val="正文01"/>
    <w:basedOn w:val="1"/>
    <w:link w:val="595"/>
    <w:qFormat/>
    <w:uiPriority w:val="0"/>
    <w:pPr>
      <w:adjustRightInd w:val="0"/>
      <w:spacing w:line="288" w:lineRule="auto"/>
      <w:ind w:firstLine="560" w:firstLineChars="200"/>
      <w:jc w:val="left"/>
    </w:pPr>
    <w:rPr>
      <w:rFonts w:ascii="宋体" w:hAnsi="宋体" w:cs="宋体"/>
      <w:kern w:val="0"/>
      <w:sz w:val="28"/>
      <w:szCs w:val="20"/>
    </w:rPr>
  </w:style>
  <w:style w:type="character" w:customStyle="1" w:styleId="597">
    <w:name w:val="表格数字 Char Char"/>
    <w:link w:val="598"/>
    <w:qFormat/>
    <w:locked/>
    <w:uiPriority w:val="0"/>
    <w:rPr>
      <w:rFonts w:ascii="Arial" w:hAnsi="Arial" w:cs="宋体"/>
    </w:rPr>
  </w:style>
  <w:style w:type="paragraph" w:customStyle="1" w:styleId="598">
    <w:name w:val="表格数字"/>
    <w:basedOn w:val="1"/>
    <w:link w:val="597"/>
    <w:qFormat/>
    <w:uiPriority w:val="0"/>
    <w:pPr>
      <w:spacing w:line="360" w:lineRule="exact"/>
      <w:jc w:val="center"/>
    </w:pPr>
    <w:rPr>
      <w:rFonts w:ascii="Arial" w:hAnsi="Arial" w:cs="宋体"/>
      <w:kern w:val="0"/>
      <w:sz w:val="20"/>
      <w:szCs w:val="20"/>
    </w:rPr>
  </w:style>
  <w:style w:type="character" w:customStyle="1" w:styleId="599">
    <w:name w:val="a Char Char"/>
    <w:link w:val="600"/>
    <w:qFormat/>
    <w:locked/>
    <w:uiPriority w:val="0"/>
    <w:rPr>
      <w:rFonts w:ascii="宋体" w:hAnsi="宋体"/>
      <w:bCs/>
      <w:sz w:val="28"/>
      <w:szCs w:val="28"/>
    </w:rPr>
  </w:style>
  <w:style w:type="paragraph" w:customStyle="1" w:styleId="600">
    <w:name w:val="a Char"/>
    <w:link w:val="599"/>
    <w:qFormat/>
    <w:uiPriority w:val="0"/>
    <w:pPr>
      <w:spacing w:line="540" w:lineRule="exact"/>
      <w:ind w:firstLine="561"/>
    </w:pPr>
    <w:rPr>
      <w:rFonts w:ascii="宋体" w:hAnsi="宋体" w:eastAsia="宋体" w:cs="Times New Roman"/>
      <w:bCs/>
      <w:sz w:val="28"/>
      <w:szCs w:val="28"/>
      <w:lang w:val="en-US" w:eastAsia="zh-CN" w:bidi="ar-SA"/>
    </w:rPr>
  </w:style>
  <w:style w:type="character" w:customStyle="1" w:styleId="601">
    <w:name w:val="样式 首行缩进:  0.94 厘米 行距: 最小值 25 磅 Char"/>
    <w:link w:val="602"/>
    <w:qFormat/>
    <w:locked/>
    <w:uiPriority w:val="0"/>
    <w:rPr>
      <w:rFonts w:ascii="宋体" w:hAnsi="宋体" w:cs="宋体"/>
      <w:sz w:val="28"/>
      <w:szCs w:val="28"/>
    </w:rPr>
  </w:style>
  <w:style w:type="paragraph" w:customStyle="1" w:styleId="602">
    <w:name w:val="样式 首行缩进:  0.94 厘米 行距: 最小值 25 磅"/>
    <w:basedOn w:val="1"/>
    <w:link w:val="601"/>
    <w:qFormat/>
    <w:uiPriority w:val="0"/>
    <w:pPr>
      <w:adjustRightInd w:val="0"/>
      <w:spacing w:line="500" w:lineRule="atLeast"/>
      <w:ind w:firstLine="561"/>
    </w:pPr>
    <w:rPr>
      <w:rFonts w:ascii="宋体" w:hAnsi="宋体" w:cs="宋体"/>
      <w:kern w:val="0"/>
      <w:sz w:val="28"/>
      <w:szCs w:val="28"/>
    </w:rPr>
  </w:style>
  <w:style w:type="character" w:customStyle="1" w:styleId="603">
    <w:name w:val="样式 宋体 小四 行距: 1.5 倍行距 Char"/>
    <w:link w:val="604"/>
    <w:qFormat/>
    <w:locked/>
    <w:uiPriority w:val="0"/>
    <w:rPr>
      <w:rFonts w:ascii="宋体" w:hAnsi="宋体" w:cs="宋体"/>
      <w:sz w:val="24"/>
    </w:rPr>
  </w:style>
  <w:style w:type="paragraph" w:customStyle="1" w:styleId="604">
    <w:name w:val="样式 宋体 小四 行距: 1.5 倍行距"/>
    <w:basedOn w:val="1"/>
    <w:link w:val="603"/>
    <w:qFormat/>
    <w:uiPriority w:val="0"/>
    <w:pPr>
      <w:spacing w:line="360" w:lineRule="auto"/>
      <w:ind w:firstLine="480" w:firstLineChars="200"/>
    </w:pPr>
    <w:rPr>
      <w:rFonts w:ascii="宋体" w:hAnsi="宋体" w:cs="宋体"/>
      <w:kern w:val="0"/>
      <w:szCs w:val="20"/>
    </w:rPr>
  </w:style>
  <w:style w:type="character" w:customStyle="1" w:styleId="605">
    <w:name w:val="样式 标题 3 + 宋体 四号 Char Char"/>
    <w:link w:val="606"/>
    <w:qFormat/>
    <w:locked/>
    <w:uiPriority w:val="0"/>
    <w:rPr>
      <w:rFonts w:ascii="宋体" w:hAnsi="宋体"/>
      <w:b/>
      <w:bCs/>
      <w:sz w:val="28"/>
      <w:szCs w:val="28"/>
    </w:rPr>
  </w:style>
  <w:style w:type="paragraph" w:customStyle="1" w:styleId="606">
    <w:name w:val="样式 标题 3 + 宋体 四号 Char"/>
    <w:basedOn w:val="5"/>
    <w:link w:val="605"/>
    <w:qFormat/>
    <w:uiPriority w:val="0"/>
    <w:pPr>
      <w:widowControl w:val="0"/>
      <w:numPr>
        <w:ilvl w:val="0"/>
        <w:numId w:val="0"/>
      </w:numPr>
      <w:spacing w:beforeLines="80" w:afterLines="40" w:line="360" w:lineRule="auto"/>
      <w:ind w:left="200" w:leftChars="200"/>
    </w:pPr>
    <w:rPr>
      <w:rFonts w:ascii="宋体" w:hAnsi="宋体"/>
      <w:color w:val="auto"/>
      <w:kern w:val="0"/>
      <w:sz w:val="28"/>
      <w:szCs w:val="28"/>
    </w:rPr>
  </w:style>
  <w:style w:type="paragraph" w:customStyle="1" w:styleId="607">
    <w:name w:val="样式5"/>
    <w:basedOn w:val="1"/>
    <w:qFormat/>
    <w:uiPriority w:val="0"/>
    <w:pPr>
      <w:snapToGrid w:val="0"/>
      <w:spacing w:line="360" w:lineRule="auto"/>
      <w:ind w:firstLine="510"/>
    </w:pPr>
  </w:style>
  <w:style w:type="character" w:customStyle="1" w:styleId="608">
    <w:name w:val="x二级标题 Char"/>
    <w:link w:val="609"/>
    <w:qFormat/>
    <w:locked/>
    <w:uiPriority w:val="0"/>
    <w:rPr>
      <w:rFonts w:asciiTheme="minorHAnsi" w:hAnsiTheme="minorHAnsi" w:eastAsiaTheme="minorEastAsia" w:cstheme="minorBidi"/>
      <w:kern w:val="2"/>
      <w:sz w:val="21"/>
      <w:szCs w:val="22"/>
    </w:rPr>
  </w:style>
  <w:style w:type="paragraph" w:customStyle="1" w:styleId="609">
    <w:name w:val="x二级标题"/>
    <w:basedOn w:val="3"/>
    <w:link w:val="608"/>
    <w:qFormat/>
    <w:uiPriority w:val="0"/>
    <w:pPr>
      <w:widowControl w:val="0"/>
      <w:numPr>
        <w:ilvl w:val="0"/>
        <w:numId w:val="0"/>
      </w:numPr>
      <w:spacing w:before="240" w:line="300" w:lineRule="auto"/>
      <w:jc w:val="both"/>
    </w:pPr>
    <w:rPr>
      <w:rFonts w:asciiTheme="minorHAnsi" w:hAnsiTheme="minorHAnsi" w:eastAsiaTheme="minorEastAsia" w:cstheme="minorBidi"/>
      <w:b w:val="0"/>
      <w:bCs w:val="0"/>
      <w:color w:val="auto"/>
      <w:sz w:val="21"/>
      <w:szCs w:val="22"/>
    </w:rPr>
  </w:style>
  <w:style w:type="character" w:customStyle="1" w:styleId="610">
    <w:name w:val="陆晶 正文 Char"/>
    <w:link w:val="611"/>
    <w:qFormat/>
    <w:locked/>
    <w:uiPriority w:val="0"/>
    <w:rPr>
      <w:b/>
      <w:spacing w:val="6"/>
      <w:sz w:val="28"/>
      <w:szCs w:val="28"/>
      <w:lang w:val="zh-CN"/>
    </w:rPr>
  </w:style>
  <w:style w:type="paragraph" w:customStyle="1" w:styleId="611">
    <w:name w:val="陆晶 正文"/>
    <w:basedOn w:val="1"/>
    <w:link w:val="610"/>
    <w:qFormat/>
    <w:uiPriority w:val="0"/>
    <w:pPr>
      <w:adjustRightInd w:val="0"/>
      <w:snapToGrid w:val="0"/>
      <w:spacing w:line="360" w:lineRule="auto"/>
      <w:ind w:firstLine="586" w:firstLineChars="200"/>
      <w:jc w:val="center"/>
    </w:pPr>
    <w:rPr>
      <w:b/>
      <w:spacing w:val="6"/>
      <w:kern w:val="0"/>
      <w:sz w:val="28"/>
      <w:szCs w:val="28"/>
      <w:lang w:val="zh-CN"/>
    </w:rPr>
  </w:style>
  <w:style w:type="character" w:customStyle="1" w:styleId="612">
    <w:name w:val="CC Char"/>
    <w:link w:val="613"/>
    <w:qFormat/>
    <w:locked/>
    <w:uiPriority w:val="0"/>
    <w:rPr>
      <w:rFonts w:ascii="宋体" w:hAnsi="宋体" w:cs="宋体"/>
      <w:b/>
      <w:bCs/>
      <w:sz w:val="32"/>
    </w:rPr>
  </w:style>
  <w:style w:type="paragraph" w:customStyle="1" w:styleId="613">
    <w:name w:val="CC"/>
    <w:basedOn w:val="1"/>
    <w:link w:val="612"/>
    <w:qFormat/>
    <w:uiPriority w:val="0"/>
    <w:pPr>
      <w:spacing w:line="360" w:lineRule="auto"/>
    </w:pPr>
    <w:rPr>
      <w:rFonts w:ascii="宋体" w:hAnsi="宋体" w:cs="宋体"/>
      <w:b/>
      <w:bCs/>
      <w:kern w:val="0"/>
      <w:sz w:val="32"/>
      <w:szCs w:val="20"/>
    </w:rPr>
  </w:style>
  <w:style w:type="character" w:customStyle="1" w:styleId="614">
    <w:name w:val="图表 Char Char Char Char"/>
    <w:link w:val="615"/>
    <w:qFormat/>
    <w:locked/>
    <w:uiPriority w:val="0"/>
    <w:rPr>
      <w:b/>
      <w:sz w:val="24"/>
      <w:szCs w:val="24"/>
    </w:rPr>
  </w:style>
  <w:style w:type="paragraph" w:customStyle="1" w:styleId="615">
    <w:name w:val="图表 Char Char Char"/>
    <w:basedOn w:val="39"/>
    <w:link w:val="614"/>
    <w:qFormat/>
    <w:uiPriority w:val="0"/>
    <w:pPr>
      <w:spacing w:before="120" w:line="360" w:lineRule="auto"/>
      <w:ind w:firstLine="723" w:firstLineChars="300"/>
    </w:pPr>
    <w:rPr>
      <w:b/>
      <w:kern w:val="0"/>
      <w:sz w:val="24"/>
    </w:rPr>
  </w:style>
  <w:style w:type="character" w:customStyle="1" w:styleId="616">
    <w:name w:val="正文zoe Char Char"/>
    <w:link w:val="617"/>
    <w:qFormat/>
    <w:locked/>
    <w:uiPriority w:val="0"/>
    <w:rPr>
      <w:rFonts w:ascii="宋体" w:hAnsi="宋体" w:cs="宋体"/>
      <w:sz w:val="24"/>
    </w:rPr>
  </w:style>
  <w:style w:type="paragraph" w:customStyle="1" w:styleId="617">
    <w:name w:val="正文zoe"/>
    <w:basedOn w:val="23"/>
    <w:link w:val="616"/>
    <w:qFormat/>
    <w:uiPriority w:val="0"/>
    <w:pPr>
      <w:adjustRightInd w:val="0"/>
      <w:spacing w:after="0" w:line="360" w:lineRule="auto"/>
      <w:ind w:left="0" w:leftChars="0" w:firstLine="480" w:firstLineChars="200"/>
    </w:pPr>
    <w:rPr>
      <w:rFonts w:ascii="宋体" w:hAnsi="宋体" w:cs="宋体"/>
      <w:kern w:val="0"/>
      <w:szCs w:val="20"/>
    </w:rPr>
  </w:style>
  <w:style w:type="character" w:customStyle="1" w:styleId="618">
    <w:name w:val="环表头 Char1"/>
    <w:link w:val="619"/>
    <w:qFormat/>
    <w:locked/>
    <w:uiPriority w:val="0"/>
    <w:rPr>
      <w:rFonts w:ascii="仿宋_GB2312" w:eastAsia="仿宋_GB2312"/>
      <w:b/>
      <w:color w:val="000000"/>
      <w:sz w:val="28"/>
      <w:szCs w:val="28"/>
    </w:rPr>
  </w:style>
  <w:style w:type="paragraph" w:customStyle="1" w:styleId="619">
    <w:name w:val="环表头"/>
    <w:basedOn w:val="1"/>
    <w:link w:val="618"/>
    <w:qFormat/>
    <w:uiPriority w:val="0"/>
    <w:pPr>
      <w:widowControl/>
      <w:suppressAutoHyphens/>
      <w:adjustRightInd w:val="0"/>
      <w:spacing w:beforeLines="50" w:line="500" w:lineRule="exact"/>
      <w:jc w:val="center"/>
    </w:pPr>
    <w:rPr>
      <w:rFonts w:ascii="仿宋_GB2312" w:eastAsia="仿宋_GB2312"/>
      <w:b/>
      <w:color w:val="000000"/>
      <w:kern w:val="0"/>
      <w:sz w:val="28"/>
      <w:szCs w:val="28"/>
    </w:rPr>
  </w:style>
  <w:style w:type="character" w:customStyle="1" w:styleId="620">
    <w:name w:val="单学凯小节标题 Char"/>
    <w:link w:val="621"/>
    <w:qFormat/>
    <w:locked/>
    <w:uiPriority w:val="0"/>
    <w:rPr>
      <w:rFonts w:ascii="仿宋_GB2312" w:eastAsia="仿宋_GB2312"/>
      <w:b/>
      <w:bCs/>
      <w:color w:val="000000"/>
      <w:sz w:val="28"/>
      <w:szCs w:val="24"/>
    </w:rPr>
  </w:style>
  <w:style w:type="paragraph" w:customStyle="1" w:styleId="621">
    <w:name w:val="单学凯小节标题"/>
    <w:basedOn w:val="1"/>
    <w:link w:val="620"/>
    <w:qFormat/>
    <w:uiPriority w:val="0"/>
    <w:pPr>
      <w:widowControl/>
      <w:tabs>
        <w:tab w:val="left" w:pos="5094"/>
      </w:tabs>
      <w:adjustRightInd w:val="0"/>
      <w:snapToGrid w:val="0"/>
      <w:spacing w:before="120" w:line="240" w:lineRule="auto"/>
    </w:pPr>
    <w:rPr>
      <w:rFonts w:ascii="仿宋_GB2312" w:eastAsia="仿宋_GB2312"/>
      <w:b/>
      <w:bCs/>
      <w:color w:val="000000"/>
      <w:kern w:val="0"/>
      <w:sz w:val="28"/>
    </w:rPr>
  </w:style>
  <w:style w:type="character" w:customStyle="1" w:styleId="622">
    <w:name w:val="环正文 Char1"/>
    <w:link w:val="623"/>
    <w:qFormat/>
    <w:locked/>
    <w:uiPriority w:val="0"/>
    <w:rPr>
      <w:rFonts w:ascii="仿宋_GB2312" w:eastAsia="仿宋_GB2312"/>
      <w:color w:val="000000"/>
      <w:sz w:val="28"/>
      <w:szCs w:val="28"/>
    </w:rPr>
  </w:style>
  <w:style w:type="paragraph" w:customStyle="1" w:styleId="623">
    <w:name w:val="环正文"/>
    <w:basedOn w:val="1"/>
    <w:link w:val="622"/>
    <w:qFormat/>
    <w:uiPriority w:val="0"/>
    <w:pPr>
      <w:widowControl/>
      <w:suppressAutoHyphens/>
      <w:adjustRightInd w:val="0"/>
      <w:spacing w:line="500" w:lineRule="exact"/>
      <w:ind w:firstLine="555"/>
    </w:pPr>
    <w:rPr>
      <w:rFonts w:ascii="仿宋_GB2312" w:eastAsia="仿宋_GB2312"/>
      <w:color w:val="000000"/>
      <w:kern w:val="0"/>
      <w:sz w:val="28"/>
      <w:szCs w:val="28"/>
    </w:rPr>
  </w:style>
  <w:style w:type="paragraph" w:customStyle="1" w:styleId="624">
    <w:name w:val="font1"/>
    <w:basedOn w:val="1"/>
    <w:qFormat/>
    <w:uiPriority w:val="0"/>
    <w:pPr>
      <w:widowControl/>
      <w:spacing w:before="100" w:beforeAutospacing="1" w:after="100" w:afterAutospacing="1" w:line="240" w:lineRule="auto"/>
      <w:jc w:val="left"/>
    </w:pPr>
    <w:rPr>
      <w:rFonts w:ascii="宋体" w:hAnsi="宋体"/>
      <w:kern w:val="0"/>
      <w:sz w:val="18"/>
      <w:szCs w:val="18"/>
    </w:rPr>
  </w:style>
  <w:style w:type="paragraph" w:customStyle="1" w:styleId="625">
    <w:name w:val="bg"/>
    <w:basedOn w:val="1"/>
    <w:next w:val="1"/>
    <w:qFormat/>
    <w:uiPriority w:val="0"/>
    <w:pPr>
      <w:adjustRightInd w:val="0"/>
      <w:snapToGrid w:val="0"/>
      <w:spacing w:line="240" w:lineRule="auto"/>
      <w:jc w:val="left"/>
    </w:pPr>
    <w:rPr>
      <w:rFonts w:ascii="Arial" w:hAnsi="Arial"/>
      <w:sz w:val="21"/>
      <w:szCs w:val="21"/>
    </w:rPr>
  </w:style>
  <w:style w:type="paragraph" w:customStyle="1" w:styleId="626">
    <w:name w:val="xl26"/>
    <w:basedOn w:val="1"/>
    <w:qFormat/>
    <w:uiPriority w:val="0"/>
    <w:pPr>
      <w:widowControl/>
      <w:spacing w:before="100" w:beforeAutospacing="1" w:after="100" w:afterAutospacing="1" w:line="240" w:lineRule="auto"/>
      <w:jc w:val="left"/>
    </w:pPr>
    <w:rPr>
      <w:rFonts w:ascii="宋体" w:hAnsi="宋体"/>
      <w:kern w:val="0"/>
    </w:rPr>
  </w:style>
  <w:style w:type="paragraph" w:customStyle="1" w:styleId="627">
    <w:name w:val="样式16"/>
    <w:basedOn w:val="1"/>
    <w:qFormat/>
    <w:uiPriority w:val="0"/>
    <w:pPr>
      <w:spacing w:line="480" w:lineRule="exact"/>
      <w:ind w:firstLine="510"/>
    </w:pPr>
  </w:style>
  <w:style w:type="paragraph" w:customStyle="1" w:styleId="628">
    <w:name w:val="低节标题"/>
    <w:basedOn w:val="3"/>
    <w:next w:val="14"/>
    <w:qFormat/>
    <w:uiPriority w:val="0"/>
    <w:pPr>
      <w:keepNext w:val="0"/>
      <w:keepLines w:val="0"/>
      <w:widowControl w:val="0"/>
      <w:numPr>
        <w:ilvl w:val="0"/>
        <w:numId w:val="0"/>
      </w:numPr>
      <w:spacing w:before="100" w:beforeAutospacing="1" w:afterLines="50" w:line="360" w:lineRule="auto"/>
      <w:ind w:firstLine="473" w:firstLineChars="200"/>
      <w:outlineLvl w:val="2"/>
    </w:pPr>
    <w:rPr>
      <w:rFonts w:ascii="黑体" w:eastAsia="黑体"/>
      <w:b w:val="0"/>
      <w:color w:val="auto"/>
      <w:sz w:val="24"/>
    </w:rPr>
  </w:style>
  <w:style w:type="paragraph" w:customStyle="1" w:styleId="629">
    <w:name w:val="标题一级"/>
    <w:basedOn w:val="1"/>
    <w:next w:val="1"/>
    <w:qFormat/>
    <w:uiPriority w:val="0"/>
    <w:pPr>
      <w:spacing w:line="360" w:lineRule="auto"/>
      <w:ind w:firstLine="480" w:firstLineChars="200"/>
    </w:pPr>
    <w:rPr>
      <w:rFonts w:eastAsia="黑体"/>
    </w:rPr>
  </w:style>
  <w:style w:type="paragraph" w:customStyle="1" w:styleId="630">
    <w:name w:val="正文样式3"/>
    <w:basedOn w:val="1"/>
    <w:qFormat/>
    <w:uiPriority w:val="0"/>
    <w:pPr>
      <w:adjustRightInd w:val="0"/>
      <w:spacing w:line="20" w:lineRule="atLeast"/>
      <w:jc w:val="center"/>
    </w:pPr>
    <w:rPr>
      <w:kern w:val="0"/>
      <w:szCs w:val="20"/>
    </w:rPr>
  </w:style>
  <w:style w:type="paragraph" w:customStyle="1" w:styleId="631">
    <w:name w:val="表文"/>
    <w:basedOn w:val="1"/>
    <w:qFormat/>
    <w:uiPriority w:val="0"/>
    <w:pPr>
      <w:spacing w:line="240" w:lineRule="auto"/>
      <w:jc w:val="left"/>
    </w:pPr>
    <w:rPr>
      <w:sz w:val="18"/>
      <w:szCs w:val="20"/>
    </w:rPr>
  </w:style>
  <w:style w:type="paragraph" w:customStyle="1" w:styleId="632">
    <w:name w:val="xl33"/>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line="240" w:lineRule="auto"/>
      <w:jc w:val="center"/>
    </w:pPr>
    <w:rPr>
      <w:rFonts w:ascii="Arial Unicode MS" w:hAnsi="Arial Unicode MS" w:eastAsia="Arial Unicode MS" w:cs="Arial Unicode MS"/>
      <w:kern w:val="0"/>
      <w:sz w:val="20"/>
      <w:szCs w:val="20"/>
    </w:rPr>
  </w:style>
  <w:style w:type="paragraph" w:customStyle="1" w:styleId="633">
    <w:name w:val="font8"/>
    <w:basedOn w:val="1"/>
    <w:qFormat/>
    <w:uiPriority w:val="0"/>
    <w:pPr>
      <w:widowControl/>
      <w:spacing w:before="100" w:beforeAutospacing="1" w:after="100" w:afterAutospacing="1" w:line="240" w:lineRule="auto"/>
      <w:jc w:val="left"/>
    </w:pPr>
    <w:rPr>
      <w:rFonts w:eastAsia="Arial Unicode MS"/>
      <w:kern w:val="0"/>
      <w:sz w:val="20"/>
      <w:szCs w:val="20"/>
    </w:rPr>
  </w:style>
  <w:style w:type="paragraph" w:customStyle="1" w:styleId="634">
    <w:name w:val="xl25"/>
    <w:basedOn w:val="1"/>
    <w:qFormat/>
    <w:uiPriority w:val="0"/>
    <w:pPr>
      <w:widowControl/>
      <w:spacing w:before="100" w:beforeAutospacing="1" w:after="100" w:afterAutospacing="1" w:line="240" w:lineRule="auto"/>
      <w:jc w:val="center"/>
    </w:pPr>
    <w:rPr>
      <w:rFonts w:ascii="宋体" w:hAnsi="宋体"/>
      <w:kern w:val="0"/>
    </w:rPr>
  </w:style>
  <w:style w:type="paragraph" w:customStyle="1" w:styleId="635">
    <w:name w:val="小表文"/>
    <w:basedOn w:val="1"/>
    <w:qFormat/>
    <w:uiPriority w:val="0"/>
    <w:pPr>
      <w:autoSpaceDE w:val="0"/>
      <w:autoSpaceDN w:val="0"/>
      <w:adjustRightInd w:val="0"/>
      <w:spacing w:before="20" w:line="240" w:lineRule="auto"/>
    </w:pPr>
    <w:rPr>
      <w:kern w:val="0"/>
      <w:sz w:val="18"/>
      <w:szCs w:val="20"/>
    </w:rPr>
  </w:style>
  <w:style w:type="paragraph" w:customStyle="1" w:styleId="636">
    <w:name w:val="xl34"/>
    <w:basedOn w:val="1"/>
    <w:qFormat/>
    <w:uiPriority w:val="0"/>
    <w:pPr>
      <w:widowControl/>
      <w:pBdr>
        <w:top w:val="single" w:color="auto" w:sz="8" w:space="0"/>
        <w:left w:val="single" w:color="auto" w:sz="4" w:space="0"/>
      </w:pBdr>
      <w:spacing w:before="100" w:beforeAutospacing="1" w:after="100" w:afterAutospacing="1" w:line="240" w:lineRule="auto"/>
      <w:jc w:val="center"/>
    </w:pPr>
    <w:rPr>
      <w:rFonts w:ascii="Arial Unicode MS" w:hAnsi="Arial Unicode MS" w:eastAsia="Arial Unicode MS" w:cs="Arial Unicode MS"/>
      <w:kern w:val="0"/>
      <w:sz w:val="20"/>
      <w:szCs w:val="20"/>
    </w:rPr>
  </w:style>
  <w:style w:type="paragraph" w:customStyle="1" w:styleId="637">
    <w:name w:val="标题LA"/>
    <w:qFormat/>
    <w:uiPriority w:val="0"/>
    <w:pPr>
      <w:adjustRightInd w:val="0"/>
      <w:snapToGrid w:val="0"/>
      <w:spacing w:before="624"/>
      <w:jc w:val="both"/>
      <w:outlineLvl w:val="0"/>
    </w:pPr>
    <w:rPr>
      <w:rFonts w:ascii="宋体" w:hAnsi="宋体" w:eastAsia="宋体" w:cs="Times New Roman"/>
      <w:b/>
      <w:sz w:val="32"/>
      <w:lang w:val="en-US" w:eastAsia="zh-CN" w:bidi="ar-SA"/>
    </w:rPr>
  </w:style>
  <w:style w:type="paragraph" w:customStyle="1" w:styleId="638">
    <w:name w:val="前言"/>
    <w:basedOn w:val="1"/>
    <w:qFormat/>
    <w:uiPriority w:val="0"/>
    <w:pPr>
      <w:autoSpaceDE w:val="0"/>
      <w:autoSpaceDN w:val="0"/>
      <w:adjustRightInd w:val="0"/>
      <w:spacing w:line="312" w:lineRule="auto"/>
      <w:jc w:val="center"/>
    </w:pPr>
    <w:rPr>
      <w:rFonts w:ascii="楷体_GB2312" w:eastAsia="楷体_GB2312"/>
      <w:kern w:val="0"/>
      <w:sz w:val="36"/>
      <w:szCs w:val="20"/>
    </w:rPr>
  </w:style>
  <w:style w:type="paragraph" w:customStyle="1" w:styleId="639">
    <w:name w:val="正文文本 21"/>
    <w:basedOn w:val="1"/>
    <w:qFormat/>
    <w:uiPriority w:val="0"/>
    <w:pPr>
      <w:tabs>
        <w:tab w:val="left" w:pos="420"/>
      </w:tabs>
      <w:adjustRightInd w:val="0"/>
      <w:spacing w:line="360" w:lineRule="auto"/>
      <w:ind w:left="420" w:firstLine="480"/>
    </w:pPr>
    <w:rPr>
      <w:szCs w:val="20"/>
    </w:rPr>
  </w:style>
  <w:style w:type="paragraph" w:customStyle="1" w:styleId="640">
    <w:name w:val="报告题目"/>
    <w:basedOn w:val="2"/>
    <w:qFormat/>
    <w:uiPriority w:val="0"/>
    <w:pPr>
      <w:keepNext/>
      <w:keepLines/>
      <w:pageBreakBefore w:val="0"/>
      <w:widowControl w:val="0"/>
      <w:autoSpaceDE w:val="0"/>
      <w:autoSpaceDN w:val="0"/>
      <w:adjustRightInd w:val="0"/>
      <w:spacing w:before="360" w:after="120" w:line="312" w:lineRule="auto"/>
      <w:jc w:val="center"/>
    </w:pPr>
    <w:rPr>
      <w:rFonts w:ascii="Arial" w:hAnsi="Arial" w:eastAsia="黑体" w:cs="Times New Roman"/>
      <w:color w:val="auto"/>
      <w:kern w:val="0"/>
    </w:rPr>
  </w:style>
  <w:style w:type="paragraph" w:customStyle="1" w:styleId="641">
    <w:name w:val="font5"/>
    <w:basedOn w:val="1"/>
    <w:qFormat/>
    <w:uiPriority w:val="0"/>
    <w:pPr>
      <w:widowControl/>
      <w:spacing w:before="100" w:beforeAutospacing="1" w:after="100" w:afterAutospacing="1" w:line="240" w:lineRule="auto"/>
      <w:jc w:val="left"/>
    </w:pPr>
    <w:rPr>
      <w:kern w:val="0"/>
      <w:sz w:val="18"/>
      <w:szCs w:val="18"/>
    </w:rPr>
  </w:style>
  <w:style w:type="paragraph" w:customStyle="1" w:styleId="642">
    <w:name w:val="Char Char Char1 Char Char Char Char Char Char Char Char Char Char Char Char1 Char Char Char Char"/>
    <w:basedOn w:val="1"/>
    <w:qFormat/>
    <w:uiPriority w:val="0"/>
    <w:pPr>
      <w:spacing w:line="360" w:lineRule="auto"/>
      <w:ind w:firstLine="200" w:firstLineChars="200"/>
    </w:pPr>
    <w:rPr>
      <w:rFonts w:ascii="宋体" w:hAnsi="宋体" w:cs="宋体"/>
    </w:rPr>
  </w:style>
  <w:style w:type="paragraph" w:customStyle="1" w:styleId="643">
    <w:name w:val="Char Char Char1 Char Char Char Char Char Char Char Char Char Char"/>
    <w:basedOn w:val="1"/>
    <w:qFormat/>
    <w:uiPriority w:val="0"/>
    <w:pPr>
      <w:spacing w:line="240" w:lineRule="auto"/>
    </w:pPr>
  </w:style>
  <w:style w:type="paragraph" w:customStyle="1" w:styleId="644">
    <w:name w:val="标题二"/>
    <w:qFormat/>
    <w:uiPriority w:val="0"/>
    <w:pPr>
      <w:spacing w:line="360" w:lineRule="auto"/>
    </w:pPr>
    <w:rPr>
      <w:rFonts w:ascii="Times New Roman" w:hAnsi="Times New Roman" w:eastAsia="宋体" w:cs="Times New Roman"/>
      <w:b/>
      <w:kern w:val="2"/>
      <w:sz w:val="24"/>
      <w:szCs w:val="24"/>
      <w:lang w:val="en-US" w:eastAsia="zh-CN" w:bidi="ar-SA"/>
    </w:rPr>
  </w:style>
  <w:style w:type="paragraph" w:customStyle="1" w:styleId="645">
    <w:name w:val="样式 四号 行距: 1.5 倍行距 首行缩进:  2 字符"/>
    <w:basedOn w:val="1"/>
    <w:qFormat/>
    <w:uiPriority w:val="0"/>
    <w:pPr>
      <w:spacing w:line="360" w:lineRule="auto"/>
      <w:ind w:firstLine="560" w:firstLineChars="200"/>
    </w:pPr>
    <w:rPr>
      <w:rFonts w:cs="宋体"/>
      <w:sz w:val="28"/>
      <w:szCs w:val="20"/>
    </w:rPr>
  </w:style>
  <w:style w:type="paragraph" w:customStyle="1" w:styleId="646">
    <w:name w:val="Char Char Char Char Char Char Char Char Char"/>
    <w:basedOn w:val="1"/>
    <w:qFormat/>
    <w:uiPriority w:val="0"/>
    <w:pPr>
      <w:widowControl/>
      <w:spacing w:after="160" w:line="240" w:lineRule="exact"/>
      <w:jc w:val="left"/>
    </w:pPr>
    <w:rPr>
      <w:rFonts w:ascii="Verdana" w:hAnsi="Verdana" w:eastAsia="仿宋_GB2312"/>
      <w:kern w:val="0"/>
      <w:szCs w:val="20"/>
      <w:lang w:eastAsia="en-US"/>
    </w:rPr>
  </w:style>
  <w:style w:type="paragraph" w:customStyle="1" w:styleId="647">
    <w:name w:val="表格2"/>
    <w:qFormat/>
    <w:uiPriority w:val="0"/>
    <w:pPr>
      <w:adjustRightInd w:val="0"/>
      <w:snapToGrid w:val="0"/>
      <w:jc w:val="center"/>
    </w:pPr>
    <w:rPr>
      <w:rFonts w:ascii="Times New Roman" w:hAnsi="Times New Roman" w:eastAsia="宋体" w:cs="Times New Roman"/>
      <w:b/>
      <w:bCs/>
      <w:sz w:val="21"/>
      <w:lang w:val="en-US" w:eastAsia="zh-CN" w:bidi="ar-SA"/>
    </w:rPr>
  </w:style>
  <w:style w:type="paragraph" w:customStyle="1" w:styleId="648">
    <w:name w:val="Char Char Char Char Char2 Char"/>
    <w:basedOn w:val="1"/>
    <w:qFormat/>
    <w:uiPriority w:val="0"/>
    <w:pPr>
      <w:adjustRightInd w:val="0"/>
      <w:snapToGrid w:val="0"/>
      <w:spacing w:line="360" w:lineRule="auto"/>
      <w:ind w:firstLine="200" w:firstLineChars="200"/>
    </w:pPr>
    <w:rPr>
      <w:rFonts w:ascii="Calibri" w:hAnsi="Calibri"/>
      <w:sz w:val="21"/>
    </w:rPr>
  </w:style>
  <w:style w:type="paragraph" w:customStyle="1" w:styleId="649">
    <w:name w:val="112"/>
    <w:basedOn w:val="2"/>
    <w:qFormat/>
    <w:uiPriority w:val="0"/>
    <w:pPr>
      <w:keepNext/>
      <w:keepLines/>
      <w:pageBreakBefore w:val="0"/>
      <w:widowControl w:val="0"/>
      <w:spacing w:before="0" w:after="0" w:line="360" w:lineRule="auto"/>
      <w:jc w:val="both"/>
      <w:outlineLvl w:val="1"/>
    </w:pPr>
    <w:rPr>
      <w:bCs/>
      <w:color w:val="auto"/>
      <w:kern w:val="0"/>
      <w:sz w:val="24"/>
      <w:szCs w:val="24"/>
    </w:rPr>
  </w:style>
  <w:style w:type="paragraph" w:customStyle="1" w:styleId="650">
    <w:name w:val="a Char Char Char Char Char1"/>
    <w:qFormat/>
    <w:uiPriority w:val="0"/>
    <w:pPr>
      <w:spacing w:line="540" w:lineRule="exact"/>
      <w:ind w:firstLine="561"/>
    </w:pPr>
    <w:rPr>
      <w:rFonts w:ascii="宋体" w:hAnsi="宋体" w:eastAsia="宋体" w:cs="Times New Roman"/>
      <w:bCs/>
      <w:kern w:val="2"/>
      <w:sz w:val="28"/>
      <w:szCs w:val="28"/>
      <w:lang w:val="en-US" w:eastAsia="zh-CN" w:bidi="ar-SA"/>
    </w:rPr>
  </w:style>
  <w:style w:type="paragraph" w:customStyle="1" w:styleId="651">
    <w:name w:val="新二级标题"/>
    <w:basedOn w:val="594"/>
    <w:qFormat/>
    <w:uiPriority w:val="0"/>
  </w:style>
  <w:style w:type="paragraph" w:customStyle="1" w:styleId="652">
    <w:name w:val="正文新 Char"/>
    <w:basedOn w:val="1"/>
    <w:qFormat/>
    <w:uiPriority w:val="0"/>
    <w:pPr>
      <w:spacing w:line="360" w:lineRule="auto"/>
      <w:ind w:firstLine="200" w:firstLineChars="200"/>
    </w:pPr>
    <w:rPr>
      <w:szCs w:val="20"/>
    </w:rPr>
  </w:style>
  <w:style w:type="paragraph" w:customStyle="1" w:styleId="653">
    <w:name w:val="4"/>
    <w:basedOn w:val="1"/>
    <w:qFormat/>
    <w:uiPriority w:val="0"/>
    <w:pPr>
      <w:spacing w:line="240" w:lineRule="auto"/>
    </w:pPr>
  </w:style>
  <w:style w:type="paragraph" w:customStyle="1" w:styleId="654">
    <w:name w:val="样式 样式 样式 标题 1 + 居中 左侧:  0 厘米 首行缩进:  0 厘米 段前: 0.5 行 段后: 0.5 行 行距:..."/>
    <w:basedOn w:val="1"/>
    <w:qFormat/>
    <w:uiPriority w:val="0"/>
    <w:pPr>
      <w:keepNext/>
      <w:keepLines/>
      <w:tabs>
        <w:tab w:val="left" w:pos="425"/>
      </w:tabs>
      <w:adjustRightInd w:val="0"/>
      <w:spacing w:beforeLines="50" w:line="500" w:lineRule="exact"/>
      <w:ind w:left="425" w:hanging="425"/>
      <w:jc w:val="center"/>
      <w:outlineLvl w:val="0"/>
    </w:pPr>
    <w:rPr>
      <w:rFonts w:cs="宋体"/>
      <w:b/>
      <w:kern w:val="44"/>
      <w:sz w:val="32"/>
      <w:szCs w:val="20"/>
    </w:rPr>
  </w:style>
  <w:style w:type="paragraph" w:customStyle="1" w:styleId="655">
    <w:name w:val="主体文字"/>
    <w:basedOn w:val="28"/>
    <w:qFormat/>
    <w:uiPriority w:val="0"/>
    <w:pPr>
      <w:widowControl w:val="0"/>
      <w:spacing w:line="360" w:lineRule="auto"/>
      <w:ind w:firstLine="540" w:firstLineChars="225"/>
    </w:pPr>
    <w:rPr>
      <w:rFonts w:hAnsi="Courier New" w:cs="Courier New" w:eastAsiaTheme="minorEastAsia"/>
      <w:color w:val="auto"/>
      <w:sz w:val="24"/>
    </w:rPr>
  </w:style>
  <w:style w:type="paragraph" w:customStyle="1" w:styleId="656">
    <w:name w:val="2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657">
    <w:name w:val="封面标题2"/>
    <w:basedOn w:val="1"/>
    <w:qFormat/>
    <w:uiPriority w:val="0"/>
    <w:pPr>
      <w:widowControl/>
      <w:spacing w:before="120" w:line="360" w:lineRule="auto"/>
      <w:jc w:val="center"/>
    </w:pPr>
    <w:rPr>
      <w:rFonts w:ascii="宋体" w:hAnsi="宋体"/>
      <w:kern w:val="0"/>
      <w:sz w:val="52"/>
      <w:szCs w:val="52"/>
    </w:rPr>
  </w:style>
  <w:style w:type="paragraph" w:customStyle="1" w:styleId="658">
    <w:name w:val="l_text"/>
    <w:basedOn w:val="1"/>
    <w:qFormat/>
    <w:uiPriority w:val="0"/>
    <w:pPr>
      <w:widowControl/>
      <w:overflowPunct w:val="0"/>
      <w:autoSpaceDE w:val="0"/>
      <w:autoSpaceDN w:val="0"/>
      <w:adjustRightInd w:val="0"/>
      <w:spacing w:line="360" w:lineRule="auto"/>
      <w:ind w:firstLine="680"/>
    </w:pPr>
    <w:rPr>
      <w:rFonts w:ascii="楷体" w:eastAsia="楷体"/>
      <w:kern w:val="0"/>
      <w:sz w:val="28"/>
      <w:szCs w:val="20"/>
    </w:rPr>
  </w:style>
  <w:style w:type="paragraph" w:customStyle="1" w:styleId="659">
    <w:name w:val="扉页格式"/>
    <w:basedOn w:val="1"/>
    <w:qFormat/>
    <w:uiPriority w:val="0"/>
    <w:pPr>
      <w:widowControl/>
      <w:spacing w:before="120" w:line="360" w:lineRule="auto"/>
      <w:ind w:firstLine="1980" w:firstLineChars="618"/>
    </w:pPr>
    <w:rPr>
      <w:rFonts w:ascii="宋体" w:hAnsi="宋体"/>
      <w:kern w:val="0"/>
      <w:sz w:val="32"/>
      <w:szCs w:val="32"/>
    </w:rPr>
  </w:style>
  <w:style w:type="paragraph" w:customStyle="1" w:styleId="660">
    <w:name w:val="图文框"/>
    <w:basedOn w:val="1"/>
    <w:qFormat/>
    <w:uiPriority w:val="0"/>
    <w:pPr>
      <w:snapToGrid w:val="0"/>
      <w:spacing w:line="360" w:lineRule="exact"/>
      <w:jc w:val="center"/>
    </w:pPr>
    <w:rPr>
      <w:rFonts w:eastAsia="仿宋_GB2312"/>
      <w:spacing w:val="-20"/>
      <w:szCs w:val="20"/>
    </w:rPr>
  </w:style>
  <w:style w:type="paragraph" w:customStyle="1" w:styleId="661">
    <w:name w:val="样式 样式 正文缩进正文（首行缩进两字） + 首行缩进:  2 字符 + 首行缩进:  2 字符"/>
    <w:basedOn w:val="1"/>
    <w:qFormat/>
    <w:uiPriority w:val="0"/>
    <w:pPr>
      <w:spacing w:line="288" w:lineRule="auto"/>
      <w:ind w:firstLine="200" w:firstLineChars="200"/>
    </w:pPr>
    <w:rPr>
      <w:rFonts w:cs="宋体"/>
      <w:szCs w:val="20"/>
    </w:rPr>
  </w:style>
  <w:style w:type="paragraph" w:customStyle="1" w:styleId="662">
    <w:name w:val="表格（横向）"/>
    <w:basedOn w:val="558"/>
    <w:qFormat/>
    <w:uiPriority w:val="0"/>
    <w:pPr>
      <w:spacing w:line="160" w:lineRule="atLeast"/>
    </w:pPr>
    <w:rPr>
      <w:rFonts w:ascii="Arial Narrow" w:hAnsi="Arial Narrow"/>
      <w:b/>
      <w:spacing w:val="-10"/>
      <w:sz w:val="24"/>
      <w:szCs w:val="24"/>
    </w:rPr>
  </w:style>
  <w:style w:type="paragraph" w:customStyle="1" w:styleId="663">
    <w:name w:val="样式 标题 2节 + 段前: 6 磅"/>
    <w:basedOn w:val="3"/>
    <w:qFormat/>
    <w:uiPriority w:val="0"/>
    <w:pPr>
      <w:widowControl w:val="0"/>
      <w:numPr>
        <w:ilvl w:val="0"/>
        <w:numId w:val="0"/>
      </w:numPr>
      <w:spacing w:before="240" w:line="288" w:lineRule="auto"/>
      <w:ind w:firstLine="200" w:firstLineChars="200"/>
      <w:jc w:val="both"/>
    </w:pPr>
    <w:rPr>
      <w:rFonts w:ascii="Arial" w:hAnsi="Arial" w:cs="宋体"/>
      <w:color w:val="auto"/>
      <w:sz w:val="30"/>
      <w:szCs w:val="20"/>
    </w:rPr>
  </w:style>
  <w:style w:type="paragraph" w:customStyle="1" w:styleId="664">
    <w:name w:val="Char Char Char Char Char Char Char Char Char Char Char Char Char Char Char1 Char Char Char1 Char Char Char"/>
    <w:basedOn w:val="1"/>
    <w:qFormat/>
    <w:uiPriority w:val="0"/>
    <w:pPr>
      <w:spacing w:line="360" w:lineRule="auto"/>
      <w:ind w:firstLine="200" w:firstLineChars="200"/>
    </w:pPr>
    <w:rPr>
      <w:rFonts w:ascii="宋体" w:hAnsi="宋体" w:cs="宋体"/>
    </w:rPr>
  </w:style>
  <w:style w:type="paragraph" w:customStyle="1" w:styleId="665">
    <w:name w:val="样式 标题 2节 + (符号) Times New Roman"/>
    <w:basedOn w:val="3"/>
    <w:qFormat/>
    <w:uiPriority w:val="0"/>
    <w:pPr>
      <w:widowControl w:val="0"/>
      <w:numPr>
        <w:ilvl w:val="0"/>
        <w:numId w:val="0"/>
      </w:numPr>
      <w:spacing w:before="240" w:line="240" w:lineRule="auto"/>
      <w:jc w:val="both"/>
    </w:pPr>
    <w:rPr>
      <w:rFonts w:ascii="Arial" w:hAnsi="Arial"/>
      <w:color w:val="auto"/>
      <w:sz w:val="30"/>
    </w:rPr>
  </w:style>
  <w:style w:type="paragraph" w:customStyle="1" w:styleId="666">
    <w:name w:val="9正文"/>
    <w:basedOn w:val="1"/>
    <w:qFormat/>
    <w:uiPriority w:val="0"/>
    <w:pPr>
      <w:spacing w:line="360" w:lineRule="auto"/>
      <w:ind w:firstLine="200" w:firstLineChars="200"/>
    </w:pPr>
  </w:style>
  <w:style w:type="paragraph" w:customStyle="1" w:styleId="667">
    <w:name w:val="2节"/>
    <w:basedOn w:val="1"/>
    <w:qFormat/>
    <w:uiPriority w:val="0"/>
    <w:pPr>
      <w:spacing w:before="600" w:after="260" w:line="360" w:lineRule="auto"/>
      <w:outlineLvl w:val="1"/>
    </w:pPr>
    <w:rPr>
      <w:rFonts w:eastAsia="黑体"/>
      <w:color w:val="000000"/>
      <w:kern w:val="44"/>
      <w:sz w:val="30"/>
    </w:rPr>
  </w:style>
  <w:style w:type="paragraph" w:customStyle="1" w:styleId="668">
    <w:name w:val="xl42"/>
    <w:basedOn w:val="1"/>
    <w:qFormat/>
    <w:uiPriority w:val="0"/>
    <w:pPr>
      <w:widowControl/>
      <w:pBdr>
        <w:bottom w:val="single" w:color="auto" w:sz="4" w:space="0"/>
      </w:pBdr>
      <w:spacing w:before="100" w:beforeAutospacing="1" w:after="100" w:afterAutospacing="1" w:line="240" w:lineRule="auto"/>
      <w:jc w:val="right"/>
    </w:pPr>
    <w:rPr>
      <w:rFonts w:ascii="Arial Unicode MS" w:hAnsi="Arial Unicode MS" w:eastAsia="Arial Unicode MS" w:cs="Arial Unicode MS"/>
      <w:kern w:val="0"/>
      <w:sz w:val="20"/>
      <w:szCs w:val="20"/>
    </w:rPr>
  </w:style>
  <w:style w:type="paragraph" w:customStyle="1" w:styleId="669">
    <w:name w:val="xl77"/>
    <w:basedOn w:val="1"/>
    <w:qFormat/>
    <w:uiPriority w:val="0"/>
    <w:pPr>
      <w:widowControl/>
      <w:pBdr>
        <w:left w:val="single" w:color="auto" w:sz="8" w:space="0"/>
        <w:bottom w:val="single" w:color="auto" w:sz="8" w:space="0"/>
      </w:pBdr>
      <w:spacing w:before="100" w:beforeAutospacing="1" w:after="100" w:afterAutospacing="1" w:line="240" w:lineRule="auto"/>
      <w:jc w:val="center"/>
    </w:pPr>
    <w:rPr>
      <w:rFonts w:ascii="Arial Unicode MS" w:hAnsi="Arial Unicode MS" w:eastAsia="Arial Unicode MS" w:cs="Arial Unicode MS"/>
      <w:kern w:val="0"/>
      <w:sz w:val="21"/>
      <w:szCs w:val="21"/>
    </w:rPr>
  </w:style>
  <w:style w:type="paragraph" w:customStyle="1" w:styleId="670">
    <w:name w:val="大兴正文"/>
    <w:basedOn w:val="1"/>
    <w:qFormat/>
    <w:uiPriority w:val="0"/>
    <w:pPr>
      <w:spacing w:line="360" w:lineRule="auto"/>
      <w:ind w:firstLine="200" w:firstLineChars="200"/>
    </w:pPr>
    <w:rPr>
      <w:rFonts w:cs="宋体"/>
    </w:rPr>
  </w:style>
  <w:style w:type="paragraph" w:customStyle="1" w:styleId="671">
    <w:name w:val="封面1"/>
    <w:basedOn w:val="5"/>
    <w:qFormat/>
    <w:uiPriority w:val="0"/>
    <w:pPr>
      <w:keepNext w:val="0"/>
      <w:keepLines w:val="0"/>
      <w:numPr>
        <w:ilvl w:val="0"/>
        <w:numId w:val="0"/>
      </w:numPr>
      <w:tabs>
        <w:tab w:val="left" w:pos="1125"/>
        <w:tab w:val="left" w:pos="1260"/>
      </w:tabs>
      <w:adjustRightInd w:val="0"/>
      <w:snapToGrid w:val="0"/>
      <w:spacing w:before="93" w:after="100" w:afterAutospacing="1" w:line="240" w:lineRule="auto"/>
      <w:jc w:val="center"/>
    </w:pPr>
    <w:rPr>
      <w:rFonts w:ascii="黑体" w:hAnsi="宋体" w:eastAsia="黑体"/>
      <w:color w:val="auto"/>
      <w:kern w:val="44"/>
      <w:sz w:val="36"/>
      <w:szCs w:val="36"/>
    </w:rPr>
  </w:style>
  <w:style w:type="paragraph" w:customStyle="1" w:styleId="672">
    <w:name w:val="封面2"/>
    <w:basedOn w:val="671"/>
    <w:qFormat/>
    <w:uiPriority w:val="0"/>
    <w:pPr>
      <w:spacing w:before="0" w:after="0" w:afterAutospacing="0" w:line="360" w:lineRule="auto"/>
      <w:jc w:val="both"/>
    </w:pPr>
    <w:rPr>
      <w:rFonts w:ascii="宋体" w:eastAsia="宋体"/>
      <w:b w:val="0"/>
      <w:sz w:val="18"/>
      <w:szCs w:val="18"/>
    </w:rPr>
  </w:style>
  <w:style w:type="paragraph" w:customStyle="1" w:styleId="673">
    <w:name w:val="文本正文"/>
    <w:basedOn w:val="1"/>
    <w:qFormat/>
    <w:uiPriority w:val="0"/>
    <w:pPr>
      <w:spacing w:line="240" w:lineRule="auto"/>
      <w:ind w:left="200" w:leftChars="200"/>
    </w:pPr>
    <w:rPr>
      <w:rFonts w:hAnsi="宋体"/>
    </w:rPr>
  </w:style>
  <w:style w:type="paragraph" w:customStyle="1" w:styleId="674">
    <w:name w:val="1正文段落"/>
    <w:basedOn w:val="1"/>
    <w:qFormat/>
    <w:uiPriority w:val="0"/>
    <w:pPr>
      <w:snapToGrid w:val="0"/>
      <w:spacing w:line="360" w:lineRule="auto"/>
      <w:ind w:firstLine="480" w:firstLineChars="200"/>
      <w:jc w:val="left"/>
    </w:pPr>
    <w:rPr>
      <w:kern w:val="0"/>
    </w:rPr>
  </w:style>
  <w:style w:type="paragraph" w:customStyle="1" w:styleId="675">
    <w:name w:val="样式 样式 样式 标题 1 + 左侧:  0 厘米 + 首行缩进:  0.02 字符 + 首行缩进:  0.02 字符"/>
    <w:basedOn w:val="1"/>
    <w:qFormat/>
    <w:uiPriority w:val="0"/>
    <w:pPr>
      <w:keepNext/>
      <w:keepLines/>
      <w:tabs>
        <w:tab w:val="left" w:pos="0"/>
      </w:tabs>
      <w:spacing w:before="340" w:after="330" w:line="576" w:lineRule="auto"/>
      <w:ind w:firstLine="9" w:firstLineChars="2"/>
      <w:outlineLvl w:val="0"/>
    </w:pPr>
    <w:rPr>
      <w:rFonts w:ascii="Arial" w:hAnsi="Arial" w:eastAsia="方正姚体" w:cs="宋体"/>
      <w:b/>
      <w:bCs/>
      <w:kern w:val="44"/>
      <w:sz w:val="36"/>
      <w:szCs w:val="36"/>
    </w:rPr>
  </w:style>
  <w:style w:type="paragraph" w:customStyle="1" w:styleId="676">
    <w:name w:val="正文表标题"/>
    <w:next w:val="1"/>
    <w:qFormat/>
    <w:uiPriority w:val="0"/>
    <w:pPr>
      <w:jc w:val="center"/>
    </w:pPr>
    <w:rPr>
      <w:rFonts w:ascii="黑体" w:hAnsi="Times New Roman" w:eastAsia="黑体" w:cs="Times New Roman"/>
      <w:sz w:val="21"/>
      <w:lang w:val="en-US" w:eastAsia="zh-CN" w:bidi="ar-SA"/>
    </w:rPr>
  </w:style>
  <w:style w:type="paragraph" w:customStyle="1" w:styleId="677">
    <w:name w:val="xl27"/>
    <w:basedOn w:val="1"/>
    <w:qFormat/>
    <w:uiPriority w:val="0"/>
    <w:pPr>
      <w:widowControl/>
      <w:pBdr>
        <w:bottom w:val="single" w:color="auto" w:sz="4" w:space="0"/>
        <w:right w:val="single" w:color="auto" w:sz="4" w:space="0"/>
      </w:pBdr>
      <w:spacing w:before="100" w:beforeAutospacing="1" w:after="100" w:afterAutospacing="1" w:line="240" w:lineRule="auto"/>
      <w:jc w:val="center"/>
    </w:pPr>
    <w:rPr>
      <w:rFonts w:ascii="Arial Unicode MS" w:hAnsi="Arial Unicode MS" w:eastAsia="Arial Unicode MS" w:cs="Arial Unicode MS"/>
      <w:color w:val="000000"/>
      <w:kern w:val="0"/>
    </w:rPr>
  </w:style>
  <w:style w:type="paragraph" w:customStyle="1" w:styleId="678">
    <w:name w:val="正文王"/>
    <w:basedOn w:val="1"/>
    <w:qFormat/>
    <w:uiPriority w:val="0"/>
    <w:pPr>
      <w:spacing w:line="240" w:lineRule="auto"/>
      <w:ind w:firstLine="200" w:firstLineChars="200"/>
    </w:pPr>
    <w:rPr>
      <w:sz w:val="28"/>
      <w:szCs w:val="20"/>
    </w:rPr>
  </w:style>
  <w:style w:type="paragraph" w:customStyle="1" w:styleId="679">
    <w:name w:val="样式13"/>
    <w:basedOn w:val="1"/>
    <w:qFormat/>
    <w:uiPriority w:val="0"/>
    <w:pPr>
      <w:snapToGrid w:val="0"/>
      <w:spacing w:line="360" w:lineRule="auto"/>
      <w:ind w:firstLine="658"/>
    </w:pPr>
    <w:rPr>
      <w:rFonts w:ascii="宋体"/>
      <w:kern w:val="0"/>
    </w:rPr>
  </w:style>
  <w:style w:type="paragraph" w:customStyle="1" w:styleId="680">
    <w:name w:val="样式 l_text + (西文) Times New Roman (中文) 黑体 居中 左侧:  0 厘米 首行缩进: ..."/>
    <w:basedOn w:val="1"/>
    <w:qFormat/>
    <w:uiPriority w:val="0"/>
    <w:pPr>
      <w:widowControl/>
      <w:overflowPunct w:val="0"/>
      <w:autoSpaceDE w:val="0"/>
      <w:autoSpaceDN w:val="0"/>
      <w:adjustRightInd w:val="0"/>
      <w:spacing w:before="120" w:after="120" w:line="240" w:lineRule="auto"/>
      <w:jc w:val="center"/>
    </w:pPr>
    <w:rPr>
      <w:rFonts w:eastAsia="黑体" w:cs="宋体"/>
      <w:kern w:val="0"/>
      <w:sz w:val="28"/>
      <w:szCs w:val="20"/>
      <w:lang w:val="en-GB"/>
    </w:rPr>
  </w:style>
  <w:style w:type="paragraph" w:customStyle="1" w:styleId="681">
    <w:name w:val="Char Char Char1 Char Char Char Char Char Char Char Char Char Char Char Char1 Char Char Char Char Char Char Char Char Char Char"/>
    <w:basedOn w:val="1"/>
    <w:qFormat/>
    <w:uiPriority w:val="0"/>
    <w:pPr>
      <w:spacing w:line="360" w:lineRule="auto"/>
      <w:ind w:firstLine="200" w:firstLineChars="200"/>
    </w:pPr>
    <w:rPr>
      <w:rFonts w:ascii="宋体" w:hAnsi="宋体" w:eastAsia="黑体" w:cs="宋体"/>
      <w:sz w:val="28"/>
    </w:rPr>
  </w:style>
  <w:style w:type="paragraph" w:customStyle="1" w:styleId="682">
    <w:name w:val="样式 首行缩进:  1.11 厘米"/>
    <w:basedOn w:val="1"/>
    <w:next w:val="1"/>
    <w:qFormat/>
    <w:uiPriority w:val="0"/>
    <w:pPr>
      <w:spacing w:line="360" w:lineRule="auto"/>
      <w:ind w:firstLine="480" w:firstLineChars="200"/>
    </w:pPr>
    <w:rPr>
      <w:rFonts w:hAnsi="宋体" w:cs="宋体"/>
    </w:rPr>
  </w:style>
  <w:style w:type="paragraph" w:customStyle="1" w:styleId="683">
    <w:name w:val="表中正文五号"/>
    <w:basedOn w:val="1"/>
    <w:qFormat/>
    <w:uiPriority w:val="0"/>
    <w:pPr>
      <w:spacing w:line="240" w:lineRule="auto"/>
      <w:jc w:val="center"/>
    </w:pPr>
    <w:rPr>
      <w:sz w:val="21"/>
      <w:szCs w:val="21"/>
    </w:rPr>
  </w:style>
  <w:style w:type="paragraph" w:customStyle="1" w:styleId="684">
    <w:name w:val="表格小4"/>
    <w:basedOn w:val="1"/>
    <w:qFormat/>
    <w:uiPriority w:val="0"/>
    <w:pPr>
      <w:widowControl/>
      <w:snapToGrid w:val="0"/>
      <w:spacing w:line="240" w:lineRule="auto"/>
      <w:jc w:val="center"/>
    </w:pPr>
    <w:rPr>
      <w:rFonts w:ascii="Arial Narrow" w:hAnsi="Arial Narrow"/>
      <w:bCs/>
      <w:kern w:val="0"/>
    </w:rPr>
  </w:style>
  <w:style w:type="paragraph" w:customStyle="1" w:styleId="685">
    <w:name w:val="表中文字5"/>
    <w:basedOn w:val="1"/>
    <w:qFormat/>
    <w:uiPriority w:val="0"/>
    <w:pPr>
      <w:spacing w:before="100" w:after="100" w:line="240" w:lineRule="auto"/>
      <w:jc w:val="center"/>
    </w:pPr>
    <w:rPr>
      <w:rFonts w:ascii="宋体"/>
      <w:color w:val="000000"/>
      <w:sz w:val="21"/>
      <w:szCs w:val="20"/>
    </w:rPr>
  </w:style>
  <w:style w:type="paragraph" w:customStyle="1" w:styleId="686">
    <w:name w:val="默认段落字体 Para Char Char Char Char Char Char Char Char Char Char"/>
    <w:basedOn w:val="5"/>
    <w:qFormat/>
    <w:uiPriority w:val="0"/>
    <w:pPr>
      <w:widowControl w:val="0"/>
      <w:numPr>
        <w:ilvl w:val="0"/>
        <w:numId w:val="0"/>
      </w:numPr>
      <w:tabs>
        <w:tab w:val="left" w:pos="360"/>
        <w:tab w:val="left" w:pos="900"/>
      </w:tabs>
      <w:snapToGrid w:val="0"/>
      <w:spacing w:before="120" w:after="120" w:line="360" w:lineRule="auto"/>
      <w:ind w:left="542" w:leftChars="-12" w:firstLine="200" w:firstLineChars="200"/>
      <w:jc w:val="left"/>
    </w:pPr>
    <w:rPr>
      <w:rFonts w:eastAsia="黑体"/>
      <w:b w:val="0"/>
      <w:bCs w:val="0"/>
      <w:color w:val="auto"/>
      <w:szCs w:val="24"/>
    </w:rPr>
  </w:style>
  <w:style w:type="paragraph" w:customStyle="1" w:styleId="687">
    <w:name w:val="表格左对齐"/>
    <w:basedOn w:val="1"/>
    <w:qFormat/>
    <w:uiPriority w:val="0"/>
    <w:pPr>
      <w:snapToGrid w:val="0"/>
      <w:spacing w:before="20" w:after="20" w:line="240" w:lineRule="auto"/>
      <w:jc w:val="left"/>
    </w:pPr>
    <w:rPr>
      <w:sz w:val="21"/>
      <w:szCs w:val="20"/>
    </w:rPr>
  </w:style>
  <w:style w:type="paragraph" w:customStyle="1" w:styleId="688">
    <w:name w:val="xl91"/>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line="240" w:lineRule="auto"/>
      <w:jc w:val="center"/>
    </w:pPr>
    <w:rPr>
      <w:color w:val="000000"/>
      <w:kern w:val="0"/>
      <w:sz w:val="20"/>
      <w:szCs w:val="20"/>
    </w:rPr>
  </w:style>
  <w:style w:type="paragraph" w:customStyle="1" w:styleId="689">
    <w:name w:val="Y空行"/>
    <w:basedOn w:val="1"/>
    <w:qFormat/>
    <w:uiPriority w:val="0"/>
    <w:pPr>
      <w:spacing w:beforeLines="15" w:line="0" w:lineRule="atLeast"/>
      <w:ind w:left="108"/>
    </w:pPr>
    <w:rPr>
      <w:rFonts w:ascii="宋体" w:hAnsi="宋体"/>
      <w:sz w:val="21"/>
      <w:szCs w:val="20"/>
    </w:rPr>
  </w:style>
  <w:style w:type="paragraph" w:customStyle="1" w:styleId="690">
    <w:name w:val="表格正文"/>
    <w:basedOn w:val="1"/>
    <w:qFormat/>
    <w:uiPriority w:val="0"/>
    <w:pPr>
      <w:keepNext/>
      <w:spacing w:line="240" w:lineRule="auto"/>
      <w:jc w:val="center"/>
    </w:pPr>
    <w:rPr>
      <w:sz w:val="21"/>
      <w:szCs w:val="21"/>
    </w:rPr>
  </w:style>
  <w:style w:type="paragraph" w:customStyle="1" w:styleId="691">
    <w:name w:val="my t－title  题注"/>
    <w:basedOn w:val="15"/>
    <w:qFormat/>
    <w:uiPriority w:val="0"/>
    <w:pPr>
      <w:keepNext/>
      <w:spacing w:before="0"/>
      <w:jc w:val="center"/>
    </w:pPr>
    <w:rPr>
      <w:rFonts w:cs="Times New Roman"/>
      <w:kern w:val="0"/>
      <w:sz w:val="24"/>
    </w:rPr>
  </w:style>
  <w:style w:type="paragraph" w:customStyle="1" w:styleId="692">
    <w:name w:val="正文(小)"/>
    <w:basedOn w:val="1"/>
    <w:qFormat/>
    <w:uiPriority w:val="0"/>
    <w:pPr>
      <w:autoSpaceDE w:val="0"/>
      <w:autoSpaceDN w:val="0"/>
      <w:adjustRightInd w:val="0"/>
      <w:spacing w:line="312" w:lineRule="auto"/>
      <w:ind w:firstLine="420" w:firstLineChars="200"/>
    </w:pPr>
    <w:rPr>
      <w:kern w:val="0"/>
      <w:sz w:val="21"/>
      <w:szCs w:val="20"/>
    </w:rPr>
  </w:style>
  <w:style w:type="paragraph" w:customStyle="1" w:styleId="693">
    <w:name w:val="表号"/>
    <w:basedOn w:val="1"/>
    <w:qFormat/>
    <w:uiPriority w:val="0"/>
    <w:pPr>
      <w:spacing w:line="240" w:lineRule="auto"/>
      <w:jc w:val="left"/>
    </w:pPr>
    <w:rPr>
      <w:rFonts w:ascii="宋体"/>
      <w:sz w:val="18"/>
      <w:szCs w:val="20"/>
    </w:rPr>
  </w:style>
  <w:style w:type="paragraph" w:customStyle="1" w:styleId="694">
    <w:name w:val="小表文居中"/>
    <w:basedOn w:val="1"/>
    <w:qFormat/>
    <w:uiPriority w:val="0"/>
    <w:pPr>
      <w:overflowPunct w:val="0"/>
      <w:spacing w:line="240" w:lineRule="auto"/>
      <w:jc w:val="center"/>
    </w:pPr>
    <w:rPr>
      <w:spacing w:val="-8"/>
      <w:sz w:val="18"/>
      <w:szCs w:val="20"/>
    </w:rPr>
  </w:style>
  <w:style w:type="paragraph" w:customStyle="1" w:styleId="695">
    <w:name w:val="font0"/>
    <w:basedOn w:val="1"/>
    <w:qFormat/>
    <w:uiPriority w:val="0"/>
    <w:pPr>
      <w:widowControl/>
      <w:spacing w:before="100" w:beforeAutospacing="1" w:after="100" w:afterAutospacing="1" w:line="240" w:lineRule="auto"/>
      <w:jc w:val="left"/>
    </w:pPr>
    <w:rPr>
      <w:rFonts w:ascii="宋体" w:hAnsi="宋体"/>
      <w:kern w:val="0"/>
      <w:sz w:val="18"/>
      <w:szCs w:val="18"/>
    </w:rPr>
  </w:style>
  <w:style w:type="paragraph" w:customStyle="1" w:styleId="696">
    <w:name w:val="标准"/>
    <w:basedOn w:val="1"/>
    <w:qFormat/>
    <w:uiPriority w:val="0"/>
    <w:pPr>
      <w:adjustRightInd w:val="0"/>
      <w:spacing w:line="360" w:lineRule="auto"/>
    </w:pPr>
    <w:rPr>
      <w:rFonts w:ascii="宋体"/>
      <w:kern w:val="0"/>
      <w:sz w:val="28"/>
      <w:szCs w:val="20"/>
    </w:rPr>
  </w:style>
  <w:style w:type="paragraph" w:customStyle="1" w:styleId="697">
    <w:name w:val="报告题目1"/>
    <w:basedOn w:val="2"/>
    <w:qFormat/>
    <w:uiPriority w:val="0"/>
    <w:pPr>
      <w:keepNext/>
      <w:keepLines/>
      <w:pageBreakBefore w:val="0"/>
      <w:widowControl w:val="0"/>
      <w:adjustRightInd w:val="0"/>
      <w:spacing w:before="120" w:after="60" w:line="300" w:lineRule="auto"/>
      <w:jc w:val="center"/>
    </w:pPr>
    <w:rPr>
      <w:rFonts w:ascii="黑体" w:hAnsi="Times New Roman" w:eastAsia="黑体" w:cs="Times New Roman"/>
      <w:b w:val="0"/>
      <w:color w:val="auto"/>
      <w:kern w:val="44"/>
      <w:sz w:val="32"/>
    </w:rPr>
  </w:style>
  <w:style w:type="paragraph" w:customStyle="1" w:styleId="698">
    <w:name w:val="font6"/>
    <w:basedOn w:val="1"/>
    <w:qFormat/>
    <w:uiPriority w:val="0"/>
    <w:pPr>
      <w:widowControl/>
      <w:spacing w:before="100" w:beforeAutospacing="1" w:after="100" w:afterAutospacing="1" w:line="240" w:lineRule="auto"/>
      <w:jc w:val="left"/>
    </w:pPr>
    <w:rPr>
      <w:kern w:val="0"/>
      <w:sz w:val="18"/>
      <w:szCs w:val="18"/>
    </w:rPr>
  </w:style>
  <w:style w:type="paragraph" w:customStyle="1" w:styleId="699">
    <w:name w:val="样式9"/>
    <w:basedOn w:val="1"/>
    <w:qFormat/>
    <w:uiPriority w:val="0"/>
    <w:pPr>
      <w:spacing w:line="360" w:lineRule="exact"/>
      <w:jc w:val="center"/>
    </w:pPr>
    <w:rPr>
      <w:rFonts w:ascii="宋体" w:hAnsi="宋体"/>
      <w:sz w:val="21"/>
      <w:szCs w:val="21"/>
    </w:rPr>
  </w:style>
  <w:style w:type="paragraph" w:customStyle="1" w:styleId="700">
    <w:name w:val="font7"/>
    <w:basedOn w:val="1"/>
    <w:qFormat/>
    <w:uiPriority w:val="0"/>
    <w:pPr>
      <w:widowControl/>
      <w:spacing w:before="100" w:beforeAutospacing="1" w:after="100" w:afterAutospacing="1" w:line="240" w:lineRule="auto"/>
      <w:jc w:val="left"/>
    </w:pPr>
    <w:rPr>
      <w:rFonts w:ascii="宋体" w:hAnsi="宋体"/>
      <w:b/>
      <w:bCs/>
      <w:kern w:val="0"/>
      <w:sz w:val="18"/>
      <w:szCs w:val="18"/>
    </w:rPr>
  </w:style>
  <w:style w:type="paragraph" w:customStyle="1" w:styleId="701">
    <w:name w:val="中文报告书样式"/>
    <w:basedOn w:val="1"/>
    <w:qFormat/>
    <w:uiPriority w:val="0"/>
    <w:pPr>
      <w:adjustRightInd w:val="0"/>
      <w:spacing w:line="480" w:lineRule="atLeast"/>
      <w:ind w:firstLine="482" w:firstLineChars="200"/>
    </w:pPr>
    <w:rPr>
      <w:kern w:val="24"/>
    </w:rPr>
  </w:style>
  <w:style w:type="paragraph" w:customStyle="1" w:styleId="702">
    <w:name w:val="俺的正文 Char Char Char"/>
    <w:basedOn w:val="1"/>
    <w:qFormat/>
    <w:uiPriority w:val="0"/>
    <w:pPr>
      <w:spacing w:line="460" w:lineRule="exact"/>
      <w:ind w:firstLine="200" w:firstLineChars="200"/>
    </w:pPr>
  </w:style>
  <w:style w:type="paragraph" w:customStyle="1" w:styleId="703">
    <w:name w:val="安庆江堤报告正文"/>
    <w:basedOn w:val="1"/>
    <w:qFormat/>
    <w:uiPriority w:val="0"/>
    <w:pPr>
      <w:tabs>
        <w:tab w:val="left" w:pos="902"/>
      </w:tabs>
      <w:snapToGrid w:val="0"/>
      <w:spacing w:beforeLines="50" w:line="240" w:lineRule="auto"/>
      <w:ind w:firstLine="539"/>
    </w:pPr>
    <w:rPr>
      <w:rFonts w:ascii="宋体" w:hAnsi="宋体"/>
      <w:szCs w:val="20"/>
    </w:rPr>
  </w:style>
  <w:style w:type="paragraph" w:customStyle="1" w:styleId="704">
    <w:name w:val="大妹正文"/>
    <w:basedOn w:val="2"/>
    <w:qFormat/>
    <w:uiPriority w:val="0"/>
    <w:pPr>
      <w:pageBreakBefore w:val="0"/>
      <w:widowControl w:val="0"/>
      <w:spacing w:before="0" w:after="0" w:line="460" w:lineRule="exact"/>
      <w:ind w:firstLine="480" w:firstLineChars="200"/>
      <w:outlineLvl w:val="9"/>
    </w:pPr>
    <w:rPr>
      <w:rFonts w:cs="Times New Roman"/>
      <w:b w:val="0"/>
      <w:kern w:val="44"/>
      <w:sz w:val="24"/>
      <w:szCs w:val="24"/>
    </w:rPr>
  </w:style>
  <w:style w:type="paragraph" w:customStyle="1" w:styleId="705">
    <w:name w:val="4级目录zoe"/>
    <w:basedOn w:val="1"/>
    <w:qFormat/>
    <w:uiPriority w:val="0"/>
    <w:pPr>
      <w:spacing w:line="360" w:lineRule="auto"/>
      <w:ind w:left="425"/>
    </w:pPr>
    <w:rPr>
      <w:rFonts w:ascii="宋体" w:hAnsi="宋体" w:cs="宋体"/>
      <w:b/>
      <w:kern w:val="21"/>
      <w:position w:val="6"/>
      <w:szCs w:val="20"/>
    </w:rPr>
  </w:style>
  <w:style w:type="paragraph" w:customStyle="1" w:styleId="706">
    <w:name w:val="标题1"/>
    <w:basedOn w:val="1"/>
    <w:qFormat/>
    <w:uiPriority w:val="0"/>
    <w:pPr>
      <w:tabs>
        <w:tab w:val="left" w:pos="840"/>
      </w:tabs>
      <w:spacing w:line="240" w:lineRule="auto"/>
      <w:ind w:left="840" w:hanging="360"/>
    </w:pPr>
    <w:rPr>
      <w:rFonts w:eastAsia="黑体"/>
      <w:b/>
    </w:rPr>
  </w:style>
  <w:style w:type="paragraph" w:customStyle="1" w:styleId="707">
    <w:name w:val="表标"/>
    <w:basedOn w:val="1"/>
    <w:next w:val="1"/>
    <w:qFormat/>
    <w:uiPriority w:val="0"/>
    <w:pPr>
      <w:spacing w:line="240" w:lineRule="atLeast"/>
      <w:jc w:val="center"/>
    </w:pPr>
    <w:rPr>
      <w:color w:val="000000"/>
      <w:sz w:val="28"/>
    </w:rPr>
  </w:style>
  <w:style w:type="paragraph" w:customStyle="1" w:styleId="708">
    <w:name w:val="章标题"/>
    <w:basedOn w:val="5"/>
    <w:next w:val="1"/>
    <w:qFormat/>
    <w:uiPriority w:val="0"/>
    <w:pPr>
      <w:widowControl w:val="0"/>
      <w:numPr>
        <w:ilvl w:val="0"/>
        <w:numId w:val="0"/>
      </w:numPr>
      <w:spacing w:before="260" w:afterLines="50" w:line="360" w:lineRule="auto"/>
      <w:ind w:left="420" w:leftChars="200"/>
      <w:jc w:val="left"/>
      <w:outlineLvl w:val="0"/>
    </w:pPr>
    <w:rPr>
      <w:rFonts w:ascii="黑体" w:hAnsi="宋体" w:eastAsia="黑体"/>
      <w:bCs w:val="0"/>
      <w:color w:val="auto"/>
    </w:rPr>
  </w:style>
  <w:style w:type="paragraph" w:customStyle="1" w:styleId="709">
    <w:name w:val="主标题"/>
    <w:basedOn w:val="1"/>
    <w:qFormat/>
    <w:uiPriority w:val="0"/>
    <w:pPr>
      <w:snapToGrid w:val="0"/>
      <w:spacing w:before="60" w:after="60" w:line="360" w:lineRule="auto"/>
      <w:jc w:val="center"/>
      <w:outlineLvl w:val="0"/>
    </w:pPr>
    <w:rPr>
      <w:rFonts w:ascii="黑体" w:eastAsia="黑体"/>
      <w:b/>
      <w:color w:val="000000"/>
      <w:sz w:val="32"/>
      <w:szCs w:val="32"/>
    </w:rPr>
  </w:style>
  <w:style w:type="paragraph" w:customStyle="1" w:styleId="710">
    <w:name w:val="关键词"/>
    <w:basedOn w:val="1"/>
    <w:qFormat/>
    <w:uiPriority w:val="0"/>
    <w:pPr>
      <w:spacing w:before="120" w:after="200" w:line="240" w:lineRule="auto"/>
      <w:ind w:firstLine="369"/>
    </w:pPr>
    <w:rPr>
      <w:rFonts w:eastAsia="黑体"/>
      <w:kern w:val="0"/>
      <w:sz w:val="18"/>
      <w:szCs w:val="20"/>
    </w:rPr>
  </w:style>
  <w:style w:type="paragraph" w:customStyle="1" w:styleId="711">
    <w:name w:val="b"/>
    <w:basedOn w:val="1"/>
    <w:qFormat/>
    <w:uiPriority w:val="0"/>
    <w:pPr>
      <w:widowControl/>
      <w:spacing w:before="100" w:beforeAutospacing="1" w:after="100" w:afterAutospacing="1" w:line="240" w:lineRule="auto"/>
      <w:jc w:val="left"/>
    </w:pPr>
    <w:rPr>
      <w:rFonts w:ascii="宋体" w:hAnsi="宋体" w:cs="宋体"/>
      <w:kern w:val="0"/>
    </w:rPr>
  </w:style>
  <w:style w:type="paragraph" w:customStyle="1" w:styleId="712">
    <w:name w:val="报告书表格"/>
    <w:basedOn w:val="1"/>
    <w:qFormat/>
    <w:uiPriority w:val="0"/>
    <w:pPr>
      <w:adjustRightInd w:val="0"/>
      <w:spacing w:before="60" w:after="60" w:line="240" w:lineRule="atLeast"/>
      <w:jc w:val="center"/>
    </w:pPr>
    <w:rPr>
      <w:kern w:val="0"/>
      <w:sz w:val="21"/>
      <w:szCs w:val="20"/>
    </w:rPr>
  </w:style>
  <w:style w:type="paragraph" w:customStyle="1" w:styleId="713">
    <w:name w:val="文字"/>
    <w:basedOn w:val="1"/>
    <w:qFormat/>
    <w:uiPriority w:val="0"/>
    <w:pPr>
      <w:widowControl/>
      <w:spacing w:line="360" w:lineRule="auto"/>
      <w:ind w:firstLine="420"/>
    </w:pPr>
    <w:rPr>
      <w:kern w:val="0"/>
    </w:rPr>
  </w:style>
  <w:style w:type="paragraph" w:customStyle="1" w:styleId="714">
    <w:name w:val="Char Char Char1 Char"/>
    <w:basedOn w:val="1"/>
    <w:qFormat/>
    <w:uiPriority w:val="0"/>
    <w:pPr>
      <w:spacing w:line="240" w:lineRule="auto"/>
    </w:pPr>
    <w:rPr>
      <w:sz w:val="21"/>
    </w:rPr>
  </w:style>
  <w:style w:type="paragraph" w:customStyle="1" w:styleId="715">
    <w:name w:val="4级标题zoe"/>
    <w:basedOn w:val="1"/>
    <w:qFormat/>
    <w:uiPriority w:val="0"/>
    <w:pPr>
      <w:spacing w:line="240" w:lineRule="auto"/>
      <w:ind w:firstLine="704" w:firstLineChars="293"/>
    </w:pPr>
    <w:rPr>
      <w:rFonts w:ascii="宋体" w:cs="宋体"/>
      <w:b/>
      <w:bCs/>
      <w:position w:val="6"/>
      <w:szCs w:val="20"/>
    </w:rPr>
  </w:style>
  <w:style w:type="paragraph" w:customStyle="1" w:styleId="716">
    <w:name w:val="段落1"/>
    <w:basedOn w:val="1"/>
    <w:qFormat/>
    <w:uiPriority w:val="0"/>
    <w:pPr>
      <w:spacing w:line="480" w:lineRule="exact"/>
      <w:ind w:firstLine="200" w:firstLineChars="200"/>
    </w:pPr>
    <w:rPr>
      <w:sz w:val="28"/>
    </w:rPr>
  </w:style>
  <w:style w:type="paragraph" w:customStyle="1" w:styleId="717">
    <w:name w:val="三级目录zoe"/>
    <w:basedOn w:val="1"/>
    <w:qFormat/>
    <w:uiPriority w:val="0"/>
    <w:pPr>
      <w:spacing w:line="360" w:lineRule="auto"/>
      <w:ind w:firstLine="240" w:firstLineChars="100"/>
    </w:pPr>
    <w:rPr>
      <w:rFonts w:ascii="宋体" w:cs="宋体"/>
      <w:b/>
      <w:bCs/>
      <w:color w:val="000000"/>
      <w:kern w:val="21"/>
      <w:position w:val="6"/>
      <w:szCs w:val="20"/>
    </w:rPr>
  </w:style>
  <w:style w:type="paragraph" w:customStyle="1" w:styleId="718">
    <w:name w:val="样式 标题3 + 加粗 段后: 0.5 行"/>
    <w:basedOn w:val="1"/>
    <w:qFormat/>
    <w:uiPriority w:val="0"/>
    <w:pPr>
      <w:keepNext/>
      <w:keepLines/>
      <w:spacing w:line="360" w:lineRule="auto"/>
      <w:outlineLvl w:val="2"/>
    </w:pPr>
    <w:rPr>
      <w:rFonts w:cs="宋体"/>
      <w:b/>
      <w:bCs/>
      <w:color w:val="000000"/>
      <w:sz w:val="28"/>
      <w:szCs w:val="28"/>
    </w:rPr>
  </w:style>
  <w:style w:type="paragraph" w:customStyle="1" w:styleId="719">
    <w:name w:val="样式21"/>
    <w:basedOn w:val="1"/>
    <w:qFormat/>
    <w:uiPriority w:val="0"/>
    <w:pPr>
      <w:spacing w:line="360" w:lineRule="exact"/>
      <w:jc w:val="center"/>
    </w:pPr>
    <w:rPr>
      <w:rFonts w:ascii="宋体" w:hAnsi="宋体"/>
      <w:b/>
    </w:rPr>
  </w:style>
  <w:style w:type="paragraph" w:customStyle="1" w:styleId="720">
    <w:name w:val="大妹正文 Char"/>
    <w:basedOn w:val="2"/>
    <w:qFormat/>
    <w:uiPriority w:val="0"/>
    <w:pPr>
      <w:pageBreakBefore w:val="0"/>
      <w:widowControl w:val="0"/>
      <w:spacing w:before="0" w:after="0" w:line="360" w:lineRule="auto"/>
      <w:ind w:firstLine="480" w:firstLineChars="200"/>
      <w:outlineLvl w:val="9"/>
    </w:pPr>
    <w:rPr>
      <w:rFonts w:ascii="Times New Roman" w:hAnsi="Times New Roman" w:cs="Times New Roman"/>
      <w:b w:val="0"/>
      <w:color w:val="008000"/>
      <w:kern w:val="2"/>
      <w:sz w:val="24"/>
      <w:szCs w:val="24"/>
    </w:rPr>
  </w:style>
  <w:style w:type="paragraph" w:customStyle="1" w:styleId="721">
    <w:name w:val="Char Char Char Char Char Char Char"/>
    <w:basedOn w:val="1"/>
    <w:qFormat/>
    <w:uiPriority w:val="0"/>
    <w:pPr>
      <w:spacing w:line="240" w:lineRule="auto"/>
    </w:pPr>
    <w:rPr>
      <w:sz w:val="21"/>
    </w:rPr>
  </w:style>
  <w:style w:type="paragraph" w:customStyle="1" w:styleId="722">
    <w:name w:val="表头文字zoe"/>
    <w:basedOn w:val="1"/>
    <w:qFormat/>
    <w:uiPriority w:val="0"/>
    <w:pPr>
      <w:spacing w:line="360" w:lineRule="auto"/>
      <w:ind w:firstLine="3600" w:firstLineChars="1500"/>
    </w:pPr>
    <w:rPr>
      <w:rFonts w:ascii="宋体" w:hAnsi="宋体"/>
      <w:position w:val="6"/>
      <w:szCs w:val="20"/>
    </w:rPr>
  </w:style>
  <w:style w:type="paragraph" w:customStyle="1" w:styleId="723">
    <w:name w:val="xl32"/>
    <w:basedOn w:val="1"/>
    <w:qFormat/>
    <w:uiPriority w:val="0"/>
    <w:pPr>
      <w:widowControl/>
      <w:pBdr>
        <w:top w:val="single" w:color="auto" w:sz="8" w:space="0"/>
        <w:left w:val="single" w:color="auto" w:sz="4" w:space="0"/>
        <w:bottom w:val="single" w:color="auto" w:sz="4" w:space="0"/>
        <w:right w:val="single" w:color="auto" w:sz="8" w:space="0"/>
      </w:pBdr>
      <w:spacing w:before="100" w:beforeAutospacing="1" w:after="100" w:afterAutospacing="1" w:line="240" w:lineRule="auto"/>
      <w:jc w:val="center"/>
    </w:pPr>
    <w:rPr>
      <w:rFonts w:ascii="Arial Unicode MS" w:hAnsi="Arial Unicode MS" w:eastAsia="Arial Unicode MS" w:cs="Arial Unicode MS"/>
      <w:kern w:val="0"/>
      <w:sz w:val="20"/>
      <w:szCs w:val="20"/>
    </w:rPr>
  </w:style>
  <w:style w:type="paragraph" w:customStyle="1" w:styleId="724">
    <w:name w:val="xl37"/>
    <w:basedOn w:val="1"/>
    <w:qFormat/>
    <w:uiPriority w:val="0"/>
    <w:pPr>
      <w:widowControl/>
      <w:pBdr>
        <w:left w:val="single" w:color="auto" w:sz="4" w:space="0"/>
        <w:bottom w:val="single" w:color="auto" w:sz="4" w:space="0"/>
        <w:right w:val="single" w:color="auto" w:sz="8" w:space="0"/>
      </w:pBdr>
      <w:spacing w:before="100" w:beforeAutospacing="1" w:after="100" w:afterAutospacing="1" w:line="240" w:lineRule="auto"/>
      <w:jc w:val="left"/>
    </w:pPr>
    <w:rPr>
      <w:rFonts w:ascii="Arial Unicode MS" w:hAnsi="Arial Unicode MS" w:eastAsia="Arial Unicode MS" w:cs="Arial Unicode MS"/>
      <w:kern w:val="0"/>
      <w:sz w:val="20"/>
      <w:szCs w:val="20"/>
    </w:rPr>
  </w:style>
  <w:style w:type="paragraph" w:customStyle="1" w:styleId="725">
    <w:name w:val="标题2"/>
    <w:basedOn w:val="1"/>
    <w:qFormat/>
    <w:uiPriority w:val="0"/>
    <w:pPr>
      <w:adjustRightInd w:val="0"/>
      <w:spacing w:before="60" w:after="60" w:line="288" w:lineRule="auto"/>
      <w:ind w:firstLine="567"/>
      <w:jc w:val="left"/>
    </w:pPr>
    <w:rPr>
      <w:rFonts w:eastAsia="黑体" w:cs="宋体"/>
      <w:b/>
      <w:bCs/>
      <w:kern w:val="0"/>
      <w:sz w:val="30"/>
      <w:szCs w:val="20"/>
    </w:rPr>
  </w:style>
  <w:style w:type="paragraph" w:customStyle="1" w:styleId="726">
    <w:name w:val="样式 标题 3 + 首行缩进:  2 字符"/>
    <w:basedOn w:val="5"/>
    <w:qFormat/>
    <w:uiPriority w:val="0"/>
    <w:pPr>
      <w:widowControl w:val="0"/>
      <w:numPr>
        <w:ilvl w:val="0"/>
        <w:numId w:val="0"/>
      </w:numPr>
      <w:snapToGrid w:val="0"/>
      <w:spacing w:before="120" w:after="0" w:line="360" w:lineRule="auto"/>
      <w:ind w:firstLine="200" w:firstLineChars="200"/>
    </w:pPr>
    <w:rPr>
      <w:rFonts w:cs="宋体"/>
      <w:color w:val="auto"/>
      <w:sz w:val="30"/>
      <w:szCs w:val="20"/>
    </w:rPr>
  </w:style>
  <w:style w:type="paragraph" w:customStyle="1" w:styleId="727">
    <w:name w:val="xl35"/>
    <w:basedOn w:val="1"/>
    <w:qFormat/>
    <w:uiPriority w:val="0"/>
    <w:pPr>
      <w:widowControl/>
      <w:pBdr>
        <w:left w:val="single" w:color="auto" w:sz="4" w:space="0"/>
        <w:right w:val="single" w:color="auto" w:sz="4" w:space="0"/>
      </w:pBdr>
      <w:spacing w:before="100" w:beforeAutospacing="1" w:after="100" w:afterAutospacing="1" w:line="240" w:lineRule="auto"/>
      <w:jc w:val="center"/>
    </w:pPr>
    <w:rPr>
      <w:rFonts w:ascii="Arial Unicode MS" w:hAnsi="Arial Unicode MS" w:eastAsia="Arial Unicode MS" w:cs="Arial Unicode MS"/>
      <w:kern w:val="0"/>
      <w:sz w:val="20"/>
      <w:szCs w:val="20"/>
    </w:rPr>
  </w:style>
  <w:style w:type="paragraph" w:customStyle="1" w:styleId="728">
    <w:name w:val="xl36"/>
    <w:basedOn w:val="1"/>
    <w:qFormat/>
    <w:uiPriority w:val="0"/>
    <w:pPr>
      <w:widowControl/>
      <w:pBdr>
        <w:left w:val="single" w:color="auto" w:sz="4" w:space="0"/>
        <w:bottom w:val="single" w:color="auto" w:sz="4" w:space="0"/>
        <w:right w:val="single" w:color="auto" w:sz="4" w:space="0"/>
      </w:pBdr>
      <w:spacing w:before="100" w:beforeAutospacing="1" w:after="100" w:afterAutospacing="1" w:line="240" w:lineRule="auto"/>
      <w:jc w:val="center"/>
    </w:pPr>
    <w:rPr>
      <w:rFonts w:ascii="Arial Unicode MS" w:hAnsi="Arial Unicode MS" w:eastAsia="Arial Unicode MS" w:cs="Arial Unicode MS"/>
      <w:kern w:val="0"/>
      <w:sz w:val="20"/>
      <w:szCs w:val="20"/>
    </w:rPr>
  </w:style>
  <w:style w:type="paragraph" w:customStyle="1" w:styleId="729">
    <w:name w:val="样式 标题 4 + (西文) Times New Roman (中文) 宋体 四号 行距: 固定值 24 磅"/>
    <w:basedOn w:val="6"/>
    <w:qFormat/>
    <w:uiPriority w:val="0"/>
    <w:pPr>
      <w:widowControl w:val="0"/>
      <w:numPr>
        <w:ilvl w:val="0"/>
        <w:numId w:val="0"/>
      </w:numPr>
      <w:tabs>
        <w:tab w:val="left" w:pos="851"/>
      </w:tabs>
      <w:spacing w:before="280" w:after="290" w:line="500" w:lineRule="exact"/>
      <w:ind w:left="851" w:hanging="851"/>
      <w:jc w:val="both"/>
    </w:pPr>
    <w:rPr>
      <w:rFonts w:cs="宋体"/>
      <w:b w:val="0"/>
      <w:color w:val="auto"/>
      <w:sz w:val="28"/>
      <w:szCs w:val="20"/>
    </w:rPr>
  </w:style>
  <w:style w:type="paragraph" w:customStyle="1" w:styleId="730">
    <w:name w:val="图形"/>
    <w:basedOn w:val="1"/>
    <w:qFormat/>
    <w:uiPriority w:val="0"/>
    <w:pPr>
      <w:spacing w:line="240" w:lineRule="auto"/>
      <w:jc w:val="center"/>
    </w:pPr>
    <w:rPr>
      <w:rFonts w:ascii="宋体" w:hAnsi="宋体"/>
    </w:rPr>
  </w:style>
  <w:style w:type="paragraph" w:customStyle="1" w:styleId="731">
    <w:name w:val="xl38"/>
    <w:basedOn w:val="1"/>
    <w:qFormat/>
    <w:uiPriority w:val="0"/>
    <w:pPr>
      <w:widowControl/>
      <w:pBdr>
        <w:left w:val="single" w:color="auto" w:sz="8" w:space="0"/>
        <w:right w:val="single" w:color="auto" w:sz="4" w:space="0"/>
      </w:pBdr>
      <w:spacing w:before="100" w:beforeAutospacing="1" w:after="100" w:afterAutospacing="1" w:line="240" w:lineRule="auto"/>
      <w:jc w:val="center"/>
    </w:pPr>
    <w:rPr>
      <w:rFonts w:ascii="Arial Unicode MS" w:hAnsi="Arial Unicode MS" w:eastAsia="Arial Unicode MS" w:cs="Arial Unicode MS"/>
      <w:kern w:val="0"/>
    </w:rPr>
  </w:style>
  <w:style w:type="paragraph" w:customStyle="1" w:styleId="732">
    <w:name w:val="style4"/>
    <w:basedOn w:val="1"/>
    <w:qFormat/>
    <w:uiPriority w:val="0"/>
    <w:pPr>
      <w:widowControl/>
      <w:spacing w:before="100" w:beforeAutospacing="1" w:after="100" w:afterAutospacing="1" w:line="240" w:lineRule="auto"/>
      <w:jc w:val="left"/>
    </w:pPr>
    <w:rPr>
      <w:rFonts w:ascii="宋体" w:hAnsi="宋体" w:cs="宋体"/>
      <w:color w:val="666666"/>
      <w:kern w:val="0"/>
      <w:sz w:val="33"/>
      <w:szCs w:val="33"/>
    </w:rPr>
  </w:style>
  <w:style w:type="paragraph" w:customStyle="1" w:styleId="733">
    <w:name w:val="样式6"/>
    <w:basedOn w:val="402"/>
    <w:qFormat/>
    <w:uiPriority w:val="0"/>
    <w:pPr>
      <w:keepNext w:val="0"/>
      <w:keepLines w:val="0"/>
      <w:tabs>
        <w:tab w:val="left" w:pos="720"/>
      </w:tabs>
      <w:adjustRightInd w:val="0"/>
      <w:snapToGrid w:val="0"/>
      <w:spacing w:beforeLines="50" w:afterLines="50" w:line="360" w:lineRule="auto"/>
      <w:ind w:left="720" w:hanging="720"/>
      <w:jc w:val="left"/>
      <w:outlineLvl w:val="2"/>
    </w:pPr>
    <w:rPr>
      <w:rFonts w:eastAsia="宋体"/>
      <w:kern w:val="2"/>
      <w:sz w:val="24"/>
      <w:szCs w:val="24"/>
    </w:rPr>
  </w:style>
  <w:style w:type="paragraph" w:customStyle="1" w:styleId="734">
    <w:name w:val="xl39"/>
    <w:basedOn w:val="1"/>
    <w:qFormat/>
    <w:uiPriority w:val="0"/>
    <w:pPr>
      <w:widowControl/>
      <w:pBdr>
        <w:left w:val="single" w:color="auto" w:sz="8" w:space="0"/>
        <w:bottom w:val="single" w:color="auto" w:sz="4" w:space="0"/>
        <w:right w:val="single" w:color="auto" w:sz="4" w:space="0"/>
      </w:pBdr>
      <w:spacing w:before="100" w:beforeAutospacing="1" w:after="100" w:afterAutospacing="1" w:line="240" w:lineRule="auto"/>
      <w:jc w:val="center"/>
    </w:pPr>
    <w:rPr>
      <w:rFonts w:ascii="Arial Unicode MS" w:hAnsi="Arial Unicode MS" w:eastAsia="Arial Unicode MS" w:cs="Arial Unicode MS"/>
      <w:kern w:val="0"/>
    </w:rPr>
  </w:style>
  <w:style w:type="paragraph" w:customStyle="1" w:styleId="735">
    <w:name w:val="陆晶 标题1"/>
    <w:basedOn w:val="1"/>
    <w:qFormat/>
    <w:uiPriority w:val="0"/>
    <w:pPr>
      <w:tabs>
        <w:tab w:val="left" w:pos="-426"/>
      </w:tabs>
      <w:spacing w:before="480" w:after="240" w:line="480" w:lineRule="exact"/>
      <w:ind w:left="2835"/>
      <w:jc w:val="center"/>
      <w:outlineLvl w:val="0"/>
    </w:pPr>
    <w:rPr>
      <w:rFonts w:ascii="Arial" w:hAnsi="Arial" w:cs="Arial"/>
      <w:b/>
      <w:bCs/>
      <w:color w:val="000000"/>
      <w:kern w:val="0"/>
      <w:sz w:val="32"/>
      <w:szCs w:val="32"/>
    </w:rPr>
  </w:style>
  <w:style w:type="paragraph" w:customStyle="1" w:styleId="736">
    <w:name w:val="xl40"/>
    <w:basedOn w:val="1"/>
    <w:qFormat/>
    <w:uiPriority w:val="0"/>
    <w:pPr>
      <w:widowControl/>
      <w:pBdr>
        <w:top w:val="single" w:color="auto" w:sz="4" w:space="0"/>
        <w:left w:val="single" w:color="auto" w:sz="8" w:space="0"/>
        <w:bottom w:val="single" w:color="auto" w:sz="8" w:space="0"/>
      </w:pBdr>
      <w:spacing w:before="100" w:beforeAutospacing="1" w:after="100" w:afterAutospacing="1" w:line="240" w:lineRule="auto"/>
      <w:jc w:val="center"/>
    </w:pPr>
    <w:rPr>
      <w:rFonts w:ascii="Arial Unicode MS" w:hAnsi="Arial Unicode MS" w:eastAsia="Arial Unicode MS" w:cs="Arial Unicode MS"/>
      <w:kern w:val="0"/>
      <w:sz w:val="20"/>
      <w:szCs w:val="20"/>
    </w:rPr>
  </w:style>
  <w:style w:type="paragraph" w:customStyle="1" w:styleId="737">
    <w:name w:val="样式 正文文本 3 + 五号 梅红 居中 段前: 0.5 行1"/>
    <w:basedOn w:val="20"/>
    <w:qFormat/>
    <w:uiPriority w:val="0"/>
    <w:pPr>
      <w:jc w:val="center"/>
    </w:pPr>
    <w:rPr>
      <w:rFonts w:ascii="Times New Roman" w:cs="宋体" w:eastAsiaTheme="minorEastAsia"/>
      <w:color w:val="993366"/>
      <w:sz w:val="21"/>
    </w:rPr>
  </w:style>
  <w:style w:type="paragraph" w:customStyle="1" w:styleId="738">
    <w:name w:val="xl41"/>
    <w:basedOn w:val="1"/>
    <w:qFormat/>
    <w:uiPriority w:val="0"/>
    <w:pPr>
      <w:widowControl/>
      <w:pBdr>
        <w:top w:val="single" w:color="auto" w:sz="4" w:space="0"/>
        <w:bottom w:val="single" w:color="auto" w:sz="8" w:space="0"/>
        <w:right w:val="single" w:color="auto" w:sz="4" w:space="0"/>
      </w:pBdr>
      <w:spacing w:before="100" w:beforeAutospacing="1" w:after="100" w:afterAutospacing="1" w:line="240" w:lineRule="auto"/>
      <w:jc w:val="center"/>
    </w:pPr>
    <w:rPr>
      <w:rFonts w:ascii="Arial Unicode MS" w:hAnsi="Arial Unicode MS" w:eastAsia="Arial Unicode MS" w:cs="Arial Unicode MS"/>
      <w:kern w:val="0"/>
      <w:sz w:val="20"/>
      <w:szCs w:val="20"/>
    </w:rPr>
  </w:style>
  <w:style w:type="paragraph" w:customStyle="1" w:styleId="739">
    <w:name w:val="Char Char Char1 Char Char Char Char Char Char Char Char Char Char Char Char1 Char Char Char Char Char Char Char Char Char Char1"/>
    <w:basedOn w:val="1"/>
    <w:qFormat/>
    <w:uiPriority w:val="0"/>
    <w:pPr>
      <w:spacing w:line="360" w:lineRule="auto"/>
      <w:ind w:firstLine="200" w:firstLineChars="200"/>
    </w:pPr>
    <w:rPr>
      <w:rFonts w:ascii="宋体" w:hAnsi="宋体" w:eastAsia="黑体" w:cs="宋体"/>
      <w:sz w:val="28"/>
    </w:rPr>
  </w:style>
  <w:style w:type="paragraph" w:customStyle="1" w:styleId="740">
    <w:name w:val="xl43"/>
    <w:basedOn w:val="1"/>
    <w:qFormat/>
    <w:uiPriority w:val="0"/>
    <w:pPr>
      <w:widowControl/>
      <w:pBdr>
        <w:bottom w:val="single" w:color="auto" w:sz="8" w:space="0"/>
      </w:pBdr>
      <w:spacing w:before="100" w:beforeAutospacing="1" w:after="100" w:afterAutospacing="1" w:line="240" w:lineRule="auto"/>
      <w:jc w:val="left"/>
    </w:pPr>
    <w:rPr>
      <w:rFonts w:ascii="Arial Unicode MS" w:hAnsi="Arial Unicode MS" w:eastAsia="Arial Unicode MS" w:cs="Arial Unicode MS"/>
      <w:kern w:val="0"/>
    </w:rPr>
  </w:style>
  <w:style w:type="paragraph" w:customStyle="1" w:styleId="741">
    <w:name w:val="表格标题（左对齐）"/>
    <w:basedOn w:val="1"/>
    <w:qFormat/>
    <w:uiPriority w:val="0"/>
    <w:pPr>
      <w:snapToGrid w:val="0"/>
      <w:spacing w:before="120" w:after="120" w:line="400" w:lineRule="atLeast"/>
      <w:ind w:left="425"/>
      <w:jc w:val="center"/>
    </w:pPr>
    <w:rPr>
      <w:rFonts w:eastAsia="黑体"/>
      <w:b/>
      <w:sz w:val="28"/>
      <w:szCs w:val="20"/>
    </w:rPr>
  </w:style>
  <w:style w:type="paragraph" w:customStyle="1" w:styleId="742">
    <w:name w:val="表格5号"/>
    <w:basedOn w:val="1"/>
    <w:qFormat/>
    <w:uiPriority w:val="0"/>
    <w:pPr>
      <w:widowControl/>
      <w:snapToGrid w:val="0"/>
      <w:spacing w:line="240" w:lineRule="auto"/>
      <w:jc w:val="center"/>
    </w:pPr>
    <w:rPr>
      <w:rFonts w:ascii="Arial Narrow" w:hAnsi="Arial Narrow"/>
      <w:bCs/>
      <w:kern w:val="0"/>
      <w:sz w:val="21"/>
      <w:szCs w:val="21"/>
    </w:rPr>
  </w:style>
  <w:style w:type="paragraph" w:customStyle="1" w:styleId="743">
    <w:name w:val="样式18"/>
    <w:basedOn w:val="1"/>
    <w:qFormat/>
    <w:uiPriority w:val="0"/>
    <w:pPr>
      <w:widowControl/>
      <w:adjustRightInd w:val="0"/>
      <w:snapToGrid w:val="0"/>
      <w:spacing w:before="120" w:after="50" w:line="360" w:lineRule="auto"/>
      <w:ind w:left="789" w:right="208" w:hanging="403"/>
      <w:jc w:val="left"/>
      <w:outlineLvl w:val="1"/>
    </w:pPr>
    <w:rPr>
      <w:rFonts w:ascii="Arial" w:hAnsi="Arial" w:cs="宋体"/>
      <w:b/>
      <w:bCs/>
      <w:spacing w:val="10"/>
      <w:kern w:val="0"/>
      <w:szCs w:val="20"/>
    </w:rPr>
  </w:style>
  <w:style w:type="paragraph" w:customStyle="1" w:styleId="744">
    <w:name w:val="aa Char"/>
    <w:basedOn w:val="14"/>
    <w:qFormat/>
    <w:uiPriority w:val="0"/>
    <w:pPr>
      <w:spacing w:line="520" w:lineRule="exact"/>
      <w:ind w:firstLine="561"/>
    </w:pPr>
    <w:rPr>
      <w:rFonts w:hint="eastAsia"/>
      <w:kern w:val="0"/>
      <w:szCs w:val="21"/>
    </w:rPr>
  </w:style>
  <w:style w:type="paragraph" w:customStyle="1" w:styleId="745">
    <w:name w:val="表文LA"/>
    <w:qFormat/>
    <w:uiPriority w:val="0"/>
    <w:pPr>
      <w:tabs>
        <w:tab w:val="left" w:pos="0"/>
      </w:tabs>
      <w:adjustRightInd w:val="0"/>
      <w:snapToGrid w:val="0"/>
      <w:spacing w:before="31" w:after="31"/>
      <w:jc w:val="center"/>
    </w:pPr>
    <w:rPr>
      <w:rFonts w:ascii="宋体" w:hAnsi="Times New Roman" w:eastAsia="宋体" w:cs="Times New Roman"/>
      <w:sz w:val="21"/>
      <w:lang w:val="en-US" w:eastAsia="zh-CN" w:bidi="ar-SA"/>
    </w:rPr>
  </w:style>
  <w:style w:type="paragraph" w:customStyle="1" w:styleId="746">
    <w:name w:val="环评正文"/>
    <w:qFormat/>
    <w:uiPriority w:val="0"/>
    <w:pPr>
      <w:spacing w:line="400" w:lineRule="exact"/>
      <w:ind w:firstLine="200" w:firstLineChars="200"/>
    </w:pPr>
    <w:rPr>
      <w:rFonts w:ascii="Times New Roman" w:hAnsi="Times New Roman" w:eastAsia="宋体" w:cs="Times New Roman"/>
      <w:bCs/>
      <w:kern w:val="2"/>
      <w:sz w:val="24"/>
      <w:szCs w:val="24"/>
      <w:lang w:val="en-US" w:eastAsia="zh-CN" w:bidi="ar-SA"/>
    </w:rPr>
  </w:style>
  <w:style w:type="paragraph" w:customStyle="1" w:styleId="747">
    <w:name w:val="样式 行距: 固定值 25 磅1"/>
    <w:basedOn w:val="1"/>
    <w:qFormat/>
    <w:uiPriority w:val="0"/>
    <w:pPr>
      <w:adjustRightInd w:val="0"/>
      <w:snapToGrid w:val="0"/>
      <w:spacing w:line="360" w:lineRule="auto"/>
      <w:ind w:firstLine="480" w:firstLineChars="200"/>
    </w:pPr>
  </w:style>
  <w:style w:type="paragraph" w:customStyle="1" w:styleId="748">
    <w:name w:val="注"/>
    <w:basedOn w:val="1"/>
    <w:qFormat/>
    <w:uiPriority w:val="0"/>
    <w:pPr>
      <w:spacing w:line="240" w:lineRule="auto"/>
    </w:pPr>
    <w:rPr>
      <w:rFonts w:ascii="宋体" w:hAnsi="宋体"/>
      <w:sz w:val="21"/>
    </w:rPr>
  </w:style>
  <w:style w:type="paragraph" w:customStyle="1" w:styleId="749">
    <w:name w:val="表格小4号"/>
    <w:basedOn w:val="1"/>
    <w:qFormat/>
    <w:uiPriority w:val="0"/>
    <w:pPr>
      <w:widowControl/>
      <w:snapToGrid w:val="0"/>
      <w:spacing w:line="240" w:lineRule="auto"/>
      <w:jc w:val="center"/>
    </w:pPr>
    <w:rPr>
      <w:rFonts w:ascii="Arial Narrow" w:hAnsi="Arial Narrow"/>
      <w:spacing w:val="-20"/>
      <w:kern w:val="0"/>
      <w:szCs w:val="20"/>
    </w:rPr>
  </w:style>
  <w:style w:type="paragraph" w:customStyle="1" w:styleId="750">
    <w:name w:val="报告书正文段落"/>
    <w:basedOn w:val="1"/>
    <w:qFormat/>
    <w:uiPriority w:val="0"/>
    <w:pPr>
      <w:spacing w:line="520" w:lineRule="exact"/>
      <w:ind w:firstLine="480" w:firstLineChars="200"/>
      <w:jc w:val="left"/>
    </w:pPr>
  </w:style>
  <w:style w:type="paragraph" w:customStyle="1" w:styleId="751">
    <w:name w:val="样式 标题2 + 四号"/>
    <w:basedOn w:val="3"/>
    <w:qFormat/>
    <w:uiPriority w:val="0"/>
    <w:pPr>
      <w:widowControl w:val="0"/>
      <w:numPr>
        <w:ilvl w:val="0"/>
        <w:numId w:val="0"/>
      </w:numPr>
      <w:spacing w:before="240" w:line="240" w:lineRule="auto"/>
      <w:jc w:val="both"/>
    </w:pPr>
    <w:rPr>
      <w:rFonts w:ascii="Arial" w:hAnsi="Arial"/>
      <w:color w:val="auto"/>
    </w:rPr>
  </w:style>
  <w:style w:type="paragraph" w:customStyle="1" w:styleId="752">
    <w:name w:val="标题三"/>
    <w:basedOn w:val="1"/>
    <w:qFormat/>
    <w:uiPriority w:val="0"/>
    <w:pPr>
      <w:spacing w:line="360" w:lineRule="auto"/>
    </w:pPr>
    <w:rPr>
      <w:b/>
    </w:rPr>
  </w:style>
  <w:style w:type="paragraph" w:customStyle="1" w:styleId="753">
    <w:name w:val="Char Char Char Char Char Char Char Char Char Char Char Char Char Char Char Char Char Char Char Char1 Char Char Char Char Char Char Char Char Char Char Char Char Char Char Char Char"/>
    <w:basedOn w:val="1"/>
    <w:qFormat/>
    <w:uiPriority w:val="0"/>
    <w:pPr>
      <w:spacing w:line="240" w:lineRule="auto"/>
    </w:pPr>
    <w:rPr>
      <w:rFonts w:ascii="Tahoma" w:hAnsi="Tahoma" w:eastAsia="仿宋_GB2312"/>
      <w:b/>
      <w:szCs w:val="20"/>
    </w:rPr>
  </w:style>
  <w:style w:type="paragraph" w:customStyle="1" w:styleId="754">
    <w:name w:val="BB"/>
    <w:basedOn w:val="3"/>
    <w:qFormat/>
    <w:uiPriority w:val="0"/>
    <w:pPr>
      <w:widowControl w:val="0"/>
      <w:numPr>
        <w:ilvl w:val="0"/>
        <w:numId w:val="0"/>
      </w:numPr>
      <w:spacing w:before="60" w:after="60" w:line="360" w:lineRule="auto"/>
      <w:jc w:val="both"/>
    </w:pPr>
    <w:rPr>
      <w:color w:val="auto"/>
      <w:sz w:val="30"/>
      <w:szCs w:val="30"/>
    </w:rPr>
  </w:style>
  <w:style w:type="paragraph" w:customStyle="1" w:styleId="755">
    <w:name w:val="style5"/>
    <w:basedOn w:val="1"/>
    <w:qFormat/>
    <w:uiPriority w:val="0"/>
    <w:pPr>
      <w:widowControl/>
      <w:spacing w:before="100" w:beforeAutospacing="1" w:after="100" w:afterAutospacing="1" w:line="270" w:lineRule="atLeast"/>
    </w:pPr>
    <w:rPr>
      <w:rFonts w:ascii="宋体" w:hAnsi="宋体" w:cs="宋体"/>
      <w:color w:val="000000"/>
      <w:kern w:val="0"/>
      <w:sz w:val="21"/>
      <w:szCs w:val="21"/>
    </w:rPr>
  </w:style>
  <w:style w:type="paragraph" w:customStyle="1" w:styleId="756">
    <w:name w:val="陆晶 标题3"/>
    <w:basedOn w:val="1"/>
    <w:qFormat/>
    <w:uiPriority w:val="0"/>
    <w:pPr>
      <w:keepNext/>
      <w:keepLines/>
      <w:tabs>
        <w:tab w:val="left" w:pos="747"/>
      </w:tabs>
      <w:spacing w:before="240" w:after="120" w:line="480" w:lineRule="exact"/>
      <w:ind w:left="747"/>
      <w:jc w:val="left"/>
      <w:outlineLvl w:val="2"/>
    </w:pPr>
    <w:rPr>
      <w:rFonts w:ascii="ˎ̥" w:hAnsi="ˎ̥"/>
      <w:b/>
      <w:bCs/>
      <w:color w:val="000000"/>
      <w:sz w:val="28"/>
      <w:szCs w:val="28"/>
    </w:rPr>
  </w:style>
  <w:style w:type="paragraph" w:customStyle="1" w:styleId="757">
    <w:name w:val="样式 列表 2 + 华文仿宋 居中"/>
    <w:basedOn w:val="24"/>
    <w:qFormat/>
    <w:uiPriority w:val="0"/>
    <w:pPr>
      <w:ind w:left="0" w:leftChars="0" w:firstLine="0" w:firstLineChars="0"/>
      <w:contextualSpacing w:val="0"/>
      <w:jc w:val="center"/>
    </w:pPr>
    <w:rPr>
      <w:rFonts w:ascii="宋体" w:hAnsi="宋体" w:eastAsia="宋体" w:cs="Times New Roman"/>
      <w:color w:val="000000"/>
      <w:szCs w:val="21"/>
    </w:rPr>
  </w:style>
  <w:style w:type="paragraph" w:customStyle="1" w:styleId="758">
    <w:name w:val="陆晶 标题2 Char"/>
    <w:basedOn w:val="1"/>
    <w:qFormat/>
    <w:uiPriority w:val="0"/>
    <w:pPr>
      <w:keepNext/>
      <w:keepLines/>
      <w:tabs>
        <w:tab w:val="left" w:pos="280"/>
        <w:tab w:val="left" w:pos="654"/>
      </w:tabs>
      <w:autoSpaceDN w:val="0"/>
      <w:snapToGrid w:val="0"/>
      <w:spacing w:before="240" w:after="240" w:line="480" w:lineRule="exact"/>
      <w:ind w:left="1701"/>
      <w:jc w:val="left"/>
      <w:outlineLvl w:val="1"/>
    </w:pPr>
    <w:rPr>
      <w:rFonts w:ascii="宋体" w:hAnsi="宋体" w:cs="宋体"/>
      <w:b/>
      <w:bCs/>
      <w:color w:val="000000"/>
      <w:sz w:val="30"/>
      <w:szCs w:val="30"/>
    </w:rPr>
  </w:style>
  <w:style w:type="paragraph" w:customStyle="1" w:styleId="759">
    <w:name w:val="Char Char Char Char2"/>
    <w:basedOn w:val="1"/>
    <w:qFormat/>
    <w:uiPriority w:val="0"/>
    <w:pPr>
      <w:spacing w:before="120" w:after="120" w:line="360" w:lineRule="auto"/>
      <w:ind w:firstLine="420"/>
    </w:pPr>
    <w:rPr>
      <w:rFonts w:ascii="Tahoma" w:hAnsi="Tahoma"/>
      <w:sz w:val="28"/>
      <w:szCs w:val="20"/>
    </w:rPr>
  </w:style>
  <w:style w:type="paragraph" w:customStyle="1" w:styleId="760">
    <w:name w:val="正文B"/>
    <w:basedOn w:val="556"/>
    <w:qFormat/>
    <w:uiPriority w:val="0"/>
    <w:pPr>
      <w:spacing w:line="348" w:lineRule="auto"/>
    </w:pPr>
  </w:style>
  <w:style w:type="paragraph" w:customStyle="1" w:styleId="761">
    <w:name w:val="4正文 Char"/>
    <w:basedOn w:val="1"/>
    <w:qFormat/>
    <w:uiPriority w:val="0"/>
    <w:pPr>
      <w:snapToGrid w:val="0"/>
      <w:spacing w:line="240" w:lineRule="auto"/>
      <w:ind w:right="-132" w:rightChars="-55"/>
      <w:jc w:val="center"/>
    </w:pPr>
    <w:rPr>
      <w:color w:val="000000"/>
      <w:sz w:val="21"/>
      <w:szCs w:val="21"/>
    </w:rPr>
  </w:style>
  <w:style w:type="paragraph" w:customStyle="1" w:styleId="762">
    <w:name w:val="Char1 Char Char Char Char Char Char Char Char Char"/>
    <w:basedOn w:val="1"/>
    <w:qFormat/>
    <w:uiPriority w:val="0"/>
    <w:pPr>
      <w:spacing w:line="240" w:lineRule="auto"/>
    </w:pPr>
    <w:rPr>
      <w:rFonts w:ascii="Tahoma" w:hAnsi="Tahoma"/>
      <w:szCs w:val="20"/>
    </w:rPr>
  </w:style>
  <w:style w:type="paragraph" w:customStyle="1" w:styleId="763">
    <w:name w:val="表头 Char"/>
    <w:basedOn w:val="1"/>
    <w:qFormat/>
    <w:uiPriority w:val="0"/>
    <w:pPr>
      <w:tabs>
        <w:tab w:val="left" w:pos="3180"/>
        <w:tab w:val="center" w:pos="4437"/>
      </w:tabs>
      <w:adjustRightInd w:val="0"/>
      <w:spacing w:line="360" w:lineRule="auto"/>
      <w:ind w:left="77" w:right="480" w:firstLine="480"/>
      <w:jc w:val="center"/>
    </w:pPr>
    <w:rPr>
      <w:rFonts w:ascii="宋体" w:hAnsi="宋体"/>
      <w:b/>
      <w:kern w:val="4"/>
      <w:sz w:val="21"/>
      <w:szCs w:val="21"/>
    </w:rPr>
  </w:style>
  <w:style w:type="paragraph" w:customStyle="1" w:styleId="764">
    <w:name w:val="T1"/>
    <w:basedOn w:val="1"/>
    <w:qFormat/>
    <w:uiPriority w:val="0"/>
    <w:pPr>
      <w:adjustRightInd w:val="0"/>
      <w:spacing w:line="240" w:lineRule="auto"/>
      <w:ind w:firstLine="570"/>
      <w:jc w:val="left"/>
    </w:pPr>
    <w:rPr>
      <w:rFonts w:eastAsia="黑体"/>
      <w:smallCaps/>
      <w:sz w:val="28"/>
      <w:szCs w:val="20"/>
    </w:rPr>
  </w:style>
  <w:style w:type="paragraph" w:customStyle="1" w:styleId="765">
    <w:name w:val="Char10"/>
    <w:basedOn w:val="1"/>
    <w:qFormat/>
    <w:uiPriority w:val="0"/>
    <w:pPr>
      <w:spacing w:line="240" w:lineRule="auto"/>
    </w:pPr>
    <w:rPr>
      <w:sz w:val="21"/>
      <w:szCs w:val="20"/>
    </w:rPr>
  </w:style>
  <w:style w:type="paragraph" w:customStyle="1" w:styleId="766">
    <w:name w:val="正文文本1"/>
    <w:basedOn w:val="1"/>
    <w:qFormat/>
    <w:uiPriority w:val="0"/>
    <w:pPr>
      <w:widowControl/>
      <w:spacing w:line="240" w:lineRule="auto"/>
      <w:jc w:val="left"/>
    </w:pPr>
    <w:rPr>
      <w:szCs w:val="20"/>
    </w:rPr>
  </w:style>
  <w:style w:type="paragraph" w:customStyle="1" w:styleId="767">
    <w:name w:val="Char Char8"/>
    <w:basedOn w:val="1"/>
    <w:qFormat/>
    <w:uiPriority w:val="0"/>
    <w:pPr>
      <w:spacing w:line="240" w:lineRule="auto"/>
    </w:pPr>
  </w:style>
  <w:style w:type="paragraph" w:customStyle="1" w:styleId="768">
    <w:name w:val="Char Char Char Char Char Char3 Char"/>
    <w:basedOn w:val="1"/>
    <w:qFormat/>
    <w:uiPriority w:val="0"/>
    <w:pPr>
      <w:widowControl/>
      <w:spacing w:after="160" w:line="240" w:lineRule="exact"/>
      <w:jc w:val="left"/>
    </w:pPr>
    <w:rPr>
      <w:rFonts w:ascii="Verdana" w:hAnsi="Verdana" w:cs="Verdana"/>
      <w:kern w:val="0"/>
      <w:sz w:val="20"/>
      <w:szCs w:val="20"/>
      <w:lang w:eastAsia="en-US"/>
    </w:rPr>
  </w:style>
  <w:style w:type="paragraph" w:customStyle="1" w:styleId="769">
    <w:name w:val="表格6号"/>
    <w:basedOn w:val="742"/>
    <w:qFormat/>
    <w:uiPriority w:val="0"/>
    <w:rPr>
      <w:bCs w:val="0"/>
      <w:sz w:val="15"/>
      <w:szCs w:val="15"/>
    </w:rPr>
  </w:style>
  <w:style w:type="paragraph" w:customStyle="1" w:styleId="770">
    <w:name w:val="Char Char Char Char Char Char Char5"/>
    <w:basedOn w:val="1"/>
    <w:qFormat/>
    <w:uiPriority w:val="0"/>
    <w:pPr>
      <w:spacing w:line="240" w:lineRule="auto"/>
    </w:pPr>
    <w:rPr>
      <w:sz w:val="21"/>
      <w:szCs w:val="21"/>
    </w:rPr>
  </w:style>
  <w:style w:type="paragraph" w:customStyle="1" w:styleId="771">
    <w:name w:val="样式 标题 2 + Times New Roman 左侧:  0 厘米 首行缩进:  0 厘米 行距: 固定值 24 磅"/>
    <w:basedOn w:val="3"/>
    <w:qFormat/>
    <w:uiPriority w:val="0"/>
    <w:pPr>
      <w:widowControl w:val="0"/>
      <w:numPr>
        <w:ilvl w:val="0"/>
        <w:numId w:val="0"/>
      </w:numPr>
      <w:tabs>
        <w:tab w:val="left" w:pos="747"/>
      </w:tabs>
      <w:spacing w:before="260" w:after="260" w:line="500" w:lineRule="exact"/>
      <w:ind w:left="747" w:hanging="567"/>
      <w:jc w:val="both"/>
    </w:pPr>
    <w:rPr>
      <w:rFonts w:eastAsia="黑体" w:cs="宋体"/>
      <w:color w:val="auto"/>
      <w:szCs w:val="20"/>
    </w:rPr>
  </w:style>
  <w:style w:type="paragraph" w:customStyle="1" w:styleId="772">
    <w:name w:val="w2"/>
    <w:basedOn w:val="1"/>
    <w:qFormat/>
    <w:uiPriority w:val="0"/>
    <w:pPr>
      <w:adjustRightInd w:val="0"/>
      <w:spacing w:line="360" w:lineRule="auto"/>
      <w:ind w:left="840" w:firstLine="600"/>
    </w:pPr>
    <w:rPr>
      <w:rFonts w:ascii="宋体"/>
      <w:kern w:val="0"/>
      <w:sz w:val="28"/>
      <w:szCs w:val="20"/>
    </w:rPr>
  </w:style>
  <w:style w:type="paragraph" w:customStyle="1" w:styleId="773">
    <w:name w:val="test"/>
    <w:basedOn w:val="1"/>
    <w:qFormat/>
    <w:uiPriority w:val="0"/>
    <w:pPr>
      <w:overflowPunct w:val="0"/>
      <w:autoSpaceDE w:val="0"/>
      <w:autoSpaceDN w:val="0"/>
      <w:adjustRightInd w:val="0"/>
      <w:spacing w:before="60" w:after="60" w:line="360" w:lineRule="auto"/>
      <w:ind w:firstLine="454"/>
      <w:jc w:val="center"/>
    </w:pPr>
    <w:rPr>
      <w:kern w:val="0"/>
      <w:szCs w:val="20"/>
    </w:rPr>
  </w:style>
  <w:style w:type="paragraph" w:customStyle="1" w:styleId="774">
    <w:name w:val="表格（纵向）"/>
    <w:basedOn w:val="1"/>
    <w:qFormat/>
    <w:uiPriority w:val="0"/>
    <w:pPr>
      <w:adjustRightInd w:val="0"/>
      <w:spacing w:before="160" w:line="240" w:lineRule="atLeast"/>
      <w:jc w:val="right"/>
    </w:pPr>
    <w:rPr>
      <w:rFonts w:ascii="Arial Narrow" w:hAnsi="Arial Narrow" w:cs="宋体"/>
      <w:kern w:val="0"/>
      <w:sz w:val="16"/>
      <w:szCs w:val="20"/>
    </w:rPr>
  </w:style>
  <w:style w:type="paragraph" w:customStyle="1" w:styleId="775">
    <w:name w:val="封面标题3"/>
    <w:basedOn w:val="657"/>
    <w:qFormat/>
    <w:uiPriority w:val="0"/>
    <w:rPr>
      <w:sz w:val="44"/>
      <w:szCs w:val="44"/>
    </w:rPr>
  </w:style>
  <w:style w:type="paragraph" w:customStyle="1" w:styleId="776">
    <w:name w:val="正文楷体"/>
    <w:basedOn w:val="1"/>
    <w:qFormat/>
    <w:uiPriority w:val="0"/>
    <w:pPr>
      <w:spacing w:line="240" w:lineRule="auto"/>
    </w:pPr>
    <w:rPr>
      <w:rFonts w:ascii="宋体" w:eastAsia="楷体_GB2312"/>
    </w:rPr>
  </w:style>
  <w:style w:type="paragraph" w:customStyle="1" w:styleId="777">
    <w:name w:val="正文缩进3"/>
    <w:basedOn w:val="1"/>
    <w:qFormat/>
    <w:uiPriority w:val="0"/>
    <w:pPr>
      <w:spacing w:line="240" w:lineRule="auto"/>
      <w:ind w:firstLine="420" w:firstLineChars="200"/>
    </w:pPr>
    <w:rPr>
      <w:sz w:val="21"/>
      <w:szCs w:val="21"/>
    </w:rPr>
  </w:style>
  <w:style w:type="paragraph" w:customStyle="1" w:styleId="778">
    <w:name w:val="样式 标题 2 Char + 黑色 右侧:  1 字符"/>
    <w:basedOn w:val="3"/>
    <w:qFormat/>
    <w:uiPriority w:val="0"/>
    <w:pPr>
      <w:keepNext w:val="0"/>
      <w:keepLines w:val="0"/>
      <w:widowControl w:val="0"/>
      <w:numPr>
        <w:ilvl w:val="0"/>
        <w:numId w:val="0"/>
      </w:numPr>
      <w:tabs>
        <w:tab w:val="left" w:pos="720"/>
      </w:tabs>
      <w:adjustRightInd w:val="0"/>
      <w:snapToGrid w:val="0"/>
      <w:spacing w:before="240" w:afterLines="50" w:line="240" w:lineRule="auto"/>
      <w:ind w:left="720" w:hanging="420"/>
    </w:pPr>
    <w:rPr>
      <w:rFonts w:ascii="宋体" w:hAnsi="宋体" w:cs="宋体"/>
      <w:color w:val="auto"/>
      <w:kern w:val="0"/>
      <w:sz w:val="24"/>
      <w:szCs w:val="24"/>
    </w:rPr>
  </w:style>
  <w:style w:type="paragraph" w:customStyle="1" w:styleId="779">
    <w:name w:val="样式 (符号) 宋体 四号 首行缩进:  1.06 厘米 行距: 固定值 28 磅"/>
    <w:basedOn w:val="1"/>
    <w:qFormat/>
    <w:uiPriority w:val="0"/>
    <w:pPr>
      <w:spacing w:line="360" w:lineRule="auto"/>
      <w:ind w:firstLine="480"/>
      <w:jc w:val="center"/>
    </w:pPr>
    <w:rPr>
      <w:rFonts w:eastAsia="黑体"/>
      <w:color w:val="000000"/>
    </w:rPr>
  </w:style>
  <w:style w:type="paragraph" w:customStyle="1" w:styleId="780">
    <w:name w:val="样式 宋体 小四 行距: 固定值 26 磅"/>
    <w:basedOn w:val="1"/>
    <w:qFormat/>
    <w:uiPriority w:val="0"/>
    <w:pPr>
      <w:spacing w:line="520" w:lineRule="exact"/>
      <w:ind w:firstLine="480" w:firstLineChars="200"/>
    </w:pPr>
    <w:rPr>
      <w:rFonts w:cs="宋体"/>
    </w:rPr>
  </w:style>
  <w:style w:type="paragraph" w:customStyle="1" w:styleId="781">
    <w:name w:val="font3"/>
    <w:basedOn w:val="1"/>
    <w:qFormat/>
    <w:uiPriority w:val="0"/>
    <w:pPr>
      <w:widowControl/>
      <w:spacing w:before="100" w:beforeAutospacing="1" w:after="100" w:afterAutospacing="1" w:line="240" w:lineRule="auto"/>
      <w:jc w:val="left"/>
    </w:pPr>
    <w:rPr>
      <w:rFonts w:ascii="宋体" w:hAnsi="宋体"/>
      <w:kern w:val="0"/>
      <w:sz w:val="28"/>
      <w:szCs w:val="28"/>
    </w:rPr>
  </w:style>
  <w:style w:type="paragraph" w:customStyle="1" w:styleId="782">
    <w:name w:val="样式 正文缩进正文（首行缩进两字）特点 + 宋体 黑色 段后: 5 磅 行距: 1.5 倍行距"/>
    <w:basedOn w:val="14"/>
    <w:qFormat/>
    <w:uiPriority w:val="0"/>
    <w:pPr>
      <w:spacing w:after="100" w:line="360" w:lineRule="auto"/>
      <w:ind w:firstLine="560" w:firstLineChars="200"/>
    </w:pPr>
    <w:rPr>
      <w:rFonts w:hint="eastAsia" w:ascii="宋体" w:hAnsi="宋体" w:cs="宋体"/>
      <w:color w:val="000000"/>
      <w:kern w:val="0"/>
      <w:sz w:val="24"/>
    </w:rPr>
  </w:style>
  <w:style w:type="paragraph" w:customStyle="1" w:styleId="783">
    <w:name w:val="11-4-2"/>
    <w:basedOn w:val="1"/>
    <w:qFormat/>
    <w:uiPriority w:val="0"/>
    <w:pPr>
      <w:keepNext/>
      <w:keepLines/>
      <w:spacing w:line="360" w:lineRule="auto"/>
      <w:outlineLvl w:val="1"/>
    </w:pPr>
    <w:rPr>
      <w:rFonts w:ascii="黑体" w:hAnsi="Arial" w:eastAsia="黑体"/>
      <w:bCs/>
      <w:sz w:val="28"/>
      <w:szCs w:val="28"/>
    </w:rPr>
  </w:style>
  <w:style w:type="paragraph" w:customStyle="1" w:styleId="784">
    <w:name w:val="样式 宋体 首行缩进:  0.97 厘米 右侧:  -0.03 厘米 行距: 1.5 倍行距"/>
    <w:basedOn w:val="1"/>
    <w:qFormat/>
    <w:uiPriority w:val="0"/>
    <w:pPr>
      <w:spacing w:line="360" w:lineRule="auto"/>
      <w:ind w:right="-15" w:firstLine="548"/>
    </w:pPr>
    <w:rPr>
      <w:rFonts w:ascii="宋体" w:hAnsi="宋体" w:cs="宋体"/>
      <w:szCs w:val="20"/>
    </w:rPr>
  </w:style>
  <w:style w:type="paragraph" w:customStyle="1" w:styleId="785">
    <w:name w:val="样式 标题 3"/>
    <w:basedOn w:val="5"/>
    <w:qFormat/>
    <w:uiPriority w:val="0"/>
    <w:pPr>
      <w:widowControl w:val="0"/>
      <w:numPr>
        <w:ilvl w:val="0"/>
        <w:numId w:val="0"/>
      </w:numPr>
      <w:tabs>
        <w:tab w:val="left" w:pos="709"/>
      </w:tabs>
      <w:spacing w:before="260" w:after="260" w:line="480" w:lineRule="exact"/>
      <w:ind w:left="709" w:hanging="709"/>
    </w:pPr>
    <w:rPr>
      <w:rFonts w:cs="宋体"/>
      <w:color w:val="auto"/>
      <w:sz w:val="28"/>
      <w:szCs w:val="20"/>
    </w:rPr>
  </w:style>
  <w:style w:type="paragraph" w:customStyle="1" w:styleId="786">
    <w:name w:val="封面正文"/>
    <w:qFormat/>
    <w:uiPriority w:val="0"/>
    <w:pPr>
      <w:jc w:val="both"/>
    </w:pPr>
    <w:rPr>
      <w:rFonts w:ascii="Times New Roman" w:hAnsi="Times New Roman" w:eastAsia="宋体" w:cs="Times New Roman"/>
      <w:lang w:val="en-US" w:eastAsia="zh-CN" w:bidi="ar-SA"/>
    </w:rPr>
  </w:style>
  <w:style w:type="character" w:customStyle="1" w:styleId="787">
    <w:name w:val="Normal Char"/>
    <w:qFormat/>
    <w:locked/>
    <w:uiPriority w:val="0"/>
    <w:rPr>
      <w:szCs w:val="21"/>
    </w:rPr>
  </w:style>
  <w:style w:type="paragraph" w:customStyle="1" w:styleId="788">
    <w:name w:val="Char Char Char Char Char Char1 Char Char Char Char Char Char Char"/>
    <w:basedOn w:val="1"/>
    <w:qFormat/>
    <w:uiPriority w:val="0"/>
    <w:pPr>
      <w:spacing w:line="240" w:lineRule="auto"/>
    </w:pPr>
    <w:rPr>
      <w:sz w:val="21"/>
    </w:rPr>
  </w:style>
  <w:style w:type="paragraph" w:customStyle="1" w:styleId="789">
    <w:name w:val="Char1 Char Char Char Char Char Char"/>
    <w:basedOn w:val="1"/>
    <w:qFormat/>
    <w:uiPriority w:val="0"/>
    <w:pPr>
      <w:widowControl/>
      <w:spacing w:after="160" w:line="240" w:lineRule="exact"/>
      <w:jc w:val="left"/>
    </w:pPr>
    <w:rPr>
      <w:rFonts w:ascii="Verdana" w:hAnsi="Verdana" w:eastAsia="仿宋_GB2312"/>
      <w:kern w:val="0"/>
      <w:szCs w:val="20"/>
      <w:lang w:eastAsia="en-US"/>
    </w:rPr>
  </w:style>
  <w:style w:type="paragraph" w:customStyle="1" w:styleId="790">
    <w:name w:val="style7"/>
    <w:basedOn w:val="1"/>
    <w:qFormat/>
    <w:uiPriority w:val="0"/>
    <w:pPr>
      <w:widowControl/>
      <w:spacing w:before="100" w:beforeAutospacing="1" w:after="100" w:afterAutospacing="1" w:line="270" w:lineRule="atLeast"/>
    </w:pPr>
    <w:rPr>
      <w:rFonts w:ascii="宋体" w:hAnsi="宋体" w:cs="宋体"/>
      <w:b/>
      <w:bCs/>
      <w:color w:val="000000"/>
      <w:kern w:val="0"/>
      <w:sz w:val="21"/>
      <w:szCs w:val="21"/>
    </w:rPr>
  </w:style>
  <w:style w:type="paragraph" w:customStyle="1" w:styleId="791">
    <w:name w:val="样式 正文wjh + 首行缩进:  2 字符"/>
    <w:basedOn w:val="1"/>
    <w:qFormat/>
    <w:uiPriority w:val="0"/>
    <w:pPr>
      <w:spacing w:line="360" w:lineRule="auto"/>
      <w:ind w:firstLine="420" w:firstLineChars="200"/>
      <w:jc w:val="left"/>
    </w:pPr>
    <w:rPr>
      <w:rFonts w:cs="宋体"/>
      <w:szCs w:val="20"/>
    </w:rPr>
  </w:style>
  <w:style w:type="paragraph" w:customStyle="1" w:styleId="792">
    <w:name w:val="报告书正文"/>
    <w:basedOn w:val="14"/>
    <w:qFormat/>
    <w:uiPriority w:val="0"/>
    <w:pPr>
      <w:spacing w:line="300" w:lineRule="auto"/>
      <w:ind w:firstLine="480" w:firstLineChars="200"/>
    </w:pPr>
    <w:rPr>
      <w:rFonts w:hint="eastAsia"/>
      <w:kern w:val="0"/>
      <w:sz w:val="24"/>
    </w:rPr>
  </w:style>
  <w:style w:type="paragraph" w:customStyle="1" w:styleId="793">
    <w:name w:val="Char Char2 Char Char Char Char"/>
    <w:basedOn w:val="1"/>
    <w:qFormat/>
    <w:uiPriority w:val="0"/>
    <w:pPr>
      <w:spacing w:line="360" w:lineRule="auto"/>
    </w:pPr>
    <w:rPr>
      <w:rFonts w:eastAsia="Times New Roman"/>
      <w:kern w:val="0"/>
      <w:sz w:val="20"/>
      <w:szCs w:val="20"/>
    </w:rPr>
  </w:style>
  <w:style w:type="character" w:customStyle="1" w:styleId="794">
    <w:name w:val="【表中文字】 Char"/>
    <w:link w:val="795"/>
    <w:qFormat/>
    <w:locked/>
    <w:uiPriority w:val="0"/>
  </w:style>
  <w:style w:type="paragraph" w:customStyle="1" w:styleId="795">
    <w:name w:val="【表中文字】"/>
    <w:basedOn w:val="1"/>
    <w:link w:val="794"/>
    <w:qFormat/>
    <w:uiPriority w:val="0"/>
    <w:pPr>
      <w:spacing w:line="380" w:lineRule="exact"/>
      <w:jc w:val="center"/>
    </w:pPr>
    <w:rPr>
      <w:kern w:val="0"/>
      <w:sz w:val="20"/>
      <w:szCs w:val="20"/>
    </w:rPr>
  </w:style>
  <w:style w:type="paragraph" w:customStyle="1" w:styleId="796">
    <w:name w:val="图标"/>
    <w:basedOn w:val="1"/>
    <w:qFormat/>
    <w:uiPriority w:val="0"/>
    <w:pPr>
      <w:adjustRightInd w:val="0"/>
      <w:spacing w:line="360" w:lineRule="auto"/>
      <w:jc w:val="center"/>
    </w:pPr>
    <w:rPr>
      <w:b/>
      <w:bCs/>
      <w:spacing w:val="4"/>
      <w:kern w:val="0"/>
    </w:rPr>
  </w:style>
  <w:style w:type="character" w:customStyle="1" w:styleId="797">
    <w:name w:val="标题 4环保 + 段前: 0.3 行 Char Char"/>
    <w:link w:val="798"/>
    <w:qFormat/>
    <w:locked/>
    <w:uiPriority w:val="0"/>
    <w:rPr>
      <w:rFonts w:ascii="黑体" w:hAnsi="黑体" w:eastAsia="黑体"/>
      <w:b/>
      <w:bCs/>
      <w:sz w:val="24"/>
      <w:szCs w:val="24"/>
    </w:rPr>
  </w:style>
  <w:style w:type="paragraph" w:customStyle="1" w:styleId="798">
    <w:name w:val="标题 4环保 + 段前: 0.3 行"/>
    <w:basedOn w:val="6"/>
    <w:next w:val="1"/>
    <w:link w:val="797"/>
    <w:qFormat/>
    <w:uiPriority w:val="0"/>
    <w:pPr>
      <w:keepNext w:val="0"/>
      <w:keepLines w:val="0"/>
      <w:widowControl w:val="0"/>
      <w:numPr>
        <w:ilvl w:val="0"/>
        <w:numId w:val="0"/>
      </w:numPr>
      <w:spacing w:line="300" w:lineRule="auto"/>
      <w:ind w:right="-17"/>
      <w:jc w:val="both"/>
    </w:pPr>
    <w:rPr>
      <w:rFonts w:ascii="黑体" w:hAnsi="黑体" w:eastAsia="黑体"/>
      <w:color w:val="auto"/>
      <w:kern w:val="0"/>
      <w:szCs w:val="24"/>
    </w:rPr>
  </w:style>
  <w:style w:type="paragraph" w:customStyle="1" w:styleId="799">
    <w:name w:val="一级"/>
    <w:basedOn w:val="1"/>
    <w:qFormat/>
    <w:uiPriority w:val="0"/>
    <w:pPr>
      <w:adjustRightInd w:val="0"/>
      <w:snapToGrid w:val="0"/>
      <w:spacing w:beforeLines="50" w:line="500" w:lineRule="exact"/>
      <w:jc w:val="center"/>
      <w:outlineLvl w:val="0"/>
    </w:pPr>
    <w:rPr>
      <w:b/>
      <w:sz w:val="32"/>
      <w:szCs w:val="32"/>
    </w:rPr>
  </w:style>
  <w:style w:type="paragraph" w:customStyle="1" w:styleId="800">
    <w:name w:val="Char Char Char Char Char Char1 Char"/>
    <w:basedOn w:val="1"/>
    <w:qFormat/>
    <w:uiPriority w:val="0"/>
    <w:pPr>
      <w:spacing w:line="240" w:lineRule="auto"/>
    </w:pPr>
    <w:rPr>
      <w:sz w:val="21"/>
    </w:rPr>
  </w:style>
  <w:style w:type="paragraph" w:customStyle="1" w:styleId="801">
    <w:name w:val="Char1 Char Char Char Char Char"/>
    <w:basedOn w:val="1"/>
    <w:qFormat/>
    <w:uiPriority w:val="0"/>
    <w:pPr>
      <w:spacing w:line="240" w:lineRule="auto"/>
    </w:pPr>
    <w:rPr>
      <w:sz w:val="21"/>
    </w:rPr>
  </w:style>
  <w:style w:type="character" w:customStyle="1" w:styleId="802">
    <w:name w:val="样式 题注 + (西文) Times New Roman (中文) 宋体 小四 加粗 黑色 Char Char"/>
    <w:link w:val="803"/>
    <w:qFormat/>
    <w:locked/>
    <w:uiPriority w:val="0"/>
    <w:rPr>
      <w:b/>
      <w:bCs/>
      <w:color w:val="000000"/>
      <w:sz w:val="24"/>
      <w:szCs w:val="24"/>
    </w:rPr>
  </w:style>
  <w:style w:type="paragraph" w:customStyle="1" w:styleId="803">
    <w:name w:val="样式 题注 + (西文) Times New Roman (中文) 宋体 小四 加粗 黑色 Char"/>
    <w:basedOn w:val="15"/>
    <w:link w:val="802"/>
    <w:qFormat/>
    <w:uiPriority w:val="0"/>
    <w:pPr>
      <w:adjustRightInd w:val="0"/>
      <w:spacing w:beforeLines="100" w:after="0" w:line="360" w:lineRule="auto"/>
      <w:jc w:val="center"/>
    </w:pPr>
    <w:rPr>
      <w:rFonts w:ascii="Times New Roman" w:hAnsi="Times New Roman" w:eastAsia="宋体" w:cs="Times New Roman"/>
      <w:b/>
      <w:bCs/>
      <w:color w:val="000000"/>
      <w:kern w:val="0"/>
      <w:sz w:val="24"/>
      <w:szCs w:val="24"/>
    </w:rPr>
  </w:style>
  <w:style w:type="paragraph" w:customStyle="1" w:styleId="804">
    <w:name w:val="三级"/>
    <w:basedOn w:val="14"/>
    <w:qFormat/>
    <w:uiPriority w:val="0"/>
    <w:pPr>
      <w:adjustRightInd w:val="0"/>
      <w:snapToGrid w:val="0"/>
      <w:spacing w:line="500" w:lineRule="exact"/>
      <w:outlineLvl w:val="2"/>
    </w:pPr>
    <w:rPr>
      <w:rFonts w:hint="eastAsia"/>
      <w:b/>
      <w:kern w:val="0"/>
      <w:sz w:val="24"/>
    </w:rPr>
  </w:style>
  <w:style w:type="paragraph" w:customStyle="1" w:styleId="805">
    <w:name w:val="1正文liu"/>
    <w:basedOn w:val="679"/>
    <w:qFormat/>
    <w:uiPriority w:val="0"/>
    <w:pPr>
      <w:snapToGrid/>
      <w:ind w:firstLine="680" w:firstLineChars="200"/>
      <w:jc w:val="left"/>
    </w:pPr>
    <w:rPr>
      <w:rFonts w:ascii="Times New Roman"/>
    </w:rPr>
  </w:style>
  <w:style w:type="paragraph" w:customStyle="1" w:styleId="806">
    <w:name w:val="图名—liuxk"/>
    <w:basedOn w:val="370"/>
    <w:qFormat/>
    <w:uiPriority w:val="0"/>
    <w:pPr>
      <w:widowControl w:val="0"/>
      <w:adjustRightInd w:val="0"/>
      <w:spacing w:line="240" w:lineRule="auto"/>
      <w:ind w:firstLine="0" w:firstLineChars="0"/>
      <w:jc w:val="center"/>
    </w:pPr>
    <w:rPr>
      <w:rFonts w:ascii="Times New Roman" w:hAnsi="Times New Roman"/>
      <w:color w:val="auto"/>
      <w:kern w:val="0"/>
      <w:szCs w:val="24"/>
    </w:rPr>
  </w:style>
  <w:style w:type="paragraph" w:customStyle="1" w:styleId="807">
    <w:name w:val="纯文本1"/>
    <w:basedOn w:val="1"/>
    <w:qFormat/>
    <w:uiPriority w:val="0"/>
    <w:pPr>
      <w:adjustRightInd w:val="0"/>
      <w:spacing w:line="240" w:lineRule="auto"/>
    </w:pPr>
    <w:rPr>
      <w:rFonts w:ascii="宋体" w:hAnsi="Courier New"/>
      <w:sz w:val="21"/>
      <w:szCs w:val="20"/>
    </w:rPr>
  </w:style>
  <w:style w:type="paragraph" w:customStyle="1" w:styleId="808">
    <w:name w:val="表 头"/>
    <w:basedOn w:val="1"/>
    <w:qFormat/>
    <w:uiPriority w:val="0"/>
    <w:pPr>
      <w:adjustRightInd w:val="0"/>
      <w:spacing w:before="120" w:after="120" w:line="360" w:lineRule="atLeast"/>
      <w:jc w:val="center"/>
    </w:pPr>
    <w:rPr>
      <w:rFonts w:eastAsia="黑体"/>
      <w:spacing w:val="10"/>
      <w:kern w:val="0"/>
      <w:sz w:val="21"/>
      <w:szCs w:val="20"/>
    </w:rPr>
  </w:style>
  <w:style w:type="paragraph" w:customStyle="1" w:styleId="809">
    <w:name w:val="环标3"/>
    <w:basedOn w:val="5"/>
    <w:qFormat/>
    <w:uiPriority w:val="0"/>
    <w:pPr>
      <w:keepNext w:val="0"/>
      <w:keepLines w:val="0"/>
      <w:widowControl w:val="0"/>
      <w:numPr>
        <w:ilvl w:val="0"/>
        <w:numId w:val="0"/>
      </w:numPr>
      <w:adjustRightInd w:val="0"/>
      <w:spacing w:before="0" w:after="0" w:line="312" w:lineRule="atLeast"/>
    </w:pPr>
    <w:rPr>
      <w:rFonts w:ascii="宋体" w:hAnsi="Courier New"/>
      <w:b w:val="0"/>
      <w:bCs w:val="0"/>
      <w:color w:val="auto"/>
      <w:kern w:val="0"/>
      <w:szCs w:val="20"/>
    </w:rPr>
  </w:style>
  <w:style w:type="paragraph" w:customStyle="1" w:styleId="810">
    <w:name w:val="标题3.5"/>
    <w:basedOn w:val="1"/>
    <w:qFormat/>
    <w:uiPriority w:val="0"/>
    <w:pPr>
      <w:spacing w:line="240" w:lineRule="auto"/>
    </w:pPr>
    <w:rPr>
      <w:rFonts w:eastAsia="仿宋_GB2312"/>
    </w:rPr>
  </w:style>
  <w:style w:type="paragraph" w:customStyle="1" w:styleId="811">
    <w:name w:val="表格名称"/>
    <w:basedOn w:val="1"/>
    <w:qFormat/>
    <w:uiPriority w:val="0"/>
    <w:pPr>
      <w:keepNext/>
      <w:keepLines/>
      <w:wordWrap w:val="0"/>
      <w:topLinePunct/>
      <w:spacing w:beforeLines="30"/>
      <w:ind w:left="420" w:hanging="420"/>
      <w:jc w:val="left"/>
    </w:pPr>
    <w:rPr>
      <w:rFonts w:eastAsia="黑体"/>
      <w:color w:val="000000"/>
      <w:szCs w:val="20"/>
    </w:rPr>
  </w:style>
  <w:style w:type="paragraph" w:customStyle="1" w:styleId="812">
    <w:name w:val="Date1"/>
    <w:basedOn w:val="1"/>
    <w:next w:val="1"/>
    <w:qFormat/>
    <w:uiPriority w:val="0"/>
    <w:pPr>
      <w:adjustRightInd w:val="0"/>
      <w:spacing w:line="240" w:lineRule="auto"/>
    </w:pPr>
    <w:rPr>
      <w:sz w:val="21"/>
      <w:szCs w:val="20"/>
    </w:rPr>
  </w:style>
  <w:style w:type="character" w:customStyle="1" w:styleId="813">
    <w:name w:val="样式 四号 首行缩进:  2 字符 Char"/>
    <w:link w:val="814"/>
    <w:qFormat/>
    <w:locked/>
    <w:uiPriority w:val="0"/>
    <w:rPr>
      <w:sz w:val="28"/>
      <w:szCs w:val="28"/>
    </w:rPr>
  </w:style>
  <w:style w:type="paragraph" w:customStyle="1" w:styleId="814">
    <w:name w:val="样式 四号 首行缩进:  2 字符"/>
    <w:basedOn w:val="1"/>
    <w:link w:val="813"/>
    <w:qFormat/>
    <w:uiPriority w:val="0"/>
    <w:pPr>
      <w:adjustRightInd w:val="0"/>
      <w:snapToGrid w:val="0"/>
      <w:spacing w:line="360" w:lineRule="auto"/>
      <w:ind w:firstLine="560" w:firstLineChars="200"/>
    </w:pPr>
    <w:rPr>
      <w:kern w:val="0"/>
      <w:sz w:val="28"/>
      <w:szCs w:val="28"/>
    </w:rPr>
  </w:style>
  <w:style w:type="paragraph" w:customStyle="1" w:styleId="815">
    <w:name w:val="日期1"/>
    <w:basedOn w:val="1"/>
    <w:next w:val="1"/>
    <w:qFormat/>
    <w:uiPriority w:val="0"/>
    <w:pPr>
      <w:adjustRightInd w:val="0"/>
      <w:spacing w:line="360" w:lineRule="atLeast"/>
      <w:ind w:firstLine="590" w:firstLineChars="200"/>
    </w:pPr>
    <w:rPr>
      <w:rFonts w:eastAsia="楷体_GB2312"/>
      <w:b/>
      <w:spacing w:val="10"/>
      <w:kern w:val="0"/>
      <w:szCs w:val="20"/>
    </w:rPr>
  </w:style>
  <w:style w:type="paragraph" w:customStyle="1" w:styleId="816">
    <w:name w:val="表格03"/>
    <w:basedOn w:val="1"/>
    <w:qFormat/>
    <w:uiPriority w:val="0"/>
    <w:pPr>
      <w:snapToGrid w:val="0"/>
      <w:spacing w:line="400" w:lineRule="exact"/>
      <w:jc w:val="center"/>
    </w:pPr>
    <w:rPr>
      <w:sz w:val="21"/>
      <w:szCs w:val="21"/>
    </w:rPr>
  </w:style>
  <w:style w:type="paragraph" w:customStyle="1" w:styleId="817">
    <w:name w:val="表内5"/>
    <w:basedOn w:val="1"/>
    <w:qFormat/>
    <w:uiPriority w:val="0"/>
    <w:pPr>
      <w:tabs>
        <w:tab w:val="left" w:pos="4305"/>
      </w:tabs>
      <w:spacing w:line="240" w:lineRule="auto"/>
      <w:jc w:val="center"/>
    </w:pPr>
    <w:rPr>
      <w:sz w:val="21"/>
      <w:szCs w:val="21"/>
    </w:rPr>
  </w:style>
  <w:style w:type="paragraph" w:customStyle="1" w:styleId="818">
    <w:name w:val="燕山正文 Char Char"/>
    <w:basedOn w:val="1"/>
    <w:qFormat/>
    <w:uiPriority w:val="0"/>
    <w:pPr>
      <w:tabs>
        <w:tab w:val="left" w:pos="798"/>
        <w:tab w:val="left" w:pos="900"/>
        <w:tab w:val="left" w:pos="1176"/>
        <w:tab w:val="left" w:pos="1440"/>
        <w:tab w:val="left" w:pos="4680"/>
      </w:tabs>
      <w:spacing w:line="400" w:lineRule="exact"/>
      <w:ind w:firstLine="504" w:firstLineChars="200"/>
    </w:pPr>
  </w:style>
  <w:style w:type="paragraph" w:customStyle="1" w:styleId="819">
    <w:name w:val="zxz5"/>
    <w:next w:val="1"/>
    <w:qFormat/>
    <w:uiPriority w:val="0"/>
    <w:pPr>
      <w:tabs>
        <w:tab w:val="left" w:pos="0"/>
      </w:tabs>
      <w:jc w:val="center"/>
    </w:pPr>
    <w:rPr>
      <w:rFonts w:ascii="宋体" w:hAnsi="宋体" w:eastAsia="Times New Roman" w:cs="宋体"/>
      <w:bCs/>
      <w:kern w:val="2"/>
      <w:sz w:val="18"/>
      <w:szCs w:val="18"/>
      <w:lang w:val="en-US" w:eastAsia="zh-CN" w:bidi="ar-SA"/>
    </w:rPr>
  </w:style>
  <w:style w:type="character" w:customStyle="1" w:styleId="820">
    <w:name w:val="燕山正文 Char"/>
    <w:link w:val="821"/>
    <w:qFormat/>
    <w:locked/>
    <w:uiPriority w:val="0"/>
    <w:rPr>
      <w:rFonts w:ascii="宋体" w:hAnsi="宋体"/>
      <w:color w:val="000000"/>
      <w:sz w:val="24"/>
      <w:szCs w:val="24"/>
    </w:rPr>
  </w:style>
  <w:style w:type="paragraph" w:customStyle="1" w:styleId="821">
    <w:name w:val="燕山正文"/>
    <w:basedOn w:val="1"/>
    <w:link w:val="820"/>
    <w:qFormat/>
    <w:uiPriority w:val="0"/>
    <w:pPr>
      <w:tabs>
        <w:tab w:val="left" w:pos="4680"/>
      </w:tabs>
      <w:adjustRightInd w:val="0"/>
      <w:snapToGrid w:val="0"/>
      <w:spacing w:line="500" w:lineRule="exact"/>
      <w:jc w:val="center"/>
    </w:pPr>
    <w:rPr>
      <w:rFonts w:ascii="宋体" w:hAnsi="宋体"/>
      <w:color w:val="000000"/>
      <w:kern w:val="0"/>
    </w:rPr>
  </w:style>
  <w:style w:type="paragraph" w:customStyle="1" w:styleId="822">
    <w:name w:val="样式 四号 段前: 7.8 磅 行距: 多倍行距 1.25 字行 首行缩进:  2 字符"/>
    <w:basedOn w:val="1"/>
    <w:qFormat/>
    <w:uiPriority w:val="0"/>
    <w:pPr>
      <w:spacing w:beforeLines="50" w:line="300" w:lineRule="auto"/>
      <w:ind w:firstLine="200" w:firstLineChars="200"/>
    </w:pPr>
    <w:rPr>
      <w:rFonts w:cs="宋体"/>
      <w:sz w:val="28"/>
      <w:szCs w:val="20"/>
    </w:rPr>
  </w:style>
  <w:style w:type="paragraph" w:customStyle="1" w:styleId="823">
    <w:name w:val="表内"/>
    <w:qFormat/>
    <w:uiPriority w:val="0"/>
    <w:pPr>
      <w:adjustRightInd w:val="0"/>
      <w:snapToGrid w:val="0"/>
      <w:ind w:left="-105" w:leftChars="-50" w:right="-105" w:rightChars="-50"/>
      <w:jc w:val="center"/>
    </w:pPr>
    <w:rPr>
      <w:rFonts w:ascii="Times New Roman" w:hAnsi="Times New Roman" w:eastAsia="宋体" w:cs="Times New Roman"/>
      <w:sz w:val="21"/>
      <w:lang w:val="en-US" w:eastAsia="zh-CN" w:bidi="ar-SA"/>
    </w:rPr>
  </w:style>
  <w:style w:type="character" w:customStyle="1" w:styleId="824">
    <w:name w:val="报告正文样式 Char"/>
    <w:link w:val="825"/>
    <w:qFormat/>
    <w:locked/>
    <w:uiPriority w:val="0"/>
    <w:rPr>
      <w:rFonts w:ascii="宋体" w:hAnsi="宋体"/>
      <w:color w:val="000000"/>
      <w:sz w:val="24"/>
      <w:szCs w:val="24"/>
    </w:rPr>
  </w:style>
  <w:style w:type="paragraph" w:customStyle="1" w:styleId="825">
    <w:name w:val="报告正文样式"/>
    <w:basedOn w:val="1"/>
    <w:link w:val="824"/>
    <w:qFormat/>
    <w:uiPriority w:val="0"/>
    <w:pPr>
      <w:spacing w:line="360" w:lineRule="auto"/>
    </w:pPr>
    <w:rPr>
      <w:rFonts w:ascii="宋体" w:hAnsi="宋体"/>
      <w:color w:val="000000"/>
      <w:kern w:val="0"/>
    </w:rPr>
  </w:style>
  <w:style w:type="paragraph" w:customStyle="1" w:styleId="826">
    <w:name w:val="CM4"/>
    <w:basedOn w:val="1"/>
    <w:next w:val="1"/>
    <w:qFormat/>
    <w:uiPriority w:val="0"/>
    <w:pPr>
      <w:autoSpaceDE w:val="0"/>
      <w:autoSpaceDN w:val="0"/>
      <w:adjustRightInd w:val="0"/>
      <w:spacing w:line="626" w:lineRule="atLeast"/>
      <w:jc w:val="left"/>
    </w:pPr>
    <w:rPr>
      <w:rFonts w:ascii="宋体"/>
      <w:kern w:val="0"/>
    </w:rPr>
  </w:style>
  <w:style w:type="paragraph" w:customStyle="1" w:styleId="827">
    <w:name w:val="Char Char Char Char Char Char Char Char Char Char Char Char Char"/>
    <w:basedOn w:val="1"/>
    <w:qFormat/>
    <w:uiPriority w:val="0"/>
    <w:pPr>
      <w:spacing w:line="240" w:lineRule="auto"/>
    </w:pPr>
    <w:rPr>
      <w:sz w:val="21"/>
    </w:rPr>
  </w:style>
  <w:style w:type="paragraph" w:customStyle="1" w:styleId="828">
    <w:name w:val="CM1"/>
    <w:basedOn w:val="190"/>
    <w:next w:val="190"/>
    <w:qFormat/>
    <w:uiPriority w:val="0"/>
    <w:rPr>
      <w:rFonts w:ascii="宋体" w:eastAsia="宋体" w:cs="Times New Roman"/>
      <w:color w:val="auto"/>
    </w:rPr>
  </w:style>
  <w:style w:type="paragraph" w:customStyle="1" w:styleId="829">
    <w:name w:val="CM2"/>
    <w:basedOn w:val="190"/>
    <w:next w:val="190"/>
    <w:qFormat/>
    <w:uiPriority w:val="0"/>
    <w:pPr>
      <w:spacing w:line="626" w:lineRule="atLeast"/>
    </w:pPr>
    <w:rPr>
      <w:rFonts w:ascii="宋体" w:eastAsia="宋体" w:cs="Times New Roman"/>
      <w:color w:val="auto"/>
    </w:rPr>
  </w:style>
  <w:style w:type="paragraph" w:customStyle="1" w:styleId="830">
    <w:name w:val="CM33"/>
    <w:basedOn w:val="190"/>
    <w:next w:val="190"/>
    <w:qFormat/>
    <w:uiPriority w:val="0"/>
    <w:pPr>
      <w:spacing w:after="608"/>
    </w:pPr>
    <w:rPr>
      <w:rFonts w:ascii="宋体" w:eastAsia="宋体" w:cs="Times New Roman"/>
      <w:color w:val="auto"/>
    </w:rPr>
  </w:style>
  <w:style w:type="paragraph" w:customStyle="1" w:styleId="831">
    <w:name w:val="CM3"/>
    <w:basedOn w:val="190"/>
    <w:next w:val="190"/>
    <w:qFormat/>
    <w:uiPriority w:val="0"/>
    <w:pPr>
      <w:spacing w:line="626" w:lineRule="atLeast"/>
    </w:pPr>
    <w:rPr>
      <w:rFonts w:ascii="宋体" w:eastAsia="宋体" w:cs="Times New Roman"/>
      <w:color w:val="auto"/>
    </w:rPr>
  </w:style>
  <w:style w:type="paragraph" w:customStyle="1" w:styleId="832">
    <w:name w:val="CM5"/>
    <w:basedOn w:val="190"/>
    <w:next w:val="190"/>
    <w:qFormat/>
    <w:uiPriority w:val="0"/>
    <w:pPr>
      <w:spacing w:line="626" w:lineRule="atLeast"/>
    </w:pPr>
    <w:rPr>
      <w:rFonts w:ascii="宋体" w:eastAsia="宋体" w:cs="Times New Roman"/>
      <w:color w:val="auto"/>
    </w:rPr>
  </w:style>
  <w:style w:type="paragraph" w:customStyle="1" w:styleId="833">
    <w:name w:val="CM7"/>
    <w:basedOn w:val="190"/>
    <w:next w:val="190"/>
    <w:qFormat/>
    <w:uiPriority w:val="0"/>
    <w:pPr>
      <w:spacing w:line="626" w:lineRule="atLeast"/>
    </w:pPr>
    <w:rPr>
      <w:rFonts w:ascii="宋体" w:eastAsia="宋体" w:cs="Times New Roman"/>
      <w:color w:val="auto"/>
    </w:rPr>
  </w:style>
  <w:style w:type="paragraph" w:customStyle="1" w:styleId="834">
    <w:name w:val="CM36"/>
    <w:basedOn w:val="190"/>
    <w:next w:val="190"/>
    <w:qFormat/>
    <w:uiPriority w:val="0"/>
    <w:pPr>
      <w:spacing w:after="878"/>
    </w:pPr>
    <w:rPr>
      <w:rFonts w:ascii="宋体" w:eastAsia="宋体" w:cs="Times New Roman"/>
      <w:color w:val="auto"/>
    </w:rPr>
  </w:style>
  <w:style w:type="paragraph" w:customStyle="1" w:styleId="835">
    <w:name w:val="CM8"/>
    <w:basedOn w:val="190"/>
    <w:next w:val="190"/>
    <w:qFormat/>
    <w:uiPriority w:val="0"/>
    <w:pPr>
      <w:spacing w:line="626" w:lineRule="atLeast"/>
    </w:pPr>
    <w:rPr>
      <w:rFonts w:ascii="宋体" w:eastAsia="宋体" w:cs="Times New Roman"/>
      <w:color w:val="auto"/>
    </w:rPr>
  </w:style>
  <w:style w:type="paragraph" w:customStyle="1" w:styleId="836">
    <w:name w:val="CM10"/>
    <w:basedOn w:val="190"/>
    <w:next w:val="190"/>
    <w:qFormat/>
    <w:uiPriority w:val="0"/>
    <w:pPr>
      <w:spacing w:line="626" w:lineRule="atLeast"/>
    </w:pPr>
    <w:rPr>
      <w:rFonts w:ascii="宋体" w:eastAsia="宋体" w:cs="Times New Roman"/>
      <w:color w:val="auto"/>
    </w:rPr>
  </w:style>
  <w:style w:type="paragraph" w:customStyle="1" w:styleId="837">
    <w:name w:val="CM37"/>
    <w:basedOn w:val="190"/>
    <w:next w:val="190"/>
    <w:qFormat/>
    <w:uiPriority w:val="0"/>
    <w:pPr>
      <w:spacing w:after="255"/>
    </w:pPr>
    <w:rPr>
      <w:rFonts w:ascii="宋体" w:eastAsia="宋体" w:cs="Times New Roman"/>
      <w:color w:val="auto"/>
    </w:rPr>
  </w:style>
  <w:style w:type="paragraph" w:customStyle="1" w:styleId="838">
    <w:name w:val="CM12"/>
    <w:basedOn w:val="190"/>
    <w:next w:val="190"/>
    <w:qFormat/>
    <w:uiPriority w:val="0"/>
    <w:pPr>
      <w:spacing w:line="626" w:lineRule="atLeast"/>
    </w:pPr>
    <w:rPr>
      <w:rFonts w:ascii="宋体" w:eastAsia="宋体" w:cs="Times New Roman"/>
      <w:color w:val="auto"/>
    </w:rPr>
  </w:style>
  <w:style w:type="paragraph" w:customStyle="1" w:styleId="839">
    <w:name w:val="CM13"/>
    <w:basedOn w:val="190"/>
    <w:next w:val="190"/>
    <w:qFormat/>
    <w:uiPriority w:val="0"/>
    <w:pPr>
      <w:spacing w:line="626" w:lineRule="atLeast"/>
    </w:pPr>
    <w:rPr>
      <w:rFonts w:ascii="宋体" w:eastAsia="宋体" w:cs="Times New Roman"/>
      <w:color w:val="auto"/>
    </w:rPr>
  </w:style>
  <w:style w:type="paragraph" w:customStyle="1" w:styleId="840">
    <w:name w:val="CM14"/>
    <w:basedOn w:val="190"/>
    <w:next w:val="190"/>
    <w:qFormat/>
    <w:uiPriority w:val="0"/>
    <w:pPr>
      <w:spacing w:line="626" w:lineRule="atLeast"/>
    </w:pPr>
    <w:rPr>
      <w:rFonts w:ascii="宋体" w:eastAsia="宋体" w:cs="Times New Roman"/>
      <w:color w:val="auto"/>
    </w:rPr>
  </w:style>
  <w:style w:type="paragraph" w:customStyle="1" w:styleId="841">
    <w:name w:val="CM15"/>
    <w:basedOn w:val="190"/>
    <w:next w:val="190"/>
    <w:qFormat/>
    <w:uiPriority w:val="0"/>
    <w:pPr>
      <w:spacing w:line="626" w:lineRule="atLeast"/>
    </w:pPr>
    <w:rPr>
      <w:rFonts w:ascii="宋体" w:eastAsia="宋体" w:cs="Times New Roman"/>
      <w:color w:val="auto"/>
    </w:rPr>
  </w:style>
  <w:style w:type="paragraph" w:customStyle="1" w:styleId="842">
    <w:name w:val="CM38"/>
    <w:basedOn w:val="190"/>
    <w:next w:val="190"/>
    <w:qFormat/>
    <w:uiPriority w:val="0"/>
    <w:pPr>
      <w:spacing w:after="498"/>
    </w:pPr>
    <w:rPr>
      <w:rFonts w:ascii="宋体" w:eastAsia="宋体" w:cs="Times New Roman"/>
      <w:color w:val="auto"/>
    </w:rPr>
  </w:style>
  <w:style w:type="paragraph" w:customStyle="1" w:styleId="843">
    <w:name w:val="CM35"/>
    <w:basedOn w:val="190"/>
    <w:next w:val="190"/>
    <w:qFormat/>
    <w:uiPriority w:val="0"/>
    <w:pPr>
      <w:spacing w:after="308"/>
    </w:pPr>
    <w:rPr>
      <w:rFonts w:ascii="宋体" w:eastAsia="宋体" w:cs="Times New Roman"/>
      <w:color w:val="auto"/>
    </w:rPr>
  </w:style>
  <w:style w:type="paragraph" w:customStyle="1" w:styleId="844">
    <w:name w:val="CM23"/>
    <w:basedOn w:val="190"/>
    <w:next w:val="190"/>
    <w:qFormat/>
    <w:uiPriority w:val="0"/>
    <w:pPr>
      <w:spacing w:line="626" w:lineRule="atLeast"/>
    </w:pPr>
    <w:rPr>
      <w:rFonts w:ascii="宋体" w:eastAsia="宋体" w:cs="Times New Roman"/>
      <w:color w:val="auto"/>
    </w:rPr>
  </w:style>
  <w:style w:type="paragraph" w:customStyle="1" w:styleId="845">
    <w:name w:val="CM39"/>
    <w:basedOn w:val="190"/>
    <w:next w:val="190"/>
    <w:qFormat/>
    <w:uiPriority w:val="0"/>
    <w:pPr>
      <w:spacing w:after="482"/>
    </w:pPr>
    <w:rPr>
      <w:rFonts w:ascii="宋体" w:eastAsia="宋体" w:cs="Times New Roman"/>
      <w:color w:val="auto"/>
    </w:rPr>
  </w:style>
  <w:style w:type="paragraph" w:customStyle="1" w:styleId="846">
    <w:name w:val="CM9"/>
    <w:basedOn w:val="190"/>
    <w:next w:val="190"/>
    <w:qFormat/>
    <w:uiPriority w:val="0"/>
    <w:pPr>
      <w:spacing w:line="626" w:lineRule="atLeast"/>
    </w:pPr>
    <w:rPr>
      <w:rFonts w:ascii="宋体" w:eastAsia="宋体" w:cs="Times New Roman"/>
      <w:color w:val="auto"/>
    </w:rPr>
  </w:style>
  <w:style w:type="paragraph" w:customStyle="1" w:styleId="847">
    <w:name w:val="CM41"/>
    <w:basedOn w:val="190"/>
    <w:next w:val="190"/>
    <w:qFormat/>
    <w:uiPriority w:val="0"/>
    <w:pPr>
      <w:spacing w:after="195"/>
    </w:pPr>
    <w:rPr>
      <w:rFonts w:ascii="宋体" w:eastAsia="宋体" w:cs="Times New Roman"/>
      <w:color w:val="auto"/>
    </w:rPr>
  </w:style>
  <w:style w:type="paragraph" w:customStyle="1" w:styleId="848">
    <w:name w:val="CM11"/>
    <w:basedOn w:val="190"/>
    <w:next w:val="190"/>
    <w:qFormat/>
    <w:uiPriority w:val="0"/>
    <w:pPr>
      <w:spacing w:line="626" w:lineRule="atLeast"/>
    </w:pPr>
    <w:rPr>
      <w:rFonts w:ascii="宋体" w:eastAsia="宋体" w:cs="Times New Roman"/>
      <w:color w:val="auto"/>
    </w:rPr>
  </w:style>
  <w:style w:type="paragraph" w:customStyle="1" w:styleId="849">
    <w:name w:val="CM40"/>
    <w:basedOn w:val="190"/>
    <w:next w:val="190"/>
    <w:qFormat/>
    <w:uiPriority w:val="0"/>
    <w:pPr>
      <w:spacing w:after="135"/>
    </w:pPr>
    <w:rPr>
      <w:rFonts w:ascii="宋体" w:eastAsia="宋体" w:cs="Times New Roman"/>
      <w:color w:val="auto"/>
    </w:rPr>
  </w:style>
  <w:style w:type="paragraph" w:customStyle="1" w:styleId="850">
    <w:name w:val="CM32"/>
    <w:basedOn w:val="190"/>
    <w:next w:val="190"/>
    <w:qFormat/>
    <w:uiPriority w:val="0"/>
    <w:pPr>
      <w:spacing w:line="626" w:lineRule="atLeast"/>
    </w:pPr>
    <w:rPr>
      <w:rFonts w:ascii="宋体" w:eastAsia="宋体" w:cs="Times New Roman"/>
      <w:color w:val="auto"/>
    </w:rPr>
  </w:style>
  <w:style w:type="character" w:customStyle="1" w:styleId="851">
    <w:name w:val="小标题 Char"/>
    <w:link w:val="852"/>
    <w:qFormat/>
    <w:locked/>
    <w:uiPriority w:val="0"/>
    <w:rPr>
      <w:rFonts w:ascii="黑体" w:hAnsi="黑体" w:eastAsia="黑体"/>
      <w:bCs/>
      <w:sz w:val="28"/>
      <w:szCs w:val="28"/>
      <w:u w:val="single"/>
    </w:rPr>
  </w:style>
  <w:style w:type="paragraph" w:customStyle="1" w:styleId="852">
    <w:name w:val="小标题"/>
    <w:basedOn w:val="1"/>
    <w:link w:val="851"/>
    <w:qFormat/>
    <w:uiPriority w:val="0"/>
    <w:pPr>
      <w:adjustRightInd w:val="0"/>
      <w:spacing w:beforeLines="50" w:line="440" w:lineRule="atLeast"/>
      <w:ind w:firstLine="560" w:firstLineChars="200"/>
      <w:jc w:val="left"/>
    </w:pPr>
    <w:rPr>
      <w:rFonts w:ascii="黑体" w:hAnsi="黑体" w:eastAsia="黑体"/>
      <w:bCs/>
      <w:kern w:val="0"/>
      <w:sz w:val="28"/>
      <w:szCs w:val="28"/>
      <w:u w:val="single"/>
    </w:rPr>
  </w:style>
  <w:style w:type="paragraph" w:customStyle="1" w:styleId="853">
    <w:name w:val="老吴样表头"/>
    <w:basedOn w:val="1"/>
    <w:qFormat/>
    <w:uiPriority w:val="0"/>
    <w:pPr>
      <w:spacing w:before="360" w:after="20" w:line="420" w:lineRule="auto"/>
      <w:jc w:val="center"/>
    </w:pPr>
    <w:rPr>
      <w:rFonts w:eastAsia="黑体"/>
      <w:color w:val="FF0000"/>
      <w:sz w:val="26"/>
      <w:szCs w:val="26"/>
    </w:rPr>
  </w:style>
  <w:style w:type="character" w:customStyle="1" w:styleId="854">
    <w:name w:val="老吴文 Char Char"/>
    <w:link w:val="855"/>
    <w:qFormat/>
    <w:locked/>
    <w:uiPriority w:val="0"/>
    <w:rPr>
      <w:color w:val="006600"/>
      <w:spacing w:val="2"/>
      <w:w w:val="101"/>
      <w:sz w:val="27"/>
      <w:szCs w:val="27"/>
    </w:rPr>
  </w:style>
  <w:style w:type="paragraph" w:customStyle="1" w:styleId="855">
    <w:name w:val="老吴文 Char"/>
    <w:basedOn w:val="14"/>
    <w:link w:val="854"/>
    <w:qFormat/>
    <w:uiPriority w:val="0"/>
    <w:pPr>
      <w:widowControl/>
      <w:spacing w:before="20" w:after="20" w:line="540" w:lineRule="auto"/>
      <w:ind w:firstLine="200" w:firstLineChars="200"/>
    </w:pPr>
    <w:rPr>
      <w:color w:val="006600"/>
      <w:spacing w:val="2"/>
      <w:w w:val="101"/>
      <w:kern w:val="0"/>
      <w:sz w:val="27"/>
      <w:szCs w:val="27"/>
    </w:rPr>
  </w:style>
  <w:style w:type="paragraph" w:customStyle="1" w:styleId="856">
    <w:name w:val="老吴文"/>
    <w:basedOn w:val="14"/>
    <w:qFormat/>
    <w:uiPriority w:val="0"/>
    <w:pPr>
      <w:widowControl/>
      <w:spacing w:before="20" w:after="20" w:line="540" w:lineRule="auto"/>
      <w:ind w:firstLine="200" w:firstLineChars="200"/>
    </w:pPr>
    <w:rPr>
      <w:rFonts w:hint="eastAsia"/>
      <w:color w:val="006600"/>
      <w:spacing w:val="2"/>
      <w:w w:val="101"/>
      <w:kern w:val="0"/>
      <w:sz w:val="27"/>
      <w:szCs w:val="27"/>
    </w:rPr>
  </w:style>
  <w:style w:type="character" w:customStyle="1" w:styleId="857">
    <w:name w:val="样式 样式 宋体 四号 行距: 1.5 倍行距 + 首行缩进:  2 字符 Char"/>
    <w:link w:val="858"/>
    <w:qFormat/>
    <w:locked/>
    <w:uiPriority w:val="0"/>
    <w:rPr>
      <w:rFonts w:ascii="宋体" w:hAnsi="宋体" w:cs="宋体"/>
      <w:sz w:val="28"/>
    </w:rPr>
  </w:style>
  <w:style w:type="paragraph" w:customStyle="1" w:styleId="858">
    <w:name w:val="样式 样式 宋体 四号 行距: 1.5 倍行距 + 首行缩进:  2 字符"/>
    <w:basedOn w:val="1"/>
    <w:link w:val="857"/>
    <w:qFormat/>
    <w:uiPriority w:val="0"/>
    <w:pPr>
      <w:spacing w:line="360" w:lineRule="auto"/>
      <w:ind w:firstLine="560" w:firstLineChars="200"/>
    </w:pPr>
    <w:rPr>
      <w:rFonts w:ascii="宋体" w:hAnsi="宋体" w:cs="宋体"/>
      <w:kern w:val="0"/>
      <w:sz w:val="28"/>
      <w:szCs w:val="20"/>
    </w:rPr>
  </w:style>
  <w:style w:type="character" w:customStyle="1" w:styleId="859">
    <w:name w:val="1a正文 Char"/>
    <w:link w:val="860"/>
    <w:qFormat/>
    <w:locked/>
    <w:uiPriority w:val="0"/>
    <w:rPr>
      <w:rFonts w:ascii="宋体" w:hAnsi="宋体" w:cs="宋体"/>
      <w:sz w:val="24"/>
    </w:rPr>
  </w:style>
  <w:style w:type="paragraph" w:customStyle="1" w:styleId="860">
    <w:name w:val="1a正文"/>
    <w:basedOn w:val="1"/>
    <w:link w:val="859"/>
    <w:qFormat/>
    <w:uiPriority w:val="0"/>
    <w:pPr>
      <w:spacing w:beforeLines="20" w:line="360" w:lineRule="auto"/>
      <w:ind w:firstLine="200" w:firstLineChars="200"/>
    </w:pPr>
    <w:rPr>
      <w:rFonts w:ascii="宋体" w:hAnsi="宋体" w:cs="宋体"/>
      <w:kern w:val="0"/>
      <w:szCs w:val="20"/>
    </w:rPr>
  </w:style>
  <w:style w:type="paragraph" w:customStyle="1" w:styleId="861">
    <w:name w:val="Char1 Char Char Char"/>
    <w:basedOn w:val="1"/>
    <w:qFormat/>
    <w:uiPriority w:val="0"/>
    <w:pPr>
      <w:spacing w:line="240" w:lineRule="auto"/>
    </w:pPr>
    <w:rPr>
      <w:sz w:val="21"/>
    </w:rPr>
  </w:style>
  <w:style w:type="paragraph" w:customStyle="1" w:styleId="862">
    <w:name w:val="Char Char Char1 Char Char Char Char Char Char Char Char Char Char Char Char Char Char Char Char Char Char Char"/>
    <w:basedOn w:val="1"/>
    <w:qFormat/>
    <w:uiPriority w:val="0"/>
    <w:pPr>
      <w:spacing w:line="240" w:lineRule="auto"/>
    </w:pPr>
    <w:rPr>
      <w:sz w:val="21"/>
    </w:rPr>
  </w:style>
  <w:style w:type="paragraph" w:customStyle="1" w:styleId="863">
    <w:name w:val="样式 标题 2 + 宋体 四号 黑色 段前: 0 磅 段后: 0 磅 行距: 固定值 27 磅"/>
    <w:basedOn w:val="3"/>
    <w:qFormat/>
    <w:uiPriority w:val="0"/>
    <w:pPr>
      <w:widowControl w:val="0"/>
      <w:numPr>
        <w:ilvl w:val="0"/>
        <w:numId w:val="0"/>
      </w:numPr>
      <w:spacing w:before="0" w:after="0" w:line="540" w:lineRule="exact"/>
      <w:jc w:val="both"/>
    </w:pPr>
    <w:rPr>
      <w:rFonts w:ascii="宋体" w:hAnsi="宋体" w:cs="宋体"/>
      <w:b w:val="0"/>
      <w:szCs w:val="20"/>
    </w:rPr>
  </w:style>
  <w:style w:type="character" w:customStyle="1" w:styleId="864">
    <w:name w:val="样式 标题 2 + 宋体 四号 非加粗 黑色 段前: 0 磅 段后: 0 磅 行距: 固定值 27 磅 Char"/>
    <w:link w:val="865"/>
    <w:qFormat/>
    <w:locked/>
    <w:uiPriority w:val="0"/>
    <w:rPr>
      <w:rFonts w:ascii="宋体" w:hAnsi="宋体" w:cs="宋体"/>
      <w:b/>
      <w:color w:val="000000"/>
      <w:sz w:val="28"/>
    </w:rPr>
  </w:style>
  <w:style w:type="paragraph" w:customStyle="1" w:styleId="865">
    <w:name w:val="样式 标题 2 + 宋体 四号 非加粗 黑色 段前: 0 磅 段后: 0 磅 行距: 固定值 27 磅"/>
    <w:basedOn w:val="3"/>
    <w:link w:val="864"/>
    <w:qFormat/>
    <w:uiPriority w:val="0"/>
    <w:pPr>
      <w:widowControl w:val="0"/>
      <w:numPr>
        <w:ilvl w:val="0"/>
        <w:numId w:val="0"/>
      </w:numPr>
      <w:spacing w:before="0" w:after="0" w:line="540" w:lineRule="exact"/>
      <w:jc w:val="both"/>
    </w:pPr>
    <w:rPr>
      <w:rFonts w:ascii="宋体" w:hAnsi="宋体" w:cs="宋体"/>
      <w:bCs w:val="0"/>
      <w:kern w:val="0"/>
      <w:szCs w:val="20"/>
    </w:rPr>
  </w:style>
  <w:style w:type="paragraph" w:customStyle="1" w:styleId="866">
    <w:name w:val="样式 标题 2 + 宋体 四号 非加粗 段前: 0 磅 段后: 0 磅 行距: 固定值 27 磅"/>
    <w:basedOn w:val="3"/>
    <w:qFormat/>
    <w:uiPriority w:val="0"/>
    <w:pPr>
      <w:widowControl w:val="0"/>
      <w:numPr>
        <w:ilvl w:val="0"/>
        <w:numId w:val="0"/>
      </w:numPr>
      <w:spacing w:before="0" w:after="0" w:line="540" w:lineRule="exact"/>
      <w:jc w:val="both"/>
    </w:pPr>
    <w:rPr>
      <w:rFonts w:ascii="宋体" w:hAnsi="宋体" w:cs="宋体"/>
      <w:bCs w:val="0"/>
      <w:color w:val="auto"/>
      <w:szCs w:val="20"/>
    </w:rPr>
  </w:style>
  <w:style w:type="paragraph" w:customStyle="1" w:styleId="867">
    <w:name w:val="样式 标题 1 + 宋体 四号"/>
    <w:basedOn w:val="2"/>
    <w:qFormat/>
    <w:uiPriority w:val="0"/>
    <w:pPr>
      <w:keepNext/>
      <w:pageBreakBefore w:val="0"/>
      <w:widowControl w:val="0"/>
      <w:spacing w:before="0" w:after="0" w:line="540" w:lineRule="exact"/>
      <w:jc w:val="center"/>
    </w:pPr>
    <w:rPr>
      <w:rFonts w:cs="Times New Roman"/>
      <w:bCs/>
      <w:color w:val="auto"/>
      <w:kern w:val="2"/>
      <w:sz w:val="28"/>
      <w:szCs w:val="32"/>
    </w:rPr>
  </w:style>
  <w:style w:type="paragraph" w:customStyle="1" w:styleId="868">
    <w:name w:val="样式 标题 2 + 宋体 四号 非加粗 段前: 0 磅 段后: 0 磅 行距: 固定值 27 磅1"/>
    <w:basedOn w:val="3"/>
    <w:qFormat/>
    <w:uiPriority w:val="0"/>
    <w:pPr>
      <w:widowControl w:val="0"/>
      <w:numPr>
        <w:ilvl w:val="0"/>
        <w:numId w:val="0"/>
      </w:numPr>
      <w:spacing w:before="0" w:after="0" w:line="540" w:lineRule="exact"/>
      <w:jc w:val="both"/>
    </w:pPr>
    <w:rPr>
      <w:rFonts w:ascii="宋体" w:hAnsi="宋体" w:cs="宋体"/>
      <w:bCs w:val="0"/>
      <w:color w:val="auto"/>
      <w:szCs w:val="20"/>
    </w:rPr>
  </w:style>
  <w:style w:type="paragraph" w:customStyle="1" w:styleId="869">
    <w:name w:val="样式 样式 标题 2 + 宋体 四号 非加粗 黑色 段前: 0 磅 段后: 0 磅 行距: 固定值 27 磅 + 非加粗 行距..."/>
    <w:basedOn w:val="865"/>
    <w:qFormat/>
    <w:uiPriority w:val="0"/>
    <w:pPr>
      <w:spacing w:line="480" w:lineRule="exact"/>
    </w:pPr>
  </w:style>
  <w:style w:type="paragraph" w:customStyle="1" w:styleId="870">
    <w:name w:val="样式 标题 2 + 宋体 四号 非加粗 段前: 0 磅 段后: 0 磅 行距: 固定值 27 磅2"/>
    <w:basedOn w:val="3"/>
    <w:qFormat/>
    <w:uiPriority w:val="0"/>
    <w:pPr>
      <w:widowControl w:val="0"/>
      <w:numPr>
        <w:ilvl w:val="0"/>
        <w:numId w:val="0"/>
      </w:numPr>
      <w:spacing w:before="0" w:after="0" w:line="540" w:lineRule="exact"/>
      <w:jc w:val="both"/>
    </w:pPr>
    <w:rPr>
      <w:rFonts w:ascii="宋体" w:hAnsi="宋体" w:cs="宋体"/>
      <w:bCs w:val="0"/>
      <w:color w:val="auto"/>
      <w:szCs w:val="20"/>
    </w:rPr>
  </w:style>
  <w:style w:type="paragraph" w:customStyle="1" w:styleId="871">
    <w:name w:val="font9"/>
    <w:basedOn w:val="1"/>
    <w:qFormat/>
    <w:uiPriority w:val="0"/>
    <w:pPr>
      <w:widowControl/>
      <w:spacing w:before="100" w:beforeAutospacing="1" w:after="100" w:afterAutospacing="1" w:line="240" w:lineRule="auto"/>
      <w:jc w:val="left"/>
    </w:pPr>
    <w:rPr>
      <w:rFonts w:eastAsia="Arial Unicode MS"/>
      <w:b/>
      <w:bCs/>
      <w:kern w:val="0"/>
      <w:sz w:val="20"/>
      <w:szCs w:val="20"/>
    </w:rPr>
  </w:style>
  <w:style w:type="paragraph" w:customStyle="1" w:styleId="872">
    <w:name w:val="font10"/>
    <w:basedOn w:val="1"/>
    <w:qFormat/>
    <w:uiPriority w:val="0"/>
    <w:pPr>
      <w:widowControl/>
      <w:spacing w:before="100" w:beforeAutospacing="1" w:after="100" w:afterAutospacing="1" w:line="240" w:lineRule="auto"/>
      <w:jc w:val="left"/>
    </w:pPr>
    <w:rPr>
      <w:rFonts w:ascii="宋体" w:hAnsi="宋体" w:cs="Arial Unicode MS"/>
      <w:b/>
      <w:bCs/>
      <w:kern w:val="0"/>
      <w:sz w:val="20"/>
      <w:szCs w:val="20"/>
    </w:rPr>
  </w:style>
  <w:style w:type="paragraph" w:customStyle="1" w:styleId="873">
    <w:name w:val="00表体"/>
    <w:basedOn w:val="1"/>
    <w:qFormat/>
    <w:uiPriority w:val="0"/>
    <w:pPr>
      <w:overflowPunct w:val="0"/>
      <w:adjustRightInd w:val="0"/>
      <w:spacing w:line="0" w:lineRule="atLeast"/>
      <w:jc w:val="center"/>
    </w:pPr>
    <w:rPr>
      <w:rFonts w:ascii="宋体"/>
      <w:color w:val="000000"/>
      <w:kern w:val="24"/>
      <w:sz w:val="18"/>
      <w:szCs w:val="20"/>
    </w:rPr>
  </w:style>
  <w:style w:type="paragraph" w:customStyle="1" w:styleId="874">
    <w:name w:val="样式 图名（报告书正文 + 首行缩进:  2 字符"/>
    <w:basedOn w:val="1"/>
    <w:qFormat/>
    <w:uiPriority w:val="0"/>
    <w:pPr>
      <w:spacing w:line="300" w:lineRule="auto"/>
      <w:jc w:val="center"/>
    </w:pPr>
    <w:rPr>
      <w:rFonts w:ascii="隶书"/>
      <w:b/>
      <w:color w:val="000000"/>
      <w:szCs w:val="30"/>
    </w:rPr>
  </w:style>
  <w:style w:type="paragraph" w:customStyle="1" w:styleId="875">
    <w:name w:val="大纲正文"/>
    <w:basedOn w:val="1"/>
    <w:qFormat/>
    <w:uiPriority w:val="0"/>
    <w:pPr>
      <w:widowControl/>
      <w:adjustRightInd w:val="0"/>
      <w:snapToGrid w:val="0"/>
      <w:spacing w:line="300" w:lineRule="auto"/>
      <w:ind w:firstLine="480" w:firstLineChars="200"/>
    </w:pPr>
    <w:rPr>
      <w:rFonts w:cs="宋体"/>
    </w:rPr>
  </w:style>
  <w:style w:type="paragraph" w:customStyle="1" w:styleId="876">
    <w:name w:val="xl22"/>
    <w:basedOn w:val="1"/>
    <w:qFormat/>
    <w:uiPriority w:val="0"/>
    <w:pPr>
      <w:widowControl/>
      <w:spacing w:before="100" w:after="100" w:line="240" w:lineRule="auto"/>
      <w:jc w:val="center"/>
    </w:pPr>
    <w:rPr>
      <w:kern w:val="0"/>
    </w:rPr>
  </w:style>
  <w:style w:type="paragraph" w:customStyle="1" w:styleId="877">
    <w:name w:val="表题 Char"/>
    <w:basedOn w:val="1"/>
    <w:qFormat/>
    <w:uiPriority w:val="0"/>
    <w:pPr>
      <w:tabs>
        <w:tab w:val="left" w:pos="4305"/>
      </w:tabs>
      <w:spacing w:line="360" w:lineRule="auto"/>
      <w:jc w:val="center"/>
    </w:pPr>
    <w:rPr>
      <w:rFonts w:ascii="黑体" w:hAnsi="宋体" w:eastAsia="黑体"/>
    </w:rPr>
  </w:style>
  <w:style w:type="paragraph" w:customStyle="1" w:styleId="878">
    <w:name w:val="二级无标题条"/>
    <w:basedOn w:val="1"/>
    <w:qFormat/>
    <w:uiPriority w:val="0"/>
    <w:pPr>
      <w:spacing w:line="240" w:lineRule="auto"/>
    </w:pPr>
    <w:rPr>
      <w:sz w:val="21"/>
    </w:rPr>
  </w:style>
  <w:style w:type="paragraph" w:customStyle="1" w:styleId="879">
    <w:name w:val="Char Char Char Char Char Char Char Char Char Char Char Char Char Char Char Char Char Char Char Char Char"/>
    <w:basedOn w:val="1"/>
    <w:qFormat/>
    <w:uiPriority w:val="0"/>
    <w:pPr>
      <w:spacing w:line="240" w:lineRule="auto"/>
    </w:pPr>
    <w:rPr>
      <w:sz w:val="21"/>
    </w:rPr>
  </w:style>
  <w:style w:type="character" w:customStyle="1" w:styleId="880">
    <w:name w:val="Char Char Char Char Char Char Char Char Char Char Char Char Char Char Char Char Char Char Char Char Char Char Char Char"/>
    <w:link w:val="881"/>
    <w:qFormat/>
    <w:locked/>
    <w:uiPriority w:val="0"/>
    <w:rPr>
      <w:szCs w:val="24"/>
    </w:rPr>
  </w:style>
  <w:style w:type="paragraph" w:customStyle="1" w:styleId="881">
    <w:name w:val="Char Char Char Char Char Char Char Char Char Char Char Char Char Char Char Char Char Char Char Char Char Char Char"/>
    <w:basedOn w:val="1"/>
    <w:link w:val="880"/>
    <w:qFormat/>
    <w:uiPriority w:val="0"/>
    <w:pPr>
      <w:spacing w:line="240" w:lineRule="auto"/>
    </w:pPr>
    <w:rPr>
      <w:kern w:val="0"/>
      <w:sz w:val="20"/>
    </w:rPr>
  </w:style>
  <w:style w:type="paragraph" w:customStyle="1" w:styleId="882">
    <w:name w:val="Char Char Char Char Char Char Char Char Char Char Char Char Char Char Char Char Char Char Char Char Char Char Char Char Char"/>
    <w:basedOn w:val="1"/>
    <w:qFormat/>
    <w:uiPriority w:val="0"/>
    <w:pPr>
      <w:spacing w:line="240" w:lineRule="auto"/>
    </w:pPr>
    <w:rPr>
      <w:sz w:val="21"/>
    </w:rPr>
  </w:style>
  <w:style w:type="paragraph" w:customStyle="1" w:styleId="883">
    <w:name w:val="Char Char Char1 Char Char Char Char Char Char Char Char Char Char Char Char Char Char Char"/>
    <w:basedOn w:val="1"/>
    <w:qFormat/>
    <w:uiPriority w:val="0"/>
    <w:pPr>
      <w:spacing w:line="240" w:lineRule="auto"/>
    </w:pPr>
    <w:rPr>
      <w:sz w:val="21"/>
    </w:rPr>
  </w:style>
  <w:style w:type="paragraph" w:customStyle="1" w:styleId="884">
    <w:name w:val="Char Char Char Char Char Char Char Char Char Char Char Char Char Char Char Char Char Char Char Char Char Char Char Char Char Char Char Char Char Char"/>
    <w:basedOn w:val="1"/>
    <w:qFormat/>
    <w:uiPriority w:val="0"/>
    <w:pPr>
      <w:spacing w:line="240" w:lineRule="auto"/>
    </w:pPr>
    <w:rPr>
      <w:sz w:val="21"/>
    </w:rPr>
  </w:style>
  <w:style w:type="paragraph" w:customStyle="1" w:styleId="885">
    <w:name w:val="Char Char Char1 Char Char Char Char Char Char Char Char Char Char Char Char Char Char Char Char Char Char Char Char Char"/>
    <w:basedOn w:val="1"/>
    <w:qFormat/>
    <w:uiPriority w:val="0"/>
    <w:pPr>
      <w:spacing w:line="240" w:lineRule="auto"/>
    </w:pPr>
    <w:rPr>
      <w:sz w:val="21"/>
    </w:rPr>
  </w:style>
  <w:style w:type="paragraph" w:customStyle="1" w:styleId="886">
    <w:name w:val="Char Char Char Char Char Char Char Char Char Char Char Char"/>
    <w:basedOn w:val="1"/>
    <w:qFormat/>
    <w:uiPriority w:val="0"/>
    <w:pPr>
      <w:spacing w:line="240" w:lineRule="auto"/>
    </w:pPr>
    <w:rPr>
      <w:sz w:val="21"/>
    </w:rPr>
  </w:style>
  <w:style w:type="paragraph" w:customStyle="1" w:styleId="887">
    <w:name w:val="Char Char Char Char Char Char Char Char Char Char Char Char Char Char Char"/>
    <w:basedOn w:val="1"/>
    <w:qFormat/>
    <w:uiPriority w:val="0"/>
    <w:pPr>
      <w:spacing w:line="240" w:lineRule="auto"/>
    </w:pPr>
    <w:rPr>
      <w:sz w:val="21"/>
    </w:rPr>
  </w:style>
  <w:style w:type="paragraph" w:customStyle="1" w:styleId="888">
    <w:name w:val="Char Char Char Char Char Char Char Char Char Char Char Char Char Char Char Char Char Char Char Char Char Char Char Char Char Char Char Char Char Char Char Char Char"/>
    <w:basedOn w:val="1"/>
    <w:qFormat/>
    <w:uiPriority w:val="0"/>
    <w:pPr>
      <w:spacing w:line="240" w:lineRule="auto"/>
    </w:pPr>
    <w:rPr>
      <w:sz w:val="21"/>
    </w:rPr>
  </w:style>
  <w:style w:type="paragraph" w:customStyle="1" w:styleId="889">
    <w:name w:val="孙为军标题2"/>
    <w:basedOn w:val="1"/>
    <w:autoRedefine/>
    <w:qFormat/>
    <w:uiPriority w:val="0"/>
    <w:pPr>
      <w:tabs>
        <w:tab w:val="left" w:pos="425"/>
      </w:tabs>
      <w:spacing w:line="360" w:lineRule="atLeast"/>
      <w:ind w:left="425" w:hanging="425"/>
    </w:pPr>
    <w:rPr>
      <w:sz w:val="21"/>
      <w:szCs w:val="20"/>
    </w:rPr>
  </w:style>
  <w:style w:type="paragraph" w:customStyle="1" w:styleId="890">
    <w:name w:val="老吴 题注 + 居中"/>
    <w:basedOn w:val="15"/>
    <w:qFormat/>
    <w:uiPriority w:val="0"/>
    <w:pPr>
      <w:spacing w:before="0" w:after="240" w:line="420" w:lineRule="auto"/>
      <w:jc w:val="center"/>
    </w:pPr>
    <w:rPr>
      <w:rFonts w:eastAsia="宋体" w:cs="宋体"/>
      <w:color w:val="660066"/>
      <w:kern w:val="0"/>
      <w:sz w:val="24"/>
      <w:szCs w:val="25"/>
    </w:rPr>
  </w:style>
  <w:style w:type="paragraph" w:customStyle="1" w:styleId="891">
    <w:name w:val="普通(Web)7"/>
    <w:basedOn w:val="1"/>
    <w:qFormat/>
    <w:uiPriority w:val="0"/>
    <w:pPr>
      <w:widowControl/>
      <w:spacing w:line="240" w:lineRule="auto"/>
      <w:jc w:val="left"/>
    </w:pPr>
    <w:rPr>
      <w:rFonts w:ascii="宋体" w:hAnsi="宋体" w:cs="宋体"/>
      <w:kern w:val="0"/>
      <w:sz w:val="14"/>
      <w:szCs w:val="14"/>
    </w:rPr>
  </w:style>
  <w:style w:type="paragraph" w:customStyle="1" w:styleId="892">
    <w:name w:val="吴彪审批表注释"/>
    <w:basedOn w:val="1"/>
    <w:qFormat/>
    <w:uiPriority w:val="0"/>
    <w:pPr>
      <w:spacing w:line="220" w:lineRule="exact"/>
    </w:pPr>
    <w:rPr>
      <w:rFonts w:cs="宋体"/>
      <w:color w:val="FF99CC"/>
      <w:sz w:val="18"/>
      <w:szCs w:val="20"/>
    </w:rPr>
  </w:style>
  <w:style w:type="paragraph" w:customStyle="1" w:styleId="893">
    <w:name w:val="老吴样6个子"/>
    <w:basedOn w:val="14"/>
    <w:qFormat/>
    <w:uiPriority w:val="0"/>
    <w:pPr>
      <w:widowControl/>
      <w:spacing w:before="120" w:after="120" w:line="540" w:lineRule="auto"/>
      <w:ind w:firstLine="600" w:firstLineChars="600"/>
    </w:pPr>
    <w:rPr>
      <w:rFonts w:hint="eastAsia"/>
      <w:color w:val="CC9900"/>
      <w:spacing w:val="2"/>
      <w:w w:val="101"/>
      <w:kern w:val="0"/>
      <w:sz w:val="27"/>
      <w:szCs w:val="27"/>
    </w:rPr>
  </w:style>
  <w:style w:type="paragraph" w:customStyle="1" w:styleId="894">
    <w:name w:val="老吴样首行12磅"/>
    <w:basedOn w:val="14"/>
    <w:qFormat/>
    <w:uiPriority w:val="0"/>
    <w:pPr>
      <w:widowControl/>
      <w:spacing w:before="240" w:after="20" w:line="540" w:lineRule="auto"/>
      <w:ind w:firstLine="200" w:firstLineChars="200"/>
    </w:pPr>
    <w:rPr>
      <w:rFonts w:hint="eastAsia"/>
      <w:color w:val="333399"/>
      <w:spacing w:val="2"/>
      <w:w w:val="101"/>
      <w:kern w:val="0"/>
      <w:sz w:val="27"/>
      <w:szCs w:val="27"/>
    </w:rPr>
  </w:style>
  <w:style w:type="paragraph" w:customStyle="1" w:styleId="895">
    <w:name w:val="老吴样不缩进"/>
    <w:basedOn w:val="22"/>
    <w:qFormat/>
    <w:uiPriority w:val="0"/>
    <w:pPr>
      <w:widowControl/>
      <w:spacing w:before="20" w:after="20" w:line="540" w:lineRule="auto"/>
    </w:pPr>
    <w:rPr>
      <w:color w:val="669900"/>
      <w:spacing w:val="2"/>
      <w:w w:val="101"/>
      <w:kern w:val="0"/>
      <w:sz w:val="27"/>
      <w:szCs w:val="27"/>
    </w:rPr>
  </w:style>
  <w:style w:type="paragraph" w:customStyle="1" w:styleId="896">
    <w:name w:val="老吴样缩进3个字"/>
    <w:basedOn w:val="1"/>
    <w:qFormat/>
    <w:uiPriority w:val="0"/>
    <w:pPr>
      <w:widowControl/>
      <w:spacing w:before="20" w:after="20" w:line="540" w:lineRule="auto"/>
      <w:ind w:firstLine="300" w:firstLineChars="300"/>
    </w:pPr>
    <w:rPr>
      <w:color w:val="008080"/>
      <w:spacing w:val="2"/>
      <w:w w:val="101"/>
      <w:sz w:val="27"/>
      <w:szCs w:val="27"/>
    </w:rPr>
  </w:style>
  <w:style w:type="paragraph" w:customStyle="1" w:styleId="897">
    <w:name w:val="老吴样表头之二"/>
    <w:basedOn w:val="1"/>
    <w:qFormat/>
    <w:uiPriority w:val="0"/>
    <w:pPr>
      <w:spacing w:before="240" w:after="160" w:line="240" w:lineRule="auto"/>
      <w:jc w:val="center"/>
    </w:pPr>
    <w:rPr>
      <w:rFonts w:eastAsia="黑体"/>
      <w:color w:val="FF0000"/>
      <w:sz w:val="28"/>
      <w:szCs w:val="28"/>
    </w:rPr>
  </w:style>
  <w:style w:type="character" w:customStyle="1" w:styleId="898">
    <w:name w:val="表格 Char"/>
    <w:link w:val="899"/>
    <w:qFormat/>
    <w:locked/>
    <w:uiPriority w:val="0"/>
    <w:rPr>
      <w:szCs w:val="24"/>
    </w:rPr>
  </w:style>
  <w:style w:type="paragraph" w:customStyle="1" w:styleId="899">
    <w:name w:val="图文"/>
    <w:basedOn w:val="1"/>
    <w:link w:val="898"/>
    <w:qFormat/>
    <w:uiPriority w:val="0"/>
    <w:pPr>
      <w:tabs>
        <w:tab w:val="left" w:pos="4680"/>
      </w:tabs>
      <w:adjustRightInd w:val="0"/>
      <w:spacing w:line="240" w:lineRule="auto"/>
      <w:jc w:val="left"/>
    </w:pPr>
    <w:rPr>
      <w:kern w:val="0"/>
      <w:sz w:val="20"/>
    </w:rPr>
  </w:style>
  <w:style w:type="character" w:customStyle="1" w:styleId="900">
    <w:name w:val="报告表格内容 Char"/>
    <w:link w:val="901"/>
    <w:qFormat/>
    <w:locked/>
    <w:uiPriority w:val="0"/>
    <w:rPr>
      <w:szCs w:val="24"/>
    </w:rPr>
  </w:style>
  <w:style w:type="paragraph" w:customStyle="1" w:styleId="901">
    <w:name w:val="报告表格内容"/>
    <w:basedOn w:val="1"/>
    <w:next w:val="1"/>
    <w:link w:val="900"/>
    <w:qFormat/>
    <w:uiPriority w:val="0"/>
    <w:pPr>
      <w:adjustRightInd w:val="0"/>
      <w:snapToGrid w:val="0"/>
      <w:spacing w:line="240" w:lineRule="auto"/>
      <w:jc w:val="center"/>
    </w:pPr>
    <w:rPr>
      <w:kern w:val="0"/>
      <w:sz w:val="20"/>
    </w:rPr>
  </w:style>
  <w:style w:type="paragraph" w:customStyle="1" w:styleId="902">
    <w:name w:val="第六章表标头"/>
    <w:basedOn w:val="1"/>
    <w:next w:val="1"/>
    <w:qFormat/>
    <w:uiPriority w:val="0"/>
    <w:pPr>
      <w:adjustRightInd w:val="0"/>
      <w:snapToGrid w:val="0"/>
      <w:spacing w:line="400" w:lineRule="exact"/>
      <w:jc w:val="center"/>
    </w:pPr>
    <w:rPr>
      <w:rFonts w:ascii="黑体" w:hAnsi="黑体" w:eastAsia="黑体"/>
      <w:bCs/>
      <w:color w:val="000000"/>
      <w:szCs w:val="20"/>
    </w:rPr>
  </w:style>
  <w:style w:type="character" w:customStyle="1" w:styleId="903">
    <w:name w:val="老吴表段前后 Char"/>
    <w:link w:val="904"/>
    <w:qFormat/>
    <w:locked/>
    <w:uiPriority w:val="0"/>
    <w:rPr>
      <w:sz w:val="24"/>
    </w:rPr>
  </w:style>
  <w:style w:type="paragraph" w:customStyle="1" w:styleId="904">
    <w:name w:val="老吴表段前后"/>
    <w:basedOn w:val="1"/>
    <w:link w:val="903"/>
    <w:qFormat/>
    <w:uiPriority w:val="0"/>
    <w:pPr>
      <w:spacing w:before="20" w:after="20" w:line="420" w:lineRule="auto"/>
      <w:ind w:firstLine="200" w:firstLineChars="200"/>
    </w:pPr>
    <w:rPr>
      <w:kern w:val="0"/>
      <w:szCs w:val="20"/>
    </w:rPr>
  </w:style>
  <w:style w:type="paragraph" w:customStyle="1" w:styleId="905">
    <w:name w:val="Char2 Char Char Char"/>
    <w:basedOn w:val="1"/>
    <w:qFormat/>
    <w:uiPriority w:val="0"/>
    <w:pPr>
      <w:autoSpaceDE w:val="0"/>
      <w:autoSpaceDN w:val="0"/>
      <w:adjustRightInd w:val="0"/>
      <w:snapToGrid w:val="0"/>
      <w:spacing w:before="50" w:after="50" w:line="360" w:lineRule="auto"/>
      <w:ind w:firstLine="560" w:firstLineChars="200"/>
    </w:pPr>
    <w:rPr>
      <w:rFonts w:ascii="宋体" w:hAnsi="宋体" w:eastAsia="仿宋_GB2312"/>
      <w:color w:val="000000"/>
    </w:rPr>
  </w:style>
  <w:style w:type="paragraph" w:customStyle="1" w:styleId="906">
    <w:name w:val="Char Char Char Char Char Char Char Char Char Char1 Char Char Char Char Char Char"/>
    <w:basedOn w:val="1"/>
    <w:qFormat/>
    <w:uiPriority w:val="0"/>
    <w:pPr>
      <w:spacing w:line="240" w:lineRule="auto"/>
    </w:pPr>
    <w:rPr>
      <w:rFonts w:ascii="宋体" w:hAnsi="宋体" w:cs="Courier New"/>
      <w:sz w:val="32"/>
      <w:szCs w:val="32"/>
    </w:rPr>
  </w:style>
  <w:style w:type="character" w:customStyle="1" w:styleId="907">
    <w:name w:val="xxxxx正文 Char"/>
    <w:link w:val="908"/>
    <w:qFormat/>
    <w:locked/>
    <w:uiPriority w:val="0"/>
    <w:rPr>
      <w:rFonts w:ascii="宋体" w:hAnsi="宋体"/>
      <w:sz w:val="24"/>
      <w:szCs w:val="24"/>
      <w:lang w:val="zh-CN"/>
    </w:rPr>
  </w:style>
  <w:style w:type="paragraph" w:customStyle="1" w:styleId="908">
    <w:name w:val="xxxxx正文"/>
    <w:basedOn w:val="1"/>
    <w:link w:val="907"/>
    <w:qFormat/>
    <w:uiPriority w:val="0"/>
    <w:pPr>
      <w:topLinePunct/>
      <w:spacing w:line="360" w:lineRule="auto"/>
      <w:ind w:firstLine="200" w:firstLineChars="200"/>
    </w:pPr>
    <w:rPr>
      <w:rFonts w:ascii="宋体" w:hAnsi="宋体"/>
      <w:kern w:val="0"/>
      <w:lang w:val="zh-CN"/>
    </w:rPr>
  </w:style>
  <w:style w:type="paragraph" w:customStyle="1" w:styleId="909">
    <w:name w:val="前言、引言标题"/>
    <w:next w:val="1"/>
    <w:qFormat/>
    <w:uiPriority w:val="0"/>
    <w:pPr>
      <w:shd w:val="clear" w:color="auto" w:fill="FFFFFF"/>
      <w:tabs>
        <w:tab w:val="left" w:pos="903"/>
      </w:tabs>
      <w:spacing w:before="640" w:after="560"/>
      <w:ind w:left="903" w:hanging="315"/>
      <w:jc w:val="center"/>
      <w:outlineLvl w:val="0"/>
    </w:pPr>
    <w:rPr>
      <w:rFonts w:ascii="黑体" w:hAnsi="Times New Roman" w:eastAsia="黑体" w:cs="Times New Roman"/>
      <w:sz w:val="32"/>
      <w:lang w:val="en-US" w:eastAsia="zh-CN" w:bidi="ar-SA"/>
    </w:rPr>
  </w:style>
  <w:style w:type="paragraph" w:customStyle="1" w:styleId="910">
    <w:name w:val="一级条标题"/>
    <w:basedOn w:val="708"/>
    <w:next w:val="1"/>
    <w:qFormat/>
    <w:uiPriority w:val="0"/>
    <w:pPr>
      <w:keepNext w:val="0"/>
      <w:keepLines w:val="0"/>
      <w:widowControl/>
      <w:tabs>
        <w:tab w:val="left" w:pos="360"/>
      </w:tabs>
      <w:spacing w:before="0" w:afterLines="0" w:line="240" w:lineRule="auto"/>
      <w:ind w:left="0" w:leftChars="0"/>
      <w:jc w:val="both"/>
      <w:outlineLvl w:val="2"/>
    </w:pPr>
    <w:rPr>
      <w:rFonts w:hAnsi="Times New Roman"/>
      <w:b w:val="0"/>
      <w:kern w:val="0"/>
      <w:sz w:val="21"/>
      <w:szCs w:val="20"/>
    </w:rPr>
  </w:style>
  <w:style w:type="paragraph" w:customStyle="1" w:styleId="911">
    <w:name w:val="二级条标题"/>
    <w:basedOn w:val="910"/>
    <w:next w:val="1"/>
    <w:qFormat/>
    <w:uiPriority w:val="0"/>
    <w:pPr>
      <w:outlineLvl w:val="3"/>
    </w:pPr>
  </w:style>
  <w:style w:type="paragraph" w:customStyle="1" w:styleId="912">
    <w:name w:val="三级条标题"/>
    <w:basedOn w:val="911"/>
    <w:next w:val="1"/>
    <w:qFormat/>
    <w:uiPriority w:val="0"/>
    <w:pPr>
      <w:outlineLvl w:val="4"/>
    </w:pPr>
  </w:style>
  <w:style w:type="paragraph" w:customStyle="1" w:styleId="913">
    <w:name w:val="四级条标题"/>
    <w:basedOn w:val="912"/>
    <w:next w:val="1"/>
    <w:qFormat/>
    <w:uiPriority w:val="0"/>
    <w:pPr>
      <w:outlineLvl w:val="5"/>
    </w:pPr>
  </w:style>
  <w:style w:type="paragraph" w:customStyle="1" w:styleId="914">
    <w:name w:val="五级条标题"/>
    <w:basedOn w:val="913"/>
    <w:next w:val="1"/>
    <w:qFormat/>
    <w:uiPriority w:val="0"/>
    <w:pPr>
      <w:outlineLvl w:val="6"/>
    </w:pPr>
  </w:style>
  <w:style w:type="character" w:customStyle="1" w:styleId="915">
    <w:name w:val="样式 小四 Char"/>
    <w:link w:val="916"/>
    <w:qFormat/>
    <w:locked/>
    <w:uiPriority w:val="0"/>
    <w:rPr>
      <w:sz w:val="24"/>
      <w:szCs w:val="24"/>
    </w:rPr>
  </w:style>
  <w:style w:type="paragraph" w:customStyle="1" w:styleId="916">
    <w:name w:val="样式 小四"/>
    <w:basedOn w:val="1"/>
    <w:link w:val="915"/>
    <w:qFormat/>
    <w:uiPriority w:val="0"/>
    <w:pPr>
      <w:ind w:firstLine="200" w:firstLineChars="200"/>
    </w:pPr>
    <w:rPr>
      <w:kern w:val="0"/>
    </w:rPr>
  </w:style>
  <w:style w:type="paragraph" w:customStyle="1" w:styleId="917">
    <w:name w:val="周晟-表格文字"/>
    <w:basedOn w:val="1"/>
    <w:qFormat/>
    <w:uiPriority w:val="0"/>
    <w:pPr>
      <w:spacing w:line="240" w:lineRule="auto"/>
      <w:jc w:val="center"/>
    </w:pPr>
    <w:rPr>
      <w:rFonts w:ascii="宋体" w:hAnsi="宋体" w:eastAsia="新宋体"/>
      <w:kern w:val="24"/>
      <w:sz w:val="21"/>
    </w:rPr>
  </w:style>
  <w:style w:type="paragraph" w:customStyle="1" w:styleId="918">
    <w:name w:val="周晟-标题3"/>
    <w:basedOn w:val="1"/>
    <w:next w:val="1"/>
    <w:qFormat/>
    <w:uiPriority w:val="0"/>
    <w:pPr>
      <w:tabs>
        <w:tab w:val="left" w:pos="720"/>
      </w:tabs>
      <w:spacing w:line="240" w:lineRule="auto"/>
    </w:pPr>
    <w:rPr>
      <w:rFonts w:ascii="黑体" w:hAnsi="黑体" w:eastAsia="黑体"/>
      <w:sz w:val="21"/>
    </w:rPr>
  </w:style>
  <w:style w:type="character" w:customStyle="1" w:styleId="919">
    <w:name w:val="周晟-正文 Char Char"/>
    <w:link w:val="920"/>
    <w:qFormat/>
    <w:locked/>
    <w:uiPriority w:val="0"/>
    <w:rPr>
      <w:rFonts w:ascii="宋体" w:hAnsi="宋体"/>
      <w:sz w:val="24"/>
    </w:rPr>
  </w:style>
  <w:style w:type="paragraph" w:customStyle="1" w:styleId="920">
    <w:name w:val="周晟-正文"/>
    <w:basedOn w:val="1"/>
    <w:link w:val="919"/>
    <w:qFormat/>
    <w:uiPriority w:val="0"/>
    <w:pPr>
      <w:widowControl/>
      <w:topLinePunct/>
      <w:spacing w:line="360" w:lineRule="auto"/>
      <w:ind w:firstLine="567"/>
    </w:pPr>
    <w:rPr>
      <w:rFonts w:ascii="宋体" w:hAnsi="宋体"/>
      <w:kern w:val="0"/>
      <w:szCs w:val="20"/>
    </w:rPr>
  </w:style>
  <w:style w:type="paragraph" w:customStyle="1" w:styleId="921">
    <w:name w:val="周晟-标题2"/>
    <w:basedOn w:val="1"/>
    <w:next w:val="920"/>
    <w:qFormat/>
    <w:uiPriority w:val="0"/>
    <w:pPr>
      <w:tabs>
        <w:tab w:val="left" w:pos="2730"/>
        <w:tab w:val="center" w:pos="4156"/>
      </w:tabs>
      <w:spacing w:line="360" w:lineRule="auto"/>
    </w:pPr>
    <w:rPr>
      <w:rFonts w:ascii="黑体" w:hAnsi="黑体" w:eastAsia="黑体"/>
      <w:bCs/>
      <w:sz w:val="28"/>
    </w:rPr>
  </w:style>
  <w:style w:type="character" w:customStyle="1" w:styleId="922">
    <w:name w:val="【表头】 Char"/>
    <w:link w:val="923"/>
    <w:qFormat/>
    <w:locked/>
    <w:uiPriority w:val="0"/>
    <w:rPr>
      <w:rFonts w:ascii="黑体" w:hAnsi="黑体" w:eastAsia="黑体" w:cs="宋体"/>
      <w:sz w:val="24"/>
    </w:rPr>
  </w:style>
  <w:style w:type="paragraph" w:customStyle="1" w:styleId="923">
    <w:name w:val="【表头】"/>
    <w:basedOn w:val="1"/>
    <w:link w:val="922"/>
    <w:qFormat/>
    <w:uiPriority w:val="0"/>
    <w:pPr>
      <w:spacing w:line="460" w:lineRule="exact"/>
      <w:jc w:val="center"/>
    </w:pPr>
    <w:rPr>
      <w:rFonts w:ascii="黑体" w:hAnsi="黑体" w:eastAsia="黑体" w:cs="宋体"/>
      <w:kern w:val="0"/>
      <w:szCs w:val="20"/>
    </w:rPr>
  </w:style>
  <w:style w:type="character" w:customStyle="1" w:styleId="924">
    <w:name w:val="正文正文正文 1.5 倍行距 Char"/>
    <w:link w:val="925"/>
    <w:qFormat/>
    <w:locked/>
    <w:uiPriority w:val="0"/>
    <w:rPr>
      <w:rFonts w:ascii="宋体" w:hAnsi="宋体" w:cs="宋体"/>
      <w:sz w:val="24"/>
    </w:rPr>
  </w:style>
  <w:style w:type="paragraph" w:customStyle="1" w:styleId="925">
    <w:name w:val="正文正文正文 1.5 倍行距"/>
    <w:basedOn w:val="1"/>
    <w:link w:val="924"/>
    <w:qFormat/>
    <w:uiPriority w:val="0"/>
    <w:pPr>
      <w:spacing w:line="360" w:lineRule="auto"/>
      <w:ind w:firstLine="480" w:firstLineChars="200"/>
    </w:pPr>
    <w:rPr>
      <w:rFonts w:ascii="宋体" w:hAnsi="宋体" w:cs="宋体"/>
      <w:kern w:val="0"/>
      <w:szCs w:val="20"/>
    </w:rPr>
  </w:style>
  <w:style w:type="character" w:customStyle="1" w:styleId="926">
    <w:name w:val="本文 字元"/>
    <w:qFormat/>
    <w:uiPriority w:val="99"/>
    <w:rPr>
      <w:rFonts w:hint="default" w:ascii="Arial" w:hAnsi="Arial" w:eastAsia="楷体_GB2312" w:cs="宋体"/>
      <w:sz w:val="24"/>
      <w:szCs w:val="24"/>
    </w:rPr>
  </w:style>
  <w:style w:type="character" w:customStyle="1" w:styleId="927">
    <w:name w:val="样式 小四3"/>
    <w:qFormat/>
    <w:uiPriority w:val="0"/>
    <w:rPr>
      <w:sz w:val="24"/>
    </w:rPr>
  </w:style>
  <w:style w:type="character" w:customStyle="1" w:styleId="928">
    <w:name w:val="不明显强调1"/>
    <w:qFormat/>
    <w:uiPriority w:val="0"/>
    <w:rPr>
      <w:rFonts w:hint="eastAsia" w:ascii="宋体" w:hAnsi="宋体" w:eastAsia="宋体"/>
      <w:iCs/>
      <w:color w:val="808080"/>
      <w:sz w:val="21"/>
    </w:rPr>
  </w:style>
  <w:style w:type="character" w:customStyle="1" w:styleId="929">
    <w:name w:val="脚注文本 Char1"/>
    <w:qFormat/>
    <w:uiPriority w:val="0"/>
    <w:rPr>
      <w:rFonts w:hint="default" w:ascii="Times New Roman" w:hAnsi="Times New Roman" w:eastAsia="宋体" w:cs="Times New Roman"/>
      <w:sz w:val="18"/>
      <w:szCs w:val="18"/>
    </w:rPr>
  </w:style>
  <w:style w:type="character" w:customStyle="1" w:styleId="930">
    <w:name w:val="showtitle1"/>
    <w:qFormat/>
    <w:uiPriority w:val="0"/>
    <w:rPr>
      <w:b/>
      <w:bCs/>
      <w:color w:val="CC0500"/>
      <w:sz w:val="20"/>
      <w:szCs w:val="20"/>
    </w:rPr>
  </w:style>
  <w:style w:type="character" w:customStyle="1" w:styleId="931">
    <w:name w:val="表格 Char Char Char Char"/>
    <w:qFormat/>
    <w:uiPriority w:val="0"/>
    <w:rPr>
      <w:rFonts w:hint="default" w:ascii="Times New Roman" w:hAnsi="Times New Roman" w:eastAsia="宋体" w:cs="Times New Roman"/>
      <w:szCs w:val="24"/>
    </w:rPr>
  </w:style>
  <w:style w:type="character" w:customStyle="1" w:styleId="932">
    <w:name w:val="正文（首行缩进两字）1 Char Char Char Char Char"/>
    <w:qFormat/>
    <w:uiPriority w:val="0"/>
    <w:rPr>
      <w:rFonts w:hint="eastAsia" w:ascii="宋体" w:hAnsi="宋体" w:eastAsia="宋体"/>
      <w:kern w:val="2"/>
      <w:sz w:val="24"/>
      <w:lang w:val="en-US" w:eastAsia="zh-CN" w:bidi="ar-SA"/>
    </w:rPr>
  </w:style>
  <w:style w:type="character" w:customStyle="1" w:styleId="933">
    <w:name w:val="註解文字 字元"/>
    <w:qFormat/>
    <w:uiPriority w:val="0"/>
    <w:rPr>
      <w:rFonts w:hint="default" w:ascii="Times New Roman" w:hAnsi="Times New Roman" w:cs="Times New Roman"/>
      <w:kern w:val="2"/>
      <w:sz w:val="24"/>
      <w:szCs w:val="24"/>
    </w:rPr>
  </w:style>
  <w:style w:type="character" w:customStyle="1" w:styleId="934">
    <w:name w:val="标题 Char1"/>
    <w:basedOn w:val="56"/>
    <w:qFormat/>
    <w:uiPriority w:val="10"/>
    <w:rPr>
      <w:rFonts w:asciiTheme="majorHAnsi" w:hAnsiTheme="majorHAnsi" w:cstheme="majorBidi"/>
      <w:b/>
      <w:bCs/>
      <w:kern w:val="2"/>
      <w:sz w:val="32"/>
      <w:szCs w:val="32"/>
    </w:rPr>
  </w:style>
  <w:style w:type="character" w:customStyle="1" w:styleId="935">
    <w:name w:val="副标题 Char1"/>
    <w:qFormat/>
    <w:uiPriority w:val="11"/>
    <w:rPr>
      <w:rFonts w:hint="default" w:ascii="Cambria" w:hAnsi="Cambria" w:eastAsia="宋体" w:cs="Times New Roman"/>
      <w:b/>
      <w:bCs/>
      <w:kern w:val="28"/>
      <w:sz w:val="32"/>
      <w:szCs w:val="32"/>
    </w:rPr>
  </w:style>
  <w:style w:type="character" w:customStyle="1" w:styleId="936">
    <w:name w:val="binding4"/>
    <w:basedOn w:val="56"/>
    <w:qFormat/>
    <w:uiPriority w:val="0"/>
  </w:style>
  <w:style w:type="character" w:customStyle="1" w:styleId="937">
    <w:name w:val="grame"/>
    <w:basedOn w:val="56"/>
    <w:qFormat/>
    <w:uiPriority w:val="0"/>
  </w:style>
  <w:style w:type="character" w:customStyle="1" w:styleId="938">
    <w:name w:val="表格 Char Char"/>
    <w:qFormat/>
    <w:uiPriority w:val="0"/>
    <w:rPr>
      <w:rFonts w:hint="eastAsia" w:ascii="楷体_GB2312" w:eastAsia="楷体_GB2312"/>
      <w:kern w:val="2"/>
      <w:sz w:val="21"/>
      <w:szCs w:val="30"/>
      <w:lang w:val="en-US" w:eastAsia="zh-CN" w:bidi="ar-SA"/>
    </w:rPr>
  </w:style>
  <w:style w:type="character" w:customStyle="1" w:styleId="939">
    <w:name w:val="表中文字 Char Char"/>
    <w:qFormat/>
    <w:uiPriority w:val="0"/>
    <w:rPr>
      <w:rFonts w:hint="default" w:ascii="Arial" w:hAnsi="Arial" w:eastAsia="楷体_GB2312" w:cs="Arial"/>
      <w:kern w:val="2"/>
      <w:sz w:val="21"/>
      <w:szCs w:val="21"/>
      <w:shd w:val="clear" w:color="auto" w:fill="FFFFFF"/>
      <w:lang w:val="en-US" w:eastAsia="zh-CN" w:bidi="ar-SA"/>
    </w:rPr>
  </w:style>
  <w:style w:type="character" w:customStyle="1" w:styleId="940">
    <w:name w:val="style9"/>
    <w:basedOn w:val="56"/>
    <w:qFormat/>
    <w:uiPriority w:val="0"/>
  </w:style>
  <w:style w:type="character" w:customStyle="1" w:styleId="941">
    <w:name w:val="批注文字 Char1"/>
    <w:qFormat/>
    <w:uiPriority w:val="99"/>
    <w:rPr>
      <w:rFonts w:hint="default" w:ascii="Times New Roman" w:hAnsi="Times New Roman" w:cs="Times New Roman"/>
      <w:kern w:val="2"/>
      <w:sz w:val="24"/>
      <w:szCs w:val="24"/>
    </w:rPr>
  </w:style>
  <w:style w:type="character" w:customStyle="1" w:styleId="942">
    <w:name w:val="脚注文本 Char2"/>
    <w:basedOn w:val="56"/>
    <w:qFormat/>
    <w:uiPriority w:val="99"/>
    <w:rPr>
      <w:kern w:val="2"/>
      <w:sz w:val="18"/>
      <w:szCs w:val="18"/>
    </w:rPr>
  </w:style>
  <w:style w:type="character" w:customStyle="1" w:styleId="943">
    <w:name w:val="正文文本首行缩进 2 字符"/>
    <w:basedOn w:val="944"/>
    <w:link w:val="51"/>
    <w:qFormat/>
    <w:locked/>
    <w:uiPriority w:val="0"/>
    <w:rPr>
      <w:rFonts w:asciiTheme="minorHAnsi" w:hAnsiTheme="minorHAnsi" w:eastAsiaTheme="minorEastAsia" w:cstheme="minorBidi"/>
      <w:kern w:val="2"/>
      <w:sz w:val="21"/>
      <w:szCs w:val="22"/>
    </w:rPr>
  </w:style>
  <w:style w:type="character" w:customStyle="1" w:styleId="944">
    <w:name w:val="正文文本缩进 Char3"/>
    <w:basedOn w:val="56"/>
    <w:semiHidden/>
    <w:qFormat/>
    <w:locked/>
    <w:uiPriority w:val="99"/>
    <w:rPr>
      <w:rFonts w:eastAsiaTheme="minorEastAsia"/>
      <w:kern w:val="2"/>
      <w:sz w:val="24"/>
      <w:szCs w:val="24"/>
    </w:rPr>
  </w:style>
  <w:style w:type="character" w:customStyle="1" w:styleId="945">
    <w:name w:val="正文首行缩进 2 Char1"/>
    <w:basedOn w:val="92"/>
    <w:qFormat/>
    <w:uiPriority w:val="99"/>
    <w:rPr>
      <w:kern w:val="2"/>
      <w:sz w:val="24"/>
      <w:szCs w:val="24"/>
    </w:rPr>
  </w:style>
  <w:style w:type="character" w:customStyle="1" w:styleId="946">
    <w:name w:val="结束语 字符"/>
    <w:basedOn w:val="56"/>
    <w:link w:val="21"/>
    <w:qFormat/>
    <w:locked/>
    <w:uiPriority w:val="0"/>
    <w:rPr>
      <w:rFonts w:asciiTheme="minorHAnsi" w:hAnsiTheme="minorHAnsi" w:eastAsiaTheme="minorEastAsia" w:cstheme="minorBidi"/>
      <w:kern w:val="2"/>
      <w:sz w:val="21"/>
      <w:szCs w:val="22"/>
    </w:rPr>
  </w:style>
  <w:style w:type="character" w:customStyle="1" w:styleId="947">
    <w:name w:val="结束语 Char2"/>
    <w:basedOn w:val="56"/>
    <w:qFormat/>
    <w:uiPriority w:val="99"/>
    <w:rPr>
      <w:kern w:val="2"/>
      <w:sz w:val="24"/>
      <w:szCs w:val="24"/>
    </w:rPr>
  </w:style>
  <w:style w:type="character" w:customStyle="1" w:styleId="948">
    <w:name w:val="title1"/>
    <w:qFormat/>
    <w:uiPriority w:val="0"/>
    <w:rPr>
      <w:b/>
      <w:bCs/>
      <w:color w:val="FF0000"/>
      <w:sz w:val="39"/>
      <w:szCs w:val="39"/>
    </w:rPr>
  </w:style>
  <w:style w:type="character" w:customStyle="1" w:styleId="949">
    <w:name w:val="样式 样式 (符号) 宋体 小四 黑色 首行缩进:  2 字符 + 首行缩进:  0.85 厘米 行距: 固定值 22 磅 Char Char Char Char"/>
    <w:qFormat/>
    <w:uiPriority w:val="0"/>
    <w:rPr>
      <w:rFonts w:hint="eastAsia" w:ascii="宋体" w:hAnsi="宋体" w:eastAsia="宋体" w:cs="宋体"/>
      <w:color w:val="000000"/>
      <w:kern w:val="2"/>
      <w:sz w:val="24"/>
      <w:szCs w:val="24"/>
      <w:lang w:val="en-US" w:eastAsia="zh-CN" w:bidi="ar-SA"/>
    </w:rPr>
  </w:style>
  <w:style w:type="character" w:customStyle="1" w:styleId="950">
    <w:name w:val="apple-converted-space"/>
    <w:basedOn w:val="56"/>
    <w:qFormat/>
    <w:uiPriority w:val="0"/>
  </w:style>
  <w:style w:type="character" w:customStyle="1" w:styleId="951">
    <w:name w:val="style11"/>
    <w:qFormat/>
    <w:uiPriority w:val="0"/>
    <w:rPr>
      <w:color w:val="FFFFFF"/>
    </w:rPr>
  </w:style>
  <w:style w:type="character" w:customStyle="1" w:styleId="952">
    <w:name w:val="chapter1"/>
    <w:qFormat/>
    <w:uiPriority w:val="0"/>
    <w:rPr>
      <w:b/>
      <w:bCs/>
      <w:color w:val="008080"/>
      <w:sz w:val="27"/>
      <w:szCs w:val="27"/>
    </w:rPr>
  </w:style>
  <w:style w:type="character" w:customStyle="1" w:styleId="953">
    <w:name w:val="Char Char13"/>
    <w:qFormat/>
    <w:uiPriority w:val="0"/>
    <w:rPr>
      <w:rFonts w:hint="eastAsia" w:ascii="黑体" w:hAnsi="黑体" w:eastAsia="黑体"/>
      <w:b/>
      <w:bCs/>
      <w:kern w:val="44"/>
      <w:sz w:val="32"/>
      <w:szCs w:val="44"/>
    </w:rPr>
  </w:style>
  <w:style w:type="character" w:customStyle="1" w:styleId="954">
    <w:name w:val="text1"/>
    <w:qFormat/>
    <w:uiPriority w:val="0"/>
    <w:rPr>
      <w:sz w:val="20"/>
      <w:szCs w:val="20"/>
    </w:rPr>
  </w:style>
  <w:style w:type="character" w:customStyle="1" w:styleId="955">
    <w:name w:val="ptbrand3"/>
    <w:basedOn w:val="56"/>
    <w:qFormat/>
    <w:uiPriority w:val="0"/>
  </w:style>
  <w:style w:type="character" w:customStyle="1" w:styleId="956">
    <w:name w:val="纯文本 Char1 Char Char1"/>
    <w:qFormat/>
    <w:uiPriority w:val="0"/>
    <w:rPr>
      <w:rFonts w:hint="eastAsia" w:ascii="宋体" w:hAnsi="Courier New" w:eastAsia="宋体"/>
      <w:kern w:val="2"/>
      <w:sz w:val="21"/>
      <w:lang w:val="en-US" w:eastAsia="zh-CN" w:bidi="ar-SA"/>
    </w:rPr>
  </w:style>
  <w:style w:type="character" w:customStyle="1" w:styleId="957">
    <w:name w:val="p11"/>
    <w:qFormat/>
    <w:uiPriority w:val="0"/>
    <w:rPr>
      <w:rFonts w:hint="eastAsia" w:ascii="宋体" w:hAnsi="宋体" w:eastAsia="宋体"/>
      <w:sz w:val="21"/>
      <w:szCs w:val="21"/>
    </w:rPr>
  </w:style>
  <w:style w:type="character" w:customStyle="1" w:styleId="958">
    <w:name w:val="副标题 Char2"/>
    <w:basedOn w:val="56"/>
    <w:qFormat/>
    <w:uiPriority w:val="11"/>
    <w:rPr>
      <w:rFonts w:asciiTheme="majorHAnsi" w:hAnsiTheme="majorHAnsi" w:cstheme="majorBidi"/>
      <w:b/>
      <w:bCs/>
      <w:kern w:val="28"/>
      <w:sz w:val="32"/>
      <w:szCs w:val="32"/>
    </w:rPr>
  </w:style>
  <w:style w:type="character" w:customStyle="1" w:styleId="959">
    <w:name w:val="正文1 Char"/>
    <w:qFormat/>
    <w:uiPriority w:val="0"/>
    <w:rPr>
      <w:rFonts w:hint="default" w:ascii="Times New Roman" w:hAnsi="Times New Roman" w:eastAsia="宋体" w:cs="Times New Roman"/>
      <w:spacing w:val="6"/>
      <w:sz w:val="24"/>
      <w:szCs w:val="20"/>
    </w:rPr>
  </w:style>
  <w:style w:type="character" w:customStyle="1" w:styleId="960">
    <w:name w:val="newsbody1"/>
    <w:qFormat/>
    <w:uiPriority w:val="0"/>
    <w:rPr>
      <w:color w:val="363636"/>
      <w:sz w:val="21"/>
      <w:szCs w:val="21"/>
    </w:rPr>
  </w:style>
  <w:style w:type="character" w:customStyle="1" w:styleId="961">
    <w:name w:val="Char Char12"/>
    <w:qFormat/>
    <w:uiPriority w:val="0"/>
    <w:rPr>
      <w:rFonts w:hint="default" w:ascii="Cambria" w:hAnsi="Cambria" w:eastAsia="黑体" w:cs="Times New Roman"/>
      <w:b/>
      <w:bCs/>
      <w:sz w:val="30"/>
      <w:szCs w:val="32"/>
    </w:rPr>
  </w:style>
  <w:style w:type="character" w:customStyle="1" w:styleId="962">
    <w:name w:val="副標題 字元1"/>
    <w:qFormat/>
    <w:uiPriority w:val="11"/>
    <w:rPr>
      <w:rFonts w:hint="default" w:ascii="Cambria" w:hAnsi="Cambria" w:eastAsia="PMingLiU" w:cs="Times New Roman"/>
      <w:i/>
      <w:iCs/>
      <w:szCs w:val="24"/>
      <w:lang w:eastAsia="zh-CN"/>
    </w:rPr>
  </w:style>
  <w:style w:type="character" w:customStyle="1" w:styleId="963">
    <w:name w:val="明显引用 Char1"/>
    <w:qFormat/>
    <w:uiPriority w:val="30"/>
    <w:rPr>
      <w:rFonts w:hint="default" w:ascii="Times New Roman" w:hAnsi="Times New Roman" w:cs="Times New Roman"/>
      <w:b/>
      <w:bCs/>
      <w:i/>
      <w:iCs/>
      <w:color w:val="4F81BD"/>
      <w:kern w:val="2"/>
      <w:sz w:val="24"/>
      <w:szCs w:val="24"/>
    </w:rPr>
  </w:style>
  <w:style w:type="character" w:customStyle="1" w:styleId="964">
    <w:name w:val="正文文本 Char1"/>
    <w:qFormat/>
    <w:uiPriority w:val="0"/>
    <w:rPr>
      <w:rFonts w:hint="default" w:ascii="Times New Roman" w:hAnsi="Times New Roman" w:cs="Times New Roman"/>
      <w:kern w:val="2"/>
      <w:sz w:val="24"/>
      <w:szCs w:val="24"/>
    </w:rPr>
  </w:style>
  <w:style w:type="character" w:customStyle="1" w:styleId="965">
    <w:name w:val="myfont11"/>
    <w:qFormat/>
    <w:uiPriority w:val="0"/>
    <w:rPr>
      <w:color w:val="000000"/>
      <w:sz w:val="18"/>
      <w:szCs w:val="18"/>
    </w:rPr>
  </w:style>
  <w:style w:type="character" w:customStyle="1" w:styleId="966">
    <w:name w:val="表格标题 Char1"/>
    <w:qFormat/>
    <w:uiPriority w:val="0"/>
    <w:rPr>
      <w:rFonts w:hint="eastAsia" w:ascii="宋体" w:hAnsi="宋体" w:eastAsia="宋体"/>
      <w:sz w:val="28"/>
      <w:lang w:val="en-US" w:eastAsia="zh-CN" w:bidi="ar-SA"/>
    </w:rPr>
  </w:style>
  <w:style w:type="character" w:customStyle="1" w:styleId="967">
    <w:name w:val="正 文 1 Char Char"/>
    <w:qFormat/>
    <w:uiPriority w:val="0"/>
    <w:rPr>
      <w:rFonts w:hint="eastAsia" w:ascii="宋体" w:hAnsi="Courier New" w:eastAsia="宋体" w:cs="Times New Roman"/>
      <w:szCs w:val="20"/>
    </w:rPr>
  </w:style>
  <w:style w:type="character" w:customStyle="1" w:styleId="968">
    <w:name w:val="標題 字元1"/>
    <w:qFormat/>
    <w:uiPriority w:val="10"/>
    <w:rPr>
      <w:rFonts w:hint="default" w:ascii="Cambria" w:hAnsi="Cambria" w:eastAsia="PMingLiU" w:cs="Times New Roman"/>
      <w:b/>
      <w:bCs/>
      <w:sz w:val="32"/>
      <w:szCs w:val="32"/>
      <w:lang w:eastAsia="zh-CN"/>
    </w:rPr>
  </w:style>
  <w:style w:type="character" w:customStyle="1" w:styleId="969">
    <w:name w:val="标题 Char2"/>
    <w:basedOn w:val="56"/>
    <w:qFormat/>
    <w:locked/>
    <w:uiPriority w:val="0"/>
    <w:rPr>
      <w:rFonts w:asciiTheme="majorHAnsi" w:hAnsiTheme="majorHAnsi" w:cstheme="majorBidi"/>
      <w:b/>
      <w:bCs/>
      <w:kern w:val="2"/>
      <w:sz w:val="32"/>
      <w:szCs w:val="32"/>
    </w:rPr>
  </w:style>
  <w:style w:type="character" w:customStyle="1" w:styleId="970">
    <w:name w:val="尾注文本 Char1"/>
    <w:basedOn w:val="56"/>
    <w:qFormat/>
    <w:uiPriority w:val="99"/>
    <w:rPr>
      <w:kern w:val="2"/>
      <w:sz w:val="24"/>
      <w:szCs w:val="24"/>
    </w:rPr>
  </w:style>
  <w:style w:type="character" w:customStyle="1" w:styleId="971">
    <w:name w:val="unnamed21"/>
    <w:qFormat/>
    <w:uiPriority w:val="0"/>
    <w:rPr>
      <w:rFonts w:hint="eastAsia" w:ascii="宋体" w:hAnsi="宋体" w:eastAsia="宋体"/>
      <w:color w:val="000000"/>
      <w:sz w:val="20"/>
      <w:szCs w:val="20"/>
      <w:u w:val="none"/>
    </w:rPr>
  </w:style>
  <w:style w:type="character" w:customStyle="1" w:styleId="972">
    <w:name w:val="xiao14"/>
    <w:basedOn w:val="56"/>
    <w:qFormat/>
    <w:uiPriority w:val="0"/>
  </w:style>
  <w:style w:type="character" w:customStyle="1" w:styleId="973">
    <w:name w:val="fontstyle01"/>
    <w:qFormat/>
    <w:uiPriority w:val="0"/>
    <w:rPr>
      <w:rFonts w:hint="eastAsia" w:ascii="宋体" w:hAnsi="宋体" w:eastAsia="宋体"/>
      <w:color w:val="000000"/>
      <w:sz w:val="24"/>
      <w:szCs w:val="24"/>
    </w:rPr>
  </w:style>
  <w:style w:type="character" w:customStyle="1" w:styleId="974">
    <w:name w:val="正文3 Char"/>
    <w:qFormat/>
    <w:uiPriority w:val="0"/>
    <w:rPr>
      <w:rFonts w:hint="eastAsia" w:ascii="宋体" w:hAnsi="宋体" w:eastAsia="宋体" w:cs="宋体"/>
      <w:sz w:val="24"/>
      <w:szCs w:val="24"/>
    </w:rPr>
  </w:style>
  <w:style w:type="character" w:customStyle="1" w:styleId="975">
    <w:name w:val="font21"/>
    <w:qFormat/>
    <w:uiPriority w:val="0"/>
    <w:rPr>
      <w:rFonts w:hint="default" w:ascii="Times New Roman" w:hAnsi="Times New Roman" w:cs="Times New Roman"/>
      <w:b/>
      <w:color w:val="000000"/>
      <w:sz w:val="18"/>
      <w:szCs w:val="18"/>
      <w:u w:val="none"/>
    </w:rPr>
  </w:style>
  <w:style w:type="character" w:customStyle="1" w:styleId="976">
    <w:name w:val="标题 1 Char1"/>
    <w:qFormat/>
    <w:uiPriority w:val="0"/>
    <w:rPr>
      <w:rFonts w:hint="default" w:ascii="Times New Roman" w:hAnsi="Times New Roman" w:eastAsia="宋体" w:cs="Times New Roman"/>
      <w:b/>
      <w:bCs/>
      <w:kern w:val="44"/>
      <w:sz w:val="44"/>
      <w:szCs w:val="44"/>
    </w:rPr>
  </w:style>
  <w:style w:type="character" w:customStyle="1" w:styleId="977">
    <w:name w:val="表内字 Char Char"/>
    <w:qFormat/>
    <w:uiPriority w:val="0"/>
    <w:rPr>
      <w:iCs/>
      <w:snapToGrid w:val="0"/>
      <w:color w:val="000000"/>
      <w:sz w:val="18"/>
      <w:szCs w:val="18"/>
      <w:lang w:val="en-US" w:eastAsia="zh-CN"/>
    </w:rPr>
  </w:style>
  <w:style w:type="character" w:customStyle="1" w:styleId="978">
    <w:name w:val="t_tag"/>
    <w:qFormat/>
    <w:uiPriority w:val="0"/>
  </w:style>
  <w:style w:type="character" w:customStyle="1" w:styleId="979">
    <w:name w:val="标题 1 Char Char Char"/>
    <w:qFormat/>
    <w:uiPriority w:val="0"/>
    <w:rPr>
      <w:rFonts w:hint="eastAsia" w:ascii="黑体" w:hAnsi="黑体" w:eastAsia="黑体"/>
      <w:b/>
      <w:bCs/>
      <w:snapToGrid w:val="0"/>
      <w:sz w:val="24"/>
      <w:szCs w:val="44"/>
      <w:lang w:val="en-US" w:eastAsia="zh-CN" w:bidi="ar-SA"/>
    </w:rPr>
  </w:style>
  <w:style w:type="character" w:customStyle="1" w:styleId="980">
    <w:name w:val="表头 Char Char Char Char"/>
    <w:qFormat/>
    <w:uiPriority w:val="0"/>
    <w:rPr>
      <w:rFonts w:hint="eastAsia" w:ascii="宋体" w:hAnsi="宋体" w:eastAsia="宋体"/>
      <w:kern w:val="4"/>
      <w:sz w:val="24"/>
      <w:szCs w:val="24"/>
      <w:lang w:val="en-US" w:eastAsia="zh-CN" w:bidi="ar-SA"/>
    </w:rPr>
  </w:style>
  <w:style w:type="character" w:customStyle="1" w:styleId="981">
    <w:name w:val="Char Char19"/>
    <w:qFormat/>
    <w:uiPriority w:val="0"/>
    <w:rPr>
      <w:rFonts w:hint="default" w:ascii="Arial" w:hAnsi="Arial" w:eastAsia="黑体" w:cs="Arial"/>
      <w:kern w:val="2"/>
      <w:sz w:val="21"/>
      <w:szCs w:val="21"/>
      <w:lang w:val="en-US" w:eastAsia="zh-CN" w:bidi="ar-SA"/>
    </w:rPr>
  </w:style>
  <w:style w:type="character" w:customStyle="1" w:styleId="982">
    <w:name w:val="样式 标题 2节 + (符号) Times New Roman Char"/>
    <w:qFormat/>
    <w:uiPriority w:val="0"/>
    <w:rPr>
      <w:rFonts w:hint="default" w:ascii="Arial" w:hAnsi="Arial" w:eastAsia="宋体" w:cs="Arial"/>
      <w:b/>
      <w:bCs/>
      <w:color w:val="000000"/>
      <w:kern w:val="2"/>
      <w:sz w:val="30"/>
      <w:szCs w:val="32"/>
      <w:lang w:val="en-US" w:eastAsia="zh-CN" w:bidi="ar-SA"/>
    </w:rPr>
  </w:style>
  <w:style w:type="character" w:customStyle="1" w:styleId="983">
    <w:name w:val="t11"/>
    <w:qFormat/>
    <w:uiPriority w:val="0"/>
    <w:rPr>
      <w:b/>
      <w:bCs/>
      <w:sz w:val="24"/>
      <w:szCs w:val="24"/>
      <w:shd w:val="clear" w:color="auto" w:fill="FFFFFF"/>
    </w:rPr>
  </w:style>
  <w:style w:type="character" w:customStyle="1" w:styleId="984">
    <w:name w:val="俺的正文 Char Char Char Char"/>
    <w:qFormat/>
    <w:uiPriority w:val="0"/>
    <w:rPr>
      <w:rFonts w:hint="eastAsia" w:ascii="宋体" w:hAnsi="宋体" w:eastAsia="宋体"/>
      <w:kern w:val="2"/>
      <w:sz w:val="24"/>
      <w:szCs w:val="24"/>
      <w:lang w:val="en-US" w:eastAsia="zh-CN" w:bidi="ar-SA"/>
    </w:rPr>
  </w:style>
  <w:style w:type="character" w:customStyle="1" w:styleId="985">
    <w:name w:val="aa Char Char"/>
    <w:qFormat/>
    <w:uiPriority w:val="0"/>
    <w:rPr>
      <w:rFonts w:hint="default" w:ascii="Arial" w:hAnsi="Arial" w:eastAsia="宋体" w:cs="Arial"/>
      <w:kern w:val="2"/>
      <w:sz w:val="28"/>
      <w:szCs w:val="21"/>
      <w:lang w:val="en-US" w:eastAsia="zh-CN" w:bidi="ar-SA"/>
    </w:rPr>
  </w:style>
  <w:style w:type="character" w:customStyle="1" w:styleId="986">
    <w:name w:val="Char Char10"/>
    <w:qFormat/>
    <w:uiPriority w:val="0"/>
    <w:rPr>
      <w:rFonts w:hint="eastAsia" w:ascii="宋体" w:hAnsi="宋体" w:eastAsia="宋体"/>
      <w:b/>
      <w:bCs/>
      <w:kern w:val="2"/>
      <w:sz w:val="24"/>
      <w:szCs w:val="32"/>
      <w:lang w:val="en-US" w:eastAsia="zh-CN" w:bidi="ar-SA"/>
    </w:rPr>
  </w:style>
  <w:style w:type="character" w:customStyle="1" w:styleId="987">
    <w:name w:val="wenzhang1"/>
    <w:qFormat/>
    <w:uiPriority w:val="0"/>
    <w:rPr>
      <w:rFonts w:hint="default" w:ascii="Arial" w:hAnsi="Arial" w:cs="Arial"/>
      <w:color w:val="333333"/>
      <w:sz w:val="21"/>
      <w:szCs w:val="21"/>
      <w:u w:val="none"/>
    </w:rPr>
  </w:style>
  <w:style w:type="character" w:customStyle="1" w:styleId="988">
    <w:name w:val="标题 2 Char Char Char"/>
    <w:qFormat/>
    <w:uiPriority w:val="0"/>
    <w:rPr>
      <w:rFonts w:hint="eastAsia" w:ascii="黑体" w:hAnsi="黑体" w:eastAsia="黑体"/>
      <w:b/>
      <w:bCs/>
      <w:snapToGrid w:val="0"/>
      <w:color w:val="000000"/>
      <w:sz w:val="24"/>
      <w:szCs w:val="32"/>
      <w:lang w:val="en-US" w:eastAsia="zh-CN" w:bidi="ar-SA"/>
    </w:rPr>
  </w:style>
  <w:style w:type="paragraph" w:customStyle="1" w:styleId="989">
    <w:name w:val="标题B"/>
    <w:basedOn w:val="1"/>
    <w:link w:val="990"/>
    <w:qFormat/>
    <w:uiPriority w:val="0"/>
    <w:pPr>
      <w:spacing w:line="240" w:lineRule="auto"/>
    </w:pPr>
    <w:rPr>
      <w:rFonts w:asciiTheme="minorHAnsi" w:hAnsiTheme="minorHAnsi" w:eastAsiaTheme="minorEastAsia" w:cstheme="minorBidi"/>
      <w:sz w:val="21"/>
      <w:szCs w:val="22"/>
    </w:rPr>
  </w:style>
  <w:style w:type="character" w:customStyle="1" w:styleId="990">
    <w:name w:val="标题B Char"/>
    <w:link w:val="989"/>
    <w:qFormat/>
    <w:locked/>
    <w:uiPriority w:val="0"/>
    <w:rPr>
      <w:rFonts w:asciiTheme="minorHAnsi" w:hAnsiTheme="minorHAnsi" w:eastAsiaTheme="minorEastAsia" w:cstheme="minorBidi"/>
      <w:kern w:val="2"/>
      <w:sz w:val="21"/>
      <w:szCs w:val="22"/>
    </w:rPr>
  </w:style>
  <w:style w:type="character" w:customStyle="1" w:styleId="991">
    <w:name w:val="a Char Char Char Char"/>
    <w:qFormat/>
    <w:uiPriority w:val="0"/>
    <w:rPr>
      <w:rFonts w:hint="eastAsia" w:ascii="宋体" w:hAnsi="宋体" w:eastAsia="宋体"/>
      <w:bCs/>
      <w:kern w:val="2"/>
      <w:sz w:val="28"/>
      <w:szCs w:val="28"/>
      <w:lang w:val="en-US" w:eastAsia="zh-CN" w:bidi="ar-SA"/>
    </w:rPr>
  </w:style>
  <w:style w:type="character" w:customStyle="1" w:styleId="992">
    <w:name w:val="节 Char2"/>
    <w:qFormat/>
    <w:uiPriority w:val="0"/>
    <w:rPr>
      <w:rFonts w:hint="default" w:ascii="Arial" w:hAnsi="Arial" w:eastAsia="宋体" w:cs="Arial"/>
      <w:b/>
      <w:bCs/>
      <w:kern w:val="2"/>
      <w:sz w:val="30"/>
      <w:szCs w:val="32"/>
      <w:lang w:val="en-US" w:eastAsia="zh-CN" w:bidi="ar-SA"/>
    </w:rPr>
  </w:style>
  <w:style w:type="character" w:customStyle="1" w:styleId="993">
    <w:name w:val="Char Char Char Char1"/>
    <w:qFormat/>
    <w:uiPriority w:val="0"/>
    <w:rPr>
      <w:rFonts w:hint="eastAsia" w:ascii="宋体" w:hAnsi="宋体" w:eastAsia="宋体"/>
      <w:kern w:val="2"/>
      <w:sz w:val="24"/>
      <w:szCs w:val="21"/>
      <w:lang w:val="en-US" w:eastAsia="zh-CN" w:bidi="ar-SA"/>
    </w:rPr>
  </w:style>
  <w:style w:type="character" w:customStyle="1" w:styleId="994">
    <w:name w:val="Char Char9"/>
    <w:qFormat/>
    <w:uiPriority w:val="0"/>
    <w:rPr>
      <w:rFonts w:hint="eastAsia" w:ascii="宋体" w:hAnsi="宋体" w:eastAsia="宋体"/>
      <w:b/>
      <w:bCs/>
      <w:kern w:val="2"/>
      <w:sz w:val="24"/>
      <w:szCs w:val="32"/>
      <w:lang w:val="en-US" w:eastAsia="zh-CN" w:bidi="ar-SA"/>
    </w:rPr>
  </w:style>
  <w:style w:type="character" w:customStyle="1" w:styleId="995">
    <w:name w:val="表头 Char Char Char"/>
    <w:qFormat/>
    <w:uiPriority w:val="0"/>
    <w:rPr>
      <w:rFonts w:hint="eastAsia" w:ascii="宋体" w:hAnsi="宋体" w:eastAsia="宋体"/>
      <w:b/>
      <w:kern w:val="4"/>
      <w:sz w:val="21"/>
      <w:szCs w:val="21"/>
    </w:rPr>
  </w:style>
  <w:style w:type="character" w:customStyle="1" w:styleId="996">
    <w:name w:val="eee"/>
    <w:qFormat/>
    <w:uiPriority w:val="0"/>
  </w:style>
  <w:style w:type="character" w:customStyle="1" w:styleId="997">
    <w:name w:val="repeat-item"/>
    <w:qFormat/>
    <w:uiPriority w:val="0"/>
  </w:style>
  <w:style w:type="character" w:customStyle="1" w:styleId="998">
    <w:name w:val="三级标题 Char Char Char"/>
    <w:qFormat/>
    <w:uiPriority w:val="0"/>
    <w:rPr>
      <w:rFonts w:hint="eastAsia" w:ascii="宋体" w:hAnsi="宋体" w:eastAsia="宋体"/>
      <w:b/>
      <w:kern w:val="2"/>
      <w:sz w:val="24"/>
      <w:szCs w:val="21"/>
      <w:lang w:val="en-US" w:eastAsia="zh-CN" w:bidi="ar-SA"/>
    </w:rPr>
  </w:style>
  <w:style w:type="character" w:customStyle="1" w:styleId="999">
    <w:name w:val="三级标题 Char Char"/>
    <w:qFormat/>
    <w:uiPriority w:val="0"/>
    <w:rPr>
      <w:rFonts w:hint="eastAsia" w:ascii="宋体" w:hAnsi="宋体" w:eastAsia="宋体"/>
      <w:b/>
      <w:kern w:val="2"/>
      <w:sz w:val="24"/>
      <w:szCs w:val="21"/>
      <w:lang w:val="en-US" w:eastAsia="zh-CN" w:bidi="ar-SA"/>
    </w:rPr>
  </w:style>
  <w:style w:type="paragraph" w:customStyle="1" w:styleId="1000">
    <w:name w:val="二级标题"/>
    <w:basedOn w:val="1"/>
    <w:link w:val="1001"/>
    <w:qFormat/>
    <w:uiPriority w:val="0"/>
    <w:pPr>
      <w:spacing w:line="240" w:lineRule="auto"/>
    </w:pPr>
    <w:rPr>
      <w:rFonts w:asciiTheme="minorHAnsi" w:hAnsiTheme="minorHAnsi" w:eastAsiaTheme="minorEastAsia" w:cstheme="minorBidi"/>
      <w:sz w:val="21"/>
      <w:szCs w:val="22"/>
    </w:rPr>
  </w:style>
  <w:style w:type="character" w:customStyle="1" w:styleId="1001">
    <w:name w:val="二级标题 Char"/>
    <w:link w:val="1000"/>
    <w:qFormat/>
    <w:locked/>
    <w:uiPriority w:val="0"/>
    <w:rPr>
      <w:rFonts w:asciiTheme="minorHAnsi" w:hAnsiTheme="minorHAnsi" w:eastAsiaTheme="minorEastAsia" w:cstheme="minorBidi"/>
      <w:kern w:val="2"/>
      <w:sz w:val="21"/>
      <w:szCs w:val="22"/>
    </w:rPr>
  </w:style>
  <w:style w:type="character" w:customStyle="1" w:styleId="1002">
    <w:name w:val="表格文字 Char1"/>
    <w:qFormat/>
    <w:uiPriority w:val="0"/>
    <w:rPr>
      <w:rFonts w:hint="eastAsia" w:ascii="宋体" w:hAnsi="宋体" w:eastAsia="宋体"/>
      <w:kern w:val="2"/>
      <w:sz w:val="21"/>
      <w:lang w:val="en-US" w:eastAsia="zh-CN" w:bidi="ar-SA"/>
    </w:rPr>
  </w:style>
  <w:style w:type="paragraph" w:customStyle="1" w:styleId="1003">
    <w:name w:val="正文A Char Char"/>
    <w:basedOn w:val="1"/>
    <w:link w:val="1004"/>
    <w:qFormat/>
    <w:uiPriority w:val="0"/>
    <w:pPr>
      <w:spacing w:line="240" w:lineRule="auto"/>
    </w:pPr>
    <w:rPr>
      <w:rFonts w:asciiTheme="minorHAnsi" w:hAnsiTheme="minorHAnsi" w:eastAsiaTheme="minorEastAsia" w:cstheme="minorBidi"/>
      <w:sz w:val="21"/>
      <w:szCs w:val="22"/>
    </w:rPr>
  </w:style>
  <w:style w:type="character" w:customStyle="1" w:styleId="1004">
    <w:name w:val="正文A Char Char Char"/>
    <w:link w:val="1003"/>
    <w:qFormat/>
    <w:locked/>
    <w:uiPriority w:val="0"/>
    <w:rPr>
      <w:rFonts w:asciiTheme="minorHAnsi" w:hAnsiTheme="minorHAnsi" w:eastAsiaTheme="minorEastAsia" w:cstheme="minorBidi"/>
      <w:kern w:val="2"/>
      <w:sz w:val="21"/>
      <w:szCs w:val="22"/>
    </w:rPr>
  </w:style>
  <w:style w:type="character" w:customStyle="1" w:styleId="1005">
    <w:name w:val="textcontents"/>
    <w:qFormat/>
    <w:uiPriority w:val="0"/>
  </w:style>
  <w:style w:type="character" w:customStyle="1" w:styleId="1006">
    <w:name w:val="bt1"/>
    <w:qFormat/>
    <w:uiPriority w:val="0"/>
    <w:rPr>
      <w:color w:val="000000"/>
    </w:rPr>
  </w:style>
  <w:style w:type="character" w:customStyle="1" w:styleId="1007">
    <w:name w:val="Char Char18"/>
    <w:qFormat/>
    <w:uiPriority w:val="0"/>
    <w:rPr>
      <w:kern w:val="2"/>
      <w:sz w:val="18"/>
      <w:szCs w:val="18"/>
      <w:lang w:bidi="ar-SA"/>
    </w:rPr>
  </w:style>
  <w:style w:type="character" w:customStyle="1" w:styleId="1008">
    <w:name w:val="14p1"/>
    <w:qFormat/>
    <w:uiPriority w:val="0"/>
    <w:rPr>
      <w:sz w:val="21"/>
      <w:szCs w:val="21"/>
    </w:rPr>
  </w:style>
  <w:style w:type="character" w:customStyle="1" w:styleId="1009">
    <w:name w:val="x正文 Char"/>
    <w:qFormat/>
    <w:uiPriority w:val="0"/>
    <w:rPr>
      <w:rFonts w:hint="eastAsia" w:ascii="宋体" w:hAnsi="宋体" w:eastAsia="宋体"/>
      <w:kern w:val="2"/>
      <w:sz w:val="24"/>
      <w:szCs w:val="21"/>
      <w:lang w:val="en-US" w:eastAsia="zh-CN" w:bidi="ar-SA"/>
    </w:rPr>
  </w:style>
  <w:style w:type="character" w:customStyle="1" w:styleId="1010">
    <w:name w:val="style441"/>
    <w:qFormat/>
    <w:uiPriority w:val="0"/>
    <w:rPr>
      <w:color w:val="034EA2"/>
    </w:rPr>
  </w:style>
  <w:style w:type="character" w:customStyle="1" w:styleId="1011">
    <w:name w:val="titletext"/>
    <w:qFormat/>
    <w:uiPriority w:val="0"/>
  </w:style>
  <w:style w:type="character" w:customStyle="1" w:styleId="1012">
    <w:name w:val="标题 3 Char Char Char Char Char"/>
    <w:qFormat/>
    <w:uiPriority w:val="0"/>
    <w:rPr>
      <w:rFonts w:hint="eastAsia" w:ascii="宋体" w:hAnsi="宋体" w:eastAsia="宋体"/>
      <w:b/>
      <w:bCs/>
      <w:kern w:val="2"/>
      <w:sz w:val="32"/>
      <w:szCs w:val="32"/>
      <w:lang w:val="en-US" w:eastAsia="zh-CN" w:bidi="ar-SA"/>
    </w:rPr>
  </w:style>
  <w:style w:type="character" w:customStyle="1" w:styleId="1013">
    <w:name w:val="f14b1"/>
    <w:qFormat/>
    <w:uiPriority w:val="0"/>
    <w:rPr>
      <w:b/>
      <w:bCs/>
      <w:sz w:val="28"/>
      <w:szCs w:val="28"/>
    </w:rPr>
  </w:style>
  <w:style w:type="character" w:customStyle="1" w:styleId="1014">
    <w:name w:val="content"/>
    <w:qFormat/>
    <w:uiPriority w:val="0"/>
  </w:style>
  <w:style w:type="character" w:customStyle="1" w:styleId="1015">
    <w:name w:val="ca-292"/>
    <w:qFormat/>
    <w:uiPriority w:val="0"/>
  </w:style>
  <w:style w:type="paragraph" w:customStyle="1" w:styleId="1016">
    <w:name w:val="样式7"/>
    <w:basedOn w:val="607"/>
    <w:link w:val="1017"/>
    <w:qFormat/>
    <w:uiPriority w:val="0"/>
    <w:pPr>
      <w:tabs>
        <w:tab w:val="left" w:pos="1374"/>
      </w:tabs>
      <w:ind w:left="1374" w:hanging="864"/>
      <w:outlineLvl w:val="3"/>
    </w:pPr>
    <w:rPr>
      <w:rFonts w:asciiTheme="minorHAnsi" w:hAnsiTheme="minorHAnsi" w:eastAsiaTheme="minorEastAsia" w:cstheme="minorBidi"/>
    </w:rPr>
  </w:style>
  <w:style w:type="character" w:customStyle="1" w:styleId="1017">
    <w:name w:val="样式7 Char"/>
    <w:link w:val="1016"/>
    <w:qFormat/>
    <w:locked/>
    <w:uiPriority w:val="0"/>
    <w:rPr>
      <w:rFonts w:asciiTheme="minorHAnsi" w:hAnsiTheme="minorHAnsi" w:eastAsiaTheme="minorEastAsia" w:cstheme="minorBidi"/>
      <w:kern w:val="2"/>
      <w:sz w:val="24"/>
      <w:szCs w:val="24"/>
    </w:rPr>
  </w:style>
  <w:style w:type="character" w:customStyle="1" w:styleId="1018">
    <w:name w:val="表头 Char2"/>
    <w:qFormat/>
    <w:uiPriority w:val="0"/>
    <w:rPr>
      <w:rFonts w:hint="eastAsia" w:ascii="黑体" w:hAnsi="黑体" w:eastAsia="黑体"/>
      <w:sz w:val="24"/>
    </w:rPr>
  </w:style>
  <w:style w:type="character" w:customStyle="1" w:styleId="1019">
    <w:name w:val="google-src-text1"/>
    <w:qFormat/>
    <w:uiPriority w:val="0"/>
    <w:rPr>
      <w:vanish/>
    </w:rPr>
  </w:style>
  <w:style w:type="character" w:customStyle="1" w:styleId="1020">
    <w:name w:val="Char Char11"/>
    <w:qFormat/>
    <w:uiPriority w:val="0"/>
    <w:rPr>
      <w:rFonts w:hint="default" w:ascii="Arial" w:hAnsi="Arial" w:eastAsia="黑体" w:cs="Arial"/>
      <w:sz w:val="21"/>
    </w:rPr>
  </w:style>
  <w:style w:type="character" w:customStyle="1" w:styleId="1021">
    <w:name w:val="b1"/>
    <w:qFormat/>
    <w:uiPriority w:val="0"/>
  </w:style>
  <w:style w:type="character" w:customStyle="1" w:styleId="1022">
    <w:name w:val="a Char Char Char"/>
    <w:qFormat/>
    <w:uiPriority w:val="0"/>
    <w:rPr>
      <w:rFonts w:hint="eastAsia" w:ascii="宋体" w:hAnsi="宋体" w:eastAsia="宋体"/>
      <w:bCs/>
      <w:kern w:val="2"/>
      <w:sz w:val="28"/>
      <w:szCs w:val="28"/>
      <w:lang w:val="en-US" w:eastAsia="zh-CN" w:bidi="ar-SA"/>
    </w:rPr>
  </w:style>
  <w:style w:type="character" w:customStyle="1" w:styleId="1023">
    <w:name w:val="H9 Char1"/>
    <w:qFormat/>
    <w:locked/>
    <w:uiPriority w:val="0"/>
    <w:rPr>
      <w:kern w:val="2"/>
      <w:sz w:val="21"/>
    </w:rPr>
  </w:style>
  <w:style w:type="character" w:customStyle="1" w:styleId="1024">
    <w:name w:val="环保表内字（五号） Char Char"/>
    <w:qFormat/>
    <w:uiPriority w:val="0"/>
    <w:rPr>
      <w:rFonts w:hint="eastAsia" w:ascii="宋体" w:hAnsi="宋体" w:eastAsia="宋体"/>
      <w:b/>
      <w:bCs/>
      <w:snapToGrid w:val="0"/>
      <w:kern w:val="2"/>
      <w:sz w:val="21"/>
      <w:szCs w:val="24"/>
    </w:rPr>
  </w:style>
  <w:style w:type="character" w:customStyle="1" w:styleId="1025">
    <w:name w:val="3 Char"/>
    <w:qFormat/>
    <w:locked/>
    <w:uiPriority w:val="0"/>
    <w:rPr>
      <w:rFonts w:hint="eastAsia" w:ascii="宋体" w:hAnsi="Courier New" w:eastAsia="宋体" w:cs="隶书"/>
      <w:kern w:val="2"/>
      <w:sz w:val="21"/>
      <w:szCs w:val="21"/>
    </w:rPr>
  </w:style>
  <w:style w:type="character" w:customStyle="1" w:styleId="1026">
    <w:name w:val="word1"/>
    <w:qFormat/>
    <w:uiPriority w:val="0"/>
    <w:rPr>
      <w:sz w:val="18"/>
      <w:szCs w:val="18"/>
    </w:rPr>
  </w:style>
  <w:style w:type="character" w:customStyle="1" w:styleId="1027">
    <w:name w:val="style101"/>
    <w:qFormat/>
    <w:uiPriority w:val="0"/>
    <w:rPr>
      <w:b/>
      <w:bCs/>
      <w:sz w:val="27"/>
      <w:szCs w:val="27"/>
    </w:rPr>
  </w:style>
  <w:style w:type="character" w:customStyle="1" w:styleId="1028">
    <w:name w:val="postbody1"/>
    <w:qFormat/>
    <w:uiPriority w:val="0"/>
    <w:rPr>
      <w:sz w:val="18"/>
    </w:rPr>
  </w:style>
  <w:style w:type="character" w:customStyle="1" w:styleId="1029">
    <w:name w:val="Char Char Char1"/>
    <w:qFormat/>
    <w:uiPriority w:val="0"/>
    <w:rPr>
      <w:rFonts w:hint="default" w:ascii="Arial" w:hAnsi="Arial" w:eastAsia="黑体" w:cs="Arial"/>
      <w:kern w:val="2"/>
      <w:lang w:val="en-US" w:eastAsia="zh-CN" w:bidi="ar-SA"/>
    </w:rPr>
  </w:style>
  <w:style w:type="character" w:customStyle="1" w:styleId="1030">
    <w:name w:val="f141"/>
    <w:qFormat/>
    <w:uiPriority w:val="0"/>
    <w:rPr>
      <w:color w:val="000000"/>
      <w:sz w:val="21"/>
      <w:szCs w:val="21"/>
    </w:rPr>
  </w:style>
  <w:style w:type="character" w:customStyle="1" w:styleId="1031">
    <w:name w:val="s c c"/>
    <w:qFormat/>
    <w:uiPriority w:val="0"/>
  </w:style>
  <w:style w:type="character" w:customStyle="1" w:styleId="1032">
    <w:name w:val="br1"/>
    <w:qFormat/>
    <w:uiPriority w:val="0"/>
  </w:style>
  <w:style w:type="character" w:customStyle="1" w:styleId="1033">
    <w:name w:val="老吴文 Char Char Char"/>
    <w:qFormat/>
    <w:uiPriority w:val="0"/>
    <w:rPr>
      <w:rFonts w:hint="eastAsia" w:ascii="宋体" w:hAnsi="宋体" w:eastAsia="宋体"/>
      <w:color w:val="006600"/>
      <w:spacing w:val="2"/>
      <w:w w:val="101"/>
      <w:kern w:val="2"/>
      <w:sz w:val="27"/>
      <w:szCs w:val="27"/>
      <w:lang w:val="en-US" w:eastAsia="zh-CN" w:bidi="ar-SA"/>
    </w:rPr>
  </w:style>
  <w:style w:type="character" w:customStyle="1" w:styleId="1034">
    <w:name w:val="正文缩进2 Char Char Char Char Char Char Char Char"/>
    <w:qFormat/>
    <w:uiPriority w:val="0"/>
    <w:rPr>
      <w:rFonts w:hint="eastAsia" w:ascii="宋体" w:hAnsi="宋体" w:eastAsia="宋体"/>
      <w:kern w:val="2"/>
      <w:sz w:val="21"/>
      <w:lang w:val="en-US" w:eastAsia="zh-CN" w:bidi="ar-SA"/>
    </w:rPr>
  </w:style>
  <w:style w:type="character" w:customStyle="1" w:styleId="1035">
    <w:name w:val="样式 小四 深红"/>
    <w:qFormat/>
    <w:uiPriority w:val="0"/>
    <w:rPr>
      <w:color w:val="800000"/>
      <w:sz w:val="24"/>
    </w:rPr>
  </w:style>
  <w:style w:type="character" w:customStyle="1" w:styleId="1036">
    <w:name w:val="标题 3 Char Char Char Char"/>
    <w:qFormat/>
    <w:uiPriority w:val="0"/>
    <w:rPr>
      <w:rFonts w:hint="eastAsia" w:ascii="宋体" w:hAnsi="宋体" w:eastAsia="宋体"/>
      <w:b/>
      <w:kern w:val="2"/>
      <w:sz w:val="28"/>
      <w:lang w:val="en-US" w:eastAsia="zh-CN" w:bidi="ar-SA"/>
    </w:rPr>
  </w:style>
  <w:style w:type="character" w:customStyle="1" w:styleId="1037">
    <w:name w:val="Char Char21"/>
    <w:qFormat/>
    <w:uiPriority w:val="0"/>
    <w:rPr>
      <w:rFonts w:hint="eastAsia" w:ascii="宋体" w:hAnsi="宋体" w:eastAsia="宋体"/>
      <w:kern w:val="2"/>
      <w:sz w:val="28"/>
      <w:szCs w:val="24"/>
      <w:lang w:val="en-US" w:eastAsia="zh-CN" w:bidi="ar-SA"/>
    </w:rPr>
  </w:style>
  <w:style w:type="character" w:customStyle="1" w:styleId="1038">
    <w:name w:val="Char Char20"/>
    <w:qFormat/>
    <w:uiPriority w:val="0"/>
    <w:rPr>
      <w:rFonts w:hint="default" w:ascii="Arial" w:hAnsi="Arial" w:eastAsia="黑体" w:cs="Arial"/>
      <w:b/>
      <w:bCs/>
      <w:kern w:val="2"/>
      <w:sz w:val="32"/>
      <w:szCs w:val="32"/>
      <w:lang w:val="en-US" w:eastAsia="zh-CN" w:bidi="ar-SA"/>
    </w:rPr>
  </w:style>
  <w:style w:type="character" w:customStyle="1" w:styleId="1039">
    <w:name w:val="题注 Char Char Char Char Char Char"/>
    <w:qFormat/>
    <w:uiPriority w:val="0"/>
    <w:rPr>
      <w:rFonts w:hint="default" w:ascii="Arial" w:hAnsi="Arial" w:eastAsia="黑体" w:cs="Arial"/>
      <w:kern w:val="2"/>
      <w:lang w:val="en-US" w:eastAsia="zh-CN" w:bidi="ar-SA"/>
    </w:rPr>
  </w:style>
  <w:style w:type="paragraph" w:customStyle="1" w:styleId="1040">
    <w:name w:val="标准条文"/>
    <w:basedOn w:val="190"/>
    <w:next w:val="190"/>
    <w:qFormat/>
    <w:uiPriority w:val="0"/>
    <w:rPr>
      <w:rFonts w:ascii="宋体" w:eastAsia="宋体" w:cs="Times New Roman"/>
      <w:color w:val="auto"/>
    </w:rPr>
  </w:style>
  <w:style w:type="paragraph" w:customStyle="1" w:styleId="1041">
    <w:name w:val="样式 表格内容 5号 居中 +"/>
    <w:basedOn w:val="421"/>
    <w:qFormat/>
    <w:uiPriority w:val="0"/>
    <w:rPr>
      <w:kern w:val="0"/>
      <w:sz w:val="24"/>
    </w:rPr>
  </w:style>
  <w:style w:type="paragraph" w:customStyle="1" w:styleId="1042">
    <w:name w:val="表文居中"/>
    <w:basedOn w:val="631"/>
    <w:qFormat/>
    <w:uiPriority w:val="0"/>
    <w:pPr>
      <w:jc w:val="center"/>
    </w:pPr>
  </w:style>
  <w:style w:type="paragraph" w:customStyle="1" w:styleId="1043">
    <w:name w:val="x3级标题"/>
    <w:basedOn w:val="726"/>
    <w:qFormat/>
    <w:uiPriority w:val="0"/>
    <w:rPr>
      <w:sz w:val="28"/>
    </w:rPr>
  </w:style>
  <w:style w:type="paragraph" w:customStyle="1" w:styleId="1044">
    <w:name w:val="LNG-正文"/>
    <w:basedOn w:val="468"/>
    <w:qFormat/>
    <w:uiPriority w:val="0"/>
    <w:pPr>
      <w:ind w:firstLine="200" w:firstLineChars="200"/>
    </w:pPr>
    <w:rPr>
      <w:rFonts w:ascii="宋体" w:hAnsi="宋体"/>
      <w:kern w:val="0"/>
    </w:rPr>
  </w:style>
  <w:style w:type="paragraph" w:customStyle="1" w:styleId="1045">
    <w:name w:val="样式 LNG-正文 + 首行缩进:  2 字符"/>
    <w:basedOn w:val="1044"/>
    <w:qFormat/>
    <w:uiPriority w:val="0"/>
    <w:pPr>
      <w:ind w:firstLine="480"/>
    </w:pPr>
    <w:rPr>
      <w:szCs w:val="20"/>
    </w:rPr>
  </w:style>
  <w:style w:type="paragraph" w:customStyle="1" w:styleId="1046">
    <w:name w:val="样式 新二级标题 + 段前: 0.5 行 段后: 0.5 行"/>
    <w:basedOn w:val="651"/>
    <w:qFormat/>
    <w:uiPriority w:val="0"/>
    <w:pPr>
      <w:spacing w:beforeLines="20" w:line="360" w:lineRule="auto"/>
      <w:ind w:firstLine="0" w:firstLineChars="0"/>
    </w:pPr>
    <w:rPr>
      <w:rFonts w:cs="宋体"/>
      <w:b/>
      <w:bCs/>
      <w:sz w:val="30"/>
      <w:szCs w:val="30"/>
    </w:rPr>
  </w:style>
  <w:style w:type="paragraph" w:customStyle="1" w:styleId="1047">
    <w:name w:val="填表小字"/>
    <w:basedOn w:val="442"/>
    <w:qFormat/>
    <w:uiPriority w:val="0"/>
    <w:pPr>
      <w:spacing w:before="0"/>
      <w:ind w:left="0" w:leftChars="0" w:firstLine="0" w:firstLineChars="0"/>
    </w:pPr>
    <w:rPr>
      <w:bCs/>
      <w:sz w:val="18"/>
    </w:rPr>
  </w:style>
  <w:style w:type="paragraph" w:customStyle="1" w:styleId="1048">
    <w:name w:val="样式 样式 表格内容 5号 居中 + 段后: 4.65 磅"/>
    <w:basedOn w:val="461"/>
    <w:qFormat/>
    <w:uiPriority w:val="0"/>
    <w:pPr>
      <w:ind w:firstLine="420" w:firstLineChars="200"/>
    </w:pPr>
  </w:style>
  <w:style w:type="paragraph" w:customStyle="1" w:styleId="1049">
    <w:name w:val="样式  + 行距: 固定值 28 磅 首行缩进:  2 字符"/>
    <w:basedOn w:val="194"/>
    <w:qFormat/>
    <w:uiPriority w:val="0"/>
    <w:pPr>
      <w:ind w:firstLine="200" w:firstLineChars="200"/>
    </w:pPr>
    <w:rPr>
      <w:rFonts w:cs="宋体"/>
      <w:sz w:val="24"/>
    </w:rPr>
  </w:style>
  <w:style w:type="paragraph" w:customStyle="1" w:styleId="1050">
    <w:name w:val="样式 样式  + 行距: 固定值 28 磅 首行缩进:  2 字符 + 首行缩进:  2 字符"/>
    <w:basedOn w:val="1049"/>
    <w:qFormat/>
    <w:uiPriority w:val="0"/>
    <w:pPr>
      <w:spacing w:line="288" w:lineRule="auto"/>
    </w:pPr>
  </w:style>
  <w:style w:type="paragraph" w:customStyle="1" w:styleId="1051">
    <w:name w:val="样式 样式 标题 2节 + 段前: 6 磅 + 首行缩进:  2 字符"/>
    <w:basedOn w:val="663"/>
    <w:qFormat/>
    <w:uiPriority w:val="0"/>
    <w:pPr>
      <w:ind w:firstLine="0" w:firstLineChars="0"/>
    </w:pPr>
  </w:style>
  <w:style w:type="character" w:customStyle="1" w:styleId="1052">
    <w:name w:val="注释标题 Char1"/>
    <w:qFormat/>
    <w:uiPriority w:val="0"/>
    <w:rPr>
      <w:rFonts w:eastAsia="宋体"/>
      <w:kern w:val="2"/>
      <w:sz w:val="21"/>
      <w:lang w:val="en-US" w:eastAsia="zh-CN" w:bidi="ar-SA"/>
    </w:rPr>
  </w:style>
  <w:style w:type="paragraph" w:customStyle="1" w:styleId="1053">
    <w:name w:val="msonormal"/>
    <w:basedOn w:val="1"/>
    <w:qFormat/>
    <w:uiPriority w:val="0"/>
    <w:pPr>
      <w:widowControl/>
      <w:spacing w:before="100" w:beforeAutospacing="1" w:after="100" w:afterAutospacing="1" w:line="240" w:lineRule="auto"/>
      <w:jc w:val="left"/>
    </w:pPr>
    <w:rPr>
      <w:rFonts w:ascii="宋体" w:hAnsi="宋体" w:cs="宋体"/>
      <w:kern w:val="0"/>
    </w:rPr>
  </w:style>
  <w:style w:type="paragraph" w:customStyle="1" w:styleId="1054">
    <w:name w:val="xl70"/>
    <w:basedOn w:val="1"/>
    <w:qFormat/>
    <w:uiPriority w:val="0"/>
    <w:pPr>
      <w:widowControl/>
      <w:spacing w:before="100" w:beforeAutospacing="1" w:after="100" w:afterAutospacing="1" w:line="240" w:lineRule="auto"/>
      <w:jc w:val="center"/>
      <w:textAlignment w:val="center"/>
    </w:pPr>
    <w:rPr>
      <w:rFonts w:ascii="宋体" w:hAnsi="宋体" w:cs="宋体"/>
      <w:kern w:val="0"/>
    </w:rPr>
  </w:style>
  <w:style w:type="paragraph" w:customStyle="1" w:styleId="1055">
    <w:name w:val="xl71"/>
    <w:basedOn w:val="1"/>
    <w:qFormat/>
    <w:uiPriority w:val="0"/>
    <w:pPr>
      <w:widowControl/>
      <w:pBdr>
        <w:top w:val="single" w:color="000000" w:sz="8" w:space="0"/>
        <w:bottom w:val="single" w:color="000000" w:sz="8" w:space="0"/>
        <w:right w:val="single" w:color="000000" w:sz="8" w:space="0"/>
      </w:pBdr>
      <w:spacing w:before="100" w:beforeAutospacing="1" w:after="100" w:afterAutospacing="1" w:line="240" w:lineRule="auto"/>
      <w:jc w:val="center"/>
      <w:textAlignment w:val="center"/>
    </w:pPr>
    <w:rPr>
      <w:rFonts w:ascii="宋体" w:hAnsi="宋体" w:cs="宋体"/>
      <w:kern w:val="0"/>
    </w:rPr>
  </w:style>
  <w:style w:type="paragraph" w:customStyle="1" w:styleId="1056">
    <w:name w:val="xl72"/>
    <w:basedOn w:val="1"/>
    <w:qFormat/>
    <w:uiPriority w:val="0"/>
    <w:pPr>
      <w:widowControl/>
      <w:pBdr>
        <w:top w:val="single" w:color="000000" w:sz="8" w:space="0"/>
        <w:left w:val="single" w:color="000000" w:sz="8" w:space="0"/>
        <w:bottom w:val="single" w:color="000000" w:sz="8" w:space="0"/>
        <w:right w:val="single" w:color="000000" w:sz="8" w:space="0"/>
      </w:pBdr>
      <w:spacing w:before="100" w:beforeAutospacing="1" w:after="100" w:afterAutospacing="1" w:line="240" w:lineRule="auto"/>
      <w:jc w:val="center"/>
      <w:textAlignment w:val="center"/>
    </w:pPr>
    <w:rPr>
      <w:rFonts w:ascii="宋体" w:hAnsi="宋体" w:cs="宋体"/>
      <w:kern w:val="0"/>
    </w:rPr>
  </w:style>
  <w:style w:type="paragraph" w:customStyle="1" w:styleId="1057">
    <w:name w:val="xl73"/>
    <w:basedOn w:val="1"/>
    <w:qFormat/>
    <w:uiPriority w:val="0"/>
    <w:pPr>
      <w:widowControl/>
      <w:pBdr>
        <w:top w:val="single" w:color="000000" w:sz="8" w:space="0"/>
        <w:right w:val="single" w:color="000000" w:sz="8" w:space="0"/>
      </w:pBdr>
      <w:spacing w:before="100" w:beforeAutospacing="1" w:after="100" w:afterAutospacing="1" w:line="240" w:lineRule="auto"/>
      <w:jc w:val="center"/>
      <w:textAlignment w:val="center"/>
    </w:pPr>
    <w:rPr>
      <w:rFonts w:ascii="宋体" w:hAnsi="宋体" w:cs="宋体"/>
      <w:kern w:val="0"/>
    </w:rPr>
  </w:style>
  <w:style w:type="paragraph" w:customStyle="1" w:styleId="1058">
    <w:name w:val="xl74"/>
    <w:basedOn w:val="1"/>
    <w:qFormat/>
    <w:uiPriority w:val="0"/>
    <w:pPr>
      <w:widowControl/>
      <w:pBdr>
        <w:top w:val="single" w:color="000000" w:sz="8" w:space="0"/>
        <w:left w:val="single" w:color="000000" w:sz="8" w:space="0"/>
      </w:pBdr>
      <w:spacing w:before="100" w:beforeAutospacing="1" w:after="100" w:afterAutospacing="1" w:line="240" w:lineRule="auto"/>
      <w:jc w:val="center"/>
      <w:textAlignment w:val="center"/>
    </w:pPr>
    <w:rPr>
      <w:rFonts w:ascii="宋体" w:hAnsi="宋体" w:cs="宋体"/>
      <w:kern w:val="0"/>
    </w:rPr>
  </w:style>
  <w:style w:type="paragraph" w:customStyle="1" w:styleId="1059">
    <w:name w:val="xl75"/>
    <w:basedOn w:val="1"/>
    <w:qFormat/>
    <w:uiPriority w:val="0"/>
    <w:pPr>
      <w:widowControl/>
      <w:pBdr>
        <w:left w:val="single" w:color="000000" w:sz="8" w:space="0"/>
      </w:pBdr>
      <w:spacing w:before="100" w:beforeAutospacing="1" w:after="100" w:afterAutospacing="1" w:line="240" w:lineRule="auto"/>
      <w:jc w:val="center"/>
      <w:textAlignment w:val="center"/>
    </w:pPr>
    <w:rPr>
      <w:rFonts w:ascii="宋体" w:hAnsi="宋体" w:cs="宋体"/>
      <w:kern w:val="0"/>
    </w:rPr>
  </w:style>
  <w:style w:type="paragraph" w:customStyle="1" w:styleId="1060">
    <w:name w:val="xl76"/>
    <w:basedOn w:val="1"/>
    <w:qFormat/>
    <w:uiPriority w:val="0"/>
    <w:pPr>
      <w:widowControl/>
      <w:pBdr>
        <w:left w:val="single" w:color="000000" w:sz="8" w:space="0"/>
        <w:bottom w:val="single" w:color="000000" w:sz="8" w:space="0"/>
      </w:pBdr>
      <w:spacing w:before="100" w:beforeAutospacing="1" w:after="100" w:afterAutospacing="1" w:line="240" w:lineRule="auto"/>
      <w:jc w:val="center"/>
      <w:textAlignment w:val="center"/>
    </w:pPr>
    <w:rPr>
      <w:rFonts w:ascii="宋体" w:hAnsi="宋体" w:cs="宋体"/>
      <w:kern w:val="0"/>
    </w:rPr>
  </w:style>
  <w:style w:type="paragraph" w:customStyle="1" w:styleId="1061">
    <w:name w:val="xl78"/>
    <w:basedOn w:val="1"/>
    <w:qFormat/>
    <w:uiPriority w:val="0"/>
    <w:pPr>
      <w:widowControl/>
      <w:pBdr>
        <w:top w:val="single" w:color="auto" w:sz="4" w:space="0"/>
        <w:left w:val="single" w:color="000000" w:sz="8" w:space="0"/>
        <w:right w:val="single" w:color="000000" w:sz="8" w:space="0"/>
      </w:pBdr>
      <w:spacing w:before="100" w:beforeAutospacing="1" w:after="100" w:afterAutospacing="1" w:line="240" w:lineRule="auto"/>
      <w:jc w:val="center"/>
      <w:textAlignment w:val="center"/>
    </w:pPr>
    <w:rPr>
      <w:rFonts w:ascii="宋体" w:hAnsi="宋体" w:cs="宋体"/>
      <w:kern w:val="0"/>
    </w:rPr>
  </w:style>
  <w:style w:type="character" w:customStyle="1" w:styleId="1062">
    <w:name w:val="正文缩进 Char"/>
    <w:qFormat/>
    <w:uiPriority w:val="0"/>
    <w:rPr>
      <w:rFonts w:eastAsia="宋体"/>
      <w:kern w:val="2"/>
      <w:sz w:val="21"/>
      <w:lang w:val="en-US" w:eastAsia="zh-CN" w:bidi="ar-SA"/>
    </w:rPr>
  </w:style>
  <w:style w:type="paragraph" w:customStyle="1" w:styleId="1063">
    <w:name w:val="标题3"/>
    <w:basedOn w:val="5"/>
    <w:next w:val="1"/>
    <w:link w:val="1064"/>
    <w:qFormat/>
    <w:uiPriority w:val="0"/>
    <w:pPr>
      <w:widowControl w:val="0"/>
      <w:numPr>
        <w:numId w:val="0"/>
      </w:numPr>
      <w:adjustRightInd w:val="0"/>
      <w:snapToGrid w:val="0"/>
      <w:spacing w:before="260" w:after="260" w:line="415" w:lineRule="auto"/>
      <w:ind w:left="1996" w:hanging="720"/>
      <w:jc w:val="left"/>
    </w:pPr>
    <w:rPr>
      <w:color w:val="auto"/>
      <w:sz w:val="28"/>
    </w:rPr>
  </w:style>
  <w:style w:type="character" w:customStyle="1" w:styleId="1064">
    <w:name w:val="标题3 Char"/>
    <w:link w:val="1063"/>
    <w:qFormat/>
    <w:uiPriority w:val="0"/>
    <w:rPr>
      <w:b/>
      <w:bCs/>
      <w:kern w:val="2"/>
      <w:sz w:val="28"/>
      <w:szCs w:val="32"/>
    </w:rPr>
  </w:style>
  <w:style w:type="paragraph" w:customStyle="1" w:styleId="1065">
    <w:name w:val="_Style 1063"/>
    <w:basedOn w:val="1"/>
    <w:next w:val="293"/>
    <w:qFormat/>
    <w:uiPriority w:val="34"/>
    <w:pPr>
      <w:spacing w:line="240" w:lineRule="auto"/>
      <w:ind w:firstLine="420" w:firstLineChars="200"/>
    </w:pPr>
    <w:rPr>
      <w:rFonts w:ascii="Calibri" w:hAnsi="Calibri"/>
      <w:sz w:val="21"/>
      <w:szCs w:val="22"/>
    </w:rPr>
  </w:style>
  <w:style w:type="paragraph" w:customStyle="1" w:styleId="1066">
    <w:name w:val="Body Text 22"/>
    <w:qFormat/>
    <w:uiPriority w:val="0"/>
    <w:pPr>
      <w:widowControl w:val="0"/>
      <w:adjustRightInd w:val="0"/>
      <w:spacing w:line="440" w:lineRule="atLeast"/>
      <w:ind w:firstLine="480"/>
      <w:jc w:val="both"/>
      <w:textAlignment w:val="baseline"/>
    </w:pPr>
    <w:rPr>
      <w:rFonts w:ascii="Times New Roman" w:hAnsi="Times New Roman" w:eastAsia="仿宋_GB2312" w:cs="Times New Roman"/>
      <w:kern w:val="2"/>
      <w:sz w:val="24"/>
      <w:lang w:val="en-US" w:eastAsia="zh-CN" w:bidi="ar-SA"/>
    </w:rPr>
  </w:style>
  <w:style w:type="character" w:customStyle="1" w:styleId="1067">
    <w:name w:val="jiucuo"/>
    <w:basedOn w:val="56"/>
    <w:qFormat/>
    <w:uiPriority w:val="0"/>
  </w:style>
  <w:style w:type="paragraph" w:customStyle="1" w:styleId="1068">
    <w:name w:val="正本文字"/>
    <w:basedOn w:val="1"/>
    <w:qFormat/>
    <w:uiPriority w:val="0"/>
    <w:pPr>
      <w:adjustRightInd w:val="0"/>
      <w:snapToGrid w:val="0"/>
      <w:spacing w:line="360" w:lineRule="auto"/>
      <w:ind w:firstLine="200" w:firstLineChars="200"/>
      <w:jc w:val="left"/>
    </w:pPr>
    <w:rPr>
      <w:rFonts w:cs="宋体"/>
      <w:kern w:val="18"/>
      <w:sz w:val="24"/>
      <w:szCs w:val="20"/>
    </w:rPr>
  </w:style>
  <w:style w:type="paragraph" w:customStyle="1" w:styleId="1069">
    <w:name w:val="表格附图"/>
    <w:basedOn w:val="1"/>
    <w:next w:val="1"/>
    <w:qFormat/>
    <w:uiPriority w:val="0"/>
    <w:pPr>
      <w:spacing w:line="240" w:lineRule="atLeast"/>
      <w:jc w:val="center"/>
    </w:pPr>
    <w:rPr>
      <w:rFonts w:cs="Times New Roman"/>
      <w:b/>
      <w:szCs w:val="22"/>
    </w:rPr>
  </w:style>
  <w:style w:type="character" w:customStyle="1" w:styleId="1070">
    <w:name w:val="标题 3 Char"/>
    <w:qFormat/>
    <w:uiPriority w:val="9"/>
    <w:rPr>
      <w:rFonts w:eastAsia="宋体"/>
      <w:b/>
      <w:bCs/>
      <w:snapToGrid/>
      <w:sz w:val="28"/>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4" Type="http://schemas.openxmlformats.org/officeDocument/2006/relationships/fontTable" Target="fontTable.xml"/><Relationship Id="rId83" Type="http://schemas.openxmlformats.org/officeDocument/2006/relationships/customXml" Target="../customXml/item2.xml"/><Relationship Id="rId82" Type="http://schemas.openxmlformats.org/officeDocument/2006/relationships/numbering" Target="numbering.xml"/><Relationship Id="rId81" Type="http://schemas.openxmlformats.org/officeDocument/2006/relationships/customXml" Target="../customXml/item1.xml"/><Relationship Id="rId80" Type="http://schemas.openxmlformats.org/officeDocument/2006/relationships/image" Target="media/image63.jpeg"/><Relationship Id="rId8" Type="http://schemas.openxmlformats.org/officeDocument/2006/relationships/footer" Target="footer2.xml"/><Relationship Id="rId79" Type="http://schemas.openxmlformats.org/officeDocument/2006/relationships/image" Target="media/image62.png"/><Relationship Id="rId78" Type="http://schemas.openxmlformats.org/officeDocument/2006/relationships/image" Target="media/image61.png"/><Relationship Id="rId77" Type="http://schemas.openxmlformats.org/officeDocument/2006/relationships/image" Target="media/image60.png"/><Relationship Id="rId76" Type="http://schemas.openxmlformats.org/officeDocument/2006/relationships/image" Target="media/image59.png"/><Relationship Id="rId75" Type="http://schemas.openxmlformats.org/officeDocument/2006/relationships/image" Target="media/image58.png"/><Relationship Id="rId74" Type="http://schemas.openxmlformats.org/officeDocument/2006/relationships/image" Target="media/image57.png"/><Relationship Id="rId73" Type="http://schemas.openxmlformats.org/officeDocument/2006/relationships/image" Target="media/image56.png"/><Relationship Id="rId72" Type="http://schemas.openxmlformats.org/officeDocument/2006/relationships/image" Target="media/image55.png"/><Relationship Id="rId71" Type="http://schemas.openxmlformats.org/officeDocument/2006/relationships/image" Target="media/image54.jpeg"/><Relationship Id="rId70" Type="http://schemas.openxmlformats.org/officeDocument/2006/relationships/image" Target="media/image53.jpeg"/><Relationship Id="rId7" Type="http://schemas.openxmlformats.org/officeDocument/2006/relationships/header" Target="header2.xml"/><Relationship Id="rId69" Type="http://schemas.openxmlformats.org/officeDocument/2006/relationships/image" Target="media/image52.png"/><Relationship Id="rId68" Type="http://schemas.openxmlformats.org/officeDocument/2006/relationships/image" Target="media/image51.png"/><Relationship Id="rId67" Type="http://schemas.openxmlformats.org/officeDocument/2006/relationships/image" Target="media/image50.png"/><Relationship Id="rId66" Type="http://schemas.openxmlformats.org/officeDocument/2006/relationships/image" Target="media/image49.png"/><Relationship Id="rId65" Type="http://schemas.openxmlformats.org/officeDocument/2006/relationships/image" Target="media/image48.png"/><Relationship Id="rId64" Type="http://schemas.openxmlformats.org/officeDocument/2006/relationships/image" Target="media/image47.png"/><Relationship Id="rId63" Type="http://schemas.openxmlformats.org/officeDocument/2006/relationships/image" Target="media/image46.png"/><Relationship Id="rId62" Type="http://schemas.openxmlformats.org/officeDocument/2006/relationships/image" Target="media/image45.png"/><Relationship Id="rId61" Type="http://schemas.openxmlformats.org/officeDocument/2006/relationships/image" Target="media/image44.png"/><Relationship Id="rId60" Type="http://schemas.openxmlformats.org/officeDocument/2006/relationships/image" Target="media/image43.png"/><Relationship Id="rId6" Type="http://schemas.openxmlformats.org/officeDocument/2006/relationships/footer" Target="footer1.xml"/><Relationship Id="rId59" Type="http://schemas.openxmlformats.org/officeDocument/2006/relationships/image" Target="media/image42.png"/><Relationship Id="rId58" Type="http://schemas.openxmlformats.org/officeDocument/2006/relationships/image" Target="media/image41.png"/><Relationship Id="rId57" Type="http://schemas.openxmlformats.org/officeDocument/2006/relationships/image" Target="media/image40.png"/><Relationship Id="rId56" Type="http://schemas.openxmlformats.org/officeDocument/2006/relationships/image" Target="media/image39.png"/><Relationship Id="rId55" Type="http://schemas.openxmlformats.org/officeDocument/2006/relationships/image" Target="media/image38.png"/><Relationship Id="rId54" Type="http://schemas.openxmlformats.org/officeDocument/2006/relationships/image" Target="media/image37.png"/><Relationship Id="rId53" Type="http://schemas.openxmlformats.org/officeDocument/2006/relationships/image" Target="media/image36.png"/><Relationship Id="rId52" Type="http://schemas.openxmlformats.org/officeDocument/2006/relationships/image" Target="media/image35.jpeg"/><Relationship Id="rId51" Type="http://schemas.openxmlformats.org/officeDocument/2006/relationships/image" Target="media/image34.jpeg"/><Relationship Id="rId50" Type="http://schemas.openxmlformats.org/officeDocument/2006/relationships/image" Target="media/image33.jpeg"/><Relationship Id="rId5" Type="http://schemas.openxmlformats.org/officeDocument/2006/relationships/header" Target="header1.xml"/><Relationship Id="rId49" Type="http://schemas.openxmlformats.org/officeDocument/2006/relationships/image" Target="media/image32.jpeg"/><Relationship Id="rId48" Type="http://schemas.openxmlformats.org/officeDocument/2006/relationships/image" Target="media/image31.png"/><Relationship Id="rId47" Type="http://schemas.openxmlformats.org/officeDocument/2006/relationships/image" Target="media/image30.png"/><Relationship Id="rId46" Type="http://schemas.openxmlformats.org/officeDocument/2006/relationships/image" Target="media/image29.png"/><Relationship Id="rId45" Type="http://schemas.openxmlformats.org/officeDocument/2006/relationships/image" Target="media/image28.wmf"/><Relationship Id="rId44" Type="http://schemas.openxmlformats.org/officeDocument/2006/relationships/oleObject" Target="embeddings/oleObject3.bin"/><Relationship Id="rId43" Type="http://schemas.openxmlformats.org/officeDocument/2006/relationships/image" Target="media/image27.png"/><Relationship Id="rId42" Type="http://schemas.openxmlformats.org/officeDocument/2006/relationships/image" Target="media/image26.png"/><Relationship Id="rId41" Type="http://schemas.openxmlformats.org/officeDocument/2006/relationships/image" Target="media/image25.png"/><Relationship Id="rId40" Type="http://schemas.openxmlformats.org/officeDocument/2006/relationships/image" Target="media/image24.png"/><Relationship Id="rId4" Type="http://schemas.openxmlformats.org/officeDocument/2006/relationships/endnotes" Target="endnotes.xml"/><Relationship Id="rId39" Type="http://schemas.openxmlformats.org/officeDocument/2006/relationships/image" Target="media/image23.png"/><Relationship Id="rId38" Type="http://schemas.openxmlformats.org/officeDocument/2006/relationships/image" Target="media/image22.png"/><Relationship Id="rId37" Type="http://schemas.openxmlformats.org/officeDocument/2006/relationships/image" Target="media/image21.jpeg"/><Relationship Id="rId36" Type="http://schemas.openxmlformats.org/officeDocument/2006/relationships/image" Target="media/image20.jpeg"/><Relationship Id="rId35" Type="http://schemas.openxmlformats.org/officeDocument/2006/relationships/image" Target="media/image19.png"/><Relationship Id="rId34" Type="http://schemas.openxmlformats.org/officeDocument/2006/relationships/image" Target="media/image18.png"/><Relationship Id="rId33" Type="http://schemas.openxmlformats.org/officeDocument/2006/relationships/image" Target="media/image17.png"/><Relationship Id="rId32" Type="http://schemas.openxmlformats.org/officeDocument/2006/relationships/image" Target="media/image16.png"/><Relationship Id="rId31" Type="http://schemas.openxmlformats.org/officeDocument/2006/relationships/image" Target="media/image15.png"/><Relationship Id="rId30" Type="http://schemas.openxmlformats.org/officeDocument/2006/relationships/image" Target="media/image14.png"/><Relationship Id="rId3" Type="http://schemas.openxmlformats.org/officeDocument/2006/relationships/footnotes" Target="footnotes.xml"/><Relationship Id="rId29" Type="http://schemas.openxmlformats.org/officeDocument/2006/relationships/image" Target="media/image13.wmf"/><Relationship Id="rId28" Type="http://schemas.openxmlformats.org/officeDocument/2006/relationships/oleObject" Target="embeddings/oleObject2.bin"/><Relationship Id="rId27" Type="http://schemas.openxmlformats.org/officeDocument/2006/relationships/image" Target="media/image12.png"/><Relationship Id="rId26" Type="http://schemas.openxmlformats.org/officeDocument/2006/relationships/image" Target="media/image11.png"/><Relationship Id="rId25" Type="http://schemas.openxmlformats.org/officeDocument/2006/relationships/image" Target="media/image10.png"/><Relationship Id="rId24" Type="http://schemas.openxmlformats.org/officeDocument/2006/relationships/image" Target="media/image9.png"/><Relationship Id="rId23" Type="http://schemas.openxmlformats.org/officeDocument/2006/relationships/image" Target="media/image8.png"/><Relationship Id="rId22" Type="http://schemas.openxmlformats.org/officeDocument/2006/relationships/image" Target="media/image7.png"/><Relationship Id="rId21" Type="http://schemas.openxmlformats.org/officeDocument/2006/relationships/image" Target="media/image6.png"/><Relationship Id="rId20" Type="http://schemas.openxmlformats.org/officeDocument/2006/relationships/image" Target="media/image5.jpeg"/><Relationship Id="rId2" Type="http://schemas.openxmlformats.org/officeDocument/2006/relationships/settings" Target="settings.xml"/><Relationship Id="rId19" Type="http://schemas.openxmlformats.org/officeDocument/2006/relationships/image" Target="media/image4.png"/><Relationship Id="rId18" Type="http://schemas.openxmlformats.org/officeDocument/2006/relationships/image" Target="media/image3.png"/><Relationship Id="rId17" Type="http://schemas.openxmlformats.org/officeDocument/2006/relationships/image" Target="media/image2.png"/><Relationship Id="rId16" Type="http://schemas.openxmlformats.org/officeDocument/2006/relationships/image" Target="media/image1.wmf"/><Relationship Id="rId15" Type="http://schemas.openxmlformats.org/officeDocument/2006/relationships/oleObject" Target="embeddings/oleObject1.bin"/><Relationship Id="rId14" Type="http://schemas.openxmlformats.org/officeDocument/2006/relationships/theme" Target="theme/theme1.xml"/><Relationship Id="rId13" Type="http://schemas.openxmlformats.org/officeDocument/2006/relationships/header" Target="header4.xml"/><Relationship Id="rId12" Type="http://schemas.openxmlformats.org/officeDocument/2006/relationships/footer" Target="footer5.xml"/><Relationship Id="rId11" Type="http://schemas.openxmlformats.org/officeDocument/2006/relationships/header" Target="header3.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6913821-5702-4D34-BD38-3D02D330988B}">
  <ds:schemaRefs/>
</ds:datastoreItem>
</file>

<file path=docProps/app.xml><?xml version="1.0" encoding="utf-8"?>
<Properties xmlns="http://schemas.openxmlformats.org/officeDocument/2006/extended-properties" xmlns:vt="http://schemas.openxmlformats.org/officeDocument/2006/docPropsVTypes">
  <Template>Normal</Template>
  <Company>o</Company>
  <Pages>158</Pages>
  <Words>832</Words>
  <Characters>1132</Characters>
  <Lines>268</Lines>
  <Paragraphs>248</Paragraphs>
  <TotalTime>21</TotalTime>
  <ScaleCrop>false</ScaleCrop>
  <LinksUpToDate>false</LinksUpToDate>
  <CharactersWithSpaces>1222</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2019-06-02T09:38:00Z</dcterms:created>
  <dc:creator>o</dc:creator>
  <cp:lastModifiedBy>慧ྀൢ小ྀൢ慧ྀൢ๑๑ ﾟ</cp:lastModifiedBy>
  <cp:lastPrinted>2020-05-06T02:22:00Z</cp:lastPrinted>
  <dcterms:modified xsi:type="dcterms:W3CDTF">2026-02-03T02:12:29Z</dcterms:modified>
  <dc:title>目    录</dc:title>
  <cp:revision>80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E7F5997395564F299E2801C01276D5AF_13</vt:lpwstr>
  </property>
  <property fmtid="{D5CDD505-2E9C-101B-9397-08002B2CF9AE}" pid="4" name="KSOTemplateDocerSaveRecord">
    <vt:lpwstr>eyJoZGlkIjoiMTAwOWUzNTM3ZjEzYjAwZjg4ZWZhNjhlMWM3M2Q4YjIiLCJ1c2VySWQiOiI3Mjk5NDMyNzkifQ==</vt:lpwstr>
  </property>
</Properties>
</file>