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hAnsi="宋体" w:eastAsia="宋体" w:cs="宋体"/>
          <w:b/>
          <w:bCs/>
          <w:color w:val="333333"/>
          <w:kern w:val="0"/>
          <w:sz w:val="53"/>
          <w:szCs w:val="53"/>
        </w:rPr>
      </w:pPr>
    </w:p>
    <w:p>
      <w:pPr>
        <w:widowControl/>
        <w:shd w:val="clear" w:color="auto" w:fill="FFFFFF"/>
        <w:jc w:val="center"/>
        <w:rPr>
          <w:rFonts w:ascii="宋体" w:hAnsi="宋体" w:eastAsia="宋体" w:cs="宋体"/>
          <w:b/>
          <w:bCs/>
          <w:color w:val="333333"/>
          <w:kern w:val="0"/>
          <w:sz w:val="53"/>
          <w:szCs w:val="53"/>
        </w:rPr>
      </w:pPr>
    </w:p>
    <w:p>
      <w:pPr>
        <w:widowControl/>
        <w:shd w:val="clear" w:color="auto" w:fill="FFFFFF"/>
        <w:jc w:val="center"/>
        <w:rPr>
          <w:rFonts w:ascii="宋体" w:hAnsi="宋体" w:eastAsia="宋体" w:cs="宋体"/>
          <w:b/>
          <w:bCs/>
          <w:color w:val="333333"/>
          <w:kern w:val="0"/>
          <w:sz w:val="53"/>
          <w:szCs w:val="53"/>
        </w:rPr>
      </w:pPr>
    </w:p>
    <w:p>
      <w:pPr>
        <w:widowControl/>
        <w:shd w:val="clear" w:color="auto" w:fill="FFFFFF"/>
        <w:jc w:val="center"/>
        <w:rPr>
          <w:rFonts w:ascii="宋体" w:hAnsi="宋体" w:eastAsia="宋体" w:cs="宋体"/>
          <w:b/>
          <w:bCs/>
          <w:color w:val="333333"/>
          <w:kern w:val="0"/>
          <w:sz w:val="53"/>
          <w:szCs w:val="53"/>
        </w:rPr>
      </w:pPr>
    </w:p>
    <w:p>
      <w:pPr>
        <w:widowControl/>
        <w:shd w:val="clear" w:color="auto" w:fill="FFFFFF"/>
        <w:jc w:val="center"/>
        <w:rPr>
          <w:rFonts w:ascii="宋体" w:hAnsi="宋体" w:eastAsia="宋体" w:cs="宋体"/>
          <w:b/>
          <w:bCs/>
          <w:color w:val="333333"/>
          <w:kern w:val="0"/>
          <w:sz w:val="53"/>
          <w:szCs w:val="53"/>
        </w:rPr>
      </w:pPr>
    </w:p>
    <w:p>
      <w:pPr>
        <w:widowControl/>
        <w:shd w:val="clear" w:color="auto" w:fill="FFFFFF"/>
        <w:jc w:val="center"/>
        <w:rPr>
          <w:rFonts w:ascii="宋体" w:hAnsi="宋体" w:eastAsia="宋体" w:cs="宋体"/>
          <w:b/>
          <w:bCs/>
          <w:color w:val="333333"/>
          <w:kern w:val="0"/>
          <w:sz w:val="53"/>
          <w:szCs w:val="53"/>
        </w:rPr>
      </w:pPr>
      <w:r>
        <w:rPr>
          <w:rFonts w:hint="eastAsia" w:ascii="宋体" w:hAnsi="宋体" w:eastAsia="宋体" w:cs="宋体"/>
          <w:b/>
          <w:bCs/>
          <w:color w:val="333333"/>
          <w:kern w:val="0"/>
          <w:sz w:val="53"/>
          <w:szCs w:val="53"/>
        </w:rPr>
        <w:t>中共本溪市溪湖区委</w:t>
      </w:r>
      <w:bookmarkStart w:id="1" w:name="_GoBack"/>
      <w:r>
        <w:rPr>
          <w:rFonts w:hint="eastAsia" w:ascii="宋体" w:hAnsi="宋体" w:eastAsia="宋体" w:cs="宋体"/>
          <w:b/>
          <w:bCs/>
          <w:color w:val="333333"/>
          <w:kern w:val="0"/>
          <w:sz w:val="53"/>
          <w:szCs w:val="53"/>
        </w:rPr>
        <w:t>宣传部</w:t>
      </w:r>
      <w:bookmarkEnd w:id="1"/>
    </w:p>
    <w:p>
      <w:pPr>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53"/>
          <w:szCs w:val="53"/>
        </w:rPr>
        <w:t>2021年部门预算</w:t>
      </w:r>
    </w:p>
    <w:p>
      <w:pPr>
        <w:widowControl/>
        <w:shd w:val="clear" w:color="auto" w:fill="FFFFFF"/>
        <w:jc w:val="center"/>
        <w:rPr>
          <w:rFonts w:ascii="微软雅黑" w:hAnsi="微软雅黑" w:eastAsia="微软雅黑" w:cs="宋体"/>
          <w:color w:val="333333"/>
          <w:kern w:val="0"/>
          <w:sz w:val="24"/>
          <w:szCs w:val="24"/>
        </w:rPr>
      </w:pPr>
    </w:p>
    <w:p>
      <w:pPr>
        <w:widowControl/>
        <w:shd w:val="clear" w:color="auto" w:fill="FFFFFF"/>
        <w:jc w:val="center"/>
        <w:rPr>
          <w:rFonts w:ascii="微软雅黑" w:hAnsi="微软雅黑" w:eastAsia="微软雅黑" w:cs="宋体"/>
          <w:color w:val="333333"/>
          <w:kern w:val="0"/>
          <w:sz w:val="24"/>
          <w:szCs w:val="24"/>
        </w:rPr>
      </w:pPr>
    </w:p>
    <w:p>
      <w:pPr>
        <w:widowControl/>
        <w:shd w:val="clear" w:color="auto" w:fill="FFFFFF"/>
        <w:jc w:val="center"/>
        <w:rPr>
          <w:rFonts w:ascii="微软雅黑" w:hAnsi="微软雅黑" w:eastAsia="微软雅黑" w:cs="宋体"/>
          <w:color w:val="333333"/>
          <w:kern w:val="0"/>
          <w:sz w:val="24"/>
          <w:szCs w:val="24"/>
        </w:rPr>
      </w:pPr>
    </w:p>
    <w:p>
      <w:pPr>
        <w:widowControl/>
        <w:shd w:val="clear" w:color="auto" w:fill="FFFFFF"/>
        <w:jc w:val="center"/>
        <w:rPr>
          <w:rFonts w:ascii="微软雅黑" w:hAnsi="微软雅黑" w:eastAsia="微软雅黑" w:cs="宋体"/>
          <w:color w:val="333333"/>
          <w:kern w:val="0"/>
          <w:sz w:val="24"/>
          <w:szCs w:val="24"/>
        </w:rPr>
      </w:pPr>
    </w:p>
    <w:p>
      <w:pPr>
        <w:widowControl/>
        <w:shd w:val="clear" w:color="auto" w:fill="FFFFFF"/>
        <w:jc w:val="center"/>
        <w:rPr>
          <w:rFonts w:ascii="微软雅黑" w:hAnsi="微软雅黑" w:eastAsia="微软雅黑" w:cs="宋体"/>
          <w:color w:val="333333"/>
          <w:kern w:val="0"/>
          <w:sz w:val="24"/>
          <w:szCs w:val="24"/>
        </w:rPr>
      </w:pPr>
    </w:p>
    <w:p>
      <w:pPr>
        <w:widowControl/>
        <w:shd w:val="clear" w:color="auto" w:fill="FFFFFF"/>
        <w:jc w:val="center"/>
        <w:rPr>
          <w:rFonts w:ascii="微软雅黑" w:hAnsi="微软雅黑" w:eastAsia="微软雅黑" w:cs="宋体"/>
          <w:color w:val="333333"/>
          <w:kern w:val="0"/>
          <w:sz w:val="24"/>
          <w:szCs w:val="24"/>
        </w:rPr>
      </w:pPr>
    </w:p>
    <w:p>
      <w:pPr>
        <w:widowControl/>
        <w:shd w:val="clear" w:color="auto" w:fill="FFFFFF"/>
        <w:jc w:val="center"/>
        <w:rPr>
          <w:rFonts w:ascii="微软雅黑" w:hAnsi="微软雅黑" w:eastAsia="微软雅黑" w:cs="宋体"/>
          <w:color w:val="333333"/>
          <w:kern w:val="0"/>
          <w:sz w:val="24"/>
          <w:szCs w:val="24"/>
        </w:rPr>
      </w:pPr>
    </w:p>
    <w:p>
      <w:pPr>
        <w:widowControl/>
        <w:shd w:val="clear" w:color="auto" w:fill="FFFFFF"/>
        <w:jc w:val="center"/>
        <w:rPr>
          <w:rFonts w:ascii="微软雅黑" w:hAnsi="微软雅黑" w:eastAsia="微软雅黑" w:cs="宋体"/>
          <w:color w:val="333333"/>
          <w:kern w:val="0"/>
          <w:sz w:val="24"/>
          <w:szCs w:val="24"/>
        </w:rPr>
      </w:pPr>
    </w:p>
    <w:p>
      <w:pPr>
        <w:widowControl/>
        <w:shd w:val="clear" w:color="auto" w:fill="FFFFFF"/>
        <w:jc w:val="center"/>
        <w:rPr>
          <w:rFonts w:ascii="微软雅黑" w:hAnsi="微软雅黑" w:eastAsia="微软雅黑" w:cs="宋体"/>
          <w:color w:val="333333"/>
          <w:kern w:val="0"/>
          <w:sz w:val="24"/>
          <w:szCs w:val="24"/>
        </w:rPr>
      </w:pPr>
    </w:p>
    <w:p>
      <w:pPr>
        <w:widowControl/>
        <w:shd w:val="clear" w:color="auto" w:fill="FFFFFF"/>
        <w:jc w:val="center"/>
        <w:rPr>
          <w:rFonts w:ascii="微软雅黑" w:hAnsi="微软雅黑" w:eastAsia="微软雅黑" w:cs="宋体"/>
          <w:color w:val="333333"/>
          <w:kern w:val="0"/>
          <w:sz w:val="24"/>
          <w:szCs w:val="24"/>
        </w:rPr>
      </w:pPr>
    </w:p>
    <w:p>
      <w:pPr>
        <w:widowControl/>
        <w:shd w:val="clear" w:color="auto" w:fill="FFFFFF"/>
        <w:jc w:val="center"/>
        <w:rPr>
          <w:rFonts w:ascii="微软雅黑" w:hAnsi="微软雅黑" w:eastAsia="微软雅黑" w:cs="宋体"/>
          <w:color w:val="333333"/>
          <w:kern w:val="0"/>
          <w:sz w:val="24"/>
          <w:szCs w:val="24"/>
        </w:rPr>
      </w:pPr>
    </w:p>
    <w:p>
      <w:pPr>
        <w:widowControl/>
        <w:shd w:val="clear" w:color="auto" w:fill="FFFFFF"/>
        <w:jc w:val="center"/>
        <w:rPr>
          <w:rFonts w:ascii="微软雅黑" w:hAnsi="微软雅黑" w:eastAsia="微软雅黑" w:cs="宋体"/>
          <w:color w:val="333333"/>
          <w:kern w:val="0"/>
          <w:sz w:val="24"/>
          <w:szCs w:val="24"/>
        </w:rPr>
      </w:pPr>
    </w:p>
    <w:p>
      <w:pPr>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44"/>
          <w:szCs w:val="44"/>
        </w:rPr>
        <w:t>本溪市溪湖区</w:t>
      </w:r>
      <w:r>
        <w:rPr>
          <w:rFonts w:hint="eastAsia" w:ascii="宋体" w:hAnsi="宋体" w:eastAsia="宋体" w:cs="宋体"/>
          <w:b/>
          <w:bCs/>
          <w:color w:val="333333"/>
          <w:kern w:val="0"/>
          <w:sz w:val="44"/>
          <w:szCs w:val="44"/>
          <w:lang w:val="en-US" w:eastAsia="zh-CN"/>
        </w:rPr>
        <w:t>委</w:t>
      </w:r>
      <w:r>
        <w:rPr>
          <w:rFonts w:hint="eastAsia" w:ascii="宋体" w:hAnsi="宋体" w:eastAsia="宋体" w:cs="宋体"/>
          <w:b/>
          <w:bCs/>
          <w:color w:val="333333"/>
          <w:kern w:val="0"/>
          <w:sz w:val="44"/>
          <w:szCs w:val="44"/>
        </w:rPr>
        <w:t>宣传部</w:t>
      </w:r>
    </w:p>
    <w:p>
      <w:pPr>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44"/>
          <w:szCs w:val="44"/>
        </w:rPr>
        <w:t>目录</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第一部分 部门预算公开管理文件</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第二部分 本溪市溪湖区</w:t>
      </w:r>
      <w:r>
        <w:rPr>
          <w:rFonts w:hint="eastAsia" w:ascii="黑体" w:hAnsi="黑体" w:eastAsia="黑体" w:cs="宋体"/>
          <w:color w:val="333333"/>
          <w:kern w:val="0"/>
          <w:sz w:val="32"/>
          <w:szCs w:val="32"/>
          <w:lang w:val="en-US" w:eastAsia="zh-CN"/>
        </w:rPr>
        <w:t>委</w:t>
      </w:r>
      <w:r>
        <w:rPr>
          <w:rFonts w:hint="eastAsia" w:ascii="黑体" w:hAnsi="黑体" w:eastAsia="黑体" w:cs="宋体"/>
          <w:color w:val="333333"/>
          <w:kern w:val="0"/>
          <w:sz w:val="32"/>
          <w:szCs w:val="32"/>
        </w:rPr>
        <w:t>宣传部概况</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一、主要职责</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二、机构设置</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第三部分 本溪市溪湖区</w:t>
      </w:r>
      <w:r>
        <w:rPr>
          <w:rFonts w:hint="eastAsia" w:ascii="黑体" w:hAnsi="黑体" w:eastAsia="黑体" w:cs="宋体"/>
          <w:color w:val="333333"/>
          <w:kern w:val="0"/>
          <w:sz w:val="32"/>
          <w:szCs w:val="32"/>
          <w:lang w:val="en-US" w:eastAsia="zh-CN"/>
        </w:rPr>
        <w:t>委</w:t>
      </w:r>
      <w:r>
        <w:rPr>
          <w:rFonts w:hint="eastAsia" w:ascii="黑体" w:hAnsi="黑体" w:eastAsia="黑体" w:cs="宋体"/>
          <w:color w:val="333333"/>
          <w:kern w:val="0"/>
          <w:sz w:val="32"/>
          <w:szCs w:val="32"/>
        </w:rPr>
        <w:t>宣传部2021年部门预算情况说明</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第四部分 名词解释</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第五部分 2021年本溪市溪湖区部门预算批复公开表</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一、财政拨款收支预算总表</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二、一般公共预算支出表</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三、一般公共预算基本支出表</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四、一般公共预算“三公”经费支出表</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五、政府性基金预算支出表</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六、部门收支预算总表</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七、部门收入预算总表</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八、部门支出预算总表（一）</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九、部门支出预算总表（二）</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十、项目支出明细表</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十一、政府采购计划表</w:t>
      </w:r>
    </w:p>
    <w:p>
      <w:pPr>
        <w:widowControl/>
        <w:shd w:val="clear" w:color="auto" w:fill="FFFFFF"/>
        <w:spacing w:line="560" w:lineRule="exact"/>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十二、三公经费汇总表</w:t>
      </w:r>
    </w:p>
    <w:p>
      <w:pPr>
        <w:widowControl/>
        <w:shd w:val="clear" w:color="auto" w:fill="FFFFFF"/>
        <w:spacing w:line="560" w:lineRule="exact"/>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十三、项目绩效目标情况表</w:t>
      </w:r>
    </w:p>
    <w:p>
      <w:pPr>
        <w:widowControl/>
        <w:shd w:val="clear" w:color="auto" w:fill="FFFFFF"/>
        <w:spacing w:line="560" w:lineRule="exact"/>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十四、政府预算经济分类支出预算表</w:t>
      </w:r>
    </w:p>
    <w:p>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十五、部门整体绩效目标情况表</w:t>
      </w:r>
    </w:p>
    <w:p>
      <w:pPr>
        <w:keepLines/>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36"/>
          <w:szCs w:val="36"/>
        </w:rPr>
        <w:t>第一部分 部门预算公开管理文件</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《关于印发&lt;本溪市财政局部门预决算信息公开管理办法（试行）&gt;的通知》(本财发〔2020〕36号)、本溪市财政局部门预决算信息公开管理办法（试行）</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第一条为推进和规范预决算信息公开工作，强化社会监督，促进依法理财，建立透明预算制度，根据《中华人民共和国预算法》和《中华人民共和国政府信息公开条例》等有关规定，结合我局实际，制定本办法。</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第二条本办法适用于中共本溪市溪湖区委宣传部部门预决算信息公开管理。</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第三条本办法所称部门预决算信息包括预算收支安排、预算执行、决算数据等。</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第四条预决算信息公开的原则：以公开为常态，不公开为例外，依法依规公开预决算。除涉及国家秘密外，不得少公开、不公开应当公开的事项，确保预决算信息公开及时、准确和完整。</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第五条财务核算部负责我单位部门预决算信息公开工作，履行下列职责：</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（一）制定我单位部门预决算信息公开的工作方案；</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（二）按规定公开我单位部门预决算信息；</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（三）按规定做好公民、法人或者其他组织依申请公开部门预决算信息的答复工作。</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第六条部门预决算信息公开内容包括：</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（一）部门文件。部门预决算信息公开管理办法。</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（二）部门概况。包括部门职责、机构设置、实有人员等情况。</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（三）预决算收支情况表。包括部门收支总体情况、财政拨款安排使用情况、“三公”经费财政拨款安排使用情况等。</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（四）情况说明。包括预决算年度收支、机关运行经费、政府采购、“三公”经费、国有资产占有使用和项目支出绩效目标等情况说明。</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（五）名词解释。对预决算相关专业名词进行解释说明。</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第七条部门预决算信息在我局门户网站“财政预决算”专栏公开，并保持长期公开状态，便于社会公众查询监督。</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第八条经市财政局批复的部门预决算及报表，应当在批复后20日内公开。</w:t>
      </w:r>
    </w:p>
    <w:p>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第九条本办法自印发之日起实行。</w:t>
      </w:r>
    </w:p>
    <w:p>
      <w:pPr>
        <w:keepLines/>
        <w:widowControl/>
        <w:shd w:val="clear" w:color="auto" w:fill="FFFFFF"/>
        <w:jc w:val="center"/>
        <w:rPr>
          <w:rFonts w:ascii="微软雅黑" w:hAnsi="微软雅黑" w:eastAsia="微软雅黑" w:cs="宋体"/>
          <w:color w:val="333333"/>
          <w:kern w:val="0"/>
          <w:sz w:val="24"/>
          <w:szCs w:val="24"/>
        </w:rPr>
      </w:pPr>
    </w:p>
    <w:p>
      <w:pPr>
        <w:keepLines/>
        <w:widowControl/>
        <w:shd w:val="clear" w:color="auto" w:fill="FFFFFF"/>
        <w:jc w:val="center"/>
        <w:rPr>
          <w:rFonts w:ascii="微软雅黑" w:hAnsi="微软雅黑" w:eastAsia="微软雅黑" w:cs="宋体"/>
          <w:color w:val="333333"/>
          <w:kern w:val="0"/>
          <w:sz w:val="24"/>
          <w:szCs w:val="24"/>
        </w:rPr>
      </w:pPr>
    </w:p>
    <w:p>
      <w:pPr>
        <w:keepLines/>
        <w:widowControl/>
        <w:shd w:val="clear" w:color="auto" w:fill="FFFFFF"/>
        <w:jc w:val="center"/>
        <w:rPr>
          <w:rFonts w:ascii="微软雅黑" w:hAnsi="微软雅黑" w:eastAsia="微软雅黑" w:cs="宋体"/>
          <w:color w:val="333333"/>
          <w:kern w:val="0"/>
          <w:sz w:val="24"/>
          <w:szCs w:val="24"/>
        </w:rPr>
      </w:pPr>
    </w:p>
    <w:p>
      <w:pPr>
        <w:keepLines/>
        <w:widowControl/>
        <w:shd w:val="clear" w:color="auto" w:fill="FFFFFF"/>
        <w:jc w:val="center"/>
        <w:rPr>
          <w:rFonts w:hint="eastAsia" w:ascii="微软雅黑" w:hAnsi="微软雅黑" w:eastAsia="微软雅黑" w:cs="宋体"/>
          <w:color w:val="333333"/>
          <w:kern w:val="0"/>
          <w:sz w:val="24"/>
          <w:szCs w:val="24"/>
        </w:rPr>
      </w:pPr>
    </w:p>
    <w:p>
      <w:pPr>
        <w:keepLines/>
        <w:widowControl/>
        <w:shd w:val="clear" w:color="auto" w:fill="FFFFFF"/>
        <w:jc w:val="center"/>
        <w:rPr>
          <w:rFonts w:ascii="微软雅黑" w:hAnsi="微软雅黑" w:eastAsia="微软雅黑" w:cs="宋体"/>
          <w:color w:val="333333"/>
          <w:kern w:val="0"/>
          <w:sz w:val="24"/>
          <w:szCs w:val="24"/>
        </w:rPr>
      </w:pPr>
    </w:p>
    <w:p>
      <w:pPr>
        <w:keepLines/>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36"/>
          <w:szCs w:val="36"/>
        </w:rPr>
        <w:t>第二部分 中共本溪市溪湖区委宣传部概况</w:t>
      </w:r>
    </w:p>
    <w:p>
      <w:pPr>
        <w:keepLines/>
        <w:widowControl/>
        <w:shd w:val="clear" w:color="auto" w:fill="FFFFFF"/>
        <w:ind w:firstLine="645"/>
        <w:jc w:val="left"/>
        <w:rPr>
          <w:rFonts w:ascii="微软雅黑" w:hAnsi="微软雅黑" w:eastAsia="微软雅黑" w:cs="宋体"/>
          <w:color w:val="333333"/>
          <w:kern w:val="0"/>
          <w:sz w:val="24"/>
          <w:szCs w:val="24"/>
        </w:rPr>
      </w:pPr>
    </w:p>
    <w:p>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一、部门职责</w:t>
      </w:r>
    </w:p>
    <w:p>
      <w:pPr>
        <w:ind w:firstLine="640" w:firstLineChars="200"/>
        <w:rPr>
          <w:rFonts w:ascii="微软雅黑" w:hAnsi="微软雅黑" w:eastAsia="微软雅黑" w:cs="宋体"/>
          <w:color w:val="333333"/>
          <w:kern w:val="0"/>
          <w:sz w:val="24"/>
          <w:szCs w:val="24"/>
        </w:rPr>
      </w:pPr>
      <w:r>
        <w:rPr>
          <w:rFonts w:hint="eastAsia" w:ascii="仿宋_GB2312" w:hAnsi="黑体" w:eastAsia="仿宋_GB2312"/>
          <w:sz w:val="32"/>
          <w:szCs w:val="32"/>
        </w:rPr>
        <w:t>溪湖区</w:t>
      </w:r>
      <w:r>
        <w:rPr>
          <w:rFonts w:hint="eastAsia" w:ascii="仿宋_GB2312" w:hAnsi="黑体" w:eastAsia="仿宋_GB2312"/>
          <w:sz w:val="32"/>
          <w:szCs w:val="32"/>
          <w:lang w:val="en-US" w:eastAsia="zh-CN"/>
        </w:rPr>
        <w:t>委</w:t>
      </w:r>
      <w:r>
        <w:rPr>
          <w:rFonts w:hint="eastAsia" w:ascii="仿宋_GB2312" w:hAnsi="黑体" w:eastAsia="仿宋_GB2312"/>
          <w:sz w:val="32"/>
          <w:szCs w:val="32"/>
        </w:rPr>
        <w:t>宣传部三定方案属于涉密文件，教育局机构、职责、编制不允许公开。</w:t>
      </w:r>
    </w:p>
    <w:p>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二、机构设置</w:t>
      </w:r>
    </w:p>
    <w:p>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纳入本溪市溪湖区</w:t>
      </w:r>
      <w:r>
        <w:rPr>
          <w:rFonts w:hint="eastAsia" w:ascii="仿宋_GB2312" w:hAnsi="微软雅黑" w:eastAsia="仿宋_GB2312" w:cs="宋体"/>
          <w:color w:val="333333"/>
          <w:kern w:val="0"/>
          <w:sz w:val="32"/>
          <w:szCs w:val="32"/>
          <w:lang w:val="en-US" w:eastAsia="zh-CN"/>
        </w:rPr>
        <w:t>委</w:t>
      </w:r>
      <w:r>
        <w:rPr>
          <w:rFonts w:hint="eastAsia" w:ascii="仿宋_GB2312" w:hAnsi="微软雅黑" w:eastAsia="仿宋_GB2312" w:cs="宋体"/>
          <w:color w:val="333333"/>
          <w:kern w:val="0"/>
          <w:sz w:val="32"/>
          <w:szCs w:val="32"/>
        </w:rPr>
        <w:t>宣传部2021年部门预算编制范围的二级预算单位包括：</w:t>
      </w:r>
    </w:p>
    <w:p>
      <w:pPr>
        <w:keepLines/>
        <w:widowControl/>
        <w:shd w:val="clear" w:color="auto" w:fill="FFFFFF"/>
        <w:jc w:val="left"/>
        <w:rPr>
          <w:rFonts w:ascii="微软雅黑" w:hAnsi="微软雅黑" w:eastAsia="仿宋_GB2312" w:cs="宋体"/>
          <w:color w:val="333333"/>
          <w:kern w:val="0"/>
          <w:sz w:val="24"/>
          <w:szCs w:val="24"/>
        </w:rPr>
      </w:pPr>
      <w:r>
        <w:rPr>
          <w:rFonts w:hint="eastAsia" w:ascii="仿宋_GB2312" w:hAnsi="微软雅黑" w:eastAsia="仿宋_GB2312" w:cs="宋体"/>
          <w:color w:val="333333"/>
          <w:kern w:val="0"/>
          <w:sz w:val="32"/>
          <w:szCs w:val="32"/>
        </w:rPr>
        <w:t>（一） 中共本溪市溪湖区委宣传部</w:t>
      </w:r>
    </w:p>
    <w:p>
      <w:pPr>
        <w:keepLines/>
        <w:widowControl/>
        <w:shd w:val="clear" w:color="auto" w:fill="FFFFFF"/>
        <w:rPr>
          <w:rFonts w:ascii="微软雅黑" w:hAnsi="微软雅黑" w:eastAsia="微软雅黑" w:cs="宋体"/>
          <w:color w:val="333333"/>
          <w:kern w:val="0"/>
          <w:sz w:val="24"/>
          <w:szCs w:val="24"/>
        </w:rPr>
      </w:pPr>
    </w:p>
    <w:p>
      <w:pPr>
        <w:keepLines/>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36"/>
          <w:szCs w:val="36"/>
        </w:rPr>
        <w:t>第三部分中共本溪市溪湖区委宣传部2021年部门预算情况说明</w:t>
      </w:r>
    </w:p>
    <w:p>
      <w:pPr>
        <w:keepLines/>
        <w:widowControl/>
        <w:shd w:val="clear" w:color="auto" w:fill="FFFFFF"/>
        <w:jc w:val="left"/>
        <w:rPr>
          <w:rFonts w:ascii="微软雅黑" w:hAnsi="微软雅黑" w:eastAsia="微软雅黑" w:cs="宋体"/>
          <w:color w:val="333333"/>
          <w:kern w:val="0"/>
          <w:sz w:val="24"/>
          <w:szCs w:val="24"/>
        </w:rPr>
      </w:pPr>
    </w:p>
    <w:p>
      <w:pPr>
        <w:keepLines/>
        <w:widowControl/>
        <w:shd w:val="clear" w:color="auto" w:fill="FFFFFF"/>
        <w:ind w:firstLine="63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一、收支预算的总体情况</w:t>
      </w:r>
    </w:p>
    <w:p>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按照综合预算的原则，本溪市溪湖区</w:t>
      </w:r>
      <w:r>
        <w:rPr>
          <w:rFonts w:hint="eastAsia" w:ascii="仿宋_GB2312" w:hAnsi="微软雅黑" w:eastAsia="仿宋_GB2312" w:cs="宋体"/>
          <w:color w:val="333333"/>
          <w:kern w:val="0"/>
          <w:sz w:val="32"/>
          <w:szCs w:val="32"/>
          <w:lang w:val="en-US" w:eastAsia="zh-CN"/>
        </w:rPr>
        <w:t>委</w:t>
      </w:r>
      <w:r>
        <w:rPr>
          <w:rFonts w:hint="eastAsia" w:ascii="仿宋_GB2312" w:hAnsi="微软雅黑" w:eastAsia="仿宋_GB2312" w:cs="宋体"/>
          <w:color w:val="333333"/>
          <w:kern w:val="0"/>
          <w:sz w:val="32"/>
          <w:szCs w:val="32"/>
        </w:rPr>
        <w:t>宣传部所有收入和支出均纳入部门预算管理。其中：</w:t>
      </w:r>
    </w:p>
    <w:p>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32"/>
          <w:szCs w:val="32"/>
        </w:rPr>
        <w:t>（一）收入预算66.81万元，</w:t>
      </w:r>
      <w:r>
        <w:rPr>
          <w:rFonts w:hint="eastAsia" w:ascii="仿宋_GB2312" w:hAnsi="微软雅黑" w:eastAsia="仿宋_GB2312" w:cs="宋体"/>
          <w:color w:val="333333"/>
          <w:kern w:val="0"/>
          <w:sz w:val="32"/>
          <w:szCs w:val="32"/>
        </w:rPr>
        <w:t>包括：</w:t>
      </w:r>
    </w:p>
    <w:p>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1.财政拨款收入66.81万元；</w:t>
      </w:r>
    </w:p>
    <w:p>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2.纳入预算管理的行政事业性收费等非税收入0万元；</w:t>
      </w:r>
    </w:p>
    <w:p>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3.纳入预算管理的政府性基金收入0万元；</w:t>
      </w:r>
    </w:p>
    <w:p>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4.纳入专户管理的行政事业性收费收入0万元；</w:t>
      </w:r>
    </w:p>
    <w:p>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5.转移性收入0万元。</w:t>
      </w:r>
    </w:p>
    <w:p>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6.其他收入0万元。</w:t>
      </w:r>
    </w:p>
    <w:p>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32"/>
          <w:szCs w:val="32"/>
        </w:rPr>
        <w:t>（二）支出预算66.81万元，</w:t>
      </w:r>
      <w:r>
        <w:rPr>
          <w:rFonts w:hint="eastAsia" w:ascii="仿宋_GB2312" w:hAnsi="微软雅黑" w:eastAsia="仿宋_GB2312" w:cs="宋体"/>
          <w:color w:val="333333"/>
          <w:kern w:val="0"/>
          <w:sz w:val="32"/>
          <w:szCs w:val="32"/>
        </w:rPr>
        <w:t>包括：</w:t>
      </w:r>
    </w:p>
    <w:p>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1.基本支出58.81万元；</w:t>
      </w:r>
    </w:p>
    <w:p>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2.项目支出8万元；</w:t>
      </w:r>
    </w:p>
    <w:p>
      <w:pPr>
        <w:ind w:firstLine="640" w:firstLineChars="200"/>
        <w:jc w:val="left"/>
        <w:rPr>
          <w:rFonts w:ascii="微软雅黑" w:hAnsi="微软雅黑" w:eastAsia="微软雅黑" w:cs="宋体"/>
          <w:color w:val="FF0000"/>
          <w:kern w:val="0"/>
          <w:sz w:val="24"/>
          <w:szCs w:val="24"/>
        </w:rPr>
      </w:pPr>
      <w:r>
        <w:rPr>
          <w:rFonts w:hint="eastAsia" w:ascii="仿宋_GB2312" w:hAnsi="微软雅黑" w:eastAsia="仿宋_GB2312" w:cs="宋体"/>
          <w:kern w:val="0"/>
          <w:sz w:val="32"/>
          <w:szCs w:val="32"/>
        </w:rPr>
        <w:t>2021年预算收支比2020年减少47.77万元，增减变化的主要原因为单位取消部分支出项目</w:t>
      </w:r>
      <w:r>
        <w:rPr>
          <w:rFonts w:hint="eastAsia" w:ascii="仿宋_GB2312" w:hAnsi="宋体" w:eastAsia="仿宋_GB2312"/>
          <w:sz w:val="32"/>
          <w:szCs w:val="32"/>
        </w:rPr>
        <w:t>。</w:t>
      </w:r>
    </w:p>
    <w:p>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二、机关运行经费安排情况</w:t>
      </w:r>
    </w:p>
    <w:p>
      <w:pPr>
        <w:keepLines/>
        <w:widowControl/>
        <w:shd w:val="clear" w:color="auto" w:fill="FFFFFF"/>
        <w:ind w:firstLine="645"/>
        <w:jc w:val="left"/>
        <w:rPr>
          <w:rFonts w:ascii="微软雅黑" w:hAnsi="微软雅黑" w:eastAsia="微软雅黑" w:cs="宋体"/>
          <w:color w:val="FF0000"/>
          <w:kern w:val="0"/>
          <w:sz w:val="24"/>
          <w:szCs w:val="24"/>
        </w:rPr>
      </w:pPr>
      <w:r>
        <w:rPr>
          <w:rFonts w:hint="eastAsia" w:ascii="仿宋_GB2312" w:hAnsi="微软雅黑" w:eastAsia="仿宋_GB2312" w:cs="宋体"/>
          <w:color w:val="333333"/>
          <w:kern w:val="0"/>
          <w:sz w:val="32"/>
          <w:szCs w:val="32"/>
        </w:rPr>
        <w:t>2021年中共本溪市溪湖区委宣传部机关运行经费预算为7.09万元，主要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微软雅黑" w:eastAsia="仿宋_GB2312" w:cs="宋体"/>
          <w:kern w:val="0"/>
          <w:sz w:val="32"/>
          <w:szCs w:val="32"/>
        </w:rPr>
        <w:t>。2021年预算比2020年增加0.91万元，主要原因是单位人员增加。</w:t>
      </w:r>
    </w:p>
    <w:p>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三、政府采购情况</w:t>
      </w:r>
    </w:p>
    <w:p>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2021年本溪市溪湖区</w:t>
      </w:r>
      <w:r>
        <w:rPr>
          <w:rFonts w:hint="eastAsia" w:ascii="仿宋_GB2312" w:hAnsi="微软雅黑" w:eastAsia="仿宋_GB2312" w:cs="宋体"/>
          <w:color w:val="333333"/>
          <w:kern w:val="0"/>
          <w:sz w:val="32"/>
          <w:szCs w:val="32"/>
          <w:lang w:val="en-US" w:eastAsia="zh-CN"/>
        </w:rPr>
        <w:t>委</w:t>
      </w:r>
      <w:r>
        <w:rPr>
          <w:rFonts w:hint="eastAsia" w:ascii="仿宋_GB2312" w:hAnsi="微软雅黑" w:eastAsia="仿宋_GB2312" w:cs="宋体"/>
          <w:color w:val="333333"/>
          <w:kern w:val="0"/>
          <w:sz w:val="32"/>
          <w:szCs w:val="32"/>
        </w:rPr>
        <w:t>宣传部安排政府采购预算0万元，其中：政府采购货物支出0万元，政府购买服务支出0万元，政府采购工程支出0万元。</w:t>
      </w:r>
    </w:p>
    <w:p>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四、“三公”经费预算情况</w:t>
      </w:r>
    </w:p>
    <w:p>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color w:val="333333"/>
          <w:kern w:val="0"/>
          <w:sz w:val="32"/>
          <w:szCs w:val="32"/>
        </w:rPr>
        <w:t>2021年，本溪市溪湖区</w:t>
      </w:r>
      <w:r>
        <w:rPr>
          <w:rFonts w:hint="eastAsia" w:ascii="仿宋_GB2312" w:hAnsi="微软雅黑" w:eastAsia="仿宋_GB2312" w:cs="宋体"/>
          <w:color w:val="333333"/>
          <w:kern w:val="0"/>
          <w:sz w:val="32"/>
          <w:szCs w:val="32"/>
          <w:lang w:val="en-US" w:eastAsia="zh-CN"/>
        </w:rPr>
        <w:t>委</w:t>
      </w:r>
      <w:r>
        <w:rPr>
          <w:rFonts w:hint="eastAsia" w:ascii="仿宋_GB2312" w:hAnsi="微软雅黑" w:eastAsia="仿宋_GB2312" w:cs="宋体"/>
          <w:color w:val="333333"/>
          <w:kern w:val="0"/>
          <w:sz w:val="32"/>
          <w:szCs w:val="32"/>
        </w:rPr>
        <w:t>宣传部一般公共预算安排“三公”经费预算为0.06万元，</w:t>
      </w:r>
      <w:r>
        <w:rPr>
          <w:rFonts w:hint="eastAsia" w:ascii="仿宋_GB2312" w:hAnsi="微软雅黑" w:eastAsia="仿宋_GB2312" w:cs="宋体"/>
          <w:kern w:val="0"/>
          <w:sz w:val="32"/>
          <w:szCs w:val="32"/>
        </w:rPr>
        <w:t>比2020年增加0.01万元，增加20%。其中：</w:t>
      </w:r>
    </w:p>
    <w:p>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1.因公出国（境）费0万元，与2020年持平</w:t>
      </w:r>
    </w:p>
    <w:p>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color w:val="333333"/>
          <w:kern w:val="0"/>
          <w:sz w:val="32"/>
          <w:szCs w:val="32"/>
        </w:rPr>
        <w:t>2.公务接待费0.06万元，</w:t>
      </w:r>
      <w:r>
        <w:rPr>
          <w:rFonts w:hint="eastAsia" w:ascii="仿宋_GB2312" w:hAnsi="微软雅黑" w:eastAsia="仿宋_GB2312" w:cs="宋体"/>
          <w:kern w:val="0"/>
          <w:sz w:val="32"/>
          <w:szCs w:val="32"/>
        </w:rPr>
        <w:t>比2020年增加0.06万元，主要原因是增加1人。</w:t>
      </w:r>
    </w:p>
    <w:p>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3.公务用车购置及运行费0万元，与2020年持平。</w:t>
      </w:r>
    </w:p>
    <w:p>
      <w:pPr>
        <w:keepLines/>
        <w:widowControl/>
        <w:shd w:val="clear" w:color="auto" w:fill="FFFFFF"/>
        <w:ind w:firstLine="645"/>
        <w:jc w:val="left"/>
        <w:rPr>
          <w:rFonts w:ascii="仿宋_GB2312" w:hAnsi="微软雅黑" w:eastAsia="仿宋_GB2312" w:cs="宋体"/>
          <w:color w:val="333333"/>
          <w:kern w:val="0"/>
          <w:sz w:val="32"/>
          <w:szCs w:val="32"/>
        </w:rPr>
      </w:pPr>
    </w:p>
    <w:p>
      <w:pPr>
        <w:keepLines/>
        <w:widowControl/>
        <w:shd w:val="clear" w:color="auto" w:fill="FFFFFF"/>
        <w:ind w:firstLine="645"/>
        <w:jc w:val="left"/>
        <w:rPr>
          <w:rFonts w:ascii="仿宋_GB2312" w:hAnsi="微软雅黑" w:eastAsia="仿宋_GB2312" w:cs="宋体"/>
          <w:color w:val="333333"/>
          <w:kern w:val="0"/>
          <w:sz w:val="32"/>
          <w:szCs w:val="32"/>
        </w:rPr>
      </w:pPr>
    </w:p>
    <w:p>
      <w:pPr>
        <w:keepLines/>
        <w:widowControl/>
        <w:shd w:val="clear" w:color="auto" w:fill="FFFFFF"/>
        <w:ind w:firstLine="645"/>
        <w:jc w:val="left"/>
        <w:rPr>
          <w:rFonts w:ascii="仿宋_GB2312" w:hAnsi="微软雅黑" w:eastAsia="仿宋_GB2312" w:cs="宋体"/>
          <w:color w:val="333333"/>
          <w:kern w:val="0"/>
          <w:sz w:val="32"/>
          <w:szCs w:val="32"/>
        </w:rPr>
      </w:pPr>
    </w:p>
    <w:p>
      <w:pPr>
        <w:keepLines/>
        <w:widowControl/>
        <w:shd w:val="clear" w:color="auto" w:fill="FFFFFF"/>
        <w:ind w:firstLine="645"/>
        <w:jc w:val="left"/>
        <w:rPr>
          <w:rFonts w:ascii="仿宋_GB2312" w:hAnsi="微软雅黑" w:eastAsia="仿宋_GB2312" w:cs="宋体"/>
          <w:color w:val="333333"/>
          <w:kern w:val="0"/>
          <w:sz w:val="32"/>
          <w:szCs w:val="32"/>
        </w:rPr>
      </w:pPr>
    </w:p>
    <w:p>
      <w:pPr>
        <w:keepLines/>
        <w:widowControl/>
        <w:shd w:val="clear" w:color="auto" w:fill="FFFFFF"/>
        <w:jc w:val="center"/>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32"/>
          <w:szCs w:val="32"/>
        </w:rPr>
        <w:t>2021年本溪市溪湖区</w:t>
      </w:r>
      <w:r>
        <w:rPr>
          <w:rFonts w:hint="eastAsia" w:ascii="仿宋_GB2312" w:hAnsi="微软雅黑" w:eastAsia="仿宋_GB2312" w:cs="宋体"/>
          <w:b/>
          <w:bCs/>
          <w:color w:val="333333"/>
          <w:kern w:val="0"/>
          <w:sz w:val="32"/>
          <w:szCs w:val="32"/>
          <w:lang w:val="en-US" w:eastAsia="zh-CN"/>
        </w:rPr>
        <w:t>委</w:t>
      </w:r>
      <w:r>
        <w:rPr>
          <w:rFonts w:hint="eastAsia" w:ascii="仿宋_GB2312" w:hAnsi="微软雅黑" w:eastAsia="仿宋_GB2312" w:cs="宋体"/>
          <w:b/>
          <w:bCs/>
          <w:color w:val="333333"/>
          <w:kern w:val="0"/>
          <w:sz w:val="32"/>
          <w:szCs w:val="32"/>
        </w:rPr>
        <w:t>宣传部“三公”经费预算表</w:t>
      </w:r>
    </w:p>
    <w:p>
      <w:pPr>
        <w:keepLines/>
        <w:widowControl/>
        <w:shd w:val="clear" w:color="auto" w:fill="FFFFFF"/>
        <w:jc w:val="center"/>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9"/>
          <w:szCs w:val="29"/>
        </w:rPr>
        <w:t>单位：万元</w:t>
      </w:r>
    </w:p>
    <w:tbl>
      <w:tblPr>
        <w:tblStyle w:val="7"/>
        <w:tblW w:w="8625" w:type="dxa"/>
        <w:tblInd w:w="0" w:type="dxa"/>
        <w:tblLayout w:type="fixed"/>
        <w:tblCellMar>
          <w:top w:w="0" w:type="dxa"/>
          <w:left w:w="0" w:type="dxa"/>
          <w:bottom w:w="0" w:type="dxa"/>
          <w:right w:w="0" w:type="dxa"/>
        </w:tblCellMar>
      </w:tblPr>
      <w:tblGrid>
        <w:gridCol w:w="4125"/>
        <w:gridCol w:w="2145"/>
        <w:gridCol w:w="2355"/>
      </w:tblGrid>
      <w:tr>
        <w:tblPrEx>
          <w:tblLayout w:type="fixed"/>
          <w:tblCellMar>
            <w:top w:w="0" w:type="dxa"/>
            <w:left w:w="0" w:type="dxa"/>
            <w:bottom w:w="0" w:type="dxa"/>
            <w:right w:w="0" w:type="dxa"/>
          </w:tblCellMar>
        </w:tblPrEx>
        <w:trPr>
          <w:trHeight w:val="480" w:hRule="atLeast"/>
        </w:trPr>
        <w:tc>
          <w:tcPr>
            <w:tcW w:w="4125" w:type="dxa"/>
            <w:vMerge w:val="restart"/>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项目</w:t>
            </w:r>
          </w:p>
        </w:tc>
        <w:tc>
          <w:tcPr>
            <w:tcW w:w="4500" w:type="dxa"/>
            <w:gridSpan w:val="2"/>
            <w:tcBorders>
              <w:top w:val="single" w:color="000000" w:sz="6" w:space="0"/>
              <w:left w:val="nil"/>
              <w:bottom w:val="single" w:color="DDDDDD" w:sz="6" w:space="0"/>
              <w:right w:val="single" w:color="000000" w:sz="6" w:space="0"/>
            </w:tcBorders>
            <w:tcMar>
              <w:top w:w="15" w:type="dxa"/>
              <w:left w:w="15" w:type="dxa"/>
              <w:bottom w:w="15" w:type="dxa"/>
              <w:right w:w="15" w:type="dxa"/>
            </w:tcMar>
            <w:vAlign w:val="center"/>
          </w:tcPr>
          <w:p>
            <w:pPr>
              <w:keepLines/>
              <w:widowControl/>
              <w:jc w:val="center"/>
              <w:rPr>
                <w:rFonts w:ascii="宋体" w:hAnsi="宋体" w:eastAsia="宋体" w:cs="宋体"/>
                <w:kern w:val="0"/>
                <w:sz w:val="24"/>
                <w:szCs w:val="24"/>
              </w:rPr>
            </w:pPr>
            <w:r>
              <w:rPr>
                <w:rFonts w:hint="eastAsia" w:ascii="宋体" w:hAnsi="宋体" w:eastAsia="宋体" w:cs="宋体"/>
                <w:b/>
                <w:bCs/>
                <w:kern w:val="0"/>
                <w:sz w:val="24"/>
                <w:szCs w:val="24"/>
              </w:rPr>
              <w:t>金额</w:t>
            </w:r>
          </w:p>
        </w:tc>
      </w:tr>
      <w:tr>
        <w:tblPrEx>
          <w:tblLayout w:type="fixed"/>
          <w:tblCellMar>
            <w:top w:w="0" w:type="dxa"/>
            <w:left w:w="0" w:type="dxa"/>
            <w:bottom w:w="0" w:type="dxa"/>
            <w:right w:w="0" w:type="dxa"/>
          </w:tblCellMar>
        </w:tblPrEx>
        <w:trPr>
          <w:trHeight w:val="510" w:hRule="atLeast"/>
        </w:trPr>
        <w:tc>
          <w:tcPr>
            <w:tcW w:w="4125" w:type="dxa"/>
            <w:vMerge w:val="continue"/>
            <w:tcBorders>
              <w:top w:val="single" w:color="000000" w:sz="6" w:space="0"/>
              <w:left w:val="single" w:color="000000" w:sz="6" w:space="0"/>
              <w:bottom w:val="single" w:color="000000" w:sz="6" w:space="0"/>
              <w:right w:val="single" w:color="000000" w:sz="6" w:space="0"/>
            </w:tcBorders>
            <w:vAlign w:val="center"/>
          </w:tcPr>
          <w:p>
            <w:pPr>
              <w:keepLines/>
              <w:widowControl/>
              <w:jc w:val="left"/>
              <w:rPr>
                <w:rFonts w:ascii="宋体" w:hAnsi="宋体" w:eastAsia="宋体" w:cs="宋体"/>
                <w:kern w:val="0"/>
                <w:sz w:val="24"/>
                <w:szCs w:val="24"/>
              </w:rPr>
            </w:pPr>
          </w:p>
        </w:tc>
        <w:tc>
          <w:tcPr>
            <w:tcW w:w="214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2020年</w:t>
            </w:r>
          </w:p>
        </w:tc>
        <w:tc>
          <w:tcPr>
            <w:tcW w:w="235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2021年</w:t>
            </w:r>
          </w:p>
        </w:tc>
      </w:tr>
      <w:tr>
        <w:tblPrEx>
          <w:tblLayout w:type="fixed"/>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合计</w:t>
            </w:r>
          </w:p>
        </w:tc>
        <w:tc>
          <w:tcPr>
            <w:tcW w:w="2145" w:type="dxa"/>
            <w:tcBorders>
              <w:top w:val="nil"/>
              <w:left w:val="nil"/>
              <w:bottom w:val="single" w:color="DDDDDD" w:sz="6" w:space="0"/>
              <w:right w:val="single" w:color="000000" w:sz="6" w:space="0"/>
            </w:tcBorders>
            <w:tcMar>
              <w:top w:w="15" w:type="dxa"/>
              <w:left w:w="15" w:type="dxa"/>
              <w:bottom w:w="15" w:type="dxa"/>
              <w:right w:w="15" w:type="dxa"/>
            </w:tcMar>
            <w:vAlign w:val="center"/>
          </w:tcPr>
          <w:p>
            <w:pPr>
              <w:keepLines/>
              <w:widowControl/>
              <w:jc w:val="left"/>
              <w:rPr>
                <w:rFonts w:ascii="宋体" w:hAnsi="宋体" w:eastAsia="宋体" w:cs="宋体"/>
                <w:kern w:val="0"/>
                <w:sz w:val="24"/>
                <w:szCs w:val="24"/>
              </w:rPr>
            </w:pPr>
          </w:p>
        </w:tc>
        <w:tc>
          <w:tcPr>
            <w:tcW w:w="2355" w:type="dxa"/>
            <w:tcBorders>
              <w:top w:val="nil"/>
              <w:left w:val="nil"/>
              <w:bottom w:val="single" w:color="DDDDDD" w:sz="6" w:space="0"/>
              <w:right w:val="single" w:color="000000" w:sz="6" w:space="0"/>
            </w:tcBorders>
            <w:tcMar>
              <w:top w:w="15" w:type="dxa"/>
              <w:left w:w="15" w:type="dxa"/>
              <w:bottom w:w="15" w:type="dxa"/>
              <w:right w:w="15" w:type="dxa"/>
            </w:tcMar>
            <w:vAlign w:val="center"/>
          </w:tcPr>
          <w:p>
            <w:pPr>
              <w:keepLines/>
              <w:widowControl/>
              <w:jc w:val="righ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1、因公出国（境）费</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pPr>
              <w:keepLines/>
              <w:widowControl/>
              <w:jc w:val="left"/>
              <w:rPr>
                <w:rFonts w:ascii="宋体" w:hAnsi="宋体" w:eastAsia="宋体" w:cs="宋体"/>
                <w:kern w:val="0"/>
                <w:sz w:val="24"/>
                <w:szCs w:val="24"/>
              </w:rPr>
            </w:pP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2、公务接待费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rPr>
                <w:rFonts w:ascii="宋体" w:hAnsi="宋体" w:eastAsia="宋体" w:cs="宋体"/>
                <w:kern w:val="0"/>
                <w:sz w:val="24"/>
                <w:szCs w:val="24"/>
              </w:rPr>
            </w:pP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宋体" w:hAnsi="宋体" w:eastAsia="宋体" w:cs="宋体"/>
                <w:kern w:val="0"/>
                <w:sz w:val="24"/>
                <w:szCs w:val="24"/>
              </w:rPr>
            </w:pPr>
            <w:r>
              <w:rPr>
                <w:rFonts w:hint="eastAsia" w:ascii="宋体" w:hAnsi="宋体" w:eastAsia="宋体" w:cs="宋体"/>
                <w:kern w:val="0"/>
                <w:sz w:val="24"/>
                <w:szCs w:val="24"/>
              </w:rPr>
              <w:t>0.06</w:t>
            </w:r>
          </w:p>
        </w:tc>
      </w:tr>
      <w:tr>
        <w:tblPrEx>
          <w:tblLayout w:type="fixed"/>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3、公务用车购置及运行费</w:t>
            </w:r>
          </w:p>
        </w:tc>
        <w:tc>
          <w:tcPr>
            <w:tcW w:w="2145" w:type="dxa"/>
            <w:tcBorders>
              <w:top w:val="single" w:color="DDDDDD"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pPr>
              <w:keepLines/>
              <w:widowControl/>
              <w:jc w:val="left"/>
              <w:rPr>
                <w:rFonts w:ascii="宋体" w:hAnsi="宋体" w:eastAsia="宋体" w:cs="宋体"/>
                <w:kern w:val="0"/>
                <w:sz w:val="24"/>
                <w:szCs w:val="24"/>
              </w:rPr>
            </w:pPr>
          </w:p>
        </w:tc>
        <w:tc>
          <w:tcPr>
            <w:tcW w:w="2355" w:type="dxa"/>
            <w:tcBorders>
              <w:top w:val="single" w:color="DDDDDD" w:sz="6" w:space="0"/>
              <w:left w:val="single" w:color="000000" w:sz="6" w:space="0"/>
              <w:bottom w:val="single" w:color="DDDDDD" w:sz="6" w:space="0"/>
              <w:right w:val="single" w:color="000000" w:sz="6" w:space="0"/>
            </w:tcBorders>
            <w:tcMar>
              <w:top w:w="15" w:type="dxa"/>
              <w:left w:w="15" w:type="dxa"/>
              <w:bottom w:w="15" w:type="dxa"/>
              <w:right w:w="15" w:type="dxa"/>
            </w:tcMar>
            <w:vAlign w:val="center"/>
          </w:tcPr>
          <w:p>
            <w:pPr>
              <w:keepLines/>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其中：公务用车购置</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pPr>
              <w:keepLines/>
              <w:widowControl/>
              <w:jc w:val="left"/>
              <w:rPr>
                <w:rFonts w:ascii="宋体" w:hAnsi="宋体" w:eastAsia="宋体" w:cs="宋体"/>
                <w:kern w:val="0"/>
                <w:sz w:val="24"/>
                <w:szCs w:val="24"/>
              </w:rPr>
            </w:pP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公务用车运行费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rPr>
                <w:rFonts w:ascii="宋体" w:hAnsi="宋体" w:eastAsia="宋体" w:cs="宋体"/>
                <w:kern w:val="0"/>
                <w:sz w:val="24"/>
                <w:szCs w:val="24"/>
              </w:rPr>
            </w:pP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宋体" w:hAnsi="宋体" w:eastAsia="宋体" w:cs="宋体"/>
                <w:kern w:val="0"/>
                <w:sz w:val="24"/>
                <w:szCs w:val="24"/>
              </w:rPr>
            </w:pPr>
          </w:p>
        </w:tc>
      </w:tr>
    </w:tbl>
    <w:p>
      <w:pPr>
        <w:keepLines/>
        <w:widowControl/>
        <w:shd w:val="clear" w:color="auto" w:fill="FFFFFF"/>
        <w:jc w:val="left"/>
        <w:rPr>
          <w:rFonts w:ascii="微软雅黑" w:hAnsi="微软雅黑" w:eastAsia="微软雅黑" w:cs="宋体"/>
          <w:color w:val="333333"/>
          <w:kern w:val="0"/>
          <w:sz w:val="24"/>
          <w:szCs w:val="24"/>
        </w:rPr>
      </w:pPr>
    </w:p>
    <w:p>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五、国有资产占用情况</w:t>
      </w:r>
    </w:p>
    <w:p>
      <w:pPr>
        <w:keepLines/>
        <w:widowControl/>
        <w:shd w:val="clear" w:color="auto" w:fill="FFFFFF"/>
        <w:ind w:firstLine="645"/>
        <w:jc w:val="left"/>
        <w:rPr>
          <w:rFonts w:ascii="仿宋_GB2312" w:hAnsi="宋体" w:eastAsia="仿宋_GB2312"/>
          <w:sz w:val="32"/>
          <w:szCs w:val="32"/>
        </w:rPr>
      </w:pPr>
      <w:r>
        <w:rPr>
          <w:rFonts w:hint="eastAsia" w:ascii="仿宋_GB2312" w:hAnsi="宋体" w:eastAsia="仿宋_GB2312"/>
          <w:sz w:val="32"/>
          <w:szCs w:val="32"/>
        </w:rPr>
        <w:t>中共本溪市溪湖区委宣传部共有车辆0台，其中：一般公务用车0台。</w:t>
      </w:r>
    </w:p>
    <w:p>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六、绩效情况</w:t>
      </w:r>
    </w:p>
    <w:p>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根据预算绩效管理要求，本溪市溪湖区</w:t>
      </w:r>
      <w:r>
        <w:rPr>
          <w:rFonts w:hint="eastAsia" w:ascii="仿宋_GB2312" w:hAnsi="微软雅黑" w:eastAsia="仿宋_GB2312" w:cs="宋体"/>
          <w:color w:val="333333"/>
          <w:kern w:val="0"/>
          <w:sz w:val="32"/>
          <w:szCs w:val="32"/>
          <w:lang w:val="en-US" w:eastAsia="zh-CN"/>
        </w:rPr>
        <w:t>委</w:t>
      </w:r>
      <w:r>
        <w:rPr>
          <w:rFonts w:hint="eastAsia" w:ascii="仿宋_GB2312" w:hAnsi="微软雅黑" w:eastAsia="仿宋_GB2312" w:cs="宋体"/>
          <w:color w:val="333333"/>
          <w:kern w:val="0"/>
          <w:sz w:val="32"/>
          <w:szCs w:val="32"/>
        </w:rPr>
        <w:t>宣传部2021年应编制绩效目标的项目共2个，实际编制绩效目标的项目共2个，涉及资金8万元，编制绩效目标的项目覆盖率（实际编制绩效目标的项目/应编制绩效目标的项目）为100%。</w:t>
      </w:r>
    </w:p>
    <w:p>
      <w:pPr>
        <w:keepLines/>
      </w:pPr>
    </w:p>
    <w:p>
      <w:pPr>
        <w:keepLines/>
      </w:pPr>
    </w:p>
    <w:p>
      <w:pPr>
        <w:keepLines/>
      </w:pPr>
    </w:p>
    <w:p>
      <w:pPr>
        <w:keepLines/>
      </w:pPr>
    </w:p>
    <w:p>
      <w:pPr>
        <w:keepLines/>
      </w:pPr>
    </w:p>
    <w:p>
      <w:pPr>
        <w:keepLines/>
      </w:pPr>
    </w:p>
    <w:p>
      <w:pPr>
        <w:keepLines/>
      </w:pPr>
    </w:p>
    <w:p>
      <w:pPr>
        <w:keepLines/>
      </w:pPr>
    </w:p>
    <w:p>
      <w:pPr>
        <w:keepLines/>
      </w:pPr>
    </w:p>
    <w:p>
      <w:pPr>
        <w:keepLines/>
      </w:pPr>
    </w:p>
    <w:p>
      <w:pPr>
        <w:keepLines/>
      </w:pPr>
    </w:p>
    <w:tbl>
      <w:tblPr>
        <w:tblStyle w:val="7"/>
        <w:tblW w:w="8519" w:type="dxa"/>
        <w:tblInd w:w="93" w:type="dxa"/>
        <w:tblLayout w:type="fixed"/>
        <w:tblCellMar>
          <w:top w:w="0" w:type="dxa"/>
          <w:left w:w="108" w:type="dxa"/>
          <w:bottom w:w="0" w:type="dxa"/>
          <w:right w:w="108" w:type="dxa"/>
        </w:tblCellMar>
      </w:tblPr>
      <w:tblGrid>
        <w:gridCol w:w="582"/>
        <w:gridCol w:w="709"/>
        <w:gridCol w:w="1417"/>
        <w:gridCol w:w="2977"/>
        <w:gridCol w:w="567"/>
        <w:gridCol w:w="567"/>
        <w:gridCol w:w="567"/>
        <w:gridCol w:w="567"/>
        <w:gridCol w:w="566"/>
      </w:tblGrid>
      <w:tr>
        <w:tblPrEx>
          <w:tblLayout w:type="fixed"/>
          <w:tblCellMar>
            <w:top w:w="0" w:type="dxa"/>
            <w:left w:w="108" w:type="dxa"/>
            <w:bottom w:w="0" w:type="dxa"/>
            <w:right w:w="108" w:type="dxa"/>
          </w:tblCellMar>
        </w:tblPrEx>
        <w:trPr>
          <w:trHeight w:val="619" w:hRule="atLeast"/>
        </w:trPr>
        <w:tc>
          <w:tcPr>
            <w:tcW w:w="8519" w:type="dxa"/>
            <w:gridSpan w:val="9"/>
            <w:tcBorders>
              <w:top w:val="nil"/>
              <w:left w:val="nil"/>
              <w:bottom w:val="nil"/>
              <w:right w:val="nil"/>
            </w:tcBorders>
            <w:shd w:val="clear" w:color="auto" w:fill="auto"/>
            <w:vAlign w:val="center"/>
          </w:tcPr>
          <w:p>
            <w:pPr>
              <w:keepLines/>
              <w:widowControl/>
              <w:jc w:val="center"/>
              <w:rPr>
                <w:rFonts w:ascii="宋体" w:hAnsi="宋体" w:eastAsia="宋体" w:cs="宋体"/>
                <w:b/>
                <w:bCs/>
                <w:kern w:val="0"/>
                <w:sz w:val="36"/>
                <w:szCs w:val="36"/>
              </w:rPr>
            </w:pPr>
            <w:r>
              <w:rPr>
                <w:rFonts w:hint="eastAsia" w:ascii="宋体" w:hAnsi="宋体" w:eastAsia="宋体" w:cs="宋体"/>
                <w:b/>
                <w:bCs/>
                <w:kern w:val="0"/>
                <w:sz w:val="36"/>
                <w:szCs w:val="36"/>
              </w:rPr>
              <w:t>部门整体绩效目标情况表</w:t>
            </w:r>
          </w:p>
        </w:tc>
      </w:tr>
      <w:tr>
        <w:tblPrEx>
          <w:tblLayout w:type="fixed"/>
          <w:tblCellMar>
            <w:top w:w="0" w:type="dxa"/>
            <w:left w:w="108" w:type="dxa"/>
            <w:bottom w:w="0" w:type="dxa"/>
            <w:right w:w="108" w:type="dxa"/>
          </w:tblCellMar>
        </w:tblPrEx>
        <w:trPr>
          <w:trHeight w:val="300" w:hRule="atLeast"/>
        </w:trPr>
        <w:tc>
          <w:tcPr>
            <w:tcW w:w="582"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绩效目标</w:t>
            </w:r>
          </w:p>
        </w:tc>
        <w:tc>
          <w:tcPr>
            <w:tcW w:w="5103" w:type="dxa"/>
            <w:gridSpan w:val="3"/>
            <w:tcBorders>
              <w:top w:val="single" w:color="auto" w:sz="4" w:space="0"/>
              <w:left w:val="single" w:color="auto" w:sz="4" w:space="0"/>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年度绩效指标</w:t>
            </w:r>
          </w:p>
        </w:tc>
        <w:tc>
          <w:tcPr>
            <w:tcW w:w="567"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指标属性</w:t>
            </w:r>
          </w:p>
        </w:tc>
        <w:tc>
          <w:tcPr>
            <w:tcW w:w="567"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运算符号</w:t>
            </w:r>
          </w:p>
        </w:tc>
        <w:tc>
          <w:tcPr>
            <w:tcW w:w="567"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指标值</w:t>
            </w:r>
          </w:p>
        </w:tc>
        <w:tc>
          <w:tcPr>
            <w:tcW w:w="567"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度量单位</w:t>
            </w:r>
          </w:p>
        </w:tc>
        <w:tc>
          <w:tcPr>
            <w:tcW w:w="566" w:type="dxa"/>
            <w:vMerge w:val="restart"/>
            <w:tcBorders>
              <w:top w:val="single" w:color="auto" w:sz="4" w:space="0"/>
              <w:left w:val="single" w:color="auto" w:sz="4" w:space="0"/>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完成时限</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nil"/>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tcBorders>
              <w:top w:val="nil"/>
              <w:left w:val="single" w:color="auto" w:sz="4" w:space="0"/>
              <w:bottom w:val="nil"/>
              <w:right w:val="nil"/>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一级指标</w:t>
            </w:r>
          </w:p>
        </w:tc>
        <w:tc>
          <w:tcPr>
            <w:tcW w:w="1417" w:type="dxa"/>
            <w:tcBorders>
              <w:top w:val="nil"/>
              <w:left w:val="single" w:color="auto" w:sz="4" w:space="0"/>
              <w:bottom w:val="nil"/>
              <w:right w:val="nil"/>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二级指标</w:t>
            </w:r>
          </w:p>
        </w:tc>
        <w:tc>
          <w:tcPr>
            <w:tcW w:w="2977" w:type="dxa"/>
            <w:tcBorders>
              <w:top w:val="nil"/>
              <w:left w:val="single" w:color="auto" w:sz="4" w:space="0"/>
              <w:bottom w:val="nil"/>
              <w:right w:val="nil"/>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三级指标</w:t>
            </w:r>
          </w:p>
        </w:tc>
        <w:tc>
          <w:tcPr>
            <w:tcW w:w="567" w:type="dxa"/>
            <w:vMerge w:val="continue"/>
            <w:tcBorders>
              <w:top w:val="single" w:color="auto" w:sz="4" w:space="0"/>
              <w:left w:val="single" w:color="auto" w:sz="4" w:space="0"/>
              <w:bottom w:val="single" w:color="auto" w:sz="4" w:space="0"/>
              <w:right w:val="nil"/>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567" w:type="dxa"/>
            <w:vMerge w:val="continue"/>
            <w:tcBorders>
              <w:top w:val="single" w:color="auto" w:sz="4" w:space="0"/>
              <w:left w:val="single" w:color="auto" w:sz="4" w:space="0"/>
              <w:bottom w:val="single" w:color="auto" w:sz="4" w:space="0"/>
              <w:right w:val="nil"/>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567" w:type="dxa"/>
            <w:vMerge w:val="continue"/>
            <w:tcBorders>
              <w:top w:val="single" w:color="auto" w:sz="4" w:space="0"/>
              <w:left w:val="single" w:color="auto" w:sz="4" w:space="0"/>
              <w:bottom w:val="single" w:color="auto" w:sz="4" w:space="0"/>
              <w:right w:val="nil"/>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567" w:type="dxa"/>
            <w:vMerge w:val="continue"/>
            <w:tcBorders>
              <w:top w:val="single" w:color="auto" w:sz="4" w:space="0"/>
              <w:left w:val="single" w:color="auto" w:sz="4" w:space="0"/>
              <w:bottom w:val="single" w:color="auto" w:sz="4" w:space="0"/>
              <w:right w:val="nil"/>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r>
      <w:tr>
        <w:tblPrEx>
          <w:tblLayout w:type="fixed"/>
          <w:tblCellMar>
            <w:top w:w="0" w:type="dxa"/>
            <w:left w:w="108" w:type="dxa"/>
            <w:bottom w:w="0" w:type="dxa"/>
            <w:right w:w="108" w:type="dxa"/>
          </w:tblCellMar>
        </w:tblPrEx>
        <w:trPr>
          <w:trHeight w:val="300" w:hRule="atLeast"/>
        </w:trPr>
        <w:tc>
          <w:tcPr>
            <w:tcW w:w="582" w:type="dxa"/>
            <w:vMerge w:val="restart"/>
            <w:tcBorders>
              <w:top w:val="single" w:color="auto" w:sz="4" w:space="0"/>
              <w:left w:val="single" w:color="auto" w:sz="4" w:space="0"/>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1.做好各项日常事务性工作。</w:t>
            </w:r>
            <w:r>
              <w:rPr>
                <w:rFonts w:hint="eastAsia" w:ascii="宋体" w:hAnsi="宋体" w:eastAsia="宋体" w:cs="宋体"/>
                <w:kern w:val="0"/>
                <w:szCs w:val="21"/>
              </w:rPr>
              <w:br w:type="textWrapping"/>
            </w:r>
            <w:r>
              <w:rPr>
                <w:rFonts w:hint="eastAsia" w:ascii="宋体" w:hAnsi="宋体" w:eastAsia="宋体" w:cs="宋体"/>
                <w:kern w:val="0"/>
                <w:szCs w:val="21"/>
              </w:rPr>
              <w:t>2.提升服务水平 提高服务对象满意度。</w:t>
            </w:r>
          </w:p>
        </w:tc>
        <w:tc>
          <w:tcPr>
            <w:tcW w:w="709" w:type="dxa"/>
            <w:vMerge w:val="restart"/>
            <w:tcBorders>
              <w:top w:val="single" w:color="auto" w:sz="4" w:space="0"/>
              <w:left w:val="nil"/>
              <w:bottom w:val="single" w:color="000000"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履职效能</w:t>
            </w:r>
          </w:p>
        </w:tc>
        <w:tc>
          <w:tcPr>
            <w:tcW w:w="1417" w:type="dxa"/>
            <w:vMerge w:val="restart"/>
            <w:tcBorders>
              <w:top w:val="single" w:color="auto" w:sz="4" w:space="0"/>
              <w:left w:val="single" w:color="auto" w:sz="4" w:space="0"/>
              <w:bottom w:val="single" w:color="000000"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重点工作履行情况</w:t>
            </w:r>
          </w:p>
        </w:tc>
        <w:tc>
          <w:tcPr>
            <w:tcW w:w="297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重点工作办结率</w:t>
            </w:r>
          </w:p>
        </w:tc>
        <w:tc>
          <w:tcPr>
            <w:tcW w:w="56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vMerge w:val="continue"/>
            <w:tcBorders>
              <w:top w:val="single" w:color="auto" w:sz="4" w:space="0"/>
              <w:left w:val="single" w:color="auto" w:sz="4" w:space="0"/>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省、市政府绩效办考核个性指标任务完成情况</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vMerge w:val="restart"/>
            <w:tcBorders>
              <w:top w:val="nil"/>
              <w:left w:val="single" w:color="auto" w:sz="4" w:space="0"/>
              <w:bottom w:val="single" w:color="000000"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整体工作完成情况</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总体工作完成率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工作完成及时率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工作质量达标率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vMerge w:val="restart"/>
            <w:tcBorders>
              <w:top w:val="nil"/>
              <w:left w:val="single" w:color="auto" w:sz="4" w:space="0"/>
              <w:bottom w:val="single" w:color="000000"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基础管理</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依法行政能力</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大幅提升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综合管理水平</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大幅提高</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restart"/>
            <w:tcBorders>
              <w:top w:val="nil"/>
              <w:left w:val="nil"/>
              <w:bottom w:val="single" w:color="000000"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预算执行</w:t>
            </w:r>
          </w:p>
        </w:tc>
        <w:tc>
          <w:tcPr>
            <w:tcW w:w="1417" w:type="dxa"/>
            <w:vMerge w:val="restart"/>
            <w:tcBorders>
              <w:top w:val="nil"/>
              <w:left w:val="single" w:color="auto" w:sz="4" w:space="0"/>
              <w:bottom w:val="single" w:color="000000"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预算执行效率</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预算执行率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预算调整率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5</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结余结转变动率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restart"/>
            <w:tcBorders>
              <w:top w:val="nil"/>
              <w:left w:val="nil"/>
              <w:bottom w:val="single" w:color="000000"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管理效率</w:t>
            </w:r>
          </w:p>
        </w:tc>
        <w:tc>
          <w:tcPr>
            <w:tcW w:w="141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预算编制管理</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预算绩效目标覆盖率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预算监督管理</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预决算公开情况</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及时公开</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vMerge w:val="restart"/>
            <w:tcBorders>
              <w:top w:val="nil"/>
              <w:left w:val="single" w:color="auto" w:sz="4" w:space="0"/>
              <w:bottom w:val="single" w:color="000000"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预算收支管理</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预算收入管理规范性</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严格执行</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预算支出管理规范性</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管理规范</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财务管理</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内控制度有效性</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制度有效</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资产管理</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固定资产利用率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业务管理</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政府采购管理违法违规行为发生次数</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次</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restart"/>
            <w:tcBorders>
              <w:top w:val="nil"/>
              <w:left w:val="nil"/>
              <w:bottom w:val="single" w:color="000000"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运行成本</w:t>
            </w:r>
          </w:p>
        </w:tc>
        <w:tc>
          <w:tcPr>
            <w:tcW w:w="1417" w:type="dxa"/>
            <w:vMerge w:val="restart"/>
            <w:tcBorders>
              <w:top w:val="nil"/>
              <w:left w:val="single" w:color="auto" w:sz="4" w:space="0"/>
              <w:bottom w:val="single" w:color="000000"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成本控制成效</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“三公”经费变动率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在职人员控制率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人均公用经费变动率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restart"/>
            <w:tcBorders>
              <w:top w:val="nil"/>
              <w:left w:val="nil"/>
              <w:bottom w:val="single" w:color="000000"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社会效应</w:t>
            </w:r>
          </w:p>
        </w:tc>
        <w:tc>
          <w:tcPr>
            <w:tcW w:w="141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政治效益</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社会效益</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会计从业人员资格覆盖率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90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经济效益</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生态效益</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服务对象满意度</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政府直属部门职工总体满意度</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90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社会公众满意度</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参考考生满意度</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90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tblPrEx>
          <w:tblLayout w:type="fixed"/>
          <w:tblCellMar>
            <w:top w:w="0" w:type="dxa"/>
            <w:left w:w="108" w:type="dxa"/>
            <w:bottom w:w="0" w:type="dxa"/>
            <w:right w:w="108" w:type="dxa"/>
          </w:tblCellMar>
        </w:tblPrEx>
        <w:trPr>
          <w:trHeight w:val="285"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Lines/>
              <w:widowControl/>
              <w:spacing w:line="230" w:lineRule="exact"/>
              <w:jc w:val="left"/>
              <w:rPr>
                <w:rFonts w:ascii="宋体" w:hAnsi="宋体" w:eastAsia="宋体" w:cs="宋体"/>
                <w:kern w:val="0"/>
                <w:szCs w:val="21"/>
              </w:rPr>
            </w:pPr>
          </w:p>
        </w:tc>
        <w:tc>
          <w:tcPr>
            <w:tcW w:w="709"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可持续性</w:t>
            </w:r>
          </w:p>
        </w:tc>
        <w:tc>
          <w:tcPr>
            <w:tcW w:w="141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体制机制改革</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按人事部门规定完成</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严格完成</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bl>
    <w:p/>
    <w:p>
      <w:pPr>
        <w:jc w:val="center"/>
        <w:rPr>
          <w:rFonts w:ascii="宋体" w:hAnsi="宋体"/>
          <w:b/>
          <w:sz w:val="36"/>
          <w:szCs w:val="36"/>
        </w:rPr>
      </w:pPr>
      <w:r>
        <w:rPr>
          <w:rFonts w:hint="eastAsia" w:ascii="宋体" w:hAnsi="宋体"/>
          <w:b/>
          <w:sz w:val="36"/>
          <w:szCs w:val="36"/>
        </w:rPr>
        <w:t>第四部分 名词解释</w:t>
      </w:r>
    </w:p>
    <w:p>
      <w:pPr>
        <w:jc w:val="center"/>
        <w:rPr>
          <w:rFonts w:ascii="黑体" w:eastAsia="黑体"/>
          <w:sz w:val="36"/>
          <w:szCs w:val="36"/>
        </w:rPr>
      </w:pPr>
    </w:p>
    <w:p>
      <w:pPr>
        <w:ind w:firstLine="643" w:firstLineChars="200"/>
        <w:jc w:val="left"/>
        <w:rPr>
          <w:rFonts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指市级财政当年拨付的资金。</w:t>
      </w:r>
    </w:p>
    <w:p>
      <w:pPr>
        <w:ind w:firstLine="643" w:firstLineChars="200"/>
        <w:jc w:val="left"/>
        <w:rPr>
          <w:rFonts w:ascii="仿宋_GB2312" w:eastAsia="仿宋_GB2312"/>
          <w:sz w:val="32"/>
          <w:szCs w:val="32"/>
        </w:rPr>
      </w:pPr>
      <w:r>
        <w:rPr>
          <w:rFonts w:hint="eastAsia" w:ascii="仿宋_GB2312" w:eastAsia="仿宋_GB2312"/>
          <w:b/>
          <w:sz w:val="32"/>
          <w:szCs w:val="32"/>
        </w:rPr>
        <w:t>2.基本支出：</w:t>
      </w:r>
      <w:r>
        <w:rPr>
          <w:rFonts w:hint="eastAsia" w:ascii="仿宋_GB2312" w:eastAsia="仿宋_GB2312"/>
          <w:sz w:val="32"/>
          <w:szCs w:val="32"/>
        </w:rPr>
        <w:t>指保障机构正常运转、完成日常工作任务而发生的人员支出和公用支出。</w:t>
      </w:r>
    </w:p>
    <w:p>
      <w:pPr>
        <w:ind w:firstLine="643" w:firstLineChars="200"/>
        <w:jc w:val="left"/>
        <w:rPr>
          <w:rFonts w:ascii="仿宋_GB2312" w:eastAsia="仿宋_GB2312"/>
          <w:b/>
          <w:sz w:val="32"/>
          <w:szCs w:val="32"/>
        </w:rPr>
      </w:pPr>
      <w:r>
        <w:rPr>
          <w:rFonts w:hint="eastAsia" w:ascii="仿宋_GB2312" w:eastAsia="仿宋_GB2312"/>
          <w:b/>
          <w:sz w:val="32"/>
          <w:szCs w:val="32"/>
        </w:rPr>
        <w:t>3.项目支出：</w:t>
      </w:r>
      <w:r>
        <w:rPr>
          <w:rFonts w:hint="eastAsia" w:ascii="仿宋_GB2312" w:eastAsia="仿宋_GB2312"/>
          <w:sz w:val="32"/>
          <w:szCs w:val="32"/>
        </w:rPr>
        <w:t>指在基本支出之外为完成特定行政任务和事业发展目标所发生的支出。</w:t>
      </w:r>
    </w:p>
    <w:p>
      <w:pPr>
        <w:ind w:firstLine="643" w:firstLineChars="200"/>
        <w:rPr>
          <w:rFonts w:ascii="仿宋_GB2312" w:eastAsia="仿宋_GB2312"/>
          <w:sz w:val="32"/>
          <w:szCs w:val="32"/>
        </w:rPr>
      </w:pPr>
      <w:r>
        <w:rPr>
          <w:rFonts w:hint="eastAsia" w:ascii="仿宋_GB2312" w:eastAsia="仿宋_GB2312"/>
          <w:b/>
          <w:sz w:val="32"/>
        </w:rPr>
        <w:t>4.机关运行经费：</w:t>
      </w:r>
      <w:r>
        <w:rPr>
          <w:rFonts w:hint="eastAsia" w:ascii="仿宋_GB2312" w:eastAsia="仿宋_GB2312"/>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jc w:val="left"/>
        <w:rPr>
          <w:rFonts w:ascii="仿宋_GB2312" w:eastAsia="仿宋_GB2312"/>
          <w:b/>
          <w:sz w:val="32"/>
          <w:szCs w:val="32"/>
        </w:rPr>
      </w:pPr>
      <w:r>
        <w:rPr>
          <w:rFonts w:hint="eastAsia" w:ascii="仿宋_GB2312" w:eastAsia="仿宋_GB2312"/>
          <w:b/>
          <w:sz w:val="32"/>
          <w:szCs w:val="32"/>
        </w:rPr>
        <w:t>5.行政事业性收费收入：</w:t>
      </w:r>
      <w:r>
        <w:rPr>
          <w:rFonts w:hint="eastAsia" w:ascii="仿宋_GB2312" w:eastAsia="仿宋_GB2312"/>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pPr>
        <w:ind w:firstLine="643" w:firstLineChars="200"/>
        <w:jc w:val="left"/>
        <w:rPr>
          <w:rFonts w:ascii="仿宋_GB2312" w:eastAsia="仿宋_GB2312"/>
          <w:b/>
          <w:sz w:val="32"/>
          <w:szCs w:val="32"/>
        </w:rPr>
      </w:pPr>
      <w:bookmarkStart w:id="0" w:name="OLE_LINK1"/>
      <w:r>
        <w:rPr>
          <w:rFonts w:hint="eastAsia" w:ascii="仿宋_GB2312" w:eastAsia="仿宋_GB2312"/>
          <w:b/>
          <w:sz w:val="32"/>
          <w:szCs w:val="32"/>
        </w:rPr>
        <w:t>6.政府性基金收入</w:t>
      </w:r>
      <w:bookmarkEnd w:id="0"/>
      <w:r>
        <w:rPr>
          <w:rFonts w:hint="eastAsia" w:ascii="仿宋_GB2312" w:eastAsia="仿宋_GB2312"/>
          <w:b/>
          <w:sz w:val="32"/>
          <w:szCs w:val="32"/>
        </w:rPr>
        <w:t>：</w:t>
      </w:r>
      <w:r>
        <w:rPr>
          <w:rFonts w:hint="eastAsia" w:ascii="仿宋_GB2312" w:eastAsia="仿宋_GB2312"/>
          <w:sz w:val="32"/>
          <w:szCs w:val="32"/>
        </w:rPr>
        <w:t>反应各级政府及其所属部门根据法律、行政法规规定并经国务院或财政部批准，向公民、法人和其他组织征收的政府性基金，以及参照政府性基金管理或纳入基金预算、具有特定用途的财政资金。</w:t>
      </w:r>
    </w:p>
    <w:p>
      <w:pPr>
        <w:ind w:firstLine="643" w:firstLineChars="200"/>
        <w:jc w:val="left"/>
        <w:rPr>
          <w:rFonts w:ascii="仿宋_GB2312" w:eastAsia="仿宋_GB2312"/>
          <w:sz w:val="32"/>
          <w:szCs w:val="32"/>
        </w:rPr>
      </w:pPr>
      <w:r>
        <w:rPr>
          <w:rFonts w:hint="eastAsia" w:ascii="仿宋_GB2312" w:eastAsia="仿宋_GB2312"/>
          <w:b/>
          <w:sz w:val="32"/>
          <w:szCs w:val="32"/>
        </w:rPr>
        <w:t>7.其他收入：</w:t>
      </w:r>
      <w:r>
        <w:rPr>
          <w:rFonts w:hint="eastAsia" w:ascii="仿宋_GB2312" w:eastAsia="仿宋_GB2312"/>
          <w:sz w:val="32"/>
          <w:szCs w:val="32"/>
        </w:rPr>
        <w:t>指除上述“财政拨款收入”、“行政事业性收费收入”、“政府性基金收入”以外的收入。</w:t>
      </w:r>
    </w:p>
    <w:p>
      <w:pPr>
        <w:ind w:firstLine="643" w:firstLineChars="200"/>
        <w:jc w:val="left"/>
        <w:rPr>
          <w:rFonts w:ascii="仿宋_GB2312" w:eastAsia="仿宋_GB2312"/>
          <w:sz w:val="32"/>
          <w:szCs w:val="32"/>
        </w:rPr>
      </w:pPr>
      <w:r>
        <w:rPr>
          <w:rFonts w:hint="eastAsia" w:ascii="仿宋_GB2312" w:eastAsia="仿宋_GB2312"/>
          <w:b/>
          <w:sz w:val="32"/>
          <w:szCs w:val="32"/>
        </w:rPr>
        <w:t>8.“三公”经费</w:t>
      </w:r>
      <w:r>
        <w:rPr>
          <w:rFonts w:hint="eastAsia" w:ascii="仿宋_GB2312" w:eastAsia="仿宋_GB2312"/>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pPr>
        <w:ind w:firstLine="643" w:firstLineChars="200"/>
        <w:jc w:val="left"/>
        <w:rPr>
          <w:rFonts w:ascii="仿宋_GB2312" w:eastAsia="仿宋_GB2312"/>
          <w:sz w:val="32"/>
          <w:szCs w:val="32"/>
        </w:rPr>
      </w:pPr>
      <w:r>
        <w:rPr>
          <w:rFonts w:hint="eastAsia" w:ascii="仿宋_GB2312" w:eastAsia="仿宋_GB2312"/>
          <w:b/>
          <w:sz w:val="32"/>
          <w:szCs w:val="32"/>
        </w:rPr>
        <w:t>9.一般公共服务（类）财政事务（款）行政运行（项）：</w:t>
      </w:r>
      <w:r>
        <w:rPr>
          <w:rFonts w:hint="eastAsia" w:ascii="仿宋_GB2312" w:eastAsia="仿宋_GB2312"/>
          <w:sz w:val="32"/>
          <w:szCs w:val="32"/>
        </w:rPr>
        <w:t>反映行政单位（包括实行公务员管理的事业单位）的基本支出。</w:t>
      </w:r>
    </w:p>
    <w:p>
      <w:pPr>
        <w:ind w:firstLine="643" w:firstLineChars="200"/>
        <w:jc w:val="left"/>
        <w:rPr>
          <w:rFonts w:ascii="仿宋_GB2312" w:eastAsia="仿宋_GB2312"/>
          <w:sz w:val="32"/>
          <w:szCs w:val="32"/>
        </w:rPr>
      </w:pPr>
      <w:r>
        <w:rPr>
          <w:rFonts w:hint="eastAsia" w:ascii="仿宋_GB2312" w:eastAsia="仿宋_GB2312"/>
          <w:b/>
          <w:sz w:val="32"/>
          <w:szCs w:val="32"/>
        </w:rPr>
        <w:t>10.一般公共服务（类）财政事务（款）事业运行（项）：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pPr>
        <w:ind w:firstLine="643" w:firstLineChars="200"/>
        <w:jc w:val="left"/>
        <w:rPr>
          <w:rFonts w:ascii="仿宋_GB2312" w:eastAsia="仿宋_GB2312"/>
          <w:sz w:val="32"/>
          <w:szCs w:val="32"/>
        </w:rPr>
      </w:pPr>
      <w:r>
        <w:rPr>
          <w:rFonts w:hint="eastAsia" w:ascii="仿宋_GB2312" w:eastAsia="仿宋_GB2312"/>
          <w:b/>
          <w:sz w:val="32"/>
          <w:szCs w:val="32"/>
        </w:rPr>
        <w:t>11.一般公共服务（类）财政事务（款）其他财政事务支出（项）：</w:t>
      </w:r>
      <w:r>
        <w:rPr>
          <w:rFonts w:hint="eastAsia" w:ascii="仿宋_GB2312" w:eastAsia="仿宋_GB2312"/>
          <w:sz w:val="32"/>
          <w:szCs w:val="32"/>
        </w:rPr>
        <w:t>反映除上述项目以外其他财政事务方面的支出。</w:t>
      </w:r>
    </w:p>
    <w:p>
      <w:pPr>
        <w:ind w:firstLine="643" w:firstLineChars="200"/>
        <w:jc w:val="left"/>
        <w:rPr>
          <w:rFonts w:ascii="仿宋_GB2312" w:eastAsia="仿宋_GB2312"/>
          <w:sz w:val="32"/>
          <w:szCs w:val="32"/>
        </w:rPr>
      </w:pPr>
      <w:r>
        <w:rPr>
          <w:rFonts w:hint="eastAsia" w:ascii="仿宋_GB2312" w:eastAsia="仿宋_GB2312"/>
          <w:b/>
          <w:sz w:val="32"/>
          <w:szCs w:val="32"/>
        </w:rPr>
        <w:t>12.社会保障和就业（类）行政事业单位离退休（款）归口管理的行政单位离退休（项）：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pPr>
        <w:ind w:firstLine="643" w:firstLineChars="200"/>
        <w:jc w:val="left"/>
        <w:rPr>
          <w:rFonts w:ascii="仿宋_GB2312" w:eastAsia="仿宋_GB2312"/>
          <w:sz w:val="32"/>
          <w:szCs w:val="32"/>
        </w:rPr>
      </w:pPr>
      <w:r>
        <w:rPr>
          <w:rFonts w:hint="eastAsia" w:ascii="仿宋_GB2312" w:eastAsia="仿宋_GB2312"/>
          <w:b/>
          <w:sz w:val="32"/>
          <w:szCs w:val="32"/>
        </w:rPr>
        <w:t>13.社会保障和就业（类）行政事业单位离退休（款）事业单位离退休（项）：</w:t>
      </w:r>
      <w:r>
        <w:rPr>
          <w:rFonts w:hint="eastAsia" w:ascii="仿宋_GB2312" w:eastAsia="仿宋_GB2312"/>
          <w:sz w:val="32"/>
          <w:szCs w:val="32"/>
        </w:rPr>
        <w:t>反映实行归口管理的事业单位开支的离退休经费。</w:t>
      </w:r>
    </w:p>
    <w:p>
      <w:pPr>
        <w:ind w:firstLine="643" w:firstLineChars="200"/>
        <w:jc w:val="left"/>
      </w:pPr>
      <w:r>
        <w:rPr>
          <w:rFonts w:hint="eastAsia" w:ascii="仿宋_GB2312" w:eastAsia="仿宋_GB2312"/>
          <w:b/>
          <w:sz w:val="32"/>
          <w:szCs w:val="32"/>
        </w:rPr>
        <w:t>14.住房保障（类）住房改革（款）住房公积金（项）：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A6F"/>
    <w:rsid w:val="001770E9"/>
    <w:rsid w:val="00177A6F"/>
    <w:rsid w:val="00467FB6"/>
    <w:rsid w:val="004E30AA"/>
    <w:rsid w:val="00686DA1"/>
    <w:rsid w:val="007F4D5A"/>
    <w:rsid w:val="008D7A97"/>
    <w:rsid w:val="00B218D5"/>
    <w:rsid w:val="00CE696B"/>
    <w:rsid w:val="00D62FC5"/>
    <w:rsid w:val="00F27900"/>
    <w:rsid w:val="0AA30E00"/>
    <w:rsid w:val="0F5A6238"/>
    <w:rsid w:val="1D1B3F5D"/>
    <w:rsid w:val="25B827F0"/>
    <w:rsid w:val="3A850955"/>
    <w:rsid w:val="645351E4"/>
    <w:rsid w:val="6909578C"/>
    <w:rsid w:val="717B0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paragraph" w:customStyle="1" w:styleId="8">
    <w:name w:val="List Paragraph"/>
    <w:basedOn w:val="1"/>
    <w:qFormat/>
    <w:uiPriority w:val="34"/>
    <w:pPr>
      <w:ind w:firstLine="420" w:firstLineChars="200"/>
    </w:pPr>
  </w:style>
  <w:style w:type="character" w:customStyle="1" w:styleId="9">
    <w:name w:val="页眉 Char"/>
    <w:basedOn w:val="5"/>
    <w:link w:val="3"/>
    <w:semiHidden/>
    <w:uiPriority w:val="99"/>
    <w:rPr>
      <w:kern w:val="2"/>
      <w:sz w:val="18"/>
      <w:szCs w:val="18"/>
    </w:rPr>
  </w:style>
  <w:style w:type="character" w:customStyle="1" w:styleId="10">
    <w:name w:val="页脚 Char"/>
    <w:basedOn w:val="5"/>
    <w:link w:val="2"/>
    <w:semiHidden/>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649</Words>
  <Characters>3700</Characters>
  <Lines>30</Lines>
  <Paragraphs>8</Paragraphs>
  <ScaleCrop>false</ScaleCrop>
  <LinksUpToDate>false</LinksUpToDate>
  <CharactersWithSpaces>4341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2021-06-10T06:12:00Z</dcterms:created>
  <dc:creator>Administrator</dc:creator>
  <cp:lastModifiedBy>Administrator</cp:lastModifiedBy>
  <dcterms:modified xsi:type="dcterms:W3CDTF">2026-01-27T05:42:52Z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EE254B3568CE4EF48CC8F53839DDF7C5</vt:lpwstr>
  </property>
</Properties>
</file>