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auto"/>
          <w:sz w:val="44"/>
          <w:szCs w:val="44"/>
          <w:highlight w:val="none"/>
          <w:u w:val="single"/>
        </w:rPr>
      </w:pPr>
    </w:p>
    <w:p>
      <w:pPr>
        <w:jc w:val="center"/>
        <w:rPr>
          <w:rFonts w:hint="eastAsia"/>
          <w:b/>
          <w:color w:val="auto"/>
          <w:sz w:val="44"/>
          <w:szCs w:val="44"/>
          <w:highlight w:val="none"/>
          <w:u w:val="single"/>
        </w:rPr>
      </w:pPr>
    </w:p>
    <w:p>
      <w:pPr>
        <w:jc w:val="center"/>
        <w:rPr>
          <w:rFonts w:hint="eastAsia" w:ascii="宋体" w:hAnsi="宋体" w:cs="宋体"/>
          <w:b/>
          <w:color w:val="auto"/>
          <w:sz w:val="52"/>
          <w:szCs w:val="52"/>
          <w:highlight w:val="none"/>
        </w:rPr>
      </w:pPr>
      <w:r>
        <w:rPr>
          <w:rFonts w:hint="eastAsia" w:ascii="宋体" w:hAnsi="宋体" w:cs="宋体"/>
          <w:b/>
          <w:color w:val="auto"/>
          <w:sz w:val="52"/>
          <w:szCs w:val="52"/>
          <w:highlight w:val="none"/>
        </w:rPr>
        <w:t>本溪市溪湖区发展和改革局202</w:t>
      </w:r>
      <w:r>
        <w:rPr>
          <w:rFonts w:hint="eastAsia" w:ascii="宋体" w:hAnsi="宋体" w:cs="宋体"/>
          <w:b/>
          <w:color w:val="auto"/>
          <w:sz w:val="52"/>
          <w:szCs w:val="52"/>
          <w:highlight w:val="none"/>
          <w:lang w:val="en-US" w:eastAsia="zh-CN"/>
        </w:rPr>
        <w:t>6</w:t>
      </w:r>
      <w:r>
        <w:rPr>
          <w:rFonts w:hint="eastAsia" w:ascii="宋体" w:hAnsi="宋体" w:cs="宋体"/>
          <w:b/>
          <w:color w:val="auto"/>
          <w:sz w:val="52"/>
          <w:szCs w:val="52"/>
          <w:highlight w:val="none"/>
        </w:rPr>
        <w:t>年度</w:t>
      </w:r>
    </w:p>
    <w:p>
      <w:pPr>
        <w:jc w:val="center"/>
        <w:rPr>
          <w:rFonts w:hint="eastAsia" w:ascii="楷体" w:hAnsi="楷体" w:eastAsia="楷体"/>
          <w:b/>
          <w:color w:val="auto"/>
          <w:sz w:val="52"/>
          <w:szCs w:val="52"/>
          <w:highlight w:val="none"/>
        </w:rPr>
      </w:pPr>
      <w:r>
        <w:rPr>
          <w:rFonts w:hint="eastAsia" w:ascii="宋体" w:hAnsi="宋体" w:cs="宋体"/>
          <w:b/>
          <w:color w:val="auto"/>
          <w:sz w:val="52"/>
          <w:szCs w:val="52"/>
          <w:highlight w:val="none"/>
        </w:rPr>
        <w:t>部门预算</w:t>
      </w:r>
    </w:p>
    <w:p>
      <w:pPr>
        <w:rPr>
          <w:rFonts w:hint="eastAsia"/>
          <w:bCs/>
          <w:color w:val="auto"/>
          <w:sz w:val="44"/>
          <w:szCs w:val="44"/>
          <w:highlight w:val="none"/>
        </w:rPr>
      </w:pPr>
    </w:p>
    <w:p>
      <w:pPr>
        <w:rPr>
          <w:rFonts w:hint="eastAsia"/>
          <w:b/>
          <w:color w:val="auto"/>
          <w:sz w:val="44"/>
          <w:szCs w:val="44"/>
          <w:highlight w:val="none"/>
        </w:rPr>
      </w:pPr>
    </w:p>
    <w:p>
      <w:pPr>
        <w:jc w:val="center"/>
        <w:rPr>
          <w:rFonts w:hint="eastAsia"/>
          <w:b/>
          <w:color w:val="auto"/>
          <w:sz w:val="44"/>
          <w:szCs w:val="44"/>
          <w:highlight w:val="none"/>
        </w:rPr>
      </w:pPr>
      <w:r>
        <w:rPr>
          <w:rFonts w:hint="eastAsia"/>
          <w:b/>
          <w:color w:val="auto"/>
          <w:sz w:val="44"/>
          <w:szCs w:val="44"/>
          <w:highlight w:val="none"/>
        </w:rPr>
        <w:t>目    录</w:t>
      </w:r>
    </w:p>
    <w:p>
      <w:pPr>
        <w:rPr>
          <w:rFonts w:hint="eastAsia"/>
          <w:b/>
          <w:color w:val="auto"/>
          <w:sz w:val="44"/>
          <w:szCs w:val="44"/>
          <w:highlight w:val="none"/>
          <w:u w:val="single"/>
        </w:rPr>
      </w:pPr>
    </w:p>
    <w:p>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第一部分   部门预算公开管理文件</w:t>
      </w:r>
    </w:p>
    <w:p>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第二部分   </w:t>
      </w:r>
      <w:r>
        <w:rPr>
          <w:rFonts w:hint="eastAsia" w:ascii="黑体" w:hAnsi="黑体" w:eastAsia="黑体"/>
          <w:color w:val="auto"/>
          <w:sz w:val="32"/>
          <w:szCs w:val="32"/>
          <w:highlight w:val="none"/>
          <w:lang w:eastAsia="zh-CN"/>
        </w:rPr>
        <w:t>本溪市溪湖区发展和改革局</w:t>
      </w:r>
      <w:r>
        <w:rPr>
          <w:rFonts w:hint="eastAsia" w:ascii="黑体" w:hAnsi="黑体" w:eastAsia="黑体"/>
          <w:color w:val="auto"/>
          <w:sz w:val="32"/>
          <w:szCs w:val="32"/>
          <w:highlight w:val="none"/>
        </w:rPr>
        <w:t>概况</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一、部门职责</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二、机构设置</w:t>
      </w:r>
    </w:p>
    <w:p>
      <w:pPr>
        <w:rPr>
          <w:rFonts w:hint="eastAsia" w:ascii="黑体" w:hAnsi="黑体" w:eastAsia="黑体"/>
          <w:color w:val="auto"/>
          <w:sz w:val="32"/>
          <w:szCs w:val="32"/>
          <w:highlight w:val="none"/>
        </w:rPr>
      </w:pPr>
      <w:r>
        <w:rPr>
          <w:rFonts w:hint="eastAsia" w:ascii="仿宋_GB2312" w:hAnsi="黑体" w:eastAsia="仿宋_GB2312"/>
          <w:color w:val="auto"/>
          <w:sz w:val="32"/>
          <w:szCs w:val="32"/>
          <w:highlight w:val="none"/>
        </w:rPr>
        <w:t xml:space="preserve">      </w:t>
      </w:r>
      <w:r>
        <w:rPr>
          <w:rFonts w:hint="eastAsia" w:ascii="黑体" w:hAnsi="黑体" w:eastAsia="黑体"/>
          <w:color w:val="auto"/>
          <w:sz w:val="32"/>
          <w:szCs w:val="32"/>
          <w:highlight w:val="none"/>
        </w:rPr>
        <w:t xml:space="preserve">第三部分   </w:t>
      </w:r>
      <w:r>
        <w:rPr>
          <w:rFonts w:hint="eastAsia" w:ascii="黑体" w:hAnsi="黑体" w:eastAsia="黑体"/>
          <w:color w:val="auto"/>
          <w:sz w:val="32"/>
          <w:szCs w:val="32"/>
          <w:highlight w:val="none"/>
          <w:lang w:eastAsia="zh-CN"/>
        </w:rPr>
        <w:t>本溪市溪湖区发展和改革局</w:t>
      </w:r>
      <w:r>
        <w:rPr>
          <w:rFonts w:hint="eastAsia" w:ascii="黑体" w:hAnsi="黑体" w:eastAsia="黑体"/>
          <w:color w:val="auto"/>
          <w:sz w:val="32"/>
          <w:szCs w:val="32"/>
          <w:highlight w:val="none"/>
        </w:rPr>
        <w:t>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年度部门预算情况说明</w:t>
      </w:r>
    </w:p>
    <w:p>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第四部分   名词解释</w:t>
      </w:r>
    </w:p>
    <w:p>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第五部分   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eastAsia="zh-CN"/>
        </w:rPr>
        <w:t>本溪市溪湖区发展和改革局</w:t>
      </w:r>
      <w:r>
        <w:rPr>
          <w:rFonts w:hint="eastAsia" w:ascii="黑体" w:hAnsi="黑体" w:eastAsia="黑体"/>
          <w:color w:val="auto"/>
          <w:sz w:val="32"/>
          <w:szCs w:val="32"/>
          <w:highlight w:val="none"/>
        </w:rPr>
        <w:t>部门预算批复表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一、收支预算总表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二、收入预算总表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三、支出预算总表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四、财政拨款收支预算总表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五、一般公共预算支出表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六、一般公共预算基本支出表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七、财政拨款预算“三公”经费支出表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八、政府性基金预算支出表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九、项目支出预算表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十、支出功能分类预算表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十一、支出经济分类预算表（政府预算）</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十二、支出经济分类预算表（部门预算）</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十三、债务支出预算表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十四、政府采购支出预算表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十五、政府购买服务支出预算表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十六、部门（单位）整体绩效目标表</w:t>
      </w:r>
    </w:p>
    <w:p>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十七、部门预算项目（政策）绩效目标表</w:t>
      </w:r>
    </w:p>
    <w:p>
      <w:pPr>
        <w:ind w:firstLine="1600" w:firstLineChars="5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十八、部门管理专项资金预算表   </w:t>
      </w:r>
    </w:p>
    <w:p>
      <w:pPr>
        <w:jc w:val="center"/>
        <w:rPr>
          <w:rFonts w:hint="eastAsia" w:ascii="宋体" w:hAnsi="宋体"/>
          <w:b/>
          <w:color w:val="auto"/>
          <w:sz w:val="36"/>
          <w:szCs w:val="36"/>
          <w:highlight w:val="none"/>
        </w:rPr>
      </w:pPr>
      <w:r>
        <w:rPr>
          <w:rFonts w:hint="eastAsia" w:ascii="黑体" w:hAnsi="黑体" w:eastAsia="黑体"/>
          <w:color w:val="auto"/>
          <w:sz w:val="32"/>
          <w:szCs w:val="32"/>
          <w:highlight w:val="none"/>
        </w:rPr>
        <w:br w:type="page"/>
      </w:r>
      <w:r>
        <w:rPr>
          <w:rFonts w:hint="eastAsia" w:ascii="宋体" w:hAnsi="宋体"/>
          <w:b/>
          <w:color w:val="auto"/>
          <w:sz w:val="36"/>
          <w:szCs w:val="36"/>
          <w:highlight w:val="none"/>
        </w:rPr>
        <w:t>第一部分 部门预算公开管理文件</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关于印发&lt;</w:t>
      </w:r>
      <w:r>
        <w:rPr>
          <w:rFonts w:eastAsia="仿宋_GB2312"/>
          <w:color w:val="auto"/>
          <w:kern w:val="0"/>
          <w:sz w:val="32"/>
          <w:szCs w:val="32"/>
          <w:highlight w:val="none"/>
        </w:rPr>
        <w:t>本溪市财政局</w:t>
      </w:r>
      <w:r>
        <w:rPr>
          <w:rFonts w:hint="eastAsia" w:ascii="仿宋_GB2312" w:hAnsi="宋体" w:eastAsia="仿宋_GB2312" w:cs="宋体"/>
          <w:color w:val="auto"/>
          <w:kern w:val="0"/>
          <w:sz w:val="32"/>
          <w:szCs w:val="32"/>
          <w:highlight w:val="none"/>
        </w:rPr>
        <w:t>部门预决算信息公开管理办法（试行）&gt;的通知(</w:t>
      </w:r>
      <w:r>
        <w:rPr>
          <w:rFonts w:eastAsia="仿宋_GB2312"/>
          <w:color w:val="auto"/>
          <w:kern w:val="0"/>
          <w:sz w:val="32"/>
          <w:szCs w:val="32"/>
          <w:highlight w:val="none"/>
        </w:rPr>
        <w:t>本财发〔2020〕36号</w:t>
      </w:r>
      <w:r>
        <w:rPr>
          <w:rFonts w:hint="eastAsia" w:ascii="仿宋_GB2312" w:hAnsi="宋体" w:eastAsia="仿宋_GB2312" w:cs="宋体"/>
          <w:color w:val="auto"/>
          <w:kern w:val="0"/>
          <w:sz w:val="32"/>
          <w:szCs w:val="32"/>
          <w:highlight w:val="none"/>
        </w:rPr>
        <w:t>)</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eastAsia="仿宋_GB2312"/>
          <w:color w:val="auto"/>
          <w:kern w:val="0"/>
          <w:sz w:val="32"/>
          <w:szCs w:val="32"/>
          <w:highlight w:val="none"/>
        </w:rPr>
        <w:t>本溪市财政局部门预决算信息公开管理办法</w:t>
      </w:r>
      <w:r>
        <w:rPr>
          <w:rFonts w:hint="eastAsia" w:ascii="仿宋_GB2312" w:hAnsi="宋体" w:eastAsia="仿宋_GB2312" w:cs="宋体"/>
          <w:color w:val="auto"/>
          <w:kern w:val="0"/>
          <w:sz w:val="32"/>
          <w:szCs w:val="32"/>
          <w:highlight w:val="none"/>
        </w:rPr>
        <w:t>（试行）</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第一条 为推进和规范预决算信息公开工作，强化社会监督，</w:t>
      </w:r>
    </w:p>
    <w:p>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促进依法理财，建立透明预算制度，根据《中华人民共和国预算</w:t>
      </w:r>
    </w:p>
    <w:p>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法》和《中华人民共和国政府信息公开条例》等有关规定，结合</w:t>
      </w:r>
    </w:p>
    <w:p>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我局实际，制定本办法。</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第二条 本办法适用于</w:t>
      </w:r>
      <w:r>
        <w:rPr>
          <w:rFonts w:hint="eastAsia" w:ascii="仿宋_GB2312" w:hAnsi="宋体" w:eastAsia="仿宋_GB2312" w:cs="宋体"/>
          <w:color w:val="auto"/>
          <w:kern w:val="0"/>
          <w:sz w:val="32"/>
          <w:szCs w:val="32"/>
          <w:highlight w:val="none"/>
          <w:lang w:eastAsia="zh-CN"/>
        </w:rPr>
        <w:t>本溪市溪湖区发展和改革局</w:t>
      </w:r>
      <w:r>
        <w:rPr>
          <w:rFonts w:hint="eastAsia" w:ascii="仿宋_GB2312" w:hAnsi="宋体" w:eastAsia="仿宋_GB2312" w:cs="宋体"/>
          <w:color w:val="auto"/>
          <w:kern w:val="0"/>
          <w:sz w:val="32"/>
          <w:szCs w:val="32"/>
          <w:highlight w:val="none"/>
        </w:rPr>
        <w:t>部门预决算信息公开管理。</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第三条 本办法所称部门预决算信息包括预算收支安排、预算</w:t>
      </w:r>
    </w:p>
    <w:p>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执行、决算数据等。</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第四条 预决算信息公开的原则：以公开为常态，不公开为例</w:t>
      </w:r>
    </w:p>
    <w:p>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外，依法依规公开预决算。除涉及国家秘密外，不得少公开、不公开应当公开的事项，确保预决算信息公开及时、准确和完整。</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第五条</w:t>
      </w:r>
      <w:r>
        <w:rPr>
          <w:rFonts w:hint="eastAsia" w:ascii="仿宋_GB2312" w:hAnsi="宋体" w:eastAsia="仿宋_GB2312" w:cs="宋体"/>
          <w:color w:val="auto"/>
          <w:kern w:val="0"/>
          <w:sz w:val="32"/>
          <w:szCs w:val="32"/>
          <w:highlight w:val="none"/>
          <w:lang w:val="en-US" w:eastAsia="zh-CN"/>
        </w:rPr>
        <w:t xml:space="preserve"> 办公室</w:t>
      </w:r>
      <w:r>
        <w:rPr>
          <w:rFonts w:hint="eastAsia" w:ascii="仿宋_GB2312" w:hAnsi="宋体" w:eastAsia="仿宋_GB2312" w:cs="宋体"/>
          <w:color w:val="auto"/>
          <w:kern w:val="0"/>
          <w:sz w:val="32"/>
          <w:szCs w:val="32"/>
          <w:highlight w:val="none"/>
        </w:rPr>
        <w:t>负责部门预决算信息公开工作，履行下列职责：</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（一）制定部门预决算信息公开的工作方案；</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（二）按规定公开部门预决算信息；</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（三）按规定做好公民、法人或者其他组织依申请公开部门预决算信息的答复工作。</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第六条 部门预决算信息公开内容包括：</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（一）部门文件。部门预决算信息公开管理办法。</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（二）部门概况。包括部门职责、机构设置、实有人员等情</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况。</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（三）预决算收支情况表。包括部门收支总体情况、财政拨款安排使用情况、“三公”经费财政拨款安排使用情况等。</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（四）情况说明。包括预决算年度收支、机关运行经费、政府采购、“三公”经费、国有资产占有使用和项目支出绩效目标等情况说明。</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（五）名词解释。对预决算相关专业名词进行解释说明。</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第七条 部门预决算信息在本溪市溪湖区政府网站“预决算”专栏公开，并保持长期公开状态，便于社会公众查询监督。</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第八条 经</w:t>
      </w:r>
      <w:r>
        <w:rPr>
          <w:rFonts w:hint="eastAsia" w:ascii="仿宋_GB2312" w:hAnsi="宋体" w:eastAsia="仿宋_GB2312" w:cs="宋体"/>
          <w:color w:val="auto"/>
          <w:kern w:val="0"/>
          <w:sz w:val="32"/>
          <w:szCs w:val="32"/>
          <w:highlight w:val="none"/>
          <w:lang w:val="en-US" w:eastAsia="zh-CN"/>
        </w:rPr>
        <w:t>区</w:t>
      </w:r>
      <w:r>
        <w:rPr>
          <w:rFonts w:hint="eastAsia" w:ascii="仿宋_GB2312" w:hAnsi="宋体" w:eastAsia="仿宋_GB2312" w:cs="宋体"/>
          <w:color w:val="auto"/>
          <w:kern w:val="0"/>
          <w:sz w:val="32"/>
          <w:szCs w:val="32"/>
          <w:highlight w:val="none"/>
        </w:rPr>
        <w:t>财政局批复的部门预决算及报表，应当在批复后20 日内公开。</w:t>
      </w:r>
    </w:p>
    <w:p>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第九条 本办法自印发之日起实行。</w:t>
      </w: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r>
        <w:rPr>
          <w:rFonts w:hint="eastAsia" w:ascii="宋体" w:hAnsi="宋体"/>
          <w:b/>
          <w:color w:val="auto"/>
          <w:sz w:val="36"/>
          <w:szCs w:val="36"/>
          <w:highlight w:val="none"/>
        </w:rPr>
        <w:t xml:space="preserve">第二部分 </w:t>
      </w:r>
      <w:r>
        <w:rPr>
          <w:rFonts w:hint="eastAsia" w:ascii="宋体" w:hAnsi="宋体"/>
          <w:b/>
          <w:color w:val="auto"/>
          <w:sz w:val="36"/>
          <w:szCs w:val="36"/>
          <w:highlight w:val="none"/>
          <w:lang w:eastAsia="zh-CN"/>
        </w:rPr>
        <w:t>本溪市溪湖区发展和改革局</w:t>
      </w:r>
      <w:r>
        <w:rPr>
          <w:rFonts w:hint="eastAsia" w:ascii="宋体" w:hAnsi="宋体"/>
          <w:b/>
          <w:color w:val="auto"/>
          <w:sz w:val="36"/>
          <w:szCs w:val="36"/>
          <w:highlight w:val="none"/>
        </w:rPr>
        <w:t>概况</w:t>
      </w:r>
    </w:p>
    <w:p>
      <w:pPr>
        <w:ind w:firstLine="640" w:firstLineChars="200"/>
        <w:jc w:val="left"/>
        <w:rPr>
          <w:rFonts w:hint="eastAsia" w:ascii="黑体" w:eastAsia="黑体"/>
          <w:color w:val="auto"/>
          <w:sz w:val="32"/>
          <w:szCs w:val="32"/>
          <w:highlight w:val="none"/>
        </w:rPr>
      </w:pPr>
    </w:p>
    <w:p>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一、部门职责</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（一）制订</w:t>
      </w:r>
      <w:r>
        <w:rPr>
          <w:rFonts w:hint="eastAsia" w:ascii="仿宋_GB2312" w:eastAsia="仿宋_GB2312"/>
          <w:color w:val="auto"/>
          <w:sz w:val="32"/>
          <w:szCs w:val="32"/>
          <w:highlight w:val="none"/>
        </w:rPr>
        <w:t>并组织实施全区国民经济和社会发展战略、中长期规划和年度计划，统筹协调全区经济社会发展总体规划与专项规划，衔接需要安排区政府投资和涉及重大项目的规划，建立健全科学制定、有效实施、及时评估和动态调整全区发展战略规划的制度机制。</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按规定指导、协调全区招投标工作，完善规范公共资源交易平台。</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统筹协调全区经济社会发展，研判经济发展趋势，受区政府委托向区人大提交全区国民经济和社会发展计划的报告。</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（四）</w:t>
      </w:r>
      <w:r>
        <w:rPr>
          <w:rFonts w:hint="eastAsia" w:ascii="仿宋_GB2312" w:eastAsia="仿宋_GB2312"/>
          <w:color w:val="auto"/>
          <w:sz w:val="32"/>
          <w:szCs w:val="32"/>
          <w:highlight w:val="none"/>
        </w:rPr>
        <w:t>负责监测全区宏观经济和社会发展态势，承担预测预警和信息引导的责任，研究宏观经济运行、总量平衡等重要问题，并提出宏观调控政策建议，研究并协调解决全区经济运行有关重大问题。研究提出城镇化发展战略、规划</w:t>
      </w:r>
      <w:r>
        <w:rPr>
          <w:rFonts w:hint="eastAsia" w:ascii="仿宋_GB2312" w:eastAsia="仿宋_GB2312"/>
          <w:color w:val="auto"/>
          <w:sz w:val="32"/>
          <w:szCs w:val="32"/>
          <w:highlight w:val="none"/>
          <w:lang w:eastAsia="zh-CN"/>
        </w:rPr>
        <w:t>。</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（五）负责</w:t>
      </w:r>
      <w:r>
        <w:rPr>
          <w:rFonts w:hint="eastAsia" w:ascii="仿宋_GB2312" w:eastAsia="仿宋_GB2312"/>
          <w:color w:val="auto"/>
          <w:sz w:val="32"/>
          <w:szCs w:val="32"/>
          <w:highlight w:val="none"/>
        </w:rPr>
        <w:t>汇总分析全区财政、金融等方面情况，综合分析财政、金融、土地、价格政策的执行效果，负责全口径外债的总量控制、结构优化和监测工作。负责全区社会信用体系建设和综合管理工作，推进社会信用体系建设</w:t>
      </w:r>
      <w:r>
        <w:rPr>
          <w:rFonts w:hint="eastAsia" w:ascii="仿宋_GB2312" w:eastAsia="仿宋_GB2312"/>
          <w:color w:val="auto"/>
          <w:sz w:val="32"/>
          <w:szCs w:val="32"/>
          <w:highlight w:val="none"/>
          <w:lang w:eastAsia="zh-CN"/>
        </w:rPr>
        <w:t>。</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（六）</w:t>
      </w:r>
      <w:r>
        <w:rPr>
          <w:rFonts w:hint="eastAsia" w:ascii="仿宋_GB2312" w:eastAsia="仿宋_GB2312"/>
          <w:color w:val="auto"/>
          <w:sz w:val="32"/>
          <w:szCs w:val="32"/>
          <w:highlight w:val="none"/>
        </w:rPr>
        <w:t>承担指导推进和综合协调全区经济体制改革的</w:t>
      </w:r>
      <w:r>
        <w:rPr>
          <w:rFonts w:hint="eastAsia" w:ascii="仿宋_GB2312" w:eastAsia="仿宋_GB2312"/>
          <w:color w:val="auto"/>
          <w:sz w:val="32"/>
          <w:szCs w:val="32"/>
          <w:highlight w:val="none"/>
          <w:lang w:eastAsia="zh-CN"/>
        </w:rPr>
        <w:t>责任</w:t>
      </w:r>
      <w:r>
        <w:rPr>
          <w:rFonts w:hint="eastAsia" w:ascii="仿宋_GB2312" w:eastAsia="仿宋_GB2312"/>
          <w:color w:val="auto"/>
          <w:sz w:val="32"/>
          <w:szCs w:val="32"/>
          <w:highlight w:val="none"/>
        </w:rPr>
        <w:t>，研究经济体制改革的重大问题，组织拟订综合性经济体制改革方案，协调有关专项经济体制改革方案，会同有关部门搞好重要专项经济体制改革之间的衔接工作。</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（七）</w:t>
      </w:r>
      <w:r>
        <w:rPr>
          <w:rFonts w:hint="eastAsia" w:ascii="仿宋_GB2312" w:eastAsia="仿宋_GB2312"/>
          <w:color w:val="auto"/>
          <w:sz w:val="32"/>
          <w:szCs w:val="32"/>
          <w:highlight w:val="none"/>
        </w:rPr>
        <w:t>承担全区固定资产投资综合管理职责。拟订全社会固定资产投资总规模和投资结构调控目标、政策和措施。安排区本级基建资金，按权限审批、核准、审核区域内重大布局的建设项目。审批、核准、备案重大外资项目和境外投资项目，参与外商投资安全审查有关工作，指导和监督国外贷款建设资金的使用，引导民间投资的方向，研究提出全区利用外资和境外投资的战略、规划、总量平衡和结构优化的目标、政策及措施，指导协调矿产、能源、资源等领域重大项目的国际合作。牵头组织特重大自然灾害的灾后恢复重建规划编制，协调有关重大问题。指导工程咨询业发展。</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（八）</w:t>
      </w:r>
      <w:r>
        <w:rPr>
          <w:rFonts w:hint="eastAsia" w:ascii="仿宋_GB2312" w:eastAsia="仿宋_GB2312"/>
          <w:color w:val="auto"/>
          <w:sz w:val="32"/>
          <w:szCs w:val="32"/>
          <w:highlight w:val="none"/>
        </w:rPr>
        <w:t>推进全区经济结构战略性调整，组织拟定全区综合性生产政策，负责协调全区第一、二、三次产业发展的重大问题并衔接平衡相关发展规划，做好与全区国民经济和社会发展规划、计划的衔接平衡。协调全区农业和农村经济社会发展的重大问题，会同有关部门拟订全区服务业发展战略和重大政策，拟订现代物流业发展战略、规划，组织拟订高技术产业发展、产业技术进步的战略、规划和重大政策，统筹推进战略性新兴产业发展，推进全区工业经济结构调整和产业升级</w:t>
      </w:r>
      <w:r>
        <w:rPr>
          <w:rFonts w:hint="eastAsia" w:ascii="仿宋_GB2312" w:eastAsia="仿宋_GB2312"/>
          <w:color w:val="auto"/>
          <w:sz w:val="32"/>
          <w:szCs w:val="32"/>
          <w:highlight w:val="none"/>
          <w:lang w:eastAsia="zh-CN"/>
        </w:rPr>
        <w:t>。</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（九）</w:t>
      </w:r>
      <w:r>
        <w:rPr>
          <w:rFonts w:hint="eastAsia" w:ascii="仿宋_GB2312" w:eastAsia="仿宋_GB2312"/>
          <w:color w:val="auto"/>
          <w:sz w:val="32"/>
          <w:szCs w:val="32"/>
          <w:highlight w:val="none"/>
        </w:rPr>
        <w:t>负责统筹推进全区城乡区域协调发展，推进落实区域发展总体战略，组织拟订全区区域协调发展老工业基地振兴、规划，</w:t>
      </w:r>
      <w:r>
        <w:rPr>
          <w:rFonts w:hint="eastAsia" w:ascii="仿宋_GB2312" w:eastAsia="仿宋_GB2312"/>
          <w:color w:val="auto"/>
          <w:sz w:val="32"/>
          <w:szCs w:val="32"/>
          <w:highlight w:val="none"/>
          <w:lang w:eastAsia="zh-CN"/>
        </w:rPr>
        <w:t>负责</w:t>
      </w:r>
      <w:r>
        <w:rPr>
          <w:rFonts w:hint="eastAsia" w:ascii="仿宋_GB2312" w:eastAsia="仿宋_GB2312"/>
          <w:color w:val="auto"/>
          <w:sz w:val="32"/>
          <w:szCs w:val="32"/>
          <w:highlight w:val="none"/>
        </w:rPr>
        <w:t>全区经济协作的统筹协调。</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w:t>
      </w:r>
      <w:r>
        <w:rPr>
          <w:rFonts w:hint="eastAsia" w:ascii="仿宋_GB2312" w:eastAsia="仿宋_GB2312"/>
          <w:color w:val="auto"/>
          <w:sz w:val="32"/>
          <w:szCs w:val="32"/>
          <w:highlight w:val="none"/>
        </w:rPr>
        <w:t>研究分析国内外和省、市、区内外市场状况，负责重要商品总量平衡和宏观调控的相关工作，编制全区重要农产品、工业品和原材料进出口总量计划并监督执行，根据经济运行情况对进出口总量计划进行调整</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（十一）</w:t>
      </w:r>
      <w:r>
        <w:rPr>
          <w:rFonts w:hint="eastAsia" w:ascii="仿宋_GB2312" w:eastAsia="仿宋_GB2312"/>
          <w:color w:val="auto"/>
          <w:sz w:val="32"/>
          <w:szCs w:val="32"/>
          <w:highlight w:val="none"/>
        </w:rPr>
        <w:t>负责全区社会发展与国民经济发展的政策衔接，组织拟订社会发展战略总体规划和年度计划，拟订人口发展战略、规划，参与拟订科学技术、教育、文化、卫生和计划生育、民政等发展政策，推进社会事业建设，统筹推进全区基本公共服务体系建设和收入分配制度改革，研究提出促进就业、完善社会保障与经济协调发展的政策建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协调社会事业发展和改革中的重大问题及政策。</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（十二）</w:t>
      </w:r>
      <w:r>
        <w:rPr>
          <w:rFonts w:hint="eastAsia" w:ascii="仿宋_GB2312" w:eastAsia="仿宋_GB2312"/>
          <w:color w:val="auto"/>
          <w:sz w:val="32"/>
          <w:szCs w:val="32"/>
          <w:highlight w:val="none"/>
        </w:rPr>
        <w:t>负责提出全区能源消费总量控制目标的建议，牵头拟订能源消费总量控制工作方案并组织实施，拟订全区能源发展战略、规划，提出相关体制改革建议，按权限实施对能源项目和计划的管理，参与能源运行</w:t>
      </w:r>
      <w:r>
        <w:rPr>
          <w:rFonts w:hint="eastAsia" w:ascii="仿宋_GB2312" w:eastAsia="仿宋_GB2312"/>
          <w:color w:val="auto"/>
          <w:sz w:val="32"/>
          <w:szCs w:val="32"/>
          <w:highlight w:val="none"/>
          <w:lang w:eastAsia="zh-CN"/>
        </w:rPr>
        <w:t>调度</w:t>
      </w:r>
      <w:r>
        <w:rPr>
          <w:rFonts w:hint="eastAsia" w:ascii="仿宋_GB2312" w:eastAsia="仿宋_GB2312"/>
          <w:color w:val="auto"/>
          <w:sz w:val="32"/>
          <w:szCs w:val="32"/>
          <w:highlight w:val="none"/>
        </w:rPr>
        <w:t>和应急保障工作，配合煤炭行业管理部门研究提出全区</w:t>
      </w:r>
      <w:r>
        <w:rPr>
          <w:rFonts w:hint="eastAsia" w:ascii="仿宋_GB2312" w:eastAsia="仿宋_GB2312"/>
          <w:color w:val="auto"/>
          <w:sz w:val="32"/>
          <w:szCs w:val="32"/>
          <w:highlight w:val="none"/>
          <w:lang w:eastAsia="zh-CN"/>
        </w:rPr>
        <w:t>煤炭</w:t>
      </w:r>
      <w:r>
        <w:rPr>
          <w:rFonts w:hint="eastAsia" w:ascii="仿宋_GB2312" w:eastAsia="仿宋_GB2312"/>
          <w:color w:val="auto"/>
          <w:sz w:val="32"/>
          <w:szCs w:val="32"/>
          <w:highlight w:val="none"/>
        </w:rPr>
        <w:t>行业发展规划，负责全区石油、天然气管道的保护工作，统筹协调管道保护的重大问题。参与不符合有关矿山工业发展规划和总体规划、不符合产业政策、布局不合理等矿井关闭及落实情况的监督指导工作。</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（十三）</w:t>
      </w:r>
      <w:r>
        <w:rPr>
          <w:rFonts w:hint="eastAsia" w:ascii="仿宋_GB2312" w:eastAsia="仿宋_GB2312"/>
          <w:color w:val="auto"/>
          <w:sz w:val="32"/>
          <w:szCs w:val="32"/>
          <w:highlight w:val="none"/>
        </w:rPr>
        <w:t>推进全区可持续发展战略，</w:t>
      </w:r>
      <w:r>
        <w:rPr>
          <w:rFonts w:hint="eastAsia" w:ascii="仿宋_GB2312" w:eastAsia="仿宋_GB2312"/>
          <w:color w:val="auto"/>
          <w:sz w:val="32"/>
          <w:szCs w:val="32"/>
          <w:highlight w:val="none"/>
          <w:lang w:eastAsia="zh-CN"/>
        </w:rPr>
        <w:t>负责</w:t>
      </w:r>
      <w:r>
        <w:rPr>
          <w:rFonts w:hint="eastAsia" w:ascii="仿宋_GB2312" w:eastAsia="仿宋_GB2312"/>
          <w:color w:val="auto"/>
          <w:sz w:val="32"/>
          <w:szCs w:val="32"/>
          <w:highlight w:val="none"/>
        </w:rPr>
        <w:t>节能综合协调工作，组织拟定循环经济、全社会能源资源节约和综合利用规划并协调实施、参与编制全区生态建设、环境保护规划，协调生态建设、能源资源节约和综合利用重大问题，研究提出建立健全生态补偿机制的政策措施；</w:t>
      </w:r>
      <w:r>
        <w:rPr>
          <w:rFonts w:hint="eastAsia" w:ascii="仿宋_GB2312" w:eastAsia="仿宋_GB2312"/>
          <w:color w:val="auto"/>
          <w:sz w:val="32"/>
          <w:szCs w:val="32"/>
          <w:highlight w:val="none"/>
          <w:lang w:eastAsia="zh-CN"/>
        </w:rPr>
        <w:t>综合</w:t>
      </w:r>
      <w:r>
        <w:rPr>
          <w:rFonts w:hint="eastAsia" w:ascii="仿宋_GB2312" w:eastAsia="仿宋_GB2312"/>
          <w:color w:val="auto"/>
          <w:sz w:val="32"/>
          <w:szCs w:val="32"/>
          <w:highlight w:val="none"/>
        </w:rPr>
        <w:t>协调环保产业和清洁生产促进有关工作。</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（十四）</w:t>
      </w:r>
      <w:r>
        <w:rPr>
          <w:rFonts w:hint="eastAsia" w:ascii="仿宋_GB2312" w:eastAsia="仿宋_GB2312"/>
          <w:color w:val="auto"/>
          <w:sz w:val="32"/>
          <w:szCs w:val="32"/>
          <w:highlight w:val="none"/>
        </w:rPr>
        <w:t>研究全区国民经济与国防建设的关系，组织编制国民经济动员规划、计划，统筹推进经济建设与国防建设协调发展战略和规划，协调相关重大问题。</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（十五）</w:t>
      </w:r>
      <w:r>
        <w:rPr>
          <w:rFonts w:hint="eastAsia" w:ascii="仿宋_GB2312" w:eastAsia="仿宋_GB2312"/>
          <w:color w:val="auto"/>
          <w:sz w:val="32"/>
          <w:szCs w:val="32"/>
          <w:highlight w:val="none"/>
        </w:rPr>
        <w:t>配合有关部门做好招商引资工作，参与重大招商引资活动负责招商引资项目的跟踪落实和相关指导、协调、服务工作。</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（十六）</w:t>
      </w:r>
      <w:r>
        <w:rPr>
          <w:rFonts w:hint="eastAsia" w:ascii="仿宋_GB2312" w:eastAsia="仿宋_GB2312"/>
          <w:color w:val="auto"/>
          <w:sz w:val="32"/>
          <w:szCs w:val="32"/>
          <w:highlight w:val="none"/>
        </w:rPr>
        <w:t>组织制定促进全区服务业发展的政策措施，参与研究提出服务业对外开放的政策措施，组织协调服务业发展中的重大问题。</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（十七）</w:t>
      </w:r>
      <w:r>
        <w:rPr>
          <w:rFonts w:hint="eastAsia" w:ascii="仿宋_GB2312" w:eastAsia="仿宋_GB2312"/>
          <w:color w:val="auto"/>
          <w:sz w:val="32"/>
          <w:szCs w:val="32"/>
          <w:highlight w:val="none"/>
        </w:rPr>
        <w:t>拟定并实施组织区级战略物资储备计划，负责全区救灾物资储备。组织落实促进粮食生产发展的相关政策措施。</w:t>
      </w:r>
    </w:p>
    <w:p>
      <w:pPr>
        <w:widowControl/>
        <w:spacing w:line="480" w:lineRule="auto"/>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（十八）</w:t>
      </w:r>
      <w:r>
        <w:rPr>
          <w:rFonts w:hint="eastAsia" w:ascii="仿宋_GB2312" w:eastAsia="仿宋_GB2312"/>
          <w:color w:val="auto"/>
          <w:sz w:val="32"/>
          <w:szCs w:val="32"/>
          <w:highlight w:val="none"/>
        </w:rPr>
        <w:t>完成区委、区政府交办的其他任务。</w:t>
      </w:r>
    </w:p>
    <w:p>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二、机构设置</w:t>
      </w:r>
    </w:p>
    <w:p>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纳入</w:t>
      </w:r>
      <w:r>
        <w:rPr>
          <w:rFonts w:hint="eastAsia" w:ascii="仿宋_GB2312" w:eastAsia="仿宋_GB2312"/>
          <w:color w:val="auto"/>
          <w:sz w:val="32"/>
          <w:szCs w:val="32"/>
          <w:highlight w:val="none"/>
          <w:lang w:eastAsia="zh-CN"/>
        </w:rPr>
        <w:t>本溪市溪湖区发展和改革局</w:t>
      </w: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年部门预算编制范围的二级预算单位包括：</w:t>
      </w:r>
    </w:p>
    <w:p>
      <w:pPr>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 xml:space="preserve">    （一）</w:t>
      </w:r>
      <w:r>
        <w:rPr>
          <w:rFonts w:hint="eastAsia" w:ascii="仿宋_GB2312" w:eastAsia="仿宋_GB2312"/>
          <w:color w:val="auto"/>
          <w:sz w:val="32"/>
          <w:szCs w:val="32"/>
          <w:highlight w:val="none"/>
          <w:lang w:eastAsia="zh-CN"/>
        </w:rPr>
        <w:t>本溪市溪湖区发展和改革局</w:t>
      </w:r>
      <w:r>
        <w:rPr>
          <w:rFonts w:hint="eastAsia" w:ascii="仿宋_GB2312" w:eastAsia="仿宋_GB2312"/>
          <w:color w:val="auto"/>
          <w:sz w:val="32"/>
          <w:szCs w:val="32"/>
          <w:highlight w:val="none"/>
        </w:rPr>
        <w:t>机关本级</w:t>
      </w:r>
    </w:p>
    <w:p>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（二）本溪市溪湖区发展改革服务中心</w:t>
      </w:r>
    </w:p>
    <w:p>
      <w:pPr>
        <w:ind w:firstLine="640" w:firstLineChars="200"/>
        <w:jc w:val="left"/>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（三）本溪市溪湖区项目建设服务中心</w:t>
      </w: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r>
        <w:rPr>
          <w:rFonts w:hint="eastAsia" w:ascii="宋体" w:hAnsi="宋体"/>
          <w:b/>
          <w:color w:val="auto"/>
          <w:sz w:val="36"/>
          <w:szCs w:val="36"/>
          <w:highlight w:val="none"/>
        </w:rPr>
        <w:t xml:space="preserve">第三部分 </w:t>
      </w:r>
      <w:r>
        <w:rPr>
          <w:rFonts w:hint="eastAsia" w:ascii="宋体" w:hAnsi="宋体"/>
          <w:b/>
          <w:color w:val="auto"/>
          <w:sz w:val="36"/>
          <w:szCs w:val="36"/>
          <w:highlight w:val="none"/>
          <w:lang w:eastAsia="zh-CN"/>
        </w:rPr>
        <w:t>本溪市溪湖区发展和改革局</w:t>
      </w:r>
      <w:r>
        <w:rPr>
          <w:rFonts w:hint="eastAsia" w:ascii="宋体" w:hAnsi="宋体"/>
          <w:b/>
          <w:color w:val="auto"/>
          <w:sz w:val="36"/>
          <w:szCs w:val="36"/>
          <w:highlight w:val="none"/>
        </w:rPr>
        <w:t>202</w:t>
      </w:r>
      <w:r>
        <w:rPr>
          <w:rFonts w:hint="eastAsia" w:ascii="宋体" w:hAnsi="宋体"/>
          <w:b/>
          <w:color w:val="auto"/>
          <w:sz w:val="36"/>
          <w:szCs w:val="36"/>
          <w:highlight w:val="none"/>
          <w:lang w:val="en-US" w:eastAsia="zh-CN"/>
        </w:rPr>
        <w:t>6</w:t>
      </w:r>
      <w:r>
        <w:rPr>
          <w:rFonts w:hint="eastAsia" w:ascii="宋体" w:hAnsi="宋体"/>
          <w:b/>
          <w:color w:val="auto"/>
          <w:sz w:val="36"/>
          <w:szCs w:val="36"/>
          <w:highlight w:val="none"/>
        </w:rPr>
        <w:t>年部门预算情况说明</w:t>
      </w:r>
    </w:p>
    <w:p>
      <w:pPr>
        <w:rPr>
          <w:rFonts w:hint="eastAsia" w:ascii="宋体" w:hAnsi="宋体"/>
          <w:b/>
          <w:color w:val="auto"/>
          <w:sz w:val="36"/>
          <w:szCs w:val="36"/>
          <w:highlight w:val="none"/>
        </w:rPr>
      </w:pPr>
    </w:p>
    <w:p>
      <w:pPr>
        <w:ind w:firstLine="627" w:firstLineChars="196"/>
        <w:rPr>
          <w:rFonts w:hint="eastAsia" w:ascii="仿宋_GB2312" w:hAnsi="宋体" w:eastAsia="仿宋_GB2312"/>
          <w:color w:val="auto"/>
          <w:sz w:val="32"/>
          <w:szCs w:val="32"/>
          <w:highlight w:val="none"/>
        </w:rPr>
      </w:pPr>
      <w:r>
        <w:rPr>
          <w:rFonts w:hint="eastAsia" w:ascii="黑体" w:hAnsi="黑体" w:eastAsia="黑体"/>
          <w:color w:val="auto"/>
          <w:sz w:val="32"/>
          <w:szCs w:val="32"/>
          <w:highlight w:val="none"/>
        </w:rPr>
        <w:t>一、综合预算收支指标情况</w:t>
      </w:r>
    </w:p>
    <w:p>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（一）收入预算338.5</w:t>
      </w:r>
      <w:r>
        <w:rPr>
          <w:rFonts w:hint="eastAsia" w:ascii="仿宋_GB2312" w:hAnsi="宋体" w:eastAsia="仿宋_GB2312"/>
          <w:b/>
          <w:bCs/>
          <w:color w:val="auto"/>
          <w:sz w:val="32"/>
          <w:szCs w:val="32"/>
          <w:highlight w:val="none"/>
          <w:lang w:val="en-US" w:eastAsia="zh-CN"/>
        </w:rPr>
        <w:t>1</w:t>
      </w:r>
      <w:r>
        <w:rPr>
          <w:rFonts w:hint="eastAsia" w:ascii="仿宋_GB2312" w:hAnsi="宋体" w:eastAsia="仿宋_GB2312"/>
          <w:b/>
          <w:bCs/>
          <w:color w:val="auto"/>
          <w:sz w:val="32"/>
          <w:szCs w:val="32"/>
          <w:highlight w:val="none"/>
        </w:rPr>
        <w:t>万元，</w:t>
      </w:r>
      <w:r>
        <w:rPr>
          <w:rFonts w:hint="eastAsia" w:ascii="仿宋_GB2312" w:hAnsi="宋体" w:eastAsia="仿宋_GB2312"/>
          <w:color w:val="auto"/>
          <w:sz w:val="32"/>
          <w:szCs w:val="32"/>
          <w:highlight w:val="none"/>
        </w:rPr>
        <w:t xml:space="preserve">其中： </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1.一般公共预算拨款收入338.5</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万元；</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eastAsia="仿宋_GB2312"/>
          <w:color w:val="auto"/>
          <w:sz w:val="32"/>
          <w:szCs w:val="32"/>
          <w:highlight w:val="none"/>
        </w:rPr>
        <w:t>政府性基金预算拨款收入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eastAsia="仿宋_GB2312"/>
          <w:color w:val="auto"/>
          <w:sz w:val="32"/>
          <w:szCs w:val="32"/>
          <w:highlight w:val="none"/>
        </w:rPr>
        <w:t>国有资本经营预算拨款收入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w:t>
      </w:r>
      <w:r>
        <w:rPr>
          <w:rFonts w:hint="eastAsia" w:ascii="仿宋_GB2312" w:eastAsia="仿宋_GB2312"/>
          <w:color w:val="auto"/>
          <w:sz w:val="32"/>
          <w:szCs w:val="32"/>
          <w:highlight w:val="none"/>
        </w:rPr>
        <w:t>财政专户管理资金收入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hint="eastAsia" w:ascii="仿宋_GB2312" w:eastAsia="仿宋_GB2312"/>
          <w:color w:val="auto"/>
          <w:sz w:val="32"/>
          <w:szCs w:val="32"/>
          <w:highlight w:val="none"/>
        </w:rPr>
        <w:t>单位资金收入</w:t>
      </w:r>
      <w:r>
        <w:rPr>
          <w:rFonts w:hint="eastAsia" w:ascii="仿宋_GB2312" w:hAnsi="宋体" w:eastAsia="仿宋_GB2312"/>
          <w:color w:val="auto"/>
          <w:sz w:val="32"/>
          <w:szCs w:val="32"/>
          <w:highlight w:val="none"/>
        </w:rPr>
        <w:t>0万元，其中：事业收入0万元，事业单位经营收入0万元，上级补助收入0万元，附属单位上缴收入0万元，其他收入0万元；</w:t>
      </w:r>
    </w:p>
    <w:p>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6.上年结转结余0万元，其中：上年财政专户管理资金超收收入0万元，政府性基金预算超收收入0万元，单位资金超收收入0万元。</w:t>
      </w:r>
    </w:p>
    <w:p>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（二）支出预算338.51万元，</w:t>
      </w:r>
      <w:r>
        <w:rPr>
          <w:rFonts w:hint="eastAsia" w:ascii="仿宋_GB2312" w:hAnsi="宋体" w:eastAsia="仿宋_GB2312"/>
          <w:color w:val="auto"/>
          <w:sz w:val="32"/>
          <w:szCs w:val="32"/>
          <w:highlight w:val="none"/>
        </w:rPr>
        <w:t>其中：</w:t>
      </w:r>
    </w:p>
    <w:p>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1.基本支出230.86万元；</w:t>
      </w:r>
    </w:p>
    <w:p>
      <w:pPr>
        <w:ind w:firstLine="66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2.项目支出107.65万元。</w:t>
      </w:r>
    </w:p>
    <w:p>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在支出预算中：债务支出0万</w:t>
      </w:r>
      <w:r>
        <w:rPr>
          <w:rFonts w:hint="eastAsia" w:ascii="仿宋_GB2312" w:hAnsi="宋体" w:eastAsia="仿宋_GB2312"/>
          <w:color w:val="auto"/>
          <w:sz w:val="32"/>
          <w:szCs w:val="32"/>
          <w:highlight w:val="none"/>
          <w:lang w:eastAsia="zh-CN"/>
        </w:rPr>
        <w:t>元；政</w:t>
      </w:r>
      <w:r>
        <w:rPr>
          <w:rFonts w:hint="eastAsia" w:ascii="仿宋_GB2312" w:hAnsi="宋体" w:eastAsia="仿宋_GB2312"/>
          <w:color w:val="auto"/>
          <w:sz w:val="32"/>
          <w:szCs w:val="32"/>
          <w:highlight w:val="none"/>
        </w:rPr>
        <w:t>府采购支出0万元；政府购买服务支出0万元；纳入预算绩效管理的特定目标类和其他运转类项目共</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rPr>
        <w:t>个，涉及资金107.65万元。</w:t>
      </w:r>
    </w:p>
    <w:p>
      <w:pPr>
        <w:ind w:firstLine="640" w:firstLineChars="200"/>
        <w:jc w:val="left"/>
        <w:rPr>
          <w:rFonts w:hint="eastAsia" w:ascii="仿宋_GB2312" w:hAnsi="宋体" w:eastAsia="仿宋_GB2312"/>
          <w:b w:val="0"/>
          <w:bCs w:val="0"/>
          <w:color w:val="auto"/>
          <w:sz w:val="32"/>
          <w:szCs w:val="32"/>
          <w:highlight w:val="none"/>
        </w:rPr>
      </w:pPr>
      <w:r>
        <w:rPr>
          <w:rFonts w:hint="eastAsia" w:ascii="仿宋_GB2312" w:hAnsi="宋体" w:eastAsia="仿宋_GB2312"/>
          <w:b w:val="0"/>
          <w:bCs w:val="0"/>
          <w:color w:val="auto"/>
          <w:sz w:val="32"/>
          <w:szCs w:val="32"/>
          <w:highlight w:val="none"/>
        </w:rPr>
        <w:t>202</w:t>
      </w:r>
      <w:r>
        <w:rPr>
          <w:rFonts w:hint="eastAsia" w:ascii="仿宋_GB2312" w:hAnsi="宋体" w:eastAsia="仿宋_GB2312"/>
          <w:b w:val="0"/>
          <w:bCs w:val="0"/>
          <w:color w:val="auto"/>
          <w:sz w:val="32"/>
          <w:szCs w:val="32"/>
          <w:highlight w:val="none"/>
          <w:lang w:val="en-US" w:eastAsia="zh-CN"/>
        </w:rPr>
        <w:t>6</w:t>
      </w:r>
      <w:r>
        <w:rPr>
          <w:rFonts w:hint="eastAsia" w:ascii="仿宋_GB2312" w:hAnsi="宋体" w:eastAsia="仿宋_GB2312"/>
          <w:b w:val="0"/>
          <w:bCs w:val="0"/>
          <w:color w:val="auto"/>
          <w:sz w:val="32"/>
          <w:szCs w:val="32"/>
          <w:highlight w:val="none"/>
        </w:rPr>
        <w:t>年预算收支比上年增加</w:t>
      </w:r>
      <w:r>
        <w:rPr>
          <w:rFonts w:hint="eastAsia" w:ascii="仿宋_GB2312" w:hAnsi="宋体" w:eastAsia="仿宋_GB2312"/>
          <w:b w:val="0"/>
          <w:bCs w:val="0"/>
          <w:color w:val="auto"/>
          <w:sz w:val="32"/>
          <w:szCs w:val="32"/>
          <w:highlight w:val="none"/>
          <w:lang w:val="en-US" w:eastAsia="zh-CN"/>
        </w:rPr>
        <w:t>107.4</w:t>
      </w:r>
      <w:r>
        <w:rPr>
          <w:rFonts w:hint="eastAsia" w:ascii="仿宋_GB2312" w:hAnsi="宋体" w:eastAsia="仿宋_GB2312"/>
          <w:b w:val="0"/>
          <w:bCs w:val="0"/>
          <w:color w:val="auto"/>
          <w:sz w:val="32"/>
          <w:szCs w:val="32"/>
          <w:highlight w:val="none"/>
        </w:rPr>
        <w:t>万元，增减变化的主要原因为</w:t>
      </w:r>
      <w:r>
        <w:rPr>
          <w:rFonts w:hint="eastAsia" w:ascii="仿宋_GB2312" w:hAnsi="宋体" w:eastAsia="仿宋_GB2312"/>
          <w:b w:val="0"/>
          <w:bCs w:val="0"/>
          <w:color w:val="auto"/>
          <w:sz w:val="32"/>
          <w:szCs w:val="32"/>
          <w:highlight w:val="none"/>
          <w:lang w:val="en-US" w:eastAsia="zh-CN"/>
        </w:rPr>
        <w:t>机构改革在编人员增加，人员类经费增长。</w:t>
      </w:r>
    </w:p>
    <w:p>
      <w:pPr>
        <w:numPr>
          <w:ilvl w:val="0"/>
          <w:numId w:val="1"/>
        </w:num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部门管理专项资金情况</w:t>
      </w:r>
    </w:p>
    <w:p>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管理专项资金共0个，涉及资金0万元。</w:t>
      </w:r>
    </w:p>
    <w:p>
      <w:pPr>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三、机关（事业）运行经费安排情况</w:t>
      </w:r>
    </w:p>
    <w:p>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运行经费预算为3.57万元，主要包括</w:t>
      </w:r>
      <w:r>
        <w:rPr>
          <w:rFonts w:hint="eastAsia" w:ascii="仿宋_GB2312" w:eastAsia="仿宋_GB2312"/>
          <w:color w:val="auto"/>
          <w:sz w:val="32"/>
          <w:szCs w:val="32"/>
          <w:highlight w:val="none"/>
        </w:rPr>
        <w:t>办公及印刷费、邮电费、差旅费、会议费、福利费、日常维修费。</w:t>
      </w:r>
    </w:p>
    <w:p>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四、政府采购情况</w:t>
      </w:r>
    </w:p>
    <w:p>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安排政府采购预算0万元，具体为：货物0万元，服务0万元，工程0万元；预留面向中小企业采购份额0万元，其中预留给小微企业0万元。</w:t>
      </w:r>
    </w:p>
    <w:p>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五、“三公”经费预算情况</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财政拨款预算安排的“三公”经费预算为0万元，</w:t>
      </w:r>
      <w:r>
        <w:rPr>
          <w:rFonts w:hint="eastAsia" w:ascii="仿宋_GB2312" w:hAnsi="宋体" w:eastAsia="仿宋_GB2312"/>
          <w:color w:val="auto"/>
          <w:sz w:val="32"/>
          <w:szCs w:val="32"/>
          <w:highlight w:val="none"/>
          <w:lang w:eastAsia="zh-CN"/>
        </w:rPr>
        <w:t>与</w:t>
      </w:r>
      <w:r>
        <w:rPr>
          <w:rFonts w:hint="eastAsia" w:ascii="仿宋_GB2312" w:hAnsi="宋体" w:eastAsia="仿宋_GB2312"/>
          <w:color w:val="auto"/>
          <w:sz w:val="32"/>
          <w:szCs w:val="32"/>
          <w:highlight w:val="none"/>
        </w:rPr>
        <w:t>上年</w:t>
      </w:r>
      <w:r>
        <w:rPr>
          <w:rFonts w:hint="eastAsia" w:ascii="仿宋_GB2312" w:hAnsi="宋体" w:eastAsia="仿宋_GB2312" w:cs="Times New Roman"/>
          <w:color w:val="auto"/>
          <w:sz w:val="32"/>
          <w:szCs w:val="32"/>
          <w:highlight w:val="none"/>
        </w:rPr>
        <w:t>持平</w:t>
      </w:r>
      <w:r>
        <w:rPr>
          <w:rFonts w:hint="eastAsia" w:ascii="仿宋_GB2312" w:hAnsi="宋体" w:eastAsia="仿宋_GB2312"/>
          <w:color w:val="auto"/>
          <w:sz w:val="32"/>
          <w:szCs w:val="32"/>
          <w:highlight w:val="none"/>
        </w:rPr>
        <w:t>。其中：</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1.因公出国（境）费0万元，</w:t>
      </w:r>
      <w:r>
        <w:rPr>
          <w:rFonts w:hint="eastAsia" w:ascii="仿宋_GB2312" w:hAnsi="宋体" w:eastAsia="仿宋_GB2312"/>
          <w:color w:val="auto"/>
          <w:sz w:val="32"/>
          <w:szCs w:val="32"/>
          <w:highlight w:val="none"/>
          <w:lang w:eastAsia="zh-CN"/>
        </w:rPr>
        <w:t>与</w:t>
      </w:r>
      <w:r>
        <w:rPr>
          <w:rFonts w:hint="eastAsia" w:ascii="仿宋_GB2312" w:hAnsi="宋体" w:eastAsia="仿宋_GB2312"/>
          <w:color w:val="auto"/>
          <w:sz w:val="32"/>
          <w:szCs w:val="32"/>
          <w:highlight w:val="none"/>
        </w:rPr>
        <w:t>上年</w:t>
      </w:r>
      <w:r>
        <w:rPr>
          <w:rFonts w:hint="eastAsia" w:ascii="仿宋_GB2312" w:hAnsi="宋体" w:eastAsia="仿宋_GB2312" w:cs="Times New Roman"/>
          <w:color w:val="auto"/>
          <w:sz w:val="32"/>
          <w:szCs w:val="32"/>
          <w:highlight w:val="none"/>
        </w:rPr>
        <w:t>持平</w:t>
      </w:r>
      <w:r>
        <w:rPr>
          <w:rFonts w:hint="eastAsia" w:ascii="仿宋_GB2312" w:hAnsi="宋体" w:eastAsia="仿宋_GB2312"/>
          <w:color w:val="auto"/>
          <w:sz w:val="32"/>
          <w:szCs w:val="32"/>
          <w:highlight w:val="none"/>
        </w:rPr>
        <w:t>。</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2.公务接待费0万元，与上年持平。</w:t>
      </w:r>
    </w:p>
    <w:p>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3.公务用车购置及运行费0万元（其中：公务用车购置费0万元，与上年持平。公务用车运行费0万元，与上年持平。），与上年持平。</w:t>
      </w:r>
    </w:p>
    <w:p>
      <w:pPr>
        <w:jc w:val="center"/>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财政拨款预算“三公”经费支出表</w:t>
      </w:r>
    </w:p>
    <w:p>
      <w:pPr>
        <w:jc w:val="center"/>
        <w:rPr>
          <w:rFonts w:hint="eastAsia" w:ascii="仿宋_GB2312" w:hAnsi="宋体" w:eastAsia="仿宋_GB2312"/>
          <w:b/>
          <w:bCs/>
          <w:color w:val="auto"/>
          <w:sz w:val="28"/>
          <w:szCs w:val="28"/>
          <w:highlight w:val="none"/>
        </w:rPr>
      </w:pPr>
      <w:r>
        <w:rPr>
          <w:rFonts w:hint="eastAsia" w:ascii="仿宋_GB2312" w:hAnsi="宋体" w:eastAsia="仿宋_GB2312"/>
          <w:b/>
          <w:bCs/>
          <w:color w:val="auto"/>
          <w:sz w:val="32"/>
          <w:szCs w:val="32"/>
          <w:highlight w:val="none"/>
        </w:rPr>
        <w:t xml:space="preserve">                                        </w:t>
      </w:r>
      <w:r>
        <w:rPr>
          <w:rFonts w:hint="eastAsia" w:ascii="仿宋_GB2312" w:hAnsi="宋体" w:eastAsia="仿宋_GB2312"/>
          <w:b/>
          <w:bCs/>
          <w:color w:val="auto"/>
          <w:sz w:val="28"/>
          <w:szCs w:val="28"/>
          <w:highlight w:val="none"/>
        </w:rPr>
        <w:t>单位：万元</w:t>
      </w:r>
    </w:p>
    <w:tbl>
      <w:tblPr>
        <w:tblStyle w:val="6"/>
        <w:tblW w:w="8622" w:type="dxa"/>
        <w:tblInd w:w="0" w:type="dxa"/>
        <w:tblLayout w:type="fixed"/>
        <w:tblCellMar>
          <w:top w:w="15" w:type="dxa"/>
          <w:left w:w="15" w:type="dxa"/>
          <w:bottom w:w="15" w:type="dxa"/>
          <w:right w:w="15" w:type="dxa"/>
        </w:tblCellMar>
      </w:tblPr>
      <w:tblGrid>
        <w:gridCol w:w="4122"/>
        <w:gridCol w:w="2148"/>
        <w:gridCol w:w="2352"/>
      </w:tblGrid>
      <w:tr>
        <w:tblPrEx>
          <w:tblLayout w:type="fixed"/>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项目</w:t>
            </w:r>
          </w:p>
        </w:tc>
        <w:tc>
          <w:tcPr>
            <w:tcW w:w="4500" w:type="dxa"/>
            <w:gridSpan w:val="2"/>
            <w:tcBorders>
              <w:top w:val="single" w:color="000000" w:sz="4" w:space="0"/>
              <w:left w:val="single" w:color="000000" w:sz="4" w:space="0"/>
              <w:right w:val="single" w:color="000000" w:sz="4" w:space="0"/>
            </w:tcBorders>
            <w:noWrap w:val="0"/>
            <w:vAlign w:val="center"/>
          </w:tcPr>
          <w:p>
            <w:pPr>
              <w:jc w:val="center"/>
              <w:rPr>
                <w:rFonts w:hint="eastAsia" w:ascii="宋体" w:hAnsi="宋体" w:cs="宋体"/>
                <w:b/>
                <w:color w:val="auto"/>
                <w:sz w:val="24"/>
                <w:highlight w:val="none"/>
              </w:rPr>
            </w:pPr>
            <w:r>
              <w:rPr>
                <w:rFonts w:hint="eastAsia" w:ascii="宋体" w:hAnsi="宋体" w:cs="宋体"/>
                <w:b/>
                <w:color w:val="auto"/>
                <w:kern w:val="0"/>
                <w:sz w:val="24"/>
                <w:highlight w:val="none"/>
              </w:rPr>
              <w:t>金额</w:t>
            </w:r>
          </w:p>
        </w:tc>
      </w:tr>
      <w:tr>
        <w:tblPrEx>
          <w:tblLayout w:type="fixed"/>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auto"/>
                <w:sz w:val="24"/>
                <w:highlight w:val="none"/>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5</w:t>
            </w:r>
            <w:r>
              <w:rPr>
                <w:rFonts w:hint="eastAsia" w:ascii="宋体" w:hAnsi="宋体" w:cs="宋体"/>
                <w:b/>
                <w:color w:val="auto"/>
                <w:kern w:val="0"/>
                <w:sz w:val="24"/>
                <w:highlight w:val="none"/>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6</w:t>
            </w:r>
            <w:r>
              <w:rPr>
                <w:rFonts w:hint="eastAsia" w:ascii="宋体" w:hAnsi="宋体" w:cs="宋体"/>
                <w:b/>
                <w:color w:val="auto"/>
                <w:kern w:val="0"/>
                <w:sz w:val="24"/>
                <w:highlight w:val="none"/>
              </w:rPr>
              <w:t>年</w:t>
            </w: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合计</w:t>
            </w:r>
          </w:p>
        </w:tc>
        <w:tc>
          <w:tcPr>
            <w:tcW w:w="2148" w:type="dxa"/>
            <w:tcBorders>
              <w:top w:val="single" w:color="000000" w:sz="4" w:space="0"/>
              <w:left w:val="single" w:color="000000" w:sz="4" w:space="0"/>
              <w:right w:val="single" w:color="000000" w:sz="4" w:space="0"/>
            </w:tcBorders>
            <w:noWrap w:val="0"/>
            <w:vAlign w:val="center"/>
          </w:tcPr>
          <w:p>
            <w:pPr>
              <w:rPr>
                <w:rFonts w:hint="eastAsia" w:ascii="宋体" w:hAnsi="宋体" w:cs="宋体"/>
                <w:b/>
                <w:bCs/>
                <w:color w:val="auto"/>
                <w:sz w:val="24"/>
                <w:highlight w:val="none"/>
              </w:rPr>
            </w:pPr>
          </w:p>
        </w:tc>
        <w:tc>
          <w:tcPr>
            <w:tcW w:w="2352" w:type="dxa"/>
            <w:tcBorders>
              <w:top w:val="single" w:color="000000" w:sz="4" w:space="0"/>
              <w:left w:val="single" w:color="000000" w:sz="4" w:space="0"/>
              <w:right w:val="single" w:color="000000" w:sz="4" w:space="0"/>
            </w:tcBorders>
            <w:noWrap w:val="0"/>
            <w:vAlign w:val="center"/>
          </w:tcPr>
          <w:p>
            <w:pPr>
              <w:jc w:val="right"/>
              <w:rPr>
                <w:rFonts w:hint="eastAsia" w:ascii="宋体" w:hAnsi="宋体" w:cs="宋体"/>
                <w:b/>
                <w:bCs/>
                <w:color w:val="auto"/>
                <w:sz w:val="24"/>
                <w:highlight w:val="none"/>
              </w:rPr>
            </w:pP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1、因公出国（境）费</w:t>
            </w:r>
          </w:p>
        </w:tc>
        <w:tc>
          <w:tcPr>
            <w:tcW w:w="2148" w:type="dxa"/>
            <w:tcBorders>
              <w:top w:val="single" w:color="000000" w:sz="4" w:space="0"/>
              <w:left w:val="single" w:color="000000" w:sz="4" w:space="0"/>
            </w:tcBorders>
            <w:noWrap w:val="0"/>
            <w:vAlign w:val="center"/>
          </w:tcPr>
          <w:p>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cs="宋体"/>
                <w:color w:val="auto"/>
                <w:sz w:val="24"/>
                <w:highlight w:val="none"/>
              </w:rPr>
            </w:pP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2、公务接待费</w:t>
            </w:r>
          </w:p>
        </w:tc>
        <w:tc>
          <w:tcPr>
            <w:tcW w:w="2148"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pPr>
              <w:jc w:val="right"/>
              <w:rPr>
                <w:rFonts w:hint="eastAsia" w:ascii="宋体" w:hAnsi="宋体" w:cs="宋体"/>
                <w:color w:val="auto"/>
                <w:sz w:val="24"/>
                <w:highlight w:val="none"/>
              </w:rPr>
            </w:pP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3、公务用车购置及运行费</w:t>
            </w:r>
          </w:p>
        </w:tc>
        <w:tc>
          <w:tcPr>
            <w:tcW w:w="2148" w:type="dxa"/>
            <w:tcBorders>
              <w:left w:val="single" w:color="000000" w:sz="4" w:space="0"/>
            </w:tcBorders>
            <w:noWrap w:val="0"/>
            <w:vAlign w:val="center"/>
          </w:tcPr>
          <w:p>
            <w:pPr>
              <w:rPr>
                <w:rFonts w:hint="eastAsia" w:ascii="宋体" w:hAnsi="宋体" w:cs="宋体"/>
                <w:color w:val="auto"/>
                <w:sz w:val="24"/>
                <w:highlight w:val="none"/>
              </w:rPr>
            </w:pPr>
          </w:p>
        </w:tc>
        <w:tc>
          <w:tcPr>
            <w:tcW w:w="2352" w:type="dxa"/>
            <w:tcBorders>
              <w:left w:val="single" w:color="000000" w:sz="4" w:space="0"/>
              <w:right w:val="single" w:color="000000" w:sz="4" w:space="0"/>
            </w:tcBorders>
            <w:noWrap w:val="0"/>
            <w:vAlign w:val="center"/>
          </w:tcPr>
          <w:p>
            <w:pPr>
              <w:jc w:val="right"/>
              <w:rPr>
                <w:rFonts w:hint="eastAsia" w:ascii="宋体" w:hAnsi="宋体" w:cs="宋体"/>
                <w:color w:val="auto"/>
                <w:sz w:val="24"/>
                <w:highlight w:val="none"/>
              </w:rPr>
            </w:pP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其中：公务用车购置费</w:t>
            </w:r>
          </w:p>
        </w:tc>
        <w:tc>
          <w:tcPr>
            <w:tcW w:w="2148" w:type="dxa"/>
            <w:tcBorders>
              <w:top w:val="single" w:color="000000" w:sz="4" w:space="0"/>
              <w:left w:val="single" w:color="000000" w:sz="4" w:space="0"/>
            </w:tcBorders>
            <w:noWrap w:val="0"/>
            <w:vAlign w:val="center"/>
          </w:tcPr>
          <w:p>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cs="宋体"/>
                <w:color w:val="auto"/>
                <w:sz w:val="24"/>
                <w:highlight w:val="none"/>
              </w:rPr>
            </w:pPr>
          </w:p>
        </w:tc>
      </w:tr>
      <w:tr>
        <w:tblPrEx>
          <w:tblLayout w:type="fixed"/>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pPr>
              <w:jc w:val="right"/>
              <w:rPr>
                <w:rFonts w:hint="eastAsia" w:ascii="宋体" w:hAnsi="宋体" w:cs="宋体"/>
                <w:color w:val="auto"/>
                <w:sz w:val="24"/>
                <w:highlight w:val="none"/>
              </w:rPr>
            </w:pPr>
          </w:p>
        </w:tc>
      </w:tr>
    </w:tbl>
    <w:p>
      <w:pPr>
        <w:jc w:val="left"/>
        <w:rPr>
          <w:rFonts w:hint="eastAsia" w:ascii="仿宋_GB2312" w:hAnsi="宋体" w:eastAsia="仿宋_GB2312"/>
          <w:color w:val="auto"/>
          <w:sz w:val="32"/>
          <w:szCs w:val="32"/>
          <w:highlight w:val="none"/>
        </w:rPr>
      </w:pPr>
    </w:p>
    <w:p>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六、国有资产占用情况</w:t>
      </w:r>
    </w:p>
    <w:p>
      <w:pPr>
        <w:ind w:firstLine="645"/>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年年初预算购置车辆0台，金额0万元，单位价值50万元以上的通用设备0台，单位价值100万元以上的专用设备0台</w:t>
      </w:r>
      <w:r>
        <w:rPr>
          <w:rFonts w:hint="eastAsia" w:ascii="仿宋_GB2312" w:hAnsi="宋体" w:eastAsia="仿宋_GB2312"/>
          <w:color w:val="auto"/>
          <w:sz w:val="32"/>
          <w:szCs w:val="32"/>
          <w:highlight w:val="none"/>
          <w:lang w:eastAsia="zh-CN"/>
        </w:rPr>
        <w:t>。</w:t>
      </w:r>
    </w:p>
    <w:p>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七、预算绩效目标情况</w:t>
      </w:r>
    </w:p>
    <w:p>
      <w:pPr>
        <w:ind w:firstLine="645"/>
        <w:rPr>
          <w:rFonts w:hint="eastAsia" w:ascii="宋体" w:hAnsi="宋体"/>
          <w:b/>
          <w:color w:val="auto"/>
          <w:sz w:val="36"/>
          <w:szCs w:val="36"/>
          <w:highlight w:val="none"/>
        </w:rPr>
      </w:pPr>
      <w:r>
        <w:rPr>
          <w:rFonts w:hint="eastAsia" w:ascii="仿宋_GB2312" w:hAnsi="宋体" w:eastAsia="仿宋_GB2312"/>
          <w:color w:val="auto"/>
          <w:sz w:val="32"/>
          <w:szCs w:val="32"/>
          <w:highlight w:val="none"/>
        </w:rPr>
        <w:t>根据预算绩效管理要求，</w:t>
      </w:r>
      <w:r>
        <w:rPr>
          <w:rFonts w:hint="eastAsia" w:ascii="仿宋_GB2312" w:hAnsi="宋体" w:eastAsia="仿宋_GB2312"/>
          <w:color w:val="auto"/>
          <w:sz w:val="32"/>
          <w:szCs w:val="32"/>
          <w:highlight w:val="none"/>
          <w:lang w:eastAsia="zh-CN"/>
        </w:rPr>
        <w:t>本溪市溪湖区发展和改革局</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年应编制部门（单位）整体绩效目标共</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，实际编制部门（单位）整体绩效目标共</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个，编制部门（单位）整体绩效目标覆盖率（实际编制绩效目标的数量/应编制绩效目标的数量）为100%。202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年应编制绩效目标的特定目标类和其他运转类项目共</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rPr>
        <w:t>个，涉及资金</w:t>
      </w:r>
      <w:r>
        <w:rPr>
          <w:rFonts w:hint="eastAsia" w:ascii="仿宋_GB2312" w:hAnsi="宋体" w:eastAsia="仿宋_GB2312"/>
          <w:color w:val="auto"/>
          <w:sz w:val="32"/>
          <w:szCs w:val="32"/>
          <w:highlight w:val="none"/>
          <w:lang w:val="en-US" w:eastAsia="zh-CN"/>
        </w:rPr>
        <w:t>107.65</w:t>
      </w:r>
      <w:r>
        <w:rPr>
          <w:rFonts w:hint="eastAsia" w:ascii="仿宋_GB2312" w:hAnsi="宋体" w:eastAsia="仿宋_GB2312"/>
          <w:color w:val="auto"/>
          <w:sz w:val="32"/>
          <w:szCs w:val="32"/>
          <w:highlight w:val="none"/>
        </w:rPr>
        <w:t>万元，实际编制绩效目标的特定目标类和其他运转类项目共</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rPr>
        <w:t>个，涉及资金107.65万元，编制特定目标类和其他运转类绩效目标的项目覆盖率（实际编制绩效目标的数量/应编制绩效目标的数量）为100%。</w:t>
      </w:r>
    </w:p>
    <w:p>
      <w:pPr>
        <w:rPr>
          <w:rFonts w:hint="eastAsia" w:ascii="宋体" w:hAnsi="宋体"/>
          <w:b/>
          <w:color w:val="auto"/>
          <w:sz w:val="36"/>
          <w:szCs w:val="36"/>
          <w:highlight w:val="none"/>
        </w:rPr>
      </w:pPr>
    </w:p>
    <w:p>
      <w:pPr>
        <w:jc w:val="center"/>
        <w:rPr>
          <w:rFonts w:hint="eastAsia" w:ascii="宋体" w:hAnsi="宋体"/>
          <w:b/>
          <w:color w:val="auto"/>
          <w:sz w:val="36"/>
          <w:szCs w:val="36"/>
          <w:highlight w:val="none"/>
        </w:rPr>
      </w:pPr>
      <w:r>
        <w:rPr>
          <w:rFonts w:hint="eastAsia" w:ascii="宋体" w:hAnsi="宋体"/>
          <w:b/>
          <w:color w:val="auto"/>
          <w:sz w:val="36"/>
          <w:szCs w:val="36"/>
          <w:highlight w:val="none"/>
        </w:rPr>
        <w:t>第四部分 名词解释</w:t>
      </w:r>
    </w:p>
    <w:p>
      <w:pPr>
        <w:jc w:val="center"/>
        <w:rPr>
          <w:rFonts w:hint="eastAsia" w:ascii="黑体" w:eastAsia="黑体"/>
          <w:color w:val="auto"/>
          <w:sz w:val="36"/>
          <w:szCs w:val="36"/>
          <w:highlight w:val="none"/>
        </w:rPr>
      </w:pPr>
    </w:p>
    <w:p>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1.一般公共预算：</w:t>
      </w:r>
      <w:r>
        <w:rPr>
          <w:rFonts w:hint="eastAsia" w:ascii="仿宋_GB2312" w:eastAsia="仿宋_GB2312"/>
          <w:bCs/>
          <w:color w:val="auto"/>
          <w:sz w:val="32"/>
          <w:szCs w:val="32"/>
          <w:highlight w:val="none"/>
        </w:rPr>
        <w:t>指以税收为主体的财政收入，安排用于保障和改善民生、推动经济社会发展、维护国家安全、维持国家机构正常运转等方面的收支预算。</w:t>
      </w:r>
    </w:p>
    <w:p>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2.一般公共预算收入：</w:t>
      </w:r>
      <w:r>
        <w:rPr>
          <w:rFonts w:hint="eastAsia" w:ascii="仿宋_GB2312" w:eastAsia="仿宋_GB2312"/>
          <w:bCs/>
          <w:color w:val="auto"/>
          <w:sz w:val="32"/>
          <w:szCs w:val="32"/>
          <w:highlight w:val="none"/>
        </w:rPr>
        <w:t>主要包括税收收入、行政事业性收费收入、国有资源（资产）有偿使用收入、转移性收入和其他收入。</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3.财政拨款收入：</w:t>
      </w:r>
      <w:r>
        <w:rPr>
          <w:rFonts w:hint="eastAsia" w:ascii="仿宋_GB2312" w:eastAsia="仿宋_GB2312"/>
          <w:color w:val="auto"/>
          <w:sz w:val="32"/>
          <w:szCs w:val="32"/>
          <w:highlight w:val="none"/>
        </w:rPr>
        <w:t>指市级财政当年拨付的资金。</w:t>
      </w:r>
    </w:p>
    <w:p>
      <w:pPr>
        <w:ind w:firstLine="643" w:firstLineChars="200"/>
        <w:jc w:val="left"/>
        <w:rPr>
          <w:rFonts w:hint="eastAsia" w:ascii="仿宋_GB2312" w:eastAsia="仿宋_GB2312"/>
          <w:b/>
          <w:color w:val="auto"/>
          <w:sz w:val="32"/>
          <w:szCs w:val="32"/>
          <w:highlight w:val="none"/>
        </w:rPr>
      </w:pPr>
      <w:bookmarkStart w:id="0" w:name="OLE_LINK1"/>
      <w:r>
        <w:rPr>
          <w:rFonts w:hint="eastAsia" w:ascii="仿宋_GB2312" w:eastAsia="仿宋_GB2312"/>
          <w:b/>
          <w:color w:val="auto"/>
          <w:sz w:val="32"/>
          <w:szCs w:val="32"/>
          <w:highlight w:val="none"/>
        </w:rPr>
        <w:t>4.行政事业性收费收入：</w:t>
      </w:r>
      <w:r>
        <w:rPr>
          <w:rFonts w:hint="eastAsia" w:ascii="仿宋_GB2312" w:eastAsia="仿宋_GB2312"/>
          <w:color w:val="auto"/>
          <w:sz w:val="32"/>
          <w:szCs w:val="32"/>
          <w:highlight w:val="none"/>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5.政府性基金收入</w:t>
      </w:r>
      <w:bookmarkEnd w:id="0"/>
      <w:r>
        <w:rPr>
          <w:rFonts w:hint="eastAsia" w:ascii="仿宋_GB2312" w:eastAsia="仿宋_GB2312"/>
          <w:b/>
          <w:color w:val="auto"/>
          <w:sz w:val="32"/>
          <w:szCs w:val="32"/>
          <w:highlight w:val="none"/>
        </w:rPr>
        <w:t>：</w:t>
      </w:r>
      <w:r>
        <w:rPr>
          <w:rFonts w:hint="eastAsia" w:ascii="仿宋_GB2312" w:eastAsia="仿宋_GB2312"/>
          <w:color w:val="auto"/>
          <w:sz w:val="32"/>
          <w:szCs w:val="32"/>
          <w:highlight w:val="none"/>
        </w:rPr>
        <w:t>反映各级政府及其所属部门根据法律、行政法规规定并经国务院或财政部批准，向公民、法人和其他组织征收的政府性基金，以及参照政府性基金管理或纳入基金预算、具有特定用途的财政资金。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6.基本支出：</w:t>
      </w:r>
      <w:r>
        <w:rPr>
          <w:rFonts w:hint="eastAsia" w:ascii="仿宋_GB2312" w:eastAsia="仿宋_GB2312"/>
          <w:color w:val="auto"/>
          <w:sz w:val="32"/>
          <w:szCs w:val="32"/>
          <w:highlight w:val="none"/>
        </w:rPr>
        <w:t>指保障机构正常运转、完成日常工作任务而发生的人员支出和公用支出。包括人员类项目支出和公用经费类项目支出。</w:t>
      </w:r>
    </w:p>
    <w:p>
      <w:pPr>
        <w:ind w:firstLine="643" w:firstLineChars="200"/>
        <w:jc w:val="left"/>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7.项目支出：</w:t>
      </w:r>
      <w:r>
        <w:rPr>
          <w:rFonts w:hint="eastAsia" w:ascii="仿宋_GB2312" w:eastAsia="仿宋_GB2312"/>
          <w:color w:val="auto"/>
          <w:sz w:val="32"/>
          <w:szCs w:val="32"/>
          <w:highlight w:val="none"/>
        </w:rPr>
        <w:t>指在基本支出之外为完成特定行政任务和事业发展目标所发生的支出。包括特定目标类项目支出和其他运转类项目支出。</w:t>
      </w:r>
    </w:p>
    <w:p>
      <w:pPr>
        <w:ind w:firstLine="643" w:firstLineChars="200"/>
        <w:rPr>
          <w:rFonts w:hint="eastAsia" w:ascii="仿宋_GB2312" w:eastAsia="仿宋_GB2312"/>
          <w:color w:val="auto"/>
          <w:sz w:val="32"/>
          <w:szCs w:val="32"/>
          <w:highlight w:val="none"/>
        </w:rPr>
      </w:pPr>
      <w:r>
        <w:rPr>
          <w:rFonts w:hint="eastAsia" w:ascii="仿宋_GB2312" w:eastAsia="仿宋_GB2312"/>
          <w:b/>
          <w:color w:val="auto"/>
          <w:sz w:val="32"/>
          <w:highlight w:val="none"/>
        </w:rPr>
        <w:t>8.机关（事业）运行经费：</w:t>
      </w:r>
      <w:r>
        <w:rPr>
          <w:rFonts w:hint="eastAsia" w:ascii="仿宋_GB2312" w:eastAsia="仿宋_GB2312"/>
          <w:color w:val="auto"/>
          <w:sz w:val="32"/>
          <w:szCs w:val="32"/>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9.“三公”经费</w:t>
      </w:r>
      <w:r>
        <w:rPr>
          <w:rFonts w:hint="eastAsia" w:ascii="仿宋_GB2312" w:eastAsia="仿宋_GB2312"/>
          <w:color w:val="auto"/>
          <w:sz w:val="32"/>
          <w:szCs w:val="32"/>
          <w:highlight w:val="none"/>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10.一般公共服务（类）</w:t>
      </w:r>
      <w:r>
        <w:rPr>
          <w:rFonts w:hint="eastAsia" w:ascii="仿宋_GB2312" w:eastAsia="仿宋_GB2312"/>
          <w:b/>
          <w:color w:val="auto"/>
          <w:sz w:val="32"/>
          <w:szCs w:val="32"/>
          <w:highlight w:val="none"/>
          <w:lang w:eastAsia="zh-CN"/>
        </w:rPr>
        <w:t>发展和改革</w:t>
      </w:r>
      <w:r>
        <w:rPr>
          <w:rFonts w:hint="eastAsia" w:ascii="仿宋_GB2312" w:eastAsia="仿宋_GB2312"/>
          <w:b/>
          <w:color w:val="auto"/>
          <w:sz w:val="32"/>
          <w:szCs w:val="32"/>
          <w:highlight w:val="none"/>
        </w:rPr>
        <w:t>事务（款）行政运行（项）：</w:t>
      </w:r>
      <w:r>
        <w:rPr>
          <w:rFonts w:hint="eastAsia" w:ascii="仿宋_GB2312" w:eastAsia="仿宋_GB2312"/>
          <w:color w:val="auto"/>
          <w:sz w:val="32"/>
          <w:szCs w:val="32"/>
          <w:highlight w:val="none"/>
        </w:rPr>
        <w:t>反映行政单位（包括实行公务员管理的事业单位）的基本支出。</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11.一般公共服务（类）发展和改革事务（款）事业运行（项）：</w:t>
      </w:r>
      <w:r>
        <w:rPr>
          <w:rFonts w:hint="eastAsia" w:ascii="仿宋_GB2312" w:eastAsia="仿宋_GB2312"/>
          <w:color w:val="auto"/>
          <w:sz w:val="32"/>
          <w:szCs w:val="32"/>
          <w:highlight w:val="none"/>
        </w:rPr>
        <w:t>反映事业单位的基本支出</w:t>
      </w:r>
      <w:bookmarkStart w:id="1" w:name="_GoBack"/>
      <w:bookmarkEnd w:id="1"/>
      <w:r>
        <w:rPr>
          <w:rFonts w:hint="eastAsia" w:ascii="仿宋_GB2312" w:eastAsia="仿宋_GB2312"/>
          <w:color w:val="auto"/>
          <w:sz w:val="32"/>
          <w:szCs w:val="32"/>
          <w:highlight w:val="none"/>
        </w:rPr>
        <w:t>，不包括行政单位（包括实行公务员管理的事业单位）后勤服务中心、医务室等附属事业单位。</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2</w:t>
      </w:r>
      <w:r>
        <w:rPr>
          <w:rFonts w:hint="eastAsia" w:ascii="仿宋_GB2312" w:eastAsia="仿宋_GB2312"/>
          <w:b/>
          <w:color w:val="auto"/>
          <w:sz w:val="32"/>
          <w:szCs w:val="32"/>
          <w:highlight w:val="none"/>
        </w:rPr>
        <w:t>.社会保障和就业（类）行政事业单位离退休（款）行政单位离退休（项）：</w:t>
      </w:r>
      <w:r>
        <w:rPr>
          <w:rFonts w:hint="eastAsia" w:ascii="仿宋_GB2312" w:eastAsia="仿宋_GB2312"/>
          <w:color w:val="auto"/>
          <w:sz w:val="32"/>
          <w:szCs w:val="32"/>
          <w:highlight w:val="none"/>
        </w:rPr>
        <w:t>反映实行归口管理的行政单位（包括实行公务员管理的事业单位）开支的离退休经费。</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3</w:t>
      </w:r>
      <w:r>
        <w:rPr>
          <w:rFonts w:hint="eastAsia" w:ascii="仿宋_GB2312" w:eastAsia="仿宋_GB2312"/>
          <w:b/>
          <w:color w:val="auto"/>
          <w:sz w:val="32"/>
          <w:szCs w:val="32"/>
          <w:highlight w:val="none"/>
        </w:rPr>
        <w:t>.社会保障和就业（类）行政事业单位离退休（款）事业单位离退休（项）：</w:t>
      </w:r>
      <w:r>
        <w:rPr>
          <w:rFonts w:hint="eastAsia" w:ascii="仿宋_GB2312" w:eastAsia="仿宋_GB2312"/>
          <w:color w:val="auto"/>
          <w:sz w:val="32"/>
          <w:szCs w:val="32"/>
          <w:highlight w:val="none"/>
        </w:rPr>
        <w:t>反映实行归口管理的事业单位开支的离退休经费。</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4</w:t>
      </w:r>
      <w:r>
        <w:rPr>
          <w:rFonts w:hint="eastAsia" w:ascii="仿宋_GB2312" w:eastAsia="仿宋_GB2312"/>
          <w:b/>
          <w:color w:val="auto"/>
          <w:sz w:val="32"/>
          <w:szCs w:val="32"/>
          <w:highlight w:val="none"/>
        </w:rPr>
        <w:t>.住房保障（类）住房改革（款）住房公积金（项）：</w:t>
      </w:r>
      <w:r>
        <w:rPr>
          <w:rFonts w:hint="eastAsia" w:ascii="仿宋_GB2312" w:eastAsia="仿宋_GB2312"/>
          <w:color w:val="auto"/>
          <w:sz w:val="32"/>
          <w:szCs w:val="32"/>
          <w:highlight w:val="none"/>
        </w:rPr>
        <w:t>反映行政事业单位按人力资源和社会保障部、财政部规定的基本工资和津贴补贴以及规定比例为职工缴纳的住房公积金。</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5</w:t>
      </w:r>
      <w:r>
        <w:rPr>
          <w:rFonts w:hint="eastAsia" w:ascii="仿宋_GB2312" w:eastAsia="仿宋_GB2312"/>
          <w:b/>
          <w:color w:val="auto"/>
          <w:sz w:val="32"/>
          <w:szCs w:val="32"/>
          <w:highlight w:val="none"/>
        </w:rPr>
        <w:t>.政府采购：</w:t>
      </w:r>
      <w:r>
        <w:rPr>
          <w:rFonts w:hint="eastAsia" w:ascii="仿宋_GB2312" w:eastAsia="仿宋_GB2312"/>
          <w:color w:val="auto"/>
          <w:sz w:val="32"/>
          <w:szCs w:val="32"/>
          <w:highlight w:val="none"/>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6</w:t>
      </w:r>
      <w:r>
        <w:rPr>
          <w:rFonts w:hint="eastAsia" w:ascii="仿宋_GB2312" w:eastAsia="仿宋_GB2312"/>
          <w:b/>
          <w:color w:val="auto"/>
          <w:sz w:val="32"/>
          <w:szCs w:val="32"/>
          <w:highlight w:val="none"/>
        </w:rPr>
        <w:t>.政府购买服务：</w:t>
      </w:r>
      <w:r>
        <w:rPr>
          <w:rFonts w:hint="eastAsia" w:ascii="仿宋_GB2312" w:eastAsia="仿宋_GB2312"/>
          <w:color w:val="auto"/>
          <w:sz w:val="32"/>
          <w:szCs w:val="32"/>
          <w:highlight w:val="none"/>
        </w:rPr>
        <w:t>指各级国家机关将属于自身职责范围且适合通过市场化方式提供的服务事项，按照政府采购方式和程序，交由符合条件的服务供应商承担，并根据服务数量和质量等因素向其支付费用的行为。</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7</w:t>
      </w:r>
      <w:r>
        <w:rPr>
          <w:rFonts w:hint="eastAsia" w:ascii="仿宋_GB2312" w:eastAsia="仿宋_GB2312"/>
          <w:b/>
          <w:color w:val="auto"/>
          <w:sz w:val="32"/>
          <w:szCs w:val="32"/>
          <w:highlight w:val="none"/>
        </w:rPr>
        <w:t>.绩效目标：</w:t>
      </w:r>
      <w:r>
        <w:rPr>
          <w:rFonts w:hint="eastAsia" w:ascii="仿宋_GB2312" w:eastAsia="仿宋_GB2312"/>
          <w:color w:val="auto"/>
          <w:sz w:val="32"/>
          <w:szCs w:val="32"/>
          <w:highlight w:val="none"/>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8</w:t>
      </w:r>
      <w:r>
        <w:rPr>
          <w:rFonts w:hint="eastAsia" w:ascii="仿宋_GB2312" w:eastAsia="仿宋_GB2312"/>
          <w:b/>
          <w:color w:val="auto"/>
          <w:sz w:val="32"/>
          <w:szCs w:val="32"/>
          <w:highlight w:val="none"/>
        </w:rPr>
        <w:t>.绩效目标管理：</w:t>
      </w:r>
      <w:r>
        <w:rPr>
          <w:rFonts w:hint="eastAsia" w:ascii="仿宋_GB2312" w:eastAsia="仿宋_GB2312"/>
          <w:color w:val="auto"/>
          <w:sz w:val="32"/>
          <w:szCs w:val="32"/>
          <w:highlight w:val="none"/>
        </w:rPr>
        <w:t>指以绩效目标为对象，以绩效目标的编制、审核、批复、调整和应用等为主要内容所开展的预算管理活动。</w:t>
      </w:r>
    </w:p>
    <w:p>
      <w:pPr>
        <w:jc w:val="center"/>
        <w:rPr>
          <w:rFonts w:hint="eastAsia" w:ascii="仿宋_GB2312" w:eastAsia="仿宋_GB2312"/>
          <w:b/>
          <w:color w:val="auto"/>
          <w:sz w:val="32"/>
          <w:szCs w:val="32"/>
          <w:highlight w:val="none"/>
        </w:rPr>
      </w:pPr>
    </w:p>
    <w:p>
      <w:pPr>
        <w:jc w:val="center"/>
        <w:rPr>
          <w:rFonts w:hint="eastAsia" w:ascii="黑体" w:eastAsia="黑体"/>
          <w:color w:val="auto"/>
          <w:sz w:val="32"/>
          <w:szCs w:val="32"/>
          <w:highlight w:val="none"/>
        </w:rPr>
      </w:pPr>
    </w:p>
    <w:p>
      <w:pPr>
        <w:rPr>
          <w:rFonts w:hint="eastAsia" w:ascii="黑体" w:eastAsia="黑体"/>
          <w:color w:val="auto"/>
          <w:sz w:val="36"/>
          <w:szCs w:val="36"/>
          <w:highlight w:val="none"/>
        </w:rPr>
      </w:pPr>
    </w:p>
    <w:sectPr>
      <w:footerReference r:id="rId3" w:type="default"/>
      <w:footerReference r:id="rId4"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21"/>
    <w:rsid w:val="000048A5"/>
    <w:rsid w:val="0002546B"/>
    <w:rsid w:val="0004398C"/>
    <w:rsid w:val="0004572D"/>
    <w:rsid w:val="00051065"/>
    <w:rsid w:val="00054F25"/>
    <w:rsid w:val="000725A7"/>
    <w:rsid w:val="00073E3F"/>
    <w:rsid w:val="00075A3D"/>
    <w:rsid w:val="0009388E"/>
    <w:rsid w:val="00095D9E"/>
    <w:rsid w:val="000A1824"/>
    <w:rsid w:val="000A47B7"/>
    <w:rsid w:val="000B3BE6"/>
    <w:rsid w:val="000C25F9"/>
    <w:rsid w:val="000E1DEF"/>
    <w:rsid w:val="000E403D"/>
    <w:rsid w:val="000E7D0A"/>
    <w:rsid w:val="001100B7"/>
    <w:rsid w:val="00115FE7"/>
    <w:rsid w:val="0012262F"/>
    <w:rsid w:val="0013380C"/>
    <w:rsid w:val="00134FAF"/>
    <w:rsid w:val="001364E5"/>
    <w:rsid w:val="0013683A"/>
    <w:rsid w:val="001441A4"/>
    <w:rsid w:val="0016412F"/>
    <w:rsid w:val="001656BE"/>
    <w:rsid w:val="001657B6"/>
    <w:rsid w:val="00175D02"/>
    <w:rsid w:val="001846A6"/>
    <w:rsid w:val="00196F76"/>
    <w:rsid w:val="001B77A9"/>
    <w:rsid w:val="001B7AC7"/>
    <w:rsid w:val="001E12A5"/>
    <w:rsid w:val="001E1C9D"/>
    <w:rsid w:val="001E3BB8"/>
    <w:rsid w:val="001E7F45"/>
    <w:rsid w:val="001F4B21"/>
    <w:rsid w:val="001F5515"/>
    <w:rsid w:val="002003A2"/>
    <w:rsid w:val="00201094"/>
    <w:rsid w:val="0020157B"/>
    <w:rsid w:val="002020FA"/>
    <w:rsid w:val="002038F8"/>
    <w:rsid w:val="00207EF8"/>
    <w:rsid w:val="002106F8"/>
    <w:rsid w:val="00210A14"/>
    <w:rsid w:val="002137BF"/>
    <w:rsid w:val="0022540A"/>
    <w:rsid w:val="00227F7C"/>
    <w:rsid w:val="002335DF"/>
    <w:rsid w:val="00245461"/>
    <w:rsid w:val="00246231"/>
    <w:rsid w:val="0026131E"/>
    <w:rsid w:val="00264E0A"/>
    <w:rsid w:val="00275865"/>
    <w:rsid w:val="00290DE8"/>
    <w:rsid w:val="002A22FD"/>
    <w:rsid w:val="002C1A77"/>
    <w:rsid w:val="002C210E"/>
    <w:rsid w:val="002D2E1C"/>
    <w:rsid w:val="002E3F3E"/>
    <w:rsid w:val="002E6F16"/>
    <w:rsid w:val="002F7837"/>
    <w:rsid w:val="00314ECD"/>
    <w:rsid w:val="00317B76"/>
    <w:rsid w:val="00331390"/>
    <w:rsid w:val="00340F06"/>
    <w:rsid w:val="00344F39"/>
    <w:rsid w:val="003560B3"/>
    <w:rsid w:val="0037688C"/>
    <w:rsid w:val="003858E5"/>
    <w:rsid w:val="003A04EC"/>
    <w:rsid w:val="003E0DAF"/>
    <w:rsid w:val="003E65C4"/>
    <w:rsid w:val="00406755"/>
    <w:rsid w:val="00414072"/>
    <w:rsid w:val="00426B4B"/>
    <w:rsid w:val="00437901"/>
    <w:rsid w:val="0044165D"/>
    <w:rsid w:val="0044636A"/>
    <w:rsid w:val="00476F8F"/>
    <w:rsid w:val="00486679"/>
    <w:rsid w:val="00493F18"/>
    <w:rsid w:val="00495584"/>
    <w:rsid w:val="004A4FDC"/>
    <w:rsid w:val="004D584E"/>
    <w:rsid w:val="004E0C11"/>
    <w:rsid w:val="004F0520"/>
    <w:rsid w:val="004F4D7E"/>
    <w:rsid w:val="004F60B2"/>
    <w:rsid w:val="005127EF"/>
    <w:rsid w:val="00513EC4"/>
    <w:rsid w:val="0054190D"/>
    <w:rsid w:val="005460BF"/>
    <w:rsid w:val="00546BE4"/>
    <w:rsid w:val="0055106B"/>
    <w:rsid w:val="00552654"/>
    <w:rsid w:val="00555F4E"/>
    <w:rsid w:val="0056584F"/>
    <w:rsid w:val="0057459C"/>
    <w:rsid w:val="00584A71"/>
    <w:rsid w:val="00595870"/>
    <w:rsid w:val="00596C9A"/>
    <w:rsid w:val="005A0B24"/>
    <w:rsid w:val="005A0EF3"/>
    <w:rsid w:val="005A7EBD"/>
    <w:rsid w:val="005B0557"/>
    <w:rsid w:val="005B24A5"/>
    <w:rsid w:val="005C4E9E"/>
    <w:rsid w:val="005C54B4"/>
    <w:rsid w:val="005C78B8"/>
    <w:rsid w:val="00605615"/>
    <w:rsid w:val="006057DC"/>
    <w:rsid w:val="00605DFC"/>
    <w:rsid w:val="00605F98"/>
    <w:rsid w:val="006064EB"/>
    <w:rsid w:val="0060700A"/>
    <w:rsid w:val="00612625"/>
    <w:rsid w:val="00616C8C"/>
    <w:rsid w:val="00627D2A"/>
    <w:rsid w:val="00633168"/>
    <w:rsid w:val="0064390F"/>
    <w:rsid w:val="006470E5"/>
    <w:rsid w:val="006667C4"/>
    <w:rsid w:val="00670752"/>
    <w:rsid w:val="0067371A"/>
    <w:rsid w:val="00675265"/>
    <w:rsid w:val="00680BB7"/>
    <w:rsid w:val="006870E5"/>
    <w:rsid w:val="00687611"/>
    <w:rsid w:val="006A7474"/>
    <w:rsid w:val="006A798C"/>
    <w:rsid w:val="006B2685"/>
    <w:rsid w:val="006C2F3F"/>
    <w:rsid w:val="006C3EC1"/>
    <w:rsid w:val="006D1D00"/>
    <w:rsid w:val="006D5585"/>
    <w:rsid w:val="006E1AF1"/>
    <w:rsid w:val="00701571"/>
    <w:rsid w:val="00724191"/>
    <w:rsid w:val="00737CA3"/>
    <w:rsid w:val="007406C0"/>
    <w:rsid w:val="00773350"/>
    <w:rsid w:val="00773BD8"/>
    <w:rsid w:val="00776842"/>
    <w:rsid w:val="00776912"/>
    <w:rsid w:val="007A01A5"/>
    <w:rsid w:val="007C3D56"/>
    <w:rsid w:val="007D2208"/>
    <w:rsid w:val="007D5C00"/>
    <w:rsid w:val="007D5C20"/>
    <w:rsid w:val="007E10AF"/>
    <w:rsid w:val="007E5350"/>
    <w:rsid w:val="007F3E2E"/>
    <w:rsid w:val="00804577"/>
    <w:rsid w:val="00832E30"/>
    <w:rsid w:val="008369B0"/>
    <w:rsid w:val="00862232"/>
    <w:rsid w:val="008624A4"/>
    <w:rsid w:val="00867909"/>
    <w:rsid w:val="0087547D"/>
    <w:rsid w:val="00880AF2"/>
    <w:rsid w:val="00895609"/>
    <w:rsid w:val="008B2083"/>
    <w:rsid w:val="008B567B"/>
    <w:rsid w:val="008C3036"/>
    <w:rsid w:val="008D6BAE"/>
    <w:rsid w:val="008F4C1A"/>
    <w:rsid w:val="008F718E"/>
    <w:rsid w:val="009033AB"/>
    <w:rsid w:val="00917BF2"/>
    <w:rsid w:val="0093641D"/>
    <w:rsid w:val="00941A4D"/>
    <w:rsid w:val="0095395F"/>
    <w:rsid w:val="00954AA1"/>
    <w:rsid w:val="0099409D"/>
    <w:rsid w:val="009C0E1F"/>
    <w:rsid w:val="009C17AD"/>
    <w:rsid w:val="009D330C"/>
    <w:rsid w:val="009D73B1"/>
    <w:rsid w:val="00A431BD"/>
    <w:rsid w:val="00A80FD5"/>
    <w:rsid w:val="00A810B6"/>
    <w:rsid w:val="00A86055"/>
    <w:rsid w:val="00A872EB"/>
    <w:rsid w:val="00A877C7"/>
    <w:rsid w:val="00A93DBE"/>
    <w:rsid w:val="00AA1922"/>
    <w:rsid w:val="00AC480B"/>
    <w:rsid w:val="00B0465C"/>
    <w:rsid w:val="00B048FD"/>
    <w:rsid w:val="00B07BEB"/>
    <w:rsid w:val="00B14770"/>
    <w:rsid w:val="00B17365"/>
    <w:rsid w:val="00B34341"/>
    <w:rsid w:val="00B530B3"/>
    <w:rsid w:val="00B64505"/>
    <w:rsid w:val="00B80D85"/>
    <w:rsid w:val="00B858D6"/>
    <w:rsid w:val="00B85E08"/>
    <w:rsid w:val="00BA4728"/>
    <w:rsid w:val="00BB74D8"/>
    <w:rsid w:val="00BD4E6F"/>
    <w:rsid w:val="00BE3584"/>
    <w:rsid w:val="00BE59C4"/>
    <w:rsid w:val="00C00427"/>
    <w:rsid w:val="00C063ED"/>
    <w:rsid w:val="00C12B18"/>
    <w:rsid w:val="00C31AF3"/>
    <w:rsid w:val="00C573C3"/>
    <w:rsid w:val="00C9239A"/>
    <w:rsid w:val="00CD34D3"/>
    <w:rsid w:val="00CE11E3"/>
    <w:rsid w:val="00CE16F0"/>
    <w:rsid w:val="00CE245C"/>
    <w:rsid w:val="00CE63ED"/>
    <w:rsid w:val="00D12C10"/>
    <w:rsid w:val="00D16041"/>
    <w:rsid w:val="00D22F31"/>
    <w:rsid w:val="00D316A1"/>
    <w:rsid w:val="00D33629"/>
    <w:rsid w:val="00D33984"/>
    <w:rsid w:val="00D37592"/>
    <w:rsid w:val="00D75E88"/>
    <w:rsid w:val="00D80E84"/>
    <w:rsid w:val="00D8148A"/>
    <w:rsid w:val="00D951D8"/>
    <w:rsid w:val="00DA7B73"/>
    <w:rsid w:val="00DC5D43"/>
    <w:rsid w:val="00DE1E0A"/>
    <w:rsid w:val="00DE3FB5"/>
    <w:rsid w:val="00E1628B"/>
    <w:rsid w:val="00E174DA"/>
    <w:rsid w:val="00E31F50"/>
    <w:rsid w:val="00E355E5"/>
    <w:rsid w:val="00E54C91"/>
    <w:rsid w:val="00E578B5"/>
    <w:rsid w:val="00E646B8"/>
    <w:rsid w:val="00E94A3B"/>
    <w:rsid w:val="00ED2999"/>
    <w:rsid w:val="00F01DD7"/>
    <w:rsid w:val="00F22489"/>
    <w:rsid w:val="00F234F5"/>
    <w:rsid w:val="00F55629"/>
    <w:rsid w:val="00F62AD6"/>
    <w:rsid w:val="00F632F4"/>
    <w:rsid w:val="00F70B0E"/>
    <w:rsid w:val="00F941B4"/>
    <w:rsid w:val="00F953F8"/>
    <w:rsid w:val="00FA69D6"/>
    <w:rsid w:val="00FA79EA"/>
    <w:rsid w:val="00FC0286"/>
    <w:rsid w:val="00FD3CCD"/>
    <w:rsid w:val="00FE3108"/>
    <w:rsid w:val="00FE3361"/>
    <w:rsid w:val="00FF08FA"/>
    <w:rsid w:val="00FF712A"/>
    <w:rsid w:val="020726B5"/>
    <w:rsid w:val="02246AB3"/>
    <w:rsid w:val="045E4A8E"/>
    <w:rsid w:val="085072D6"/>
    <w:rsid w:val="08D35DAA"/>
    <w:rsid w:val="0AD9287C"/>
    <w:rsid w:val="0B19472E"/>
    <w:rsid w:val="0C04572C"/>
    <w:rsid w:val="0D882D65"/>
    <w:rsid w:val="108A3DD8"/>
    <w:rsid w:val="10EA020B"/>
    <w:rsid w:val="11ED5C6B"/>
    <w:rsid w:val="120A776D"/>
    <w:rsid w:val="17AF4958"/>
    <w:rsid w:val="1BFF0BA2"/>
    <w:rsid w:val="1C764D8E"/>
    <w:rsid w:val="1E5B925C"/>
    <w:rsid w:val="1E885DF3"/>
    <w:rsid w:val="1F73B621"/>
    <w:rsid w:val="1FDB54AC"/>
    <w:rsid w:val="20500CA4"/>
    <w:rsid w:val="223F4155"/>
    <w:rsid w:val="25975D29"/>
    <w:rsid w:val="28A27D33"/>
    <w:rsid w:val="28A81197"/>
    <w:rsid w:val="28C438FA"/>
    <w:rsid w:val="2AFFA947"/>
    <w:rsid w:val="2B356697"/>
    <w:rsid w:val="32552BF1"/>
    <w:rsid w:val="3298182F"/>
    <w:rsid w:val="34A64C3A"/>
    <w:rsid w:val="36127662"/>
    <w:rsid w:val="36C13835"/>
    <w:rsid w:val="37FB23C2"/>
    <w:rsid w:val="38411C51"/>
    <w:rsid w:val="3DD7AF07"/>
    <w:rsid w:val="3DE566F5"/>
    <w:rsid w:val="3E4E419F"/>
    <w:rsid w:val="3FA98FB7"/>
    <w:rsid w:val="3FE9402F"/>
    <w:rsid w:val="460C5E7C"/>
    <w:rsid w:val="47571378"/>
    <w:rsid w:val="49F75053"/>
    <w:rsid w:val="4AE560FA"/>
    <w:rsid w:val="506863A4"/>
    <w:rsid w:val="56984CBD"/>
    <w:rsid w:val="57CF392B"/>
    <w:rsid w:val="5AAD1584"/>
    <w:rsid w:val="5CF9CD00"/>
    <w:rsid w:val="5DED613B"/>
    <w:rsid w:val="5E579A2B"/>
    <w:rsid w:val="5EBD5B0D"/>
    <w:rsid w:val="5EFDC486"/>
    <w:rsid w:val="5FB76A00"/>
    <w:rsid w:val="5FB86C8C"/>
    <w:rsid w:val="60624BBE"/>
    <w:rsid w:val="61C008C1"/>
    <w:rsid w:val="64272A8E"/>
    <w:rsid w:val="6896246A"/>
    <w:rsid w:val="69297011"/>
    <w:rsid w:val="697FEE15"/>
    <w:rsid w:val="6C844630"/>
    <w:rsid w:val="6DAF1B80"/>
    <w:rsid w:val="6F563A8C"/>
    <w:rsid w:val="6FB519E4"/>
    <w:rsid w:val="6FFEC6C4"/>
    <w:rsid w:val="713F6B5E"/>
    <w:rsid w:val="72930CE4"/>
    <w:rsid w:val="74DCD89F"/>
    <w:rsid w:val="751C56B1"/>
    <w:rsid w:val="77B716AC"/>
    <w:rsid w:val="79DDFFF2"/>
    <w:rsid w:val="7A1933F8"/>
    <w:rsid w:val="7A3776D9"/>
    <w:rsid w:val="7AB935CA"/>
    <w:rsid w:val="7BB77400"/>
    <w:rsid w:val="7CDB77FE"/>
    <w:rsid w:val="7D6A0F9A"/>
    <w:rsid w:val="7DD60500"/>
    <w:rsid w:val="7DE3837C"/>
    <w:rsid w:val="7DFF70A0"/>
    <w:rsid w:val="7EFF8290"/>
    <w:rsid w:val="7EFF9A56"/>
    <w:rsid w:val="7F4D0ACE"/>
    <w:rsid w:val="7F6E06B7"/>
    <w:rsid w:val="7F7AE537"/>
    <w:rsid w:val="7F7E3D9C"/>
    <w:rsid w:val="7FAEE443"/>
    <w:rsid w:val="7FEFA3FA"/>
    <w:rsid w:val="A8DF735B"/>
    <w:rsid w:val="B7FAB215"/>
    <w:rsid w:val="BF672EBF"/>
    <w:rsid w:val="BFAFBE78"/>
    <w:rsid w:val="BFBFDC73"/>
    <w:rsid w:val="BFEF1D02"/>
    <w:rsid w:val="BFF70BA4"/>
    <w:rsid w:val="BFF9F7F3"/>
    <w:rsid w:val="CEEFFC5D"/>
    <w:rsid w:val="CFE0DC24"/>
    <w:rsid w:val="D7FE7E1B"/>
    <w:rsid w:val="DDE7199E"/>
    <w:rsid w:val="DF6F4B7F"/>
    <w:rsid w:val="DFFED09A"/>
    <w:rsid w:val="E5FE8CE8"/>
    <w:rsid w:val="E6FED903"/>
    <w:rsid w:val="EE2FD920"/>
    <w:rsid w:val="EF9FE758"/>
    <w:rsid w:val="EFBFACB3"/>
    <w:rsid w:val="EFEB34F1"/>
    <w:rsid w:val="F5FFF3D4"/>
    <w:rsid w:val="F6BBA71C"/>
    <w:rsid w:val="F76DA03F"/>
    <w:rsid w:val="F9AF0E05"/>
    <w:rsid w:val="F9EE03EF"/>
    <w:rsid w:val="FA5F078E"/>
    <w:rsid w:val="FB71277D"/>
    <w:rsid w:val="FBA9EEAE"/>
    <w:rsid w:val="FCFFB286"/>
    <w:rsid w:val="FDE757CC"/>
    <w:rsid w:val="FDFFFD9B"/>
    <w:rsid w:val="FEBF95C2"/>
    <w:rsid w:val="FEE7A30B"/>
    <w:rsid w:val="FF5F3890"/>
    <w:rsid w:val="FF99731C"/>
    <w:rsid w:val="FFDDEAED"/>
    <w:rsid w:val="FFE7EC5E"/>
    <w:rsid w:val="FFF7EC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qFormat/>
    <w:uiPriority w:val="0"/>
  </w:style>
  <w:style w:type="character" w:customStyle="1" w:styleId="9">
    <w:name w:val="页眉 Char"/>
    <w:link w:val="4"/>
    <w:uiPriority w:val="0"/>
    <w:rPr>
      <w:kern w:val="2"/>
      <w:sz w:val="18"/>
      <w:szCs w:val="18"/>
    </w:rPr>
  </w:style>
  <w:style w:type="paragraph" w:customStyle="1" w:styleId="10">
    <w:name w:val=" Char"/>
    <w:basedOn w:val="1"/>
    <w:qFormat/>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5825</Words>
  <Characters>5970</Characters>
  <Lines>34</Lines>
  <Paragraphs>9</Paragraphs>
  <TotalTime>1</TotalTime>
  <ScaleCrop>false</ScaleCrop>
  <LinksUpToDate>false</LinksUpToDate>
  <CharactersWithSpaces>6071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2025-05-19T05:45:00Z</dcterms:created>
  <dc:creator>预算处(税政处、编审中心)-王威</dc:creator>
  <cp:lastModifiedBy>Administrator</cp:lastModifiedBy>
  <cp:lastPrinted>2014-09-17T01:33:00Z</cp:lastPrinted>
  <dcterms:modified xsi:type="dcterms:W3CDTF">2026-01-27T01:20:11Z</dcterms:modified>
  <dc:title>2018年市直部门预算和“三公”经费预算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eyJoZGlkIjoiOGI3NjU2YTgyODViNWUzN2YyMTNmZmUzNzEwMDg2MzUiLCJ1c2VySWQiOiI1ODE1NDM5ODIifQ==</vt:lpwstr>
  </property>
  <property fmtid="{D5CDD505-2E9C-101B-9397-08002B2CF9AE}" pid="4" name="ICV">
    <vt:lpwstr>740305206EAD409D8979935B43F0FE8E_13</vt:lpwstr>
  </property>
</Properties>
</file>