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1568E">
      <w:pPr>
        <w:widowControl/>
        <w:shd w:val="clear" w:color="auto" w:fill="FFFFFF"/>
        <w:jc w:val="center"/>
        <w:rPr>
          <w:rFonts w:ascii="宋体" w:hAnsi="宋体" w:eastAsia="宋体" w:cs="宋体"/>
          <w:b/>
          <w:bCs/>
          <w:color w:val="333333"/>
          <w:kern w:val="0"/>
          <w:sz w:val="53"/>
          <w:szCs w:val="53"/>
        </w:rPr>
      </w:pPr>
    </w:p>
    <w:p w14:paraId="2010E333">
      <w:pPr>
        <w:widowControl/>
        <w:shd w:val="clear" w:color="auto" w:fill="FFFFFF"/>
        <w:jc w:val="center"/>
        <w:rPr>
          <w:rFonts w:ascii="宋体" w:hAnsi="宋体" w:eastAsia="宋体" w:cs="宋体"/>
          <w:b/>
          <w:bCs/>
          <w:color w:val="333333"/>
          <w:kern w:val="0"/>
          <w:sz w:val="53"/>
          <w:szCs w:val="53"/>
        </w:rPr>
      </w:pPr>
    </w:p>
    <w:p w14:paraId="1A8C5210">
      <w:pPr>
        <w:widowControl/>
        <w:shd w:val="clear" w:color="auto" w:fill="FFFFFF"/>
        <w:jc w:val="center"/>
        <w:rPr>
          <w:rFonts w:ascii="宋体" w:hAnsi="宋体" w:eastAsia="宋体" w:cs="宋体"/>
          <w:b/>
          <w:bCs/>
          <w:color w:val="333333"/>
          <w:kern w:val="0"/>
          <w:sz w:val="53"/>
          <w:szCs w:val="53"/>
        </w:rPr>
      </w:pPr>
    </w:p>
    <w:p w14:paraId="5A3EB854">
      <w:pPr>
        <w:widowControl/>
        <w:shd w:val="clear" w:color="auto" w:fill="FFFFFF"/>
        <w:jc w:val="center"/>
        <w:rPr>
          <w:rFonts w:ascii="宋体" w:hAnsi="宋体" w:eastAsia="宋体" w:cs="宋体"/>
          <w:b/>
          <w:bCs/>
          <w:color w:val="333333"/>
          <w:kern w:val="0"/>
          <w:sz w:val="53"/>
          <w:szCs w:val="53"/>
        </w:rPr>
      </w:pPr>
    </w:p>
    <w:p w14:paraId="72D91192">
      <w:pPr>
        <w:widowControl/>
        <w:shd w:val="clear" w:color="auto" w:fill="FFFFFF"/>
        <w:jc w:val="center"/>
        <w:rPr>
          <w:rFonts w:ascii="宋体" w:hAnsi="宋体" w:eastAsia="宋体" w:cs="宋体"/>
          <w:b/>
          <w:bCs/>
          <w:color w:val="333333"/>
          <w:kern w:val="0"/>
          <w:sz w:val="53"/>
          <w:szCs w:val="53"/>
        </w:rPr>
      </w:pPr>
    </w:p>
    <w:p w14:paraId="49161CF6">
      <w:pPr>
        <w:widowControl/>
        <w:shd w:val="clear" w:color="auto" w:fill="FFFFFF"/>
        <w:jc w:val="center"/>
        <w:rPr>
          <w:rFonts w:ascii="宋体" w:hAnsi="宋体" w:eastAsia="宋体" w:cs="宋体"/>
          <w:b/>
          <w:bCs/>
          <w:color w:val="333333"/>
          <w:kern w:val="0"/>
          <w:sz w:val="53"/>
          <w:szCs w:val="53"/>
        </w:rPr>
      </w:pPr>
      <w:r>
        <w:rPr>
          <w:rFonts w:hint="eastAsia" w:ascii="宋体" w:hAnsi="宋体" w:eastAsia="宋体" w:cs="宋体"/>
          <w:b/>
          <w:bCs/>
          <w:color w:val="333333"/>
          <w:kern w:val="0"/>
          <w:sz w:val="53"/>
          <w:szCs w:val="53"/>
        </w:rPr>
        <w:t>本溪市溪湖区工业和信息化局</w:t>
      </w:r>
    </w:p>
    <w:p w14:paraId="43CEA90A">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53"/>
          <w:szCs w:val="53"/>
        </w:rPr>
        <w:t>2021年部门预算</w:t>
      </w:r>
    </w:p>
    <w:p w14:paraId="57181122">
      <w:pPr>
        <w:widowControl/>
        <w:shd w:val="clear" w:color="auto" w:fill="FFFFFF"/>
        <w:jc w:val="center"/>
        <w:rPr>
          <w:rFonts w:ascii="微软雅黑" w:hAnsi="微软雅黑" w:eastAsia="微软雅黑" w:cs="宋体"/>
          <w:color w:val="333333"/>
          <w:kern w:val="0"/>
          <w:sz w:val="24"/>
          <w:szCs w:val="24"/>
        </w:rPr>
      </w:pPr>
    </w:p>
    <w:p w14:paraId="6208B212">
      <w:pPr>
        <w:widowControl/>
        <w:shd w:val="clear" w:color="auto" w:fill="FFFFFF"/>
        <w:jc w:val="center"/>
        <w:rPr>
          <w:rFonts w:ascii="微软雅黑" w:hAnsi="微软雅黑" w:eastAsia="微软雅黑" w:cs="宋体"/>
          <w:color w:val="333333"/>
          <w:kern w:val="0"/>
          <w:sz w:val="24"/>
          <w:szCs w:val="24"/>
        </w:rPr>
      </w:pPr>
    </w:p>
    <w:p w14:paraId="2C5FCA54">
      <w:pPr>
        <w:widowControl/>
        <w:shd w:val="clear" w:color="auto" w:fill="FFFFFF"/>
        <w:jc w:val="center"/>
        <w:rPr>
          <w:rFonts w:ascii="微软雅黑" w:hAnsi="微软雅黑" w:eastAsia="微软雅黑" w:cs="宋体"/>
          <w:color w:val="333333"/>
          <w:kern w:val="0"/>
          <w:sz w:val="24"/>
          <w:szCs w:val="24"/>
        </w:rPr>
      </w:pPr>
    </w:p>
    <w:p w14:paraId="16469F2E">
      <w:pPr>
        <w:widowControl/>
        <w:shd w:val="clear" w:color="auto" w:fill="FFFFFF"/>
        <w:jc w:val="center"/>
        <w:rPr>
          <w:rFonts w:ascii="微软雅黑" w:hAnsi="微软雅黑" w:eastAsia="微软雅黑" w:cs="宋体"/>
          <w:color w:val="333333"/>
          <w:kern w:val="0"/>
          <w:sz w:val="24"/>
          <w:szCs w:val="24"/>
        </w:rPr>
      </w:pPr>
    </w:p>
    <w:p w14:paraId="23BC312D">
      <w:pPr>
        <w:widowControl/>
        <w:shd w:val="clear" w:color="auto" w:fill="FFFFFF"/>
        <w:jc w:val="center"/>
        <w:rPr>
          <w:rFonts w:ascii="微软雅黑" w:hAnsi="微软雅黑" w:eastAsia="微软雅黑" w:cs="宋体"/>
          <w:color w:val="333333"/>
          <w:kern w:val="0"/>
          <w:sz w:val="24"/>
          <w:szCs w:val="24"/>
        </w:rPr>
      </w:pPr>
    </w:p>
    <w:p w14:paraId="36BFF5DC">
      <w:pPr>
        <w:widowControl/>
        <w:shd w:val="clear" w:color="auto" w:fill="FFFFFF"/>
        <w:jc w:val="center"/>
        <w:rPr>
          <w:rFonts w:ascii="微软雅黑" w:hAnsi="微软雅黑" w:eastAsia="微软雅黑" w:cs="宋体"/>
          <w:color w:val="333333"/>
          <w:kern w:val="0"/>
          <w:sz w:val="24"/>
          <w:szCs w:val="24"/>
        </w:rPr>
      </w:pPr>
    </w:p>
    <w:p w14:paraId="412131C2">
      <w:pPr>
        <w:widowControl/>
        <w:shd w:val="clear" w:color="auto" w:fill="FFFFFF"/>
        <w:jc w:val="center"/>
        <w:rPr>
          <w:rFonts w:ascii="微软雅黑" w:hAnsi="微软雅黑" w:eastAsia="微软雅黑" w:cs="宋体"/>
          <w:color w:val="333333"/>
          <w:kern w:val="0"/>
          <w:sz w:val="24"/>
          <w:szCs w:val="24"/>
        </w:rPr>
      </w:pPr>
    </w:p>
    <w:p w14:paraId="79153591">
      <w:pPr>
        <w:widowControl/>
        <w:shd w:val="clear" w:color="auto" w:fill="FFFFFF"/>
        <w:jc w:val="center"/>
        <w:rPr>
          <w:rFonts w:ascii="微软雅黑" w:hAnsi="微软雅黑" w:eastAsia="微软雅黑" w:cs="宋体"/>
          <w:color w:val="333333"/>
          <w:kern w:val="0"/>
          <w:sz w:val="24"/>
          <w:szCs w:val="24"/>
        </w:rPr>
      </w:pPr>
    </w:p>
    <w:p w14:paraId="10D0BD74">
      <w:pPr>
        <w:widowControl/>
        <w:shd w:val="clear" w:color="auto" w:fill="FFFFFF"/>
        <w:jc w:val="center"/>
        <w:rPr>
          <w:rFonts w:ascii="微软雅黑" w:hAnsi="微软雅黑" w:eastAsia="微软雅黑" w:cs="宋体"/>
          <w:color w:val="333333"/>
          <w:kern w:val="0"/>
          <w:sz w:val="24"/>
          <w:szCs w:val="24"/>
        </w:rPr>
      </w:pPr>
    </w:p>
    <w:p w14:paraId="275C5D43">
      <w:pPr>
        <w:widowControl/>
        <w:shd w:val="clear" w:color="auto" w:fill="FFFFFF"/>
        <w:jc w:val="center"/>
        <w:rPr>
          <w:rFonts w:ascii="微软雅黑" w:hAnsi="微软雅黑" w:eastAsia="微软雅黑" w:cs="宋体"/>
          <w:color w:val="333333"/>
          <w:kern w:val="0"/>
          <w:sz w:val="24"/>
          <w:szCs w:val="24"/>
        </w:rPr>
      </w:pPr>
    </w:p>
    <w:p w14:paraId="30FCA545">
      <w:pPr>
        <w:widowControl/>
        <w:shd w:val="clear" w:color="auto" w:fill="FFFFFF"/>
        <w:jc w:val="center"/>
        <w:rPr>
          <w:rFonts w:ascii="微软雅黑" w:hAnsi="微软雅黑" w:eastAsia="微软雅黑" w:cs="宋体"/>
          <w:color w:val="333333"/>
          <w:kern w:val="0"/>
          <w:sz w:val="24"/>
          <w:szCs w:val="24"/>
        </w:rPr>
      </w:pPr>
    </w:p>
    <w:p w14:paraId="7F508DEE">
      <w:pPr>
        <w:widowControl/>
        <w:shd w:val="clear" w:color="auto" w:fill="FFFFFF"/>
        <w:jc w:val="center"/>
        <w:rPr>
          <w:rFonts w:ascii="微软雅黑" w:hAnsi="微软雅黑" w:eastAsia="微软雅黑" w:cs="宋体"/>
          <w:color w:val="333333"/>
          <w:kern w:val="0"/>
          <w:sz w:val="24"/>
          <w:szCs w:val="24"/>
        </w:rPr>
      </w:pPr>
    </w:p>
    <w:p w14:paraId="7A519BBD">
      <w:pPr>
        <w:widowControl/>
        <w:shd w:val="clear" w:color="auto" w:fill="FFFFFF"/>
        <w:jc w:val="center"/>
        <w:rPr>
          <w:rFonts w:ascii="微软雅黑" w:hAnsi="微软雅黑" w:eastAsia="微软雅黑" w:cs="宋体"/>
          <w:color w:val="333333"/>
          <w:kern w:val="0"/>
          <w:sz w:val="24"/>
          <w:szCs w:val="24"/>
        </w:rPr>
      </w:pPr>
    </w:p>
    <w:p w14:paraId="21BF4086">
      <w:pPr>
        <w:widowControl/>
        <w:shd w:val="clear" w:color="auto" w:fill="FFFFFF"/>
        <w:jc w:val="center"/>
        <w:rPr>
          <w:rFonts w:ascii="微软雅黑" w:hAnsi="微软雅黑" w:eastAsia="微软雅黑" w:cs="宋体"/>
          <w:color w:val="333333"/>
          <w:kern w:val="0"/>
          <w:sz w:val="24"/>
          <w:szCs w:val="24"/>
        </w:rPr>
      </w:pPr>
    </w:p>
    <w:p w14:paraId="39067832">
      <w:pPr>
        <w:widowControl/>
        <w:shd w:val="clear" w:color="auto" w:fill="FFFFFF"/>
        <w:jc w:val="center"/>
        <w:rPr>
          <w:rFonts w:ascii="微软雅黑" w:hAnsi="微软雅黑" w:eastAsia="微软雅黑" w:cs="宋体"/>
          <w:color w:val="333333"/>
          <w:kern w:val="0"/>
          <w:sz w:val="24"/>
          <w:szCs w:val="24"/>
        </w:rPr>
      </w:pPr>
    </w:p>
    <w:p w14:paraId="24E78DDF">
      <w:pPr>
        <w:widowControl/>
        <w:shd w:val="clear" w:color="auto" w:fill="FFFFFF"/>
        <w:jc w:val="center"/>
        <w:rPr>
          <w:rFonts w:ascii="微软雅黑" w:hAnsi="微软雅黑" w:eastAsia="微软雅黑" w:cs="宋体"/>
          <w:color w:val="333333"/>
          <w:kern w:val="0"/>
          <w:sz w:val="24"/>
          <w:szCs w:val="24"/>
        </w:rPr>
      </w:pPr>
    </w:p>
    <w:p w14:paraId="419B0F22">
      <w:pPr>
        <w:widowControl/>
        <w:shd w:val="clear" w:color="auto" w:fill="FFFFFF"/>
        <w:jc w:val="center"/>
        <w:rPr>
          <w:rFonts w:ascii="微软雅黑" w:hAnsi="微软雅黑" w:eastAsia="微软雅黑" w:cs="宋体"/>
          <w:color w:val="333333"/>
          <w:kern w:val="0"/>
          <w:sz w:val="24"/>
          <w:szCs w:val="24"/>
        </w:rPr>
      </w:pPr>
    </w:p>
    <w:p w14:paraId="22F62D40">
      <w:pPr>
        <w:widowControl/>
        <w:shd w:val="clear" w:color="auto" w:fill="FFFFFF"/>
        <w:jc w:val="center"/>
        <w:rPr>
          <w:rFonts w:ascii="微软雅黑" w:hAnsi="微软雅黑" w:eastAsia="微软雅黑" w:cs="宋体"/>
          <w:color w:val="333333"/>
          <w:kern w:val="0"/>
          <w:sz w:val="24"/>
          <w:szCs w:val="24"/>
        </w:rPr>
      </w:pPr>
    </w:p>
    <w:p w14:paraId="1815A6B2">
      <w:pPr>
        <w:widowControl/>
        <w:shd w:val="clear" w:color="auto" w:fill="FFFFFF"/>
        <w:jc w:val="center"/>
        <w:rPr>
          <w:rFonts w:ascii="微软雅黑" w:hAnsi="微软雅黑" w:eastAsia="微软雅黑" w:cs="宋体"/>
          <w:color w:val="333333"/>
          <w:kern w:val="0"/>
          <w:sz w:val="24"/>
          <w:szCs w:val="24"/>
        </w:rPr>
      </w:pPr>
    </w:p>
    <w:p w14:paraId="2A6638D7">
      <w:pPr>
        <w:widowControl/>
        <w:shd w:val="clear" w:color="auto" w:fill="FFFFFF"/>
        <w:jc w:val="center"/>
        <w:rPr>
          <w:rFonts w:ascii="微软雅黑" w:hAnsi="微软雅黑" w:eastAsia="微软雅黑" w:cs="宋体"/>
          <w:color w:val="333333"/>
          <w:kern w:val="0"/>
          <w:sz w:val="24"/>
          <w:szCs w:val="24"/>
        </w:rPr>
      </w:pPr>
    </w:p>
    <w:p w14:paraId="0F15212B">
      <w:pPr>
        <w:widowControl/>
        <w:shd w:val="clear" w:color="auto" w:fill="FFFFFF"/>
        <w:jc w:val="center"/>
        <w:rPr>
          <w:rFonts w:ascii="微软雅黑" w:hAnsi="微软雅黑" w:eastAsia="微软雅黑" w:cs="宋体"/>
          <w:color w:val="333333"/>
          <w:kern w:val="0"/>
          <w:sz w:val="24"/>
          <w:szCs w:val="24"/>
        </w:rPr>
      </w:pPr>
    </w:p>
    <w:p w14:paraId="5259705F">
      <w:pPr>
        <w:widowControl/>
        <w:shd w:val="clear" w:color="auto" w:fill="FFFFFF"/>
        <w:jc w:val="center"/>
        <w:rPr>
          <w:rFonts w:ascii="微软雅黑" w:hAnsi="微软雅黑" w:eastAsia="微软雅黑" w:cs="宋体"/>
          <w:color w:val="333333"/>
          <w:kern w:val="0"/>
          <w:sz w:val="24"/>
          <w:szCs w:val="24"/>
        </w:rPr>
      </w:pPr>
    </w:p>
    <w:p w14:paraId="05C60A5B">
      <w:pPr>
        <w:widowControl/>
        <w:shd w:val="clear" w:color="auto" w:fill="FFFFFF"/>
        <w:jc w:val="center"/>
        <w:rPr>
          <w:rFonts w:ascii="微软雅黑" w:hAnsi="微软雅黑" w:eastAsia="微软雅黑" w:cs="宋体"/>
          <w:color w:val="333333"/>
          <w:kern w:val="0"/>
          <w:sz w:val="24"/>
          <w:szCs w:val="24"/>
        </w:rPr>
      </w:pPr>
    </w:p>
    <w:p w14:paraId="003763F2">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44"/>
          <w:szCs w:val="44"/>
        </w:rPr>
        <w:t>本溪市溪湖区溪湖区工业和信息化局目录</w:t>
      </w:r>
    </w:p>
    <w:p w14:paraId="5D74F9E7">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第一部分 部门预算公开管理文件</w:t>
      </w:r>
    </w:p>
    <w:p w14:paraId="5BC502A2">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第二部分 本溪市溪湖区工业和信息化局概况</w:t>
      </w:r>
    </w:p>
    <w:p w14:paraId="45A0812E">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一、主要职责</w:t>
      </w:r>
    </w:p>
    <w:p w14:paraId="460B309D">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二、机构设置</w:t>
      </w:r>
    </w:p>
    <w:p w14:paraId="0EBB961D">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第三部分 本溪市溪湖区部门名称2021年部门预算情况说明</w:t>
      </w:r>
    </w:p>
    <w:p w14:paraId="60DF4894">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第四部分 名词解释</w:t>
      </w:r>
    </w:p>
    <w:p w14:paraId="29D6ED20">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第五部分 2021年本溪市溪湖区部门预算批复公开表</w:t>
      </w:r>
    </w:p>
    <w:p w14:paraId="3F2BEEE0">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一、财政拨款收支预算总表</w:t>
      </w:r>
    </w:p>
    <w:p w14:paraId="134A97E2">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二、一般公共预算支出表</w:t>
      </w:r>
    </w:p>
    <w:p w14:paraId="45076A75">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三、一般公共预算基本支出表</w:t>
      </w:r>
    </w:p>
    <w:p w14:paraId="09A9AE91">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四、一般公共预算“三公”经费支出表</w:t>
      </w:r>
    </w:p>
    <w:p w14:paraId="5BFF2C39">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五、政府性基金预算支出表</w:t>
      </w:r>
    </w:p>
    <w:p w14:paraId="1B265B21">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六、部门收支预算总表</w:t>
      </w:r>
    </w:p>
    <w:p w14:paraId="2EAFB3FB">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七、部门收入预算总表</w:t>
      </w:r>
    </w:p>
    <w:p w14:paraId="08AE6006">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八、部门支出预算总表（一）</w:t>
      </w:r>
    </w:p>
    <w:p w14:paraId="5CCDA3EC">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九、部门支出预算总表（二）</w:t>
      </w:r>
    </w:p>
    <w:p w14:paraId="54CCDA76">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十、项目支出明细表</w:t>
      </w:r>
    </w:p>
    <w:p w14:paraId="096AB5D1">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十一、政府采购计划表</w:t>
      </w:r>
    </w:p>
    <w:p w14:paraId="7F070129">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十二、三公经费汇总表</w:t>
      </w:r>
    </w:p>
    <w:p w14:paraId="5866C7D3">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十三、项目绩效目标情况表</w:t>
      </w:r>
    </w:p>
    <w:p w14:paraId="4AD95825">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十四、政府预算经济分类支出预算表</w:t>
      </w:r>
    </w:p>
    <w:p w14:paraId="59500ED1">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十五、部门整体绩效目标情况表</w:t>
      </w:r>
    </w:p>
    <w:p w14:paraId="721C9CC4">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第一部分 部门预算公开管理文件</w:t>
      </w:r>
    </w:p>
    <w:p w14:paraId="00BD02DE">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p>
    <w:p w14:paraId="5C6EDBB6">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《关于印发&lt;本溪市财政局部门预决算信息公开管理办法（试行）&gt;的通知》(本财发〔2020〕36号)、本溪市财政局部门预决算信息公开管理办法（试行）</w:t>
      </w:r>
    </w:p>
    <w:p w14:paraId="2982DCC1">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第一条为推进和规范预决算信息公开工作，强化社会监督，促进依法理财，建立透明预算制度，根据《中华人民共和国预算法》和《中华人民共和国政府信息公开条例》等有关规定，结合我局实际，制定本办法。</w:t>
      </w:r>
    </w:p>
    <w:p w14:paraId="5596A6D4">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第二条本办法适用于本溪市溪湖区部门名称部门预决算信息公开管理。</w:t>
      </w:r>
    </w:p>
    <w:p w14:paraId="17FB3B45">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第三条本办法所称部门预决算信息包括预算收支安排、预算执行、决算数据等。</w:t>
      </w:r>
    </w:p>
    <w:p w14:paraId="1C0EB6CE">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第四条预决算信息公开的原则：以公开为常态，不公开为例外，依法依规公开预决算。除涉及国家秘密外，不得少公开、不公开应当公开的事项，确保预决算信息公开及时、准确和完整。</w:t>
      </w:r>
    </w:p>
    <w:p w14:paraId="78A5851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第五条财务核算部负责我局部门预决算信息公开工作，履行下列职责：</w:t>
      </w:r>
    </w:p>
    <w:p w14:paraId="1703B26E">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（一）制定我局部门预决算信息公开的工作方案；</w:t>
      </w:r>
    </w:p>
    <w:p w14:paraId="0A3575AC">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（二）按规定公开我局部门预决算信息；</w:t>
      </w:r>
    </w:p>
    <w:p w14:paraId="1BE5DA11">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（三）按规定做好公民、法人或者其他组织依申请公开部门预决算信息的答复工作。</w:t>
      </w:r>
    </w:p>
    <w:p w14:paraId="68BFDC35">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第六条部门预决算信息公开内容包括：</w:t>
      </w:r>
    </w:p>
    <w:p w14:paraId="13C95E11">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（一）部门文件。部门预决算信息公开管理办法。</w:t>
      </w:r>
    </w:p>
    <w:p w14:paraId="1EA2C56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（二）部门概况。包括部门职责、机构设置、实有人员等情况。</w:t>
      </w:r>
    </w:p>
    <w:p w14:paraId="3D2941D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（三）预决算收支情况表。包括部门收支总体情况、财政拨款安排使用情况、“三公”经费财政拨款安排使用情况等。</w:t>
      </w:r>
    </w:p>
    <w:p w14:paraId="07060522">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（四）情况说明。包括预决算年度收支、机关运行经费、政府采购、“三公”经费、国有资产占有使用和项目支出绩效目标等情况说明。</w:t>
      </w:r>
    </w:p>
    <w:p w14:paraId="2D698946">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（五）名词解释。对预决算相关专业名词进行解释说明。</w:t>
      </w:r>
    </w:p>
    <w:p w14:paraId="335B68EF">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第七条部门预决算信息在我局门户网站“财政预决算”专栏公开，并保持长期公开状态，便于社会公众查询监督。</w:t>
      </w:r>
    </w:p>
    <w:p w14:paraId="1AD4A1B5">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第八条经市财政局批复的部门预决算及报表，应当在批复后20日内公开。</w:t>
      </w:r>
    </w:p>
    <w:p w14:paraId="7206B9E1">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第九条本办法自印发之日起实行。</w:t>
      </w:r>
    </w:p>
    <w:p w14:paraId="0261CE15">
      <w:pPr>
        <w:keepLines/>
        <w:widowControl/>
        <w:shd w:val="clear" w:color="auto" w:fill="FFFFFF"/>
        <w:jc w:val="center"/>
        <w:rPr>
          <w:rFonts w:ascii="微软雅黑" w:hAnsi="微软雅黑" w:eastAsia="微软雅黑" w:cs="宋体"/>
          <w:color w:val="333333"/>
          <w:kern w:val="0"/>
          <w:sz w:val="24"/>
          <w:szCs w:val="24"/>
        </w:rPr>
      </w:pPr>
    </w:p>
    <w:p w14:paraId="7AB5FAC3">
      <w:pPr>
        <w:keepLines/>
        <w:widowControl/>
        <w:shd w:val="clear" w:color="auto" w:fill="FFFFFF"/>
        <w:jc w:val="center"/>
        <w:rPr>
          <w:rFonts w:ascii="微软雅黑" w:hAnsi="微软雅黑" w:eastAsia="微软雅黑" w:cs="宋体"/>
          <w:color w:val="333333"/>
          <w:kern w:val="0"/>
          <w:sz w:val="24"/>
          <w:szCs w:val="24"/>
        </w:rPr>
      </w:pPr>
    </w:p>
    <w:p w14:paraId="58265436">
      <w:pPr>
        <w:keepLines/>
        <w:widowControl/>
        <w:shd w:val="clear" w:color="auto" w:fill="FFFFFF"/>
        <w:jc w:val="center"/>
        <w:rPr>
          <w:rFonts w:ascii="微软雅黑" w:hAnsi="微软雅黑" w:eastAsia="微软雅黑" w:cs="宋体"/>
          <w:color w:val="333333"/>
          <w:kern w:val="0"/>
          <w:sz w:val="24"/>
          <w:szCs w:val="24"/>
        </w:rPr>
      </w:pPr>
    </w:p>
    <w:p w14:paraId="4A0131BC">
      <w:pPr>
        <w:keepLines/>
        <w:widowControl/>
        <w:shd w:val="clear" w:color="auto" w:fill="FFFFFF"/>
        <w:jc w:val="center"/>
        <w:rPr>
          <w:rFonts w:ascii="微软雅黑" w:hAnsi="微软雅黑" w:eastAsia="微软雅黑" w:cs="宋体"/>
          <w:color w:val="333333"/>
          <w:kern w:val="0"/>
          <w:sz w:val="24"/>
          <w:szCs w:val="24"/>
        </w:rPr>
      </w:pPr>
    </w:p>
    <w:p w14:paraId="3F82487C">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第二部分 本溪市溪湖区部门名称概况</w:t>
      </w:r>
    </w:p>
    <w:p w14:paraId="3BACB21C">
      <w:pPr>
        <w:keepLines/>
        <w:widowControl/>
        <w:shd w:val="clear" w:color="auto" w:fill="FFFFFF"/>
        <w:ind w:firstLine="645"/>
        <w:jc w:val="left"/>
        <w:rPr>
          <w:rFonts w:ascii="微软雅黑" w:hAnsi="微软雅黑" w:eastAsia="微软雅黑" w:cs="宋体"/>
          <w:color w:val="333333"/>
          <w:kern w:val="0"/>
          <w:sz w:val="24"/>
          <w:szCs w:val="24"/>
        </w:rPr>
      </w:pPr>
    </w:p>
    <w:p w14:paraId="2175198F">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一、部门职责</w:t>
      </w:r>
    </w:p>
    <w:p w14:paraId="65E1E139">
      <w:pPr>
        <w:pStyle w:val="2"/>
        <w:rPr>
          <w:rFonts w:hAnsi="宋体" w:eastAsia="仿宋_GB2312" w:cs="宋体"/>
          <w:sz w:val="32"/>
        </w:rPr>
      </w:pPr>
      <w:r>
        <w:rPr>
          <w:rFonts w:hint="eastAsia" w:ascii="仿宋_GB2312" w:hAnsi="微软雅黑" w:eastAsia="仿宋_GB2312" w:cs="宋体"/>
          <w:color w:val="333333"/>
          <w:kern w:val="0"/>
          <w:sz w:val="32"/>
          <w:szCs w:val="32"/>
        </w:rPr>
        <w:t xml:space="preserve"> </w:t>
      </w:r>
      <w:r>
        <w:rPr>
          <w:rFonts w:hint="eastAsia" w:hAnsi="宋体" w:eastAsia="仿宋_GB2312" w:cs="宋体"/>
          <w:sz w:val="32"/>
        </w:rPr>
        <w:t xml:space="preserve">  </w:t>
      </w:r>
      <w:r>
        <w:rPr>
          <w:rFonts w:hAnsi="宋体" w:eastAsia="仿宋_GB2312" w:cs="宋体"/>
          <w:sz w:val="32"/>
        </w:rPr>
        <w:t>(一)组织贯彻</w:t>
      </w:r>
      <w:r>
        <w:rPr>
          <w:rFonts w:hint="eastAsia" w:hAnsi="宋体" w:eastAsia="仿宋_GB2312" w:cs="宋体"/>
          <w:sz w:val="32"/>
          <w:lang w:eastAsia="zh-CN"/>
        </w:rPr>
        <w:t>国家</w:t>
      </w:r>
      <w:r>
        <w:rPr>
          <w:rFonts w:hAnsi="宋体" w:eastAsia="仿宋_GB2312" w:cs="宋体"/>
          <w:sz w:val="32"/>
        </w:rPr>
        <w:t>新型工业化发展战略和政策,协调解决新型工业化进程中的有关问题,拟订工业、信息化的发展规划并组织实施</w:t>
      </w:r>
      <w:r>
        <w:rPr>
          <w:rFonts w:hint="eastAsia" w:hAnsi="宋体" w:eastAsia="仿宋_GB2312" w:cs="宋体"/>
          <w:sz w:val="32"/>
        </w:rPr>
        <w:t>，</w:t>
      </w:r>
      <w:r>
        <w:rPr>
          <w:rFonts w:hAnsi="宋体" w:eastAsia="仿宋_GB2312" w:cs="宋体"/>
          <w:sz w:val="32"/>
        </w:rPr>
        <w:t>推进工业供给侧结构性改革,推进产业结构战略性调整和优化升级</w:t>
      </w:r>
      <w:r>
        <w:rPr>
          <w:rFonts w:hint="eastAsia" w:hAnsi="宋体" w:eastAsia="仿宋_GB2312" w:cs="宋体"/>
          <w:sz w:val="32"/>
        </w:rPr>
        <w:t>，</w:t>
      </w:r>
      <w:r>
        <w:rPr>
          <w:rFonts w:hAnsi="宋体" w:eastAsia="仿宋_GB2312" w:cs="宋体"/>
          <w:sz w:val="32"/>
        </w:rPr>
        <w:t>推进信息化和工业化融合,推进军民融合产业发展</w:t>
      </w:r>
      <w:r>
        <w:rPr>
          <w:rFonts w:hint="eastAsia" w:hAnsi="宋体" w:eastAsia="仿宋_GB2312" w:cs="宋体"/>
          <w:sz w:val="32"/>
        </w:rPr>
        <w:t>。</w:t>
      </w:r>
    </w:p>
    <w:p w14:paraId="76649957">
      <w:pPr>
        <w:pStyle w:val="2"/>
        <w:rPr>
          <w:rFonts w:hAnsi="宋体" w:eastAsia="仿宋_GB2312" w:cs="宋体"/>
          <w:sz w:val="32"/>
        </w:rPr>
      </w:pPr>
      <w:r>
        <w:rPr>
          <w:rFonts w:hAnsi="宋体" w:eastAsia="仿宋_GB2312" w:cs="宋体"/>
          <w:sz w:val="32"/>
        </w:rPr>
        <w:t xml:space="preserve">    (二)制定并组织实施工业行业规划、计划,提出优化产业布局</w:t>
      </w:r>
      <w:r>
        <w:rPr>
          <w:rFonts w:hint="eastAsia" w:hAnsi="宋体" w:eastAsia="仿宋_GB2312" w:cs="宋体"/>
          <w:sz w:val="32"/>
        </w:rPr>
        <w:t>，</w:t>
      </w:r>
      <w:r>
        <w:rPr>
          <w:rFonts w:hAnsi="宋体" w:eastAsia="仿宋_GB2312" w:cs="宋体"/>
          <w:sz w:val="32"/>
        </w:rPr>
        <w:t>结构的政策建议</w:t>
      </w:r>
      <w:r>
        <w:rPr>
          <w:rFonts w:hint="eastAsia" w:hAnsi="宋体" w:eastAsia="仿宋_GB2312" w:cs="宋体"/>
          <w:sz w:val="32"/>
        </w:rPr>
        <w:t>。</w:t>
      </w:r>
    </w:p>
    <w:p w14:paraId="45C242C7">
      <w:pPr>
        <w:pStyle w:val="2"/>
        <w:rPr>
          <w:rFonts w:hAnsi="宋体" w:eastAsia="仿宋_GB2312" w:cs="宋体"/>
          <w:sz w:val="32"/>
        </w:rPr>
      </w:pPr>
      <w:r>
        <w:rPr>
          <w:rFonts w:hAnsi="宋体" w:eastAsia="仿宋_GB2312" w:cs="宋体"/>
          <w:sz w:val="32"/>
        </w:rPr>
        <w:t xml:space="preserve">    (三)分析工业经济发展趋势,提出调控目标和调节政策建议</w:t>
      </w:r>
      <w:r>
        <w:rPr>
          <w:rFonts w:hint="eastAsia" w:hAnsi="宋体" w:eastAsia="仿宋_GB2312" w:cs="宋体"/>
          <w:sz w:val="32"/>
        </w:rPr>
        <w:t>，</w:t>
      </w:r>
      <w:r>
        <w:rPr>
          <w:rFonts w:hAnsi="宋体" w:eastAsia="仿宋_GB2312" w:cs="宋体"/>
          <w:sz w:val="32"/>
        </w:rPr>
        <w:t>负责日常工业经济的调控,监测分析工业运行态势,发布相关信息</w:t>
      </w:r>
      <w:r>
        <w:rPr>
          <w:rFonts w:hint="eastAsia" w:hAnsi="宋体" w:eastAsia="仿宋_GB2312" w:cs="宋体"/>
          <w:sz w:val="32"/>
        </w:rPr>
        <w:t>，</w:t>
      </w:r>
      <w:r>
        <w:rPr>
          <w:rFonts w:hAnsi="宋体" w:eastAsia="仿宋_GB2312" w:cs="宋体"/>
          <w:sz w:val="32"/>
        </w:rPr>
        <w:t>进行预测预警和信息引导,协调解决工业运行发展中的有关问题,负责工业应急管理、产业安全和参与国防动员有关工作,联络、协调驻溪湖中省直企业</w:t>
      </w:r>
      <w:r>
        <w:rPr>
          <w:rFonts w:hint="eastAsia" w:hAnsi="宋体" w:eastAsia="仿宋_GB2312" w:cs="宋体"/>
          <w:sz w:val="32"/>
        </w:rPr>
        <w:t>。</w:t>
      </w:r>
    </w:p>
    <w:p w14:paraId="1F707F0C">
      <w:pPr>
        <w:pStyle w:val="2"/>
        <w:rPr>
          <w:rFonts w:hAnsi="宋体" w:eastAsia="仿宋_GB2312" w:cs="宋体"/>
          <w:sz w:val="32"/>
        </w:rPr>
      </w:pPr>
      <w:r>
        <w:rPr>
          <w:rFonts w:hAnsi="宋体" w:eastAsia="仿宋_GB2312" w:cs="宋体"/>
          <w:sz w:val="32"/>
        </w:rPr>
        <w:t xml:space="preserve">    (四)负责提出工业和信息化固定资产投资规模和方向(含利用外资和境外投资</w:t>
      </w:r>
      <w:r>
        <w:rPr>
          <w:rFonts w:hint="eastAsia" w:hAnsi="宋体" w:eastAsia="仿宋_GB2312" w:cs="宋体"/>
          <w:sz w:val="32"/>
        </w:rPr>
        <w:t>)</w:t>
      </w:r>
      <w:r>
        <w:rPr>
          <w:rFonts w:hAnsi="宋体" w:eastAsia="仿宋_GB2312" w:cs="宋体"/>
          <w:sz w:val="32"/>
        </w:rPr>
        <w:t xml:space="preserve"> 、县级财政性建设资金安排的意见,按规定权限</w:t>
      </w:r>
      <w:r>
        <w:rPr>
          <w:rFonts w:hint="eastAsia" w:hAnsi="宋体" w:eastAsia="仿宋_GB2312" w:cs="宋体"/>
          <w:sz w:val="32"/>
        </w:rPr>
        <w:t>,</w:t>
      </w:r>
      <w:r>
        <w:rPr>
          <w:rFonts w:hAnsi="宋体" w:eastAsia="仿宋_GB2312" w:cs="宋体"/>
          <w:sz w:val="32"/>
        </w:rPr>
        <w:t>管理国家、省、市规划内和年度计划规模内固定资产投资项目</w:t>
      </w:r>
      <w:r>
        <w:rPr>
          <w:rFonts w:hint="eastAsia" w:hAnsi="宋体" w:eastAsia="仿宋_GB2312" w:cs="宋体"/>
          <w:sz w:val="32"/>
        </w:rPr>
        <w:t>。</w:t>
      </w:r>
    </w:p>
    <w:p w14:paraId="4FCE2732">
      <w:pPr>
        <w:pStyle w:val="2"/>
        <w:rPr>
          <w:rFonts w:hAnsi="宋体" w:eastAsia="仿宋_GB2312" w:cs="宋体"/>
          <w:sz w:val="32"/>
        </w:rPr>
      </w:pPr>
      <w:r>
        <w:rPr>
          <w:rFonts w:hAnsi="宋体" w:eastAsia="仿宋_GB2312" w:cs="宋体"/>
          <w:sz w:val="32"/>
        </w:rPr>
        <w:t xml:space="preserve">    (五)组织实施高技术产业中涉及生物医药、新材料、信息产业等的规划、政策,指导行业技术创新和技术进步,组织实施科技重大项目,推进信息技术应用,推动信息服务业和新兴产业发展</w:t>
      </w:r>
      <w:r>
        <w:rPr>
          <w:rFonts w:hint="eastAsia" w:hAnsi="宋体" w:eastAsia="仿宋_GB2312" w:cs="宋体"/>
          <w:sz w:val="32"/>
        </w:rPr>
        <w:t>。</w:t>
      </w:r>
    </w:p>
    <w:p w14:paraId="7C11D54C">
      <w:pPr>
        <w:pStyle w:val="2"/>
        <w:rPr>
          <w:rFonts w:hAnsi="宋体" w:eastAsia="仿宋_GB2312" w:cs="宋体"/>
          <w:sz w:val="32"/>
        </w:rPr>
      </w:pPr>
      <w:r>
        <w:rPr>
          <w:rFonts w:hAnsi="宋体" w:eastAsia="仿宋_GB2312" w:cs="宋体"/>
          <w:sz w:val="32"/>
        </w:rPr>
        <w:t xml:space="preserve">    (六)负责《〈中国制造2025)辽宁行动纲要》的组织实施与统筹协调工作,提出推进制造强区的工作措施和政策建议</w:t>
      </w:r>
      <w:r>
        <w:rPr>
          <w:rFonts w:hint="eastAsia" w:hAnsi="宋体" w:eastAsia="仿宋_GB2312" w:cs="宋体"/>
          <w:sz w:val="32"/>
        </w:rPr>
        <w:t>。</w:t>
      </w:r>
    </w:p>
    <w:p w14:paraId="23ACF8C3">
      <w:pPr>
        <w:pStyle w:val="2"/>
        <w:rPr>
          <w:rFonts w:hAnsi="宋体" w:eastAsia="仿宋_GB2312" w:cs="宋体"/>
          <w:sz w:val="32"/>
        </w:rPr>
      </w:pPr>
      <w:r>
        <w:rPr>
          <w:rFonts w:hAnsi="宋体" w:eastAsia="仿宋_GB2312" w:cs="宋体"/>
          <w:sz w:val="32"/>
        </w:rPr>
        <w:t xml:space="preserve">    (七)承担振兴装备制造业组织协调的责任,依托重点工程建设协调有关重大专项的实施,推进重大技术装备国产化,指导引进重大技术装备的消化创新</w:t>
      </w:r>
      <w:r>
        <w:rPr>
          <w:rFonts w:hint="eastAsia" w:hAnsi="宋体" w:eastAsia="仿宋_GB2312" w:cs="宋体"/>
          <w:sz w:val="32"/>
        </w:rPr>
        <w:t>。</w:t>
      </w:r>
    </w:p>
    <w:p w14:paraId="00CA6776">
      <w:pPr>
        <w:pStyle w:val="2"/>
        <w:rPr>
          <w:rFonts w:hAnsi="宋体" w:eastAsia="仿宋_GB2312" w:cs="宋体"/>
          <w:sz w:val="32"/>
        </w:rPr>
      </w:pPr>
      <w:r>
        <w:rPr>
          <w:rFonts w:hAnsi="宋体" w:eastAsia="仿宋_GB2312" w:cs="宋体"/>
          <w:sz w:val="32"/>
        </w:rPr>
        <w:t xml:space="preserve">    </w:t>
      </w:r>
      <w:r>
        <w:rPr>
          <w:rFonts w:hint="eastAsia" w:hAnsi="宋体" w:eastAsia="仿宋_GB2312" w:cs="宋体"/>
          <w:sz w:val="32"/>
        </w:rPr>
        <w:t>（</w:t>
      </w:r>
      <w:r>
        <w:rPr>
          <w:rFonts w:hAnsi="宋体" w:eastAsia="仿宋_GB2312" w:cs="宋体"/>
          <w:sz w:val="32"/>
        </w:rPr>
        <w:t>八)组织实施工业和信息化的能源节约和资源综合利用、清洁生产促进政策,参与拟定能源节约和资源综合利用、清洁生产促进规划,协调推进相关重大示范工程</w:t>
      </w:r>
      <w:r>
        <w:rPr>
          <w:rFonts w:hint="eastAsia" w:hAnsi="宋体" w:eastAsia="仿宋_GB2312" w:cs="宋体"/>
          <w:sz w:val="32"/>
        </w:rPr>
        <w:t>。</w:t>
      </w:r>
    </w:p>
    <w:p w14:paraId="399F2F72">
      <w:pPr>
        <w:pStyle w:val="2"/>
        <w:rPr>
          <w:rFonts w:hAnsi="宋体" w:eastAsia="仿宋_GB2312" w:cs="宋体"/>
          <w:sz w:val="32"/>
        </w:rPr>
      </w:pPr>
      <w:r>
        <w:rPr>
          <w:rFonts w:hAnsi="宋体" w:eastAsia="仿宋_GB2312" w:cs="宋体"/>
          <w:sz w:val="32"/>
        </w:rPr>
        <w:t xml:space="preserve">    (九)统筹推进全区工业和信息化融合发展,推进工业领域信安全保障</w:t>
      </w:r>
      <w:r>
        <w:rPr>
          <w:rFonts w:hint="eastAsia" w:hAnsi="宋体" w:eastAsia="仿宋_GB2312" w:cs="宋体"/>
          <w:sz w:val="32"/>
        </w:rPr>
        <w:t>。</w:t>
      </w:r>
    </w:p>
    <w:p w14:paraId="172186BC">
      <w:pPr>
        <w:pStyle w:val="2"/>
        <w:rPr>
          <w:rFonts w:hAnsi="宋体" w:eastAsia="仿宋_GB2312" w:cs="宋体"/>
          <w:sz w:val="32"/>
        </w:rPr>
      </w:pPr>
      <w:r>
        <w:rPr>
          <w:rFonts w:hAnsi="宋体" w:eastAsia="仿宋_GB2312" w:cs="宋体"/>
          <w:sz w:val="32"/>
        </w:rPr>
        <w:t xml:space="preserve">    </w:t>
      </w:r>
      <w:r>
        <w:rPr>
          <w:rFonts w:hint="eastAsia" w:hAnsi="宋体" w:eastAsia="仿宋_GB2312" w:cs="宋体"/>
          <w:sz w:val="32"/>
        </w:rPr>
        <w:t>（</w:t>
      </w:r>
      <w:r>
        <w:rPr>
          <w:rFonts w:hAnsi="宋体" w:eastAsia="仿宋_GB2312" w:cs="宋体"/>
          <w:sz w:val="32"/>
        </w:rPr>
        <w:t>十)拟定军民融合产业发展规划,负责军队与地方武器装备科研生产重大项目的组织协调和军工单位与地方之间的服务协调工作推动军民融合产业发展,推进军转民、民参军有关协调工作,负责民爆器材行业管理和核事故应急相关工作</w:t>
      </w:r>
      <w:r>
        <w:rPr>
          <w:rFonts w:hint="eastAsia" w:hAnsi="宋体" w:eastAsia="仿宋_GB2312" w:cs="宋体"/>
          <w:sz w:val="32"/>
        </w:rPr>
        <w:t>。</w:t>
      </w:r>
    </w:p>
    <w:p w14:paraId="58FFA76A">
      <w:pPr>
        <w:pStyle w:val="2"/>
        <w:rPr>
          <w:rFonts w:hAnsi="宋体" w:eastAsia="仿宋_GB2312" w:cs="宋体"/>
          <w:sz w:val="32"/>
        </w:rPr>
      </w:pPr>
      <w:r>
        <w:rPr>
          <w:rFonts w:hAnsi="宋体" w:eastAsia="仿宋_GB2312" w:cs="宋体"/>
          <w:sz w:val="32"/>
        </w:rPr>
        <w:t xml:space="preserve">    (十一)负责国有企业改革和国有、集体企业的处置工作及资产监管工作,包括对企业困难职工善后安抚和日常管理工作职能</w:t>
      </w:r>
      <w:r>
        <w:rPr>
          <w:rFonts w:hint="eastAsia" w:hAnsi="宋体" w:eastAsia="仿宋_GB2312" w:cs="宋体"/>
          <w:sz w:val="32"/>
        </w:rPr>
        <w:t>。</w:t>
      </w:r>
    </w:p>
    <w:p w14:paraId="447C95DF">
      <w:pPr>
        <w:pStyle w:val="2"/>
        <w:rPr>
          <w:rFonts w:hAnsi="宋体" w:eastAsia="仿宋_GB2312" w:cs="宋体"/>
          <w:sz w:val="32"/>
        </w:rPr>
      </w:pPr>
      <w:r>
        <w:rPr>
          <w:rFonts w:hAnsi="宋体" w:eastAsia="仿宋_GB2312" w:cs="宋体"/>
          <w:sz w:val="32"/>
        </w:rPr>
        <w:t xml:space="preserve">    (十二)负责中小微企业、乡镇企业、民营经济、城镇集体经济发展的宏观指导和综合协调,拟订并组织实施发展规划和相关措施监测分析发展动态,推动建立完善服务体系,协调解决有关重大问题</w:t>
      </w:r>
      <w:r>
        <w:rPr>
          <w:rFonts w:hint="eastAsia" w:hAnsi="宋体" w:eastAsia="仿宋_GB2312" w:cs="宋体"/>
          <w:sz w:val="32"/>
        </w:rPr>
        <w:t>。</w:t>
      </w:r>
    </w:p>
    <w:p w14:paraId="74D71DCA">
      <w:pPr>
        <w:pStyle w:val="2"/>
        <w:rPr>
          <w:rFonts w:hAnsi="宋体" w:eastAsia="仿宋_GB2312" w:cs="宋体"/>
          <w:sz w:val="32"/>
        </w:rPr>
      </w:pPr>
      <w:r>
        <w:rPr>
          <w:rFonts w:hAnsi="宋体" w:eastAsia="仿宋_GB2312" w:cs="宋体"/>
          <w:sz w:val="32"/>
        </w:rPr>
        <w:t xml:space="preserve">    (十三)配合有关部门做好工业招商引资工作,参与工业重大招商引资活动,协调工业招商引资项目的跟踪落实和相关指导、协调服务工作</w:t>
      </w:r>
      <w:r>
        <w:rPr>
          <w:rFonts w:hint="eastAsia" w:hAnsi="宋体" w:eastAsia="仿宋_GB2312" w:cs="宋体"/>
          <w:sz w:val="32"/>
        </w:rPr>
        <w:t>。</w:t>
      </w:r>
    </w:p>
    <w:p w14:paraId="2A8F48CC">
      <w:pPr>
        <w:pStyle w:val="2"/>
        <w:rPr>
          <w:rFonts w:hAnsi="宋体" w:eastAsia="仿宋_GB2312" w:cs="宋体"/>
          <w:sz w:val="32"/>
        </w:rPr>
      </w:pPr>
      <w:r>
        <w:rPr>
          <w:rFonts w:hAnsi="宋体" w:eastAsia="仿宋_GB2312" w:cs="宋体"/>
          <w:sz w:val="32"/>
        </w:rPr>
        <w:t xml:space="preserve">    </w:t>
      </w:r>
      <w:r>
        <w:rPr>
          <w:rFonts w:hint="eastAsia" w:hAnsi="宋体" w:eastAsia="仿宋_GB2312" w:cs="宋体"/>
          <w:sz w:val="32"/>
        </w:rPr>
        <w:t>（</w:t>
      </w:r>
      <w:r>
        <w:rPr>
          <w:rFonts w:hAnsi="宋体" w:eastAsia="仿宋_GB2312" w:cs="宋体"/>
          <w:sz w:val="32"/>
        </w:rPr>
        <w:t>十四)指导工业企业加强安全生产工作,指导监督全区军工企业的安全生产工作,负责民用爆破器材生产和流通企业的安全生产监督管理工作</w:t>
      </w:r>
      <w:r>
        <w:rPr>
          <w:rFonts w:hint="eastAsia" w:hAnsi="宋体" w:eastAsia="仿宋_GB2312" w:cs="宋体"/>
          <w:sz w:val="32"/>
        </w:rPr>
        <w:t>。</w:t>
      </w:r>
    </w:p>
    <w:p w14:paraId="701F793C">
      <w:pPr>
        <w:pStyle w:val="2"/>
        <w:rPr>
          <w:rFonts w:hAnsi="宋体" w:eastAsia="仿宋_GB2312" w:cs="宋体"/>
          <w:sz w:val="32"/>
        </w:rPr>
      </w:pPr>
      <w:r>
        <w:rPr>
          <w:rFonts w:hAnsi="宋体" w:eastAsia="仿宋_GB2312" w:cs="宋体"/>
          <w:sz w:val="32"/>
        </w:rPr>
        <w:t xml:space="preserve">    (十五)依法行使相关电力管理职责</w:t>
      </w:r>
      <w:r>
        <w:rPr>
          <w:rFonts w:hint="eastAsia" w:hAnsi="宋体" w:eastAsia="仿宋_GB2312" w:cs="宋体"/>
          <w:sz w:val="32"/>
        </w:rPr>
        <w:t>。</w:t>
      </w:r>
    </w:p>
    <w:p w14:paraId="693CA6D6">
      <w:pPr>
        <w:pStyle w:val="2"/>
        <w:rPr>
          <w:rFonts w:hAnsi="宋体" w:eastAsia="仿宋_GB2312" w:cs="宋体"/>
          <w:sz w:val="32"/>
        </w:rPr>
      </w:pPr>
      <w:r>
        <w:rPr>
          <w:rFonts w:hAnsi="宋体" w:eastAsia="仿宋_GB2312" w:cs="宋体"/>
          <w:sz w:val="32"/>
        </w:rPr>
        <w:t xml:space="preserve">    (十六)开展工业和信息化的对外合作与交流,按分工承担企业帮扶工作</w:t>
      </w:r>
      <w:r>
        <w:rPr>
          <w:rFonts w:hint="eastAsia" w:hAnsi="宋体" w:eastAsia="仿宋_GB2312" w:cs="宋体"/>
          <w:sz w:val="32"/>
        </w:rPr>
        <w:t>。</w:t>
      </w:r>
    </w:p>
    <w:p w14:paraId="1EEB9A80">
      <w:pPr>
        <w:pStyle w:val="2"/>
        <w:rPr>
          <w:rFonts w:hAnsi="宋体" w:eastAsia="仿宋_GB2312" w:cs="宋体"/>
          <w:sz w:val="32"/>
        </w:rPr>
      </w:pPr>
      <w:r>
        <w:rPr>
          <w:rFonts w:hAnsi="宋体" w:eastAsia="仿宋_GB2312" w:cs="宋体"/>
          <w:sz w:val="32"/>
        </w:rPr>
        <w:t xml:space="preserve">    (十七)拟定科学技术普及工作规划,负责相关科技宣传</w:t>
      </w:r>
    </w:p>
    <w:p w14:paraId="70006DAA">
      <w:pPr>
        <w:pStyle w:val="2"/>
        <w:rPr>
          <w:rFonts w:hAnsi="宋体" w:eastAsia="仿宋_GB2312" w:cs="宋体"/>
          <w:sz w:val="32"/>
        </w:rPr>
      </w:pPr>
      <w:r>
        <w:rPr>
          <w:rFonts w:hAnsi="宋体" w:eastAsia="仿宋_GB2312" w:cs="宋体"/>
          <w:sz w:val="32"/>
        </w:rPr>
        <w:t xml:space="preserve">    信息报告、评估、统计管理等工作;开展全区科技保密工作</w:t>
      </w:r>
      <w:r>
        <w:rPr>
          <w:rFonts w:hint="eastAsia" w:hAnsi="宋体" w:eastAsia="仿宋_GB2312" w:cs="宋体"/>
          <w:sz w:val="32"/>
        </w:rPr>
        <w:t>。</w:t>
      </w:r>
    </w:p>
    <w:p w14:paraId="1B1A65E2">
      <w:pPr>
        <w:pStyle w:val="2"/>
        <w:rPr>
          <w:rFonts w:hAnsi="宋体" w:eastAsia="仿宋_GB2312" w:cs="宋体"/>
          <w:sz w:val="32"/>
        </w:rPr>
      </w:pPr>
      <w:r>
        <w:rPr>
          <w:rFonts w:hAnsi="宋体" w:eastAsia="仿宋_GB2312" w:cs="宋体"/>
          <w:sz w:val="32"/>
        </w:rPr>
        <w:t xml:space="preserve">    (十八)推动企业科技创新能力建设,会同有关部门健全技术创新激励机制,培育壮大发展科技型企业</w:t>
      </w:r>
      <w:r>
        <w:rPr>
          <w:rFonts w:hint="eastAsia" w:hAnsi="宋体" w:eastAsia="仿宋_GB2312" w:cs="宋体"/>
          <w:sz w:val="32"/>
        </w:rPr>
        <w:t>。</w:t>
      </w:r>
    </w:p>
    <w:p w14:paraId="1C6A4A74">
      <w:pPr>
        <w:pStyle w:val="2"/>
        <w:rPr>
          <w:rFonts w:hAnsi="宋体" w:eastAsia="仿宋_GB2312" w:cs="宋体"/>
          <w:sz w:val="32"/>
        </w:rPr>
      </w:pPr>
      <w:r>
        <w:rPr>
          <w:rFonts w:hAnsi="宋体" w:eastAsia="仿宋_GB2312" w:cs="宋体"/>
          <w:sz w:val="32"/>
        </w:rPr>
        <w:t xml:space="preserve">    (十九)编制区重大科技项目规划并监督实施,牵头组织重大技术攻关和成果应用示范</w:t>
      </w:r>
      <w:r>
        <w:rPr>
          <w:rFonts w:hint="eastAsia" w:hAnsi="宋体" w:eastAsia="仿宋_GB2312" w:cs="宋体"/>
          <w:sz w:val="32"/>
        </w:rPr>
        <w:t>。</w:t>
      </w:r>
    </w:p>
    <w:p w14:paraId="50397DA8">
      <w:pPr>
        <w:pStyle w:val="2"/>
        <w:ind w:firstLine="640"/>
        <w:rPr>
          <w:rFonts w:hAnsi="宋体" w:eastAsia="仿宋_GB2312" w:cs="宋体"/>
          <w:sz w:val="32"/>
        </w:rPr>
      </w:pPr>
      <w:r>
        <w:rPr>
          <w:rFonts w:hAnsi="宋体" w:eastAsia="仿宋_GB2312" w:cs="宋体"/>
          <w:sz w:val="32"/>
        </w:rPr>
        <w:t>(二十)统筹区域科技创新体系建设,指导全区科技创新发展科技资源合理布局和协同创新能力建设,推动科技园区建设。</w:t>
      </w:r>
    </w:p>
    <w:p w14:paraId="53FBF4C3">
      <w:pPr>
        <w:pStyle w:val="2"/>
        <w:ind w:firstLine="640" w:firstLineChars="200"/>
        <w:rPr>
          <w:rFonts w:hAnsi="宋体" w:eastAsia="仿宋_GB2312" w:cs="宋体"/>
          <w:sz w:val="32"/>
        </w:rPr>
      </w:pPr>
      <w:r>
        <w:rPr>
          <w:rFonts w:hint="eastAsia" w:hAnsi="宋体" w:eastAsia="仿宋_GB2312" w:cs="宋体"/>
          <w:sz w:val="32"/>
        </w:rPr>
        <w:t>（二十一)负责引进国外智力工作。拟订全区引进外国专家总体规划、计划并组织实施,建立外国专家、团队吸引集聚机制和重点外国专家联系服务机制。拟订出国(境)培训总体规划、政策和年度划并监督实施。</w:t>
      </w:r>
      <w:r>
        <w:rPr>
          <w:rFonts w:hint="eastAsia" w:hAnsi="宋体" w:eastAsia="仿宋_GB2312" w:cs="宋体"/>
          <w:sz w:val="32"/>
        </w:rPr>
        <w:br w:type="textWrapping"/>
      </w:r>
      <w:r>
        <w:rPr>
          <w:rFonts w:hint="eastAsia" w:hAnsi="宋体" w:eastAsia="仿宋_GB2312" w:cs="宋体"/>
          <w:sz w:val="32"/>
        </w:rPr>
        <w:t xml:space="preserve">   （二十二) 会同有关部门拟订科技人才队伍建设规划,建立健全科技人才评价和激励机制,组织实施科技人才计划,推动高端科技创新人才队伍建设。</w:t>
      </w:r>
      <w:r>
        <w:rPr>
          <w:rFonts w:hint="eastAsia" w:hAnsi="宋体" w:eastAsia="仿宋_GB2312" w:cs="宋体"/>
          <w:sz w:val="32"/>
        </w:rPr>
        <w:br w:type="textWrapping"/>
      </w:r>
      <w:r>
        <w:rPr>
          <w:rFonts w:hint="eastAsia" w:hAnsi="宋体" w:eastAsia="仿宋_GB2312" w:cs="宋体"/>
          <w:sz w:val="32"/>
        </w:rPr>
        <w:t xml:space="preserve">    （二十三)承担区委军民融合发展委员会的日常工作。</w:t>
      </w:r>
    </w:p>
    <w:p w14:paraId="71961951">
      <w:pPr>
        <w:pStyle w:val="2"/>
        <w:ind w:firstLine="640" w:firstLineChars="200"/>
        <w:rPr>
          <w:rFonts w:hAnsi="宋体" w:eastAsia="仿宋_GB2312" w:cs="宋体"/>
          <w:sz w:val="32"/>
        </w:rPr>
      </w:pPr>
      <w:r>
        <w:rPr>
          <w:rFonts w:hint="eastAsia" w:hAnsi="宋体" w:eastAsia="仿宋_GB2312" w:cs="宋体"/>
          <w:sz w:val="32"/>
        </w:rPr>
        <w:t>（二十四)完成区委和委员会交办的其他任务。</w:t>
      </w:r>
    </w:p>
    <w:p w14:paraId="0C73405F">
      <w:pPr>
        <w:pStyle w:val="2"/>
        <w:ind w:firstLine="640" w:firstLineChars="200"/>
        <w:rPr>
          <w:rFonts w:hAnsi="宋体" w:eastAsia="仿宋_GB2312" w:cs="宋体"/>
          <w:sz w:val="32"/>
        </w:rPr>
      </w:pPr>
      <w:r>
        <w:rPr>
          <w:rFonts w:hint="eastAsia" w:hAnsi="宋体" w:eastAsia="仿宋_GB2312" w:cs="宋体"/>
          <w:sz w:val="32"/>
        </w:rPr>
        <w:t>（二十五)职能转变。</w:t>
      </w:r>
      <w:r>
        <w:rPr>
          <w:rFonts w:hint="eastAsia" w:hAnsi="宋体" w:eastAsia="仿宋_GB2312" w:cs="宋体"/>
          <w:sz w:val="32"/>
        </w:rPr>
        <w:br w:type="textWrapping"/>
      </w:r>
      <w:r>
        <w:rPr>
          <w:rFonts w:hint="eastAsia" w:hAnsi="宋体" w:eastAsia="仿宋_GB2312" w:cs="宋体"/>
          <w:sz w:val="32"/>
        </w:rPr>
        <w:t xml:space="preserve">    1.组织实施工业八大产业发展政策,推进工业领域供给侧结构性改革,加快推进先进装备制造业基地、重大技术装备基地和国家新型原材料基地建设。</w:t>
      </w:r>
      <w:r>
        <w:rPr>
          <w:rFonts w:hint="eastAsia" w:hAnsi="宋体" w:eastAsia="仿宋_GB2312" w:cs="宋体"/>
          <w:sz w:val="32"/>
        </w:rPr>
        <w:br w:type="textWrapping"/>
      </w:r>
      <w:r>
        <w:rPr>
          <w:rFonts w:hint="eastAsia" w:hAnsi="宋体" w:eastAsia="仿宋_GB2312" w:cs="宋体"/>
          <w:sz w:val="32"/>
        </w:rPr>
        <w:t xml:space="preserve">    2.贯彻《中国制造2025》,协调推进《〈中国制造2025&gt;辽宁行动纲要》的实施工作,推进工业高质量发展。</w:t>
      </w:r>
      <w:r>
        <w:rPr>
          <w:rFonts w:hint="eastAsia" w:hAnsi="宋体" w:eastAsia="仿宋_GB2312" w:cs="宋体"/>
          <w:sz w:val="32"/>
        </w:rPr>
        <w:br w:type="textWrapping"/>
      </w:r>
      <w:r>
        <w:rPr>
          <w:rFonts w:hint="eastAsia" w:hAnsi="宋体" w:eastAsia="仿宋_GB2312" w:cs="宋体"/>
          <w:sz w:val="32"/>
        </w:rPr>
        <w:t xml:space="preserve">    3加快推进信息化和工业化融合发展,着力推动军民融合产业深度发展,寓军于民,促进工业由大变强。</w:t>
      </w:r>
      <w:r>
        <w:rPr>
          <w:rFonts w:hint="eastAsia" w:hAnsi="宋体" w:eastAsia="仿宋_GB2312" w:cs="宋体"/>
          <w:sz w:val="32"/>
        </w:rPr>
        <w:br w:type="textWrapping"/>
      </w:r>
      <w:r>
        <w:rPr>
          <w:rFonts w:hint="eastAsia" w:hAnsi="宋体" w:eastAsia="仿宋_GB2312" w:cs="宋体"/>
          <w:sz w:val="32"/>
        </w:rPr>
        <w:t xml:space="preserve">    (二十六)有关职责分工。</w:t>
      </w:r>
      <w:r>
        <w:rPr>
          <w:rFonts w:hint="eastAsia" w:hAnsi="宋体" w:eastAsia="仿宋_GB2312" w:cs="宋体"/>
          <w:sz w:val="32"/>
        </w:rPr>
        <w:br w:type="textWrapping"/>
      </w:r>
      <w:r>
        <w:rPr>
          <w:rFonts w:hint="eastAsia" w:hAnsi="宋体" w:eastAsia="仿宋_GB2312" w:cs="宋体"/>
          <w:sz w:val="32"/>
        </w:rPr>
        <w:t xml:space="preserve">    1.与区发展和改革局的有关职责分工。(1)工业、信息化固定资产投资项目管理职责分工。需报政府或省、市发展和改革委员会审批核准的工业、信息化固定资产投资项目,由区发展和改革局负责申报和管理。需报省工业和信息化厅及市工业和信息化局审批、核准的工</w:t>
      </w:r>
      <w:r>
        <w:rPr>
          <w:rFonts w:hAnsi="宋体" w:eastAsia="仿宋_GB2312" w:cs="宋体"/>
          <w:sz w:val="32"/>
        </w:rPr>
        <w:t>业、信息化固定资产项目,由区工业和信息化局负责申报和管理。(2)企业技术中心管理职责分工。区工业和信息化局会同区发展和改革局区财政局等有关部门负责市级企业技术中心的认定上报工作,区发展和改革局会同区工业和信息化局等有关部门负责上报国家级、省级企业技术中心相关工作</w:t>
      </w:r>
      <w:r>
        <w:rPr>
          <w:rFonts w:hint="eastAsia" w:hAnsi="宋体" w:eastAsia="仿宋_GB2312" w:cs="宋体"/>
          <w:sz w:val="32"/>
        </w:rPr>
        <w:t>。</w:t>
      </w:r>
    </w:p>
    <w:p w14:paraId="60DF9D7C">
      <w:pPr>
        <w:pStyle w:val="2"/>
        <w:rPr>
          <w:rFonts w:hAnsi="宋体" w:eastAsia="仿宋_GB2312" w:cs="宋体"/>
          <w:sz w:val="32"/>
        </w:rPr>
      </w:pPr>
      <w:r>
        <w:rPr>
          <w:rFonts w:hAnsi="宋体" w:eastAsia="仿宋_GB2312" w:cs="宋体"/>
          <w:sz w:val="32"/>
        </w:rPr>
        <w:t xml:space="preserve">    2.与区委网络安全和信息化委员会办公室的有关职责分工。区委网络安全和信息化委员会办公室负责统筹指导推进全区信息化工作,协调信息化建设中的重大问题。区工业和信息化局负责拟订并组织实施信息化和工业化融合发展规划、重大工程,协调通信运营业的发展促进电信、广播电视和计算机网络融合,推动跨行业、跨部门的互联互通和重要信息资源的开发利用、共享等</w:t>
      </w:r>
      <w:r>
        <w:rPr>
          <w:rFonts w:hint="eastAsia" w:hAnsi="宋体" w:eastAsia="仿宋_GB2312" w:cs="宋体"/>
          <w:sz w:val="32"/>
        </w:rPr>
        <w:t>。</w:t>
      </w:r>
    </w:p>
    <w:p w14:paraId="3272F112">
      <w:pPr>
        <w:keepLines/>
        <w:widowControl/>
        <w:shd w:val="clear" w:color="auto" w:fill="FFFFFF"/>
        <w:ind w:firstLine="645"/>
        <w:jc w:val="left"/>
        <w:rPr>
          <w:rFonts w:ascii="微软雅黑" w:hAnsi="微软雅黑" w:eastAsia="微软雅黑" w:cs="宋体"/>
          <w:color w:val="333333"/>
          <w:kern w:val="0"/>
          <w:sz w:val="24"/>
          <w:szCs w:val="24"/>
        </w:rPr>
      </w:pPr>
    </w:p>
    <w:p w14:paraId="23055C8B">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二、机构设置</w:t>
      </w:r>
    </w:p>
    <w:p w14:paraId="6896FB45">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纳入本溪市溪湖区部门名称2021年部门预算编制范围的二级预算单位包括：</w:t>
      </w:r>
    </w:p>
    <w:p w14:paraId="50AA6D87">
      <w:pPr>
        <w:keepLines/>
        <w:widowControl/>
        <w:shd w:val="clear" w:color="auto" w:fill="FFFFFF"/>
        <w:jc w:val="left"/>
        <w:rPr>
          <w:rFonts w:ascii="微软雅黑" w:hAnsi="微软雅黑" w:eastAsia="仿宋_GB2312" w:cs="宋体"/>
          <w:color w:val="333333"/>
          <w:kern w:val="0"/>
          <w:sz w:val="24"/>
          <w:szCs w:val="24"/>
        </w:rPr>
      </w:pPr>
      <w:r>
        <w:rPr>
          <w:rFonts w:hint="eastAsia" w:ascii="仿宋_GB2312" w:hAnsi="微软雅黑" w:eastAsia="仿宋_GB2312" w:cs="宋体"/>
          <w:color w:val="333333"/>
          <w:kern w:val="0"/>
          <w:sz w:val="32"/>
          <w:szCs w:val="32"/>
        </w:rPr>
        <w:t>（一）本溪市溪湖区工业和信息化局</w:t>
      </w:r>
    </w:p>
    <w:p w14:paraId="77324B89">
      <w:pPr>
        <w:keepLines/>
        <w:widowControl/>
        <w:shd w:val="clear" w:color="auto" w:fill="FFFFFF"/>
        <w:ind w:firstLine="645"/>
        <w:jc w:val="left"/>
        <w:rPr>
          <w:rFonts w:ascii="微软雅黑" w:hAnsi="微软雅黑" w:eastAsia="微软雅黑" w:cs="宋体"/>
          <w:color w:val="333333"/>
          <w:kern w:val="0"/>
          <w:sz w:val="24"/>
          <w:szCs w:val="24"/>
        </w:rPr>
      </w:pPr>
    </w:p>
    <w:p w14:paraId="17FDB4D8">
      <w:pPr>
        <w:keepLines/>
        <w:widowControl/>
        <w:shd w:val="clear" w:color="auto" w:fill="FFFFFF"/>
        <w:jc w:val="center"/>
        <w:rPr>
          <w:rFonts w:ascii="微软雅黑" w:hAnsi="微软雅黑" w:eastAsia="微软雅黑" w:cs="宋体"/>
          <w:color w:val="333333"/>
          <w:kern w:val="0"/>
          <w:sz w:val="24"/>
          <w:szCs w:val="24"/>
        </w:rPr>
      </w:pPr>
    </w:p>
    <w:p w14:paraId="72DC490C">
      <w:pPr>
        <w:keepLines/>
        <w:widowControl/>
        <w:shd w:val="clear" w:color="auto" w:fill="FFFFFF"/>
        <w:jc w:val="center"/>
        <w:rPr>
          <w:rFonts w:ascii="微软雅黑" w:hAnsi="微软雅黑" w:eastAsia="微软雅黑" w:cs="宋体"/>
          <w:color w:val="333333"/>
          <w:kern w:val="0"/>
          <w:sz w:val="24"/>
          <w:szCs w:val="24"/>
        </w:rPr>
      </w:pPr>
    </w:p>
    <w:p w14:paraId="7D652DE1">
      <w:pPr>
        <w:keepLines/>
        <w:widowControl/>
        <w:shd w:val="clear" w:color="auto" w:fill="FFFFFF"/>
        <w:jc w:val="center"/>
        <w:rPr>
          <w:rFonts w:ascii="微软雅黑" w:hAnsi="微软雅黑" w:eastAsia="微软雅黑" w:cs="宋体"/>
          <w:color w:val="333333"/>
          <w:kern w:val="0"/>
          <w:sz w:val="24"/>
          <w:szCs w:val="24"/>
        </w:rPr>
      </w:pPr>
    </w:p>
    <w:p w14:paraId="3B7E8494">
      <w:pPr>
        <w:keepLines/>
        <w:widowControl/>
        <w:shd w:val="clear" w:color="auto" w:fill="FFFFFF"/>
        <w:jc w:val="center"/>
        <w:rPr>
          <w:rFonts w:ascii="微软雅黑" w:hAnsi="微软雅黑" w:eastAsia="微软雅黑" w:cs="宋体"/>
          <w:color w:val="333333"/>
          <w:kern w:val="0"/>
          <w:sz w:val="24"/>
          <w:szCs w:val="24"/>
        </w:rPr>
      </w:pPr>
    </w:p>
    <w:p w14:paraId="3494C70A">
      <w:pPr>
        <w:keepLines/>
        <w:widowControl/>
        <w:shd w:val="clear" w:color="auto" w:fill="FFFFFF"/>
        <w:jc w:val="center"/>
        <w:rPr>
          <w:rFonts w:ascii="微软雅黑" w:hAnsi="微软雅黑" w:eastAsia="微软雅黑" w:cs="宋体"/>
          <w:color w:val="333333"/>
          <w:kern w:val="0"/>
          <w:sz w:val="24"/>
          <w:szCs w:val="24"/>
        </w:rPr>
      </w:pPr>
    </w:p>
    <w:p w14:paraId="6DB8801D">
      <w:pPr>
        <w:keepLines/>
        <w:widowControl/>
        <w:shd w:val="clear" w:color="auto" w:fill="FFFFFF"/>
        <w:jc w:val="center"/>
        <w:rPr>
          <w:rFonts w:ascii="微软雅黑" w:hAnsi="微软雅黑" w:eastAsia="微软雅黑" w:cs="宋体"/>
          <w:color w:val="333333"/>
          <w:kern w:val="0"/>
          <w:sz w:val="24"/>
          <w:szCs w:val="24"/>
        </w:rPr>
      </w:pPr>
    </w:p>
    <w:p w14:paraId="53832414">
      <w:pPr>
        <w:keepLines/>
        <w:widowControl/>
        <w:shd w:val="clear" w:color="auto" w:fill="FFFFFF"/>
        <w:jc w:val="center"/>
        <w:rPr>
          <w:rFonts w:ascii="微软雅黑" w:hAnsi="微软雅黑" w:eastAsia="微软雅黑" w:cs="宋体"/>
          <w:color w:val="333333"/>
          <w:kern w:val="0"/>
          <w:sz w:val="24"/>
          <w:szCs w:val="24"/>
        </w:rPr>
      </w:pPr>
    </w:p>
    <w:p w14:paraId="65B1B67E">
      <w:pPr>
        <w:keepLines/>
        <w:widowControl/>
        <w:shd w:val="clear" w:color="auto" w:fill="FFFFFF"/>
        <w:jc w:val="center"/>
        <w:rPr>
          <w:rFonts w:ascii="微软雅黑" w:hAnsi="微软雅黑" w:eastAsia="微软雅黑" w:cs="宋体"/>
          <w:color w:val="333333"/>
          <w:kern w:val="0"/>
          <w:sz w:val="24"/>
          <w:szCs w:val="24"/>
        </w:rPr>
      </w:pPr>
    </w:p>
    <w:p w14:paraId="3DBF72FE">
      <w:pPr>
        <w:keepLines/>
        <w:widowControl/>
        <w:shd w:val="clear" w:color="auto" w:fill="FFFFFF"/>
        <w:jc w:val="center"/>
        <w:rPr>
          <w:rFonts w:ascii="微软雅黑" w:hAnsi="微软雅黑" w:eastAsia="微软雅黑" w:cs="宋体"/>
          <w:color w:val="333333"/>
          <w:kern w:val="0"/>
          <w:sz w:val="24"/>
          <w:szCs w:val="24"/>
        </w:rPr>
      </w:pPr>
    </w:p>
    <w:p w14:paraId="1B2DA852">
      <w:pPr>
        <w:keepLines/>
        <w:widowControl/>
        <w:shd w:val="clear" w:color="auto" w:fill="FFFFFF"/>
        <w:jc w:val="center"/>
        <w:rPr>
          <w:rFonts w:ascii="微软雅黑" w:hAnsi="微软雅黑" w:eastAsia="微软雅黑" w:cs="宋体"/>
          <w:color w:val="333333"/>
          <w:kern w:val="0"/>
          <w:sz w:val="24"/>
          <w:szCs w:val="24"/>
        </w:rPr>
      </w:pPr>
    </w:p>
    <w:p w14:paraId="70FBD3BB">
      <w:pPr>
        <w:keepLines/>
        <w:widowControl/>
        <w:shd w:val="clear" w:color="auto" w:fill="FFFFFF"/>
        <w:jc w:val="center"/>
        <w:rPr>
          <w:rFonts w:ascii="微软雅黑" w:hAnsi="微软雅黑" w:eastAsia="微软雅黑" w:cs="宋体"/>
          <w:color w:val="333333"/>
          <w:kern w:val="0"/>
          <w:sz w:val="24"/>
          <w:szCs w:val="24"/>
        </w:rPr>
      </w:pPr>
    </w:p>
    <w:p w14:paraId="44FA815D">
      <w:pPr>
        <w:keepLines/>
        <w:widowControl/>
        <w:shd w:val="clear" w:color="auto" w:fill="FFFFFF"/>
        <w:jc w:val="center"/>
        <w:rPr>
          <w:rFonts w:ascii="微软雅黑" w:hAnsi="微软雅黑" w:eastAsia="微软雅黑" w:cs="宋体"/>
          <w:color w:val="333333"/>
          <w:kern w:val="0"/>
          <w:sz w:val="24"/>
          <w:szCs w:val="24"/>
        </w:rPr>
      </w:pPr>
    </w:p>
    <w:p w14:paraId="4F02FC5C">
      <w:pPr>
        <w:keepLines/>
        <w:widowControl/>
        <w:shd w:val="clear" w:color="auto" w:fill="FFFFFF"/>
        <w:jc w:val="center"/>
        <w:rPr>
          <w:rFonts w:ascii="微软雅黑" w:hAnsi="微软雅黑" w:eastAsia="微软雅黑" w:cs="宋体"/>
          <w:color w:val="333333"/>
          <w:kern w:val="0"/>
          <w:sz w:val="24"/>
          <w:szCs w:val="24"/>
        </w:rPr>
      </w:pPr>
    </w:p>
    <w:p w14:paraId="79350241">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第三部分本溪市溪湖区部门名称2021年部门预算情况说明</w:t>
      </w:r>
    </w:p>
    <w:p w14:paraId="495E0992">
      <w:pPr>
        <w:keepLines/>
        <w:widowControl/>
        <w:shd w:val="clear" w:color="auto" w:fill="FFFFFF"/>
        <w:jc w:val="left"/>
        <w:rPr>
          <w:rFonts w:ascii="微软雅黑" w:hAnsi="微软雅黑" w:eastAsia="微软雅黑" w:cs="宋体"/>
          <w:color w:val="333333"/>
          <w:kern w:val="0"/>
          <w:sz w:val="24"/>
          <w:szCs w:val="24"/>
        </w:rPr>
      </w:pPr>
    </w:p>
    <w:p w14:paraId="0657430D">
      <w:pPr>
        <w:keepLines/>
        <w:widowControl/>
        <w:shd w:val="clear" w:color="auto" w:fill="FFFFFF"/>
        <w:ind w:firstLine="63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一、收支预算的总体情况</w:t>
      </w:r>
    </w:p>
    <w:p w14:paraId="52549EE3">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按照综合预算的原则，本溪市溪湖区工业和信息化局所有收入和支出均纳入部门预算管理。其中：</w:t>
      </w:r>
    </w:p>
    <w:p w14:paraId="69CA006D">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（一）收入预算2182.12万元，</w:t>
      </w:r>
      <w:r>
        <w:rPr>
          <w:rFonts w:hint="eastAsia" w:ascii="仿宋_GB2312" w:hAnsi="微软雅黑" w:eastAsia="仿宋_GB2312" w:cs="宋体"/>
          <w:color w:val="333333"/>
          <w:kern w:val="0"/>
          <w:sz w:val="32"/>
          <w:szCs w:val="32"/>
        </w:rPr>
        <w:t>包括：</w:t>
      </w:r>
    </w:p>
    <w:p w14:paraId="2244C457">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1.财政拨款收入</w:t>
      </w:r>
      <w:r>
        <w:rPr>
          <w:rFonts w:hint="eastAsia" w:ascii="仿宋_GB2312" w:hAnsi="微软雅黑" w:eastAsia="仿宋_GB2312" w:cs="宋体"/>
          <w:b/>
          <w:bCs/>
          <w:color w:val="333333"/>
          <w:kern w:val="0"/>
          <w:sz w:val="32"/>
          <w:szCs w:val="32"/>
        </w:rPr>
        <w:t>2182.12</w:t>
      </w:r>
      <w:r>
        <w:rPr>
          <w:rFonts w:hint="eastAsia" w:ascii="仿宋_GB2312" w:hAnsi="微软雅黑" w:eastAsia="仿宋_GB2312" w:cs="宋体"/>
          <w:color w:val="333333"/>
          <w:kern w:val="0"/>
          <w:sz w:val="32"/>
          <w:szCs w:val="32"/>
        </w:rPr>
        <w:t>万元；</w:t>
      </w:r>
    </w:p>
    <w:p w14:paraId="5092846A">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2.纳入预算管理的行政事业性收费等非税收入0万元；</w:t>
      </w:r>
    </w:p>
    <w:p w14:paraId="03A3F1E0">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3.纳入预算管理的政府性基金收入0万元；</w:t>
      </w:r>
    </w:p>
    <w:p w14:paraId="39221285">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4.纳入专户管理的行政事业性收费收入0万元；</w:t>
      </w:r>
    </w:p>
    <w:p w14:paraId="5BFFEC2B">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5.转移性收入0万元。</w:t>
      </w:r>
    </w:p>
    <w:p w14:paraId="719EFD63">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6.其他收入0万元。</w:t>
      </w:r>
    </w:p>
    <w:p w14:paraId="4ED3DC93">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（二）支出预算2182.12万元，</w:t>
      </w:r>
      <w:r>
        <w:rPr>
          <w:rFonts w:hint="eastAsia" w:ascii="仿宋_GB2312" w:hAnsi="微软雅黑" w:eastAsia="仿宋_GB2312" w:cs="宋体"/>
          <w:color w:val="333333"/>
          <w:kern w:val="0"/>
          <w:sz w:val="32"/>
          <w:szCs w:val="32"/>
        </w:rPr>
        <w:t>包括：</w:t>
      </w:r>
    </w:p>
    <w:p w14:paraId="1F8F4335">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1.基本支出120.71万元；</w:t>
      </w:r>
    </w:p>
    <w:p w14:paraId="0644518F">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2.项目支出2061.41万元；</w:t>
      </w:r>
    </w:p>
    <w:p w14:paraId="2E5780A4">
      <w:pPr>
        <w:ind w:firstLine="645"/>
        <w:rPr>
          <w:rFonts w:ascii="仿宋_GB2312" w:hAnsi="宋体" w:eastAsia="仿宋_GB2312"/>
          <w:sz w:val="32"/>
          <w:szCs w:val="32"/>
        </w:rPr>
      </w:pPr>
      <w:r>
        <w:rPr>
          <w:rFonts w:hint="eastAsia" w:ascii="仿宋_GB2312" w:hAnsi="微软雅黑" w:eastAsia="仿宋_GB2312" w:cs="宋体"/>
          <w:color w:val="333333"/>
          <w:kern w:val="0"/>
          <w:sz w:val="32"/>
          <w:szCs w:val="32"/>
        </w:rPr>
        <w:t>2021年预算收支比2020年增加1546.97万元，增减变化的主要原因为是</w:t>
      </w:r>
      <w:r>
        <w:rPr>
          <w:rFonts w:hint="eastAsia" w:ascii="仿宋_GB2312" w:hAnsi="宋体" w:eastAsia="仿宋_GB2312"/>
          <w:sz w:val="32"/>
          <w:szCs w:val="32"/>
        </w:rPr>
        <w:t>行政单位机构改革，发生部门及人员变更与划转。</w:t>
      </w:r>
    </w:p>
    <w:p w14:paraId="26E94EAF">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二、机关运行经费安排情况</w:t>
      </w:r>
    </w:p>
    <w:p w14:paraId="71BA6AEA">
      <w:pPr>
        <w:ind w:firstLine="645"/>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本溪市溪湖区工业和信息化局机关运行经费预算为12.47万元，主要包括办公及印刷费、邮电费、差旅费、会议费、福利费、日常维修费、专用材料及一般设备购置费、办公用房水电费、办公用房取暖费、办公用房物业管理费、公务用车运行维护费以及其他费用。2021年预算比2020年减少0.54万元，主要原因</w:t>
      </w:r>
      <w:bookmarkStart w:id="1" w:name="_GoBack"/>
      <w:bookmarkEnd w:id="1"/>
      <w:r>
        <w:rPr>
          <w:rFonts w:hint="eastAsia" w:ascii="仿宋_GB2312" w:hAnsi="微软雅黑" w:eastAsia="仿宋_GB2312" w:cs="宋体"/>
          <w:color w:val="333333"/>
          <w:kern w:val="0"/>
          <w:sz w:val="32"/>
          <w:szCs w:val="32"/>
        </w:rPr>
        <w:t>是</w:t>
      </w:r>
      <w:r>
        <w:rPr>
          <w:rFonts w:hint="eastAsia" w:ascii="仿宋_GB2312" w:hAnsi="宋体" w:eastAsia="仿宋_GB2312"/>
          <w:sz w:val="32"/>
          <w:szCs w:val="32"/>
        </w:rPr>
        <w:t>行政单位机构改革，发生部门及人员变更与划转。</w:t>
      </w:r>
    </w:p>
    <w:p w14:paraId="6985D141">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三、政府采购情况</w:t>
      </w:r>
    </w:p>
    <w:p w14:paraId="42A1F183">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2021年本溪市溪湖区部门名称安排政府采购预算0万元，其中：政府采购货物支出0万元，政府购买服务支出0万元，政府采购工程支出0万元。</w:t>
      </w:r>
    </w:p>
    <w:p w14:paraId="370C9EFE">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四、“三公”经费预算情况</w:t>
      </w:r>
    </w:p>
    <w:p w14:paraId="4566C58C">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2021年，本溪市溪湖区部门名称一般公共预算安排“三公”经费预算为0.11万元，比2020年提高0.11万元，提高100%。其中：</w:t>
      </w:r>
    </w:p>
    <w:p w14:paraId="3FE1970A">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1.因公出国（境）费0万元，比2020年持平。</w:t>
      </w:r>
    </w:p>
    <w:p w14:paraId="563D07F0">
      <w:pPr>
        <w:ind w:firstLine="645"/>
        <w:rPr>
          <w:rFonts w:ascii="仿宋_GB2312" w:hAnsi="宋体" w:eastAsia="仿宋_GB2312"/>
          <w:sz w:val="32"/>
          <w:szCs w:val="32"/>
        </w:rPr>
      </w:pPr>
      <w:r>
        <w:rPr>
          <w:rFonts w:hint="eastAsia" w:ascii="仿宋_GB2312" w:hAnsi="微软雅黑" w:eastAsia="仿宋_GB2312" w:cs="宋体"/>
          <w:color w:val="333333"/>
          <w:kern w:val="0"/>
          <w:sz w:val="32"/>
          <w:szCs w:val="32"/>
        </w:rPr>
        <w:t>2.公务接待费0.11万元，比2020年增加0.11万元，主要原因是</w:t>
      </w:r>
      <w:r>
        <w:rPr>
          <w:rFonts w:hint="eastAsia" w:ascii="仿宋_GB2312" w:hAnsi="宋体" w:eastAsia="仿宋_GB2312"/>
          <w:sz w:val="32"/>
          <w:szCs w:val="32"/>
        </w:rPr>
        <w:t>行政单位机构改革，发生部门及人员变更与划转。</w:t>
      </w:r>
    </w:p>
    <w:p w14:paraId="1DE7A8E9">
      <w:pPr>
        <w:keepLines/>
        <w:widowControl/>
        <w:shd w:val="clear" w:color="auto" w:fill="FFFFFF"/>
        <w:ind w:firstLine="640" w:firstLineChars="20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3.公务用车购置及运行费0万元，比持平。</w:t>
      </w:r>
    </w:p>
    <w:p w14:paraId="658DB8F5">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2021年本溪市溪湖区部门名称“三公”经费预算表</w:t>
      </w:r>
    </w:p>
    <w:p w14:paraId="6D9BDD51">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9"/>
          <w:szCs w:val="29"/>
        </w:rPr>
        <w:t>单位：万元</w:t>
      </w:r>
    </w:p>
    <w:tbl>
      <w:tblPr>
        <w:tblStyle w:val="4"/>
        <w:tblW w:w="8625" w:type="dxa"/>
        <w:tblInd w:w="0" w:type="dxa"/>
        <w:tblLayout w:type="autofit"/>
        <w:tblCellMar>
          <w:top w:w="0" w:type="dxa"/>
          <w:left w:w="0" w:type="dxa"/>
          <w:bottom w:w="0" w:type="dxa"/>
          <w:right w:w="0" w:type="dxa"/>
        </w:tblCellMar>
      </w:tblPr>
      <w:tblGrid>
        <w:gridCol w:w="4125"/>
        <w:gridCol w:w="2145"/>
        <w:gridCol w:w="2355"/>
      </w:tblGrid>
      <w:tr w14:paraId="4AEBF003">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0522085E">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14:paraId="401669A8">
            <w:pPr>
              <w:keepLines/>
              <w:widowControl/>
              <w:jc w:val="center"/>
              <w:rPr>
                <w:rFonts w:ascii="宋体" w:hAnsi="宋体" w:eastAsia="宋体" w:cs="宋体"/>
                <w:kern w:val="0"/>
                <w:sz w:val="24"/>
                <w:szCs w:val="24"/>
              </w:rPr>
            </w:pPr>
            <w:r>
              <w:rPr>
                <w:rFonts w:hint="eastAsia" w:ascii="宋体" w:hAnsi="宋体" w:eastAsia="宋体" w:cs="宋体"/>
                <w:b/>
                <w:bCs/>
                <w:kern w:val="0"/>
                <w:sz w:val="24"/>
                <w:szCs w:val="24"/>
              </w:rPr>
              <w:t>金额</w:t>
            </w:r>
          </w:p>
        </w:tc>
      </w:tr>
      <w:tr w14:paraId="4DD22B9A">
        <w:tblPrEx>
          <w:tblCellMar>
            <w:top w:w="0" w:type="dxa"/>
            <w:left w:w="0" w:type="dxa"/>
            <w:bottom w:w="0" w:type="dxa"/>
            <w:right w:w="0" w:type="dxa"/>
          </w:tblCellMar>
        </w:tblPrEx>
        <w:trPr>
          <w:trHeight w:val="510"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4964B33F">
            <w:pPr>
              <w:keepLines/>
              <w:widowControl/>
              <w:jc w:val="left"/>
              <w:rPr>
                <w:rFonts w:ascii="宋体" w:hAnsi="宋体" w:eastAsia="宋体" w:cs="宋体"/>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0EFE7209">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2020年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24D0EE1E">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2021年</w:t>
            </w:r>
          </w:p>
        </w:tc>
      </w:tr>
      <w:tr w14:paraId="0B0157AC">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14:paraId="0F0FC235">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037DE3E4">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2F29C7EA">
            <w:pPr>
              <w:keepLines/>
              <w:widowControl/>
              <w:jc w:val="right"/>
              <w:rPr>
                <w:rFonts w:ascii="宋体" w:hAnsi="宋体" w:eastAsia="宋体" w:cs="宋体"/>
                <w:kern w:val="0"/>
                <w:sz w:val="24"/>
                <w:szCs w:val="24"/>
              </w:rPr>
            </w:pPr>
            <w:r>
              <w:rPr>
                <w:rFonts w:hint="eastAsia" w:ascii="宋体" w:hAnsi="宋体" w:eastAsia="宋体" w:cs="宋体"/>
                <w:kern w:val="0"/>
                <w:sz w:val="24"/>
                <w:szCs w:val="24"/>
              </w:rPr>
              <w:t>0.11</w:t>
            </w:r>
          </w:p>
        </w:tc>
      </w:tr>
      <w:tr w14:paraId="638A5A3E">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4817D81A">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1、因公出国（境）费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2B5BB4C8">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712E4446">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r>
      <w:tr w14:paraId="10E87580">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47E2F1C4">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2、公务接待费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7ED1B932">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3F7A3478">
            <w:pPr>
              <w:keepLines/>
              <w:widowControl/>
              <w:jc w:val="center"/>
              <w:rPr>
                <w:rFonts w:ascii="宋体" w:hAnsi="宋体" w:eastAsia="宋体" w:cs="宋体"/>
                <w:kern w:val="0"/>
                <w:sz w:val="24"/>
                <w:szCs w:val="24"/>
              </w:rPr>
            </w:pPr>
            <w:r>
              <w:rPr>
                <w:rFonts w:hint="eastAsia" w:ascii="宋体" w:hAnsi="宋体" w:eastAsia="宋体" w:cs="宋体"/>
                <w:kern w:val="0"/>
                <w:sz w:val="24"/>
                <w:szCs w:val="24"/>
              </w:rPr>
              <w:t>0.11</w:t>
            </w:r>
          </w:p>
        </w:tc>
      </w:tr>
      <w:tr w14:paraId="4EDF30D9">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11CADFD9">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3、公务用车购置及运行费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4CC8AB77">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14:paraId="28DA31E1">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r>
      <w:tr w14:paraId="05D68F62">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7F0B6C82">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72495CC2">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0AC6D993">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r>
      <w:tr w14:paraId="19085D19">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6B6FAF61">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5855F85D">
            <w:pPr>
              <w:keepLines/>
              <w:widowControl/>
              <w:jc w:val="left"/>
              <w:rPr>
                <w:rFonts w:ascii="宋体" w:hAnsi="宋体" w:eastAsia="宋体" w:cs="宋体"/>
                <w:kern w:val="0"/>
                <w:sz w:val="24"/>
                <w:szCs w:val="24"/>
              </w:rPr>
            </w:pPr>
            <w:r>
              <w:rPr>
                <w:rFonts w:hint="eastAsia" w:ascii="宋体" w:hAnsi="宋体" w:eastAsia="宋体" w:cs="宋体"/>
                <w:kern w:val="0"/>
                <w:sz w:val="24"/>
                <w:szCs w:val="24"/>
              </w:rPr>
              <w:t>0</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6EC2171A">
            <w:pPr>
              <w:keepLines/>
              <w:widowControl/>
              <w:jc w:val="center"/>
              <w:rPr>
                <w:rFonts w:ascii="宋体" w:hAnsi="宋体" w:eastAsia="宋体" w:cs="宋体"/>
                <w:kern w:val="0"/>
                <w:sz w:val="24"/>
                <w:szCs w:val="24"/>
              </w:rPr>
            </w:pPr>
            <w:r>
              <w:rPr>
                <w:rFonts w:hint="eastAsia" w:ascii="宋体" w:hAnsi="宋体" w:eastAsia="宋体" w:cs="宋体"/>
                <w:kern w:val="0"/>
                <w:sz w:val="24"/>
                <w:szCs w:val="24"/>
              </w:rPr>
              <w:t>0</w:t>
            </w:r>
          </w:p>
        </w:tc>
      </w:tr>
    </w:tbl>
    <w:p w14:paraId="4DA7DFA5">
      <w:pPr>
        <w:keepLines/>
        <w:widowControl/>
        <w:shd w:val="clear" w:color="auto" w:fill="FFFFFF"/>
        <w:jc w:val="left"/>
        <w:rPr>
          <w:rFonts w:ascii="微软雅黑" w:hAnsi="微软雅黑" w:eastAsia="微软雅黑" w:cs="宋体"/>
          <w:color w:val="333333"/>
          <w:kern w:val="0"/>
          <w:sz w:val="24"/>
          <w:szCs w:val="24"/>
        </w:rPr>
      </w:pPr>
    </w:p>
    <w:p w14:paraId="0A7F40C4">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五、国有资产占用情况</w:t>
      </w:r>
    </w:p>
    <w:p w14:paraId="0AAC4AC9">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本溪市溪湖区部门名称共有车辆0台，其中：一般公务用车0台。无其他国有资产情况</w:t>
      </w:r>
    </w:p>
    <w:p w14:paraId="5FB3864C">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六、绩效情况</w:t>
      </w:r>
    </w:p>
    <w:p w14:paraId="1F6AE238">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根据预算绩效管理要求，本溪市溪湖区部门名称2021年应编制绩效目标的项目共10个，实际编制绩效目标的项目共10个，涉及资金2061.41万元，编制绩效目标的项目覆盖率（实际编制绩效目标的项目/应编制绩效目标的项目）为100%。</w:t>
      </w:r>
    </w:p>
    <w:p w14:paraId="13764812">
      <w:pPr>
        <w:keepLines/>
      </w:pPr>
    </w:p>
    <w:p w14:paraId="452924F1">
      <w:pPr>
        <w:keepLines/>
      </w:pPr>
    </w:p>
    <w:p w14:paraId="0C60EBA9">
      <w:pPr>
        <w:keepLines/>
      </w:pPr>
    </w:p>
    <w:p w14:paraId="5CCBF914">
      <w:pPr>
        <w:keepLines/>
      </w:pPr>
    </w:p>
    <w:p w14:paraId="1E9EBA9F">
      <w:pPr>
        <w:keepLines/>
      </w:pPr>
    </w:p>
    <w:p w14:paraId="0B10E22E">
      <w:pPr>
        <w:keepLines/>
      </w:pPr>
    </w:p>
    <w:p w14:paraId="3DDD9861">
      <w:pPr>
        <w:keepLines/>
      </w:pPr>
    </w:p>
    <w:p w14:paraId="0BE37849">
      <w:pPr>
        <w:keepLines/>
        <w:rPr>
          <w:rFonts w:hint="eastAsia"/>
        </w:rPr>
      </w:pPr>
    </w:p>
    <w:p w14:paraId="60FDF02F">
      <w:pPr>
        <w:keepLines/>
        <w:rPr>
          <w:rFonts w:hint="eastAsia"/>
        </w:rPr>
      </w:pPr>
    </w:p>
    <w:p w14:paraId="79E3DEC7">
      <w:pPr>
        <w:keepLines/>
        <w:rPr>
          <w:rFonts w:hint="eastAsia"/>
        </w:rPr>
      </w:pPr>
    </w:p>
    <w:p w14:paraId="18FFE896">
      <w:pPr>
        <w:keepLines/>
        <w:rPr>
          <w:rFonts w:hint="eastAsia"/>
        </w:rPr>
      </w:pPr>
    </w:p>
    <w:p w14:paraId="6A9C192C">
      <w:pPr>
        <w:keepLines/>
        <w:rPr>
          <w:rFonts w:hint="eastAsia"/>
        </w:rPr>
      </w:pPr>
    </w:p>
    <w:p w14:paraId="4D53037A">
      <w:pPr>
        <w:keepLines/>
        <w:rPr>
          <w:rFonts w:hint="eastAsia"/>
        </w:rPr>
      </w:pPr>
    </w:p>
    <w:p w14:paraId="14463217">
      <w:pPr>
        <w:keepLines/>
      </w:pPr>
    </w:p>
    <w:p w14:paraId="1511628D">
      <w:pPr>
        <w:keepLines/>
      </w:pPr>
    </w:p>
    <w:p w14:paraId="285BED84">
      <w:pPr>
        <w:keepLines/>
      </w:pPr>
    </w:p>
    <w:p w14:paraId="59E5D978">
      <w:pPr>
        <w:keepLines/>
      </w:pPr>
    </w:p>
    <w:p w14:paraId="710FD70F">
      <w:pPr>
        <w:keepLines/>
      </w:pPr>
    </w:p>
    <w:tbl>
      <w:tblPr>
        <w:tblStyle w:val="4"/>
        <w:tblW w:w="8519" w:type="dxa"/>
        <w:tblInd w:w="93" w:type="dxa"/>
        <w:tblLayout w:type="autofit"/>
        <w:tblCellMar>
          <w:top w:w="0" w:type="dxa"/>
          <w:left w:w="108" w:type="dxa"/>
          <w:bottom w:w="0" w:type="dxa"/>
          <w:right w:w="108" w:type="dxa"/>
        </w:tblCellMar>
      </w:tblPr>
      <w:tblGrid>
        <w:gridCol w:w="582"/>
        <w:gridCol w:w="709"/>
        <w:gridCol w:w="1417"/>
        <w:gridCol w:w="2977"/>
        <w:gridCol w:w="567"/>
        <w:gridCol w:w="567"/>
        <w:gridCol w:w="567"/>
        <w:gridCol w:w="567"/>
        <w:gridCol w:w="566"/>
      </w:tblGrid>
      <w:tr w14:paraId="3AE74C32">
        <w:tblPrEx>
          <w:tblCellMar>
            <w:top w:w="0" w:type="dxa"/>
            <w:left w:w="108" w:type="dxa"/>
            <w:bottom w:w="0" w:type="dxa"/>
            <w:right w:w="108" w:type="dxa"/>
          </w:tblCellMar>
        </w:tblPrEx>
        <w:trPr>
          <w:trHeight w:val="619" w:hRule="atLeast"/>
        </w:trPr>
        <w:tc>
          <w:tcPr>
            <w:tcW w:w="8519" w:type="dxa"/>
            <w:gridSpan w:val="9"/>
            <w:tcBorders>
              <w:top w:val="nil"/>
              <w:left w:val="nil"/>
              <w:bottom w:val="nil"/>
              <w:right w:val="nil"/>
            </w:tcBorders>
            <w:shd w:val="clear" w:color="auto" w:fill="auto"/>
            <w:noWrap/>
            <w:vAlign w:val="center"/>
          </w:tcPr>
          <w:p w14:paraId="7366400F">
            <w:pPr>
              <w:keepLines/>
              <w:widowControl/>
              <w:jc w:val="center"/>
              <w:rPr>
                <w:rFonts w:ascii="宋体" w:hAnsi="宋体" w:eastAsia="宋体" w:cs="宋体"/>
                <w:b/>
                <w:bCs/>
                <w:kern w:val="0"/>
                <w:sz w:val="36"/>
                <w:szCs w:val="36"/>
              </w:rPr>
            </w:pPr>
            <w:r>
              <w:rPr>
                <w:rFonts w:hint="eastAsia" w:ascii="宋体" w:hAnsi="宋体" w:eastAsia="宋体" w:cs="宋体"/>
                <w:b/>
                <w:bCs/>
                <w:kern w:val="0"/>
                <w:sz w:val="36"/>
                <w:szCs w:val="36"/>
              </w:rPr>
              <w:t>部门整体绩效目标情况表</w:t>
            </w:r>
          </w:p>
        </w:tc>
      </w:tr>
      <w:tr w14:paraId="0101363E">
        <w:tblPrEx>
          <w:tblCellMar>
            <w:top w:w="0" w:type="dxa"/>
            <w:left w:w="108" w:type="dxa"/>
            <w:bottom w:w="0" w:type="dxa"/>
            <w:right w:w="108" w:type="dxa"/>
          </w:tblCellMar>
        </w:tblPrEx>
        <w:trPr>
          <w:trHeight w:val="300" w:hRule="atLeast"/>
        </w:trPr>
        <w:tc>
          <w:tcPr>
            <w:tcW w:w="582"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22478F5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绩效目标</w:t>
            </w:r>
          </w:p>
        </w:tc>
        <w:tc>
          <w:tcPr>
            <w:tcW w:w="5103" w:type="dxa"/>
            <w:gridSpan w:val="3"/>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14:paraId="3707853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年度绩效指标</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678ABD5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指标属性</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0345336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运算符号</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35F4BCE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指标值</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1174DE4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度量单位</w:t>
            </w:r>
          </w:p>
        </w:tc>
        <w:tc>
          <w:tcPr>
            <w:tcW w:w="566" w:type="dxa"/>
            <w:vMerge w:val="restart"/>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14:paraId="6C6B0EC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完成时限</w:t>
            </w:r>
          </w:p>
        </w:tc>
      </w:tr>
      <w:tr w14:paraId="377AFC96">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290A5AEA">
            <w:pPr>
              <w:keepLines/>
              <w:widowControl/>
              <w:spacing w:line="230" w:lineRule="exact"/>
              <w:jc w:val="left"/>
              <w:rPr>
                <w:rFonts w:ascii="宋体" w:hAnsi="宋体" w:eastAsia="宋体" w:cs="宋体"/>
                <w:kern w:val="0"/>
                <w:szCs w:val="21"/>
              </w:rPr>
            </w:pPr>
          </w:p>
        </w:tc>
        <w:tc>
          <w:tcPr>
            <w:tcW w:w="709" w:type="dxa"/>
            <w:tcBorders>
              <w:top w:val="nil"/>
              <w:left w:val="single" w:color="auto" w:sz="4" w:space="0"/>
              <w:bottom w:val="nil"/>
              <w:right w:val="nil"/>
            </w:tcBorders>
            <w:shd w:val="clear" w:color="auto" w:fill="auto"/>
            <w:tcMar>
              <w:left w:w="0" w:type="dxa"/>
              <w:right w:w="0" w:type="dxa"/>
            </w:tcMar>
            <w:vAlign w:val="center"/>
          </w:tcPr>
          <w:p w14:paraId="5489B27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一级指标</w:t>
            </w:r>
          </w:p>
        </w:tc>
        <w:tc>
          <w:tcPr>
            <w:tcW w:w="1417" w:type="dxa"/>
            <w:tcBorders>
              <w:top w:val="nil"/>
              <w:left w:val="single" w:color="auto" w:sz="4" w:space="0"/>
              <w:bottom w:val="nil"/>
              <w:right w:val="nil"/>
            </w:tcBorders>
            <w:shd w:val="clear" w:color="auto" w:fill="auto"/>
            <w:tcMar>
              <w:left w:w="0" w:type="dxa"/>
              <w:right w:w="0" w:type="dxa"/>
            </w:tcMar>
            <w:vAlign w:val="center"/>
          </w:tcPr>
          <w:p w14:paraId="2C2696F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二级指标</w:t>
            </w:r>
          </w:p>
        </w:tc>
        <w:tc>
          <w:tcPr>
            <w:tcW w:w="2977" w:type="dxa"/>
            <w:tcBorders>
              <w:top w:val="nil"/>
              <w:left w:val="single" w:color="auto" w:sz="4" w:space="0"/>
              <w:bottom w:val="nil"/>
              <w:right w:val="nil"/>
            </w:tcBorders>
            <w:shd w:val="clear" w:color="auto" w:fill="auto"/>
            <w:tcMar>
              <w:left w:w="0" w:type="dxa"/>
              <w:right w:w="0" w:type="dxa"/>
            </w:tcMar>
            <w:vAlign w:val="center"/>
          </w:tcPr>
          <w:p w14:paraId="5327F89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三级指标</w:t>
            </w: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71515655">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4322C858">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6DDCC20D">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4DEED5E9">
            <w:pPr>
              <w:keepLines/>
              <w:widowControl/>
              <w:spacing w:line="230" w:lineRule="exact"/>
              <w:jc w:val="left"/>
              <w:rPr>
                <w:rFonts w:ascii="宋体" w:hAnsi="宋体" w:eastAsia="宋体" w:cs="宋体"/>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8776F69">
            <w:pPr>
              <w:keepLines/>
              <w:widowControl/>
              <w:spacing w:line="230" w:lineRule="exact"/>
              <w:jc w:val="left"/>
              <w:rPr>
                <w:rFonts w:ascii="宋体" w:hAnsi="宋体" w:eastAsia="宋体" w:cs="宋体"/>
                <w:kern w:val="0"/>
                <w:szCs w:val="21"/>
              </w:rPr>
            </w:pPr>
          </w:p>
        </w:tc>
      </w:tr>
      <w:tr w14:paraId="0110BFBB">
        <w:tblPrEx>
          <w:tblCellMar>
            <w:top w:w="0" w:type="dxa"/>
            <w:left w:w="108" w:type="dxa"/>
            <w:bottom w:w="0" w:type="dxa"/>
            <w:right w:w="108" w:type="dxa"/>
          </w:tblCellMar>
        </w:tblPrEx>
        <w:trPr>
          <w:trHeight w:val="300" w:hRule="atLeast"/>
        </w:trPr>
        <w:tc>
          <w:tcPr>
            <w:tcW w:w="582" w:type="dxa"/>
            <w:vMerge w:val="restart"/>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14:paraId="330B835B">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1.做好各项日常事务性工作。</w:t>
            </w:r>
            <w:r>
              <w:rPr>
                <w:rFonts w:hint="eastAsia" w:ascii="宋体" w:hAnsi="宋体" w:eastAsia="宋体" w:cs="宋体"/>
                <w:kern w:val="0"/>
                <w:szCs w:val="21"/>
              </w:rPr>
              <w:br w:type="textWrapping"/>
            </w:r>
            <w:r>
              <w:rPr>
                <w:rFonts w:hint="eastAsia" w:ascii="宋体" w:hAnsi="宋体" w:eastAsia="宋体" w:cs="宋体"/>
                <w:kern w:val="0"/>
                <w:szCs w:val="21"/>
              </w:rPr>
              <w:t>2.提升服务水平 提高服务对象满意度。</w:t>
            </w:r>
          </w:p>
        </w:tc>
        <w:tc>
          <w:tcPr>
            <w:tcW w:w="709" w:type="dxa"/>
            <w:vMerge w:val="restart"/>
            <w:tcBorders>
              <w:top w:val="single" w:color="auto" w:sz="4" w:space="0"/>
              <w:left w:val="nil"/>
              <w:bottom w:val="single" w:color="000000" w:sz="4" w:space="0"/>
              <w:right w:val="single" w:color="auto" w:sz="4" w:space="0"/>
            </w:tcBorders>
            <w:shd w:val="clear" w:color="auto" w:fill="auto"/>
            <w:tcMar>
              <w:left w:w="0" w:type="dxa"/>
              <w:right w:w="0" w:type="dxa"/>
            </w:tcMar>
            <w:vAlign w:val="center"/>
          </w:tcPr>
          <w:p w14:paraId="6886567B">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履职效能</w:t>
            </w:r>
          </w:p>
        </w:tc>
        <w:tc>
          <w:tcPr>
            <w:tcW w:w="1417" w:type="dxa"/>
            <w:vMerge w:val="restart"/>
            <w:tcBorders>
              <w:top w:val="single" w:color="auto" w:sz="4" w:space="0"/>
              <w:left w:val="single" w:color="auto" w:sz="4" w:space="0"/>
              <w:bottom w:val="single" w:color="000000" w:sz="4" w:space="0"/>
              <w:right w:val="single" w:color="auto" w:sz="4" w:space="0"/>
            </w:tcBorders>
            <w:shd w:val="clear" w:color="auto" w:fill="auto"/>
            <w:tcMar>
              <w:left w:w="0" w:type="dxa"/>
              <w:right w:w="0" w:type="dxa"/>
            </w:tcMar>
            <w:vAlign w:val="center"/>
          </w:tcPr>
          <w:p w14:paraId="2512DD8E">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重点工作履行情况</w:t>
            </w:r>
          </w:p>
        </w:tc>
        <w:tc>
          <w:tcPr>
            <w:tcW w:w="297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7F66E67E">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重点工作办结率</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2EFC0D6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0DCECED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65DAC9B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00F68F7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31F7DC9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AAEEBA2">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AEAB060">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3607DEB0">
            <w:pPr>
              <w:keepLines/>
              <w:widowControl/>
              <w:spacing w:line="230" w:lineRule="exact"/>
              <w:jc w:val="left"/>
              <w:rPr>
                <w:rFonts w:ascii="宋体" w:hAnsi="宋体" w:eastAsia="宋体" w:cs="宋体"/>
                <w:kern w:val="0"/>
                <w:szCs w:val="21"/>
              </w:rPr>
            </w:pPr>
          </w:p>
        </w:tc>
        <w:tc>
          <w:tcPr>
            <w:tcW w:w="1417" w:type="dxa"/>
            <w:vMerge w:val="continue"/>
            <w:tcBorders>
              <w:top w:val="single" w:color="auto" w:sz="4" w:space="0"/>
              <w:left w:val="single" w:color="auto" w:sz="4" w:space="0"/>
              <w:bottom w:val="single" w:color="000000" w:sz="4" w:space="0"/>
              <w:right w:val="single" w:color="auto" w:sz="4" w:space="0"/>
            </w:tcBorders>
            <w:tcMar>
              <w:left w:w="0" w:type="dxa"/>
              <w:right w:w="0" w:type="dxa"/>
            </w:tcMar>
            <w:vAlign w:val="center"/>
          </w:tcPr>
          <w:p w14:paraId="562F12DB">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14:paraId="5B32AB3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省、市政府绩效办考核个性指标任务完成情况</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513BD1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176164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01ACC8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625A1F4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DFCF0D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4E6BE207">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1396EB7">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514671BF">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tcMar>
              <w:left w:w="0" w:type="dxa"/>
              <w:right w:w="0" w:type="dxa"/>
            </w:tcMar>
            <w:vAlign w:val="center"/>
          </w:tcPr>
          <w:p w14:paraId="25F7B81B">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整体工作完成情况</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14:paraId="6F602B9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总体工作完成率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133FC8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E3C872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EF78D2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06C2FC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D3A014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6F9A379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8D47DF1">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232063B2">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5D251DCC">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09ABBD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工作完成及时率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D37421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E87CB7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5C15FB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5C3021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6A52422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95D56C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E639DC0">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079007F0">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7F9BE549">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3B256F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工作质量达标率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357926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DC8368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F7F31C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03298E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3E3C87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7080D17">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437D4C5">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59FA392A">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6C7617D6">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基础管理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89EE82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依法行政能力</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DD590D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1D2B92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663D05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大幅提升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3900D1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4AD091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2483809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F500374">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2BD898D8">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7F712E97">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082FEE3">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综合管理水平</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331C58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91E6E4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82777E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大幅提高</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34D419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3F92EF1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1FD06201">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4B0D3C1">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6149FAA5">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w:t>
            </w: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6260BA56">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预算执行效率</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3C771E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205B74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2A135C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60659BF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48274D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5DEE48E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0F7487C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CBF6124">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22D7CB6F">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2D83A574">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F244170">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预算调整率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88F668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EF58EB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5D3DDC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5</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2562AC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EE9B00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6804E4CE">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E662D82">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782265FF">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3FB05AA2">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EA9D28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结余结转变动率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3E4C7C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6C8EDF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D22D4D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FDECBD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71F9109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D3801E4">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B5F9771">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3839B68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管理效率</w:t>
            </w: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DA52C4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预算编制管理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82E1B1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预算绩效目标覆盖率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BDA59D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29E160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6D5B67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71385C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315C43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0F0A8967">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3D177E5">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133CA519">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1BBC7F9">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预算监督管理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48A7D2E">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预决算公开情况</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C49AC4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CB5D85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3E4683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及时公开</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943CB1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23FBC05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081A31F5">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10F3E86">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1D151F1D">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66DB3E9A">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预算收支管理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F5A39C0">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预算收入管理规范性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E981B2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5028D6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6F813DB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严格执行</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F8F020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74CC8B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68B04E03">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9C93F41">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384E6A22">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551C6296">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9F15AD8">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预算支出管理规范性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AD0D19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9876E2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36A0B8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管理规范</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D73639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77648A0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434F2C0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65A2DF8">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262E32FC">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B5D2431">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财务管理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450DD26">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内控制度有效性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D4DAF7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BD223C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C1FEFA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制度有效</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19EFB7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395F552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9AEB8C3">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52DF8B8">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55E865D5">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16AA41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资产管理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801807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固定资产利用率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E84C4A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43E781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7CD864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84AFAC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2C50DC9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B4233A9">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494172C">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46D2A48E">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F84B78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业务管理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D19A0A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政府采购管理违法违规行为发生次数</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F0E366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E89EE7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4BEA68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13D4D6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次</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46E6695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44FF7165">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32F5380">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020050E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运行成本</w:t>
            </w: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6D29EBC5">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成本控制成效</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10A655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“三公”经费变动率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236209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02BF63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4A42FA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577289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0AFC9E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66EFF90">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9306A7A">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70A5CA6D">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09BC353A">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4DCDC40">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在职人员控制率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45952B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B06C4F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F75753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654F16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BCC839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782C7D71">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BB3156A">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12387583">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415F28F7">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8A7FA1A">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人均公用经费变动率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C205BB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5D329D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95323B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B5317E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57A5264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6F5AF5CB">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5A62C69">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384B0A0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社会效应</w:t>
            </w: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4626DEB">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政治效益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2AA90E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D0EBE6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39DCAF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2018CB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B065A0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3E77B03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14:paraId="416EDF82">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E7C0787">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60A7490B">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448610A">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372F496">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会计从业人员资格覆盖率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903F11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594CCD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534990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75C642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2CD475A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003814E">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F0998F2">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4F41F37D">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800800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经济效益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A168A0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46BE9E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FDC353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01947F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2B2E09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noWrap/>
            <w:tcMar>
              <w:left w:w="0" w:type="dxa"/>
              <w:right w:w="0" w:type="dxa"/>
            </w:tcMar>
            <w:vAlign w:val="center"/>
          </w:tcPr>
          <w:p w14:paraId="58B5946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14:paraId="7444DFC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4A21E04">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4EC81D18">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816A46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生态效益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5A5DE3E">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118E82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0C366B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F3BE51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61F9EB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noWrap/>
            <w:tcMar>
              <w:left w:w="0" w:type="dxa"/>
              <w:right w:w="0" w:type="dxa"/>
            </w:tcMar>
            <w:vAlign w:val="center"/>
          </w:tcPr>
          <w:p w14:paraId="1E5C840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14:paraId="53208280">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4F9D4FD4">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632504C2">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80D1573">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服务对象满意度</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973896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政府直属部门职工总体满意度</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005677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36B8C4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D7C3BF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DED571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D931EA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6889CB2E">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CAD67B9">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01F28313">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8FF7DE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社会公众满意度</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4581F50">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参考考生满意度</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D074B6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9C8BED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FEF448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9984BE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49FA438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761B4C0A">
        <w:tblPrEx>
          <w:tblCellMar>
            <w:top w:w="0" w:type="dxa"/>
            <w:left w:w="108" w:type="dxa"/>
            <w:bottom w:w="0" w:type="dxa"/>
            <w:right w:w="108" w:type="dxa"/>
          </w:tblCellMar>
        </w:tblPrEx>
        <w:trPr>
          <w:trHeight w:val="285"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C2F7224">
            <w:pPr>
              <w:keepLines/>
              <w:widowControl/>
              <w:spacing w:line="230" w:lineRule="exact"/>
              <w:jc w:val="left"/>
              <w:rPr>
                <w:rFonts w:ascii="宋体" w:hAnsi="宋体" w:eastAsia="宋体" w:cs="宋体"/>
                <w:kern w:val="0"/>
                <w:szCs w:val="21"/>
              </w:rPr>
            </w:pPr>
          </w:p>
        </w:tc>
        <w:tc>
          <w:tcPr>
            <w:tcW w:w="709" w:type="dxa"/>
            <w:tcBorders>
              <w:top w:val="nil"/>
              <w:left w:val="nil"/>
              <w:bottom w:val="single" w:color="auto" w:sz="4" w:space="0"/>
              <w:right w:val="single" w:color="auto" w:sz="4" w:space="0"/>
            </w:tcBorders>
            <w:shd w:val="clear" w:color="auto" w:fill="auto"/>
            <w:noWrap/>
            <w:tcMar>
              <w:left w:w="0" w:type="dxa"/>
              <w:right w:w="0" w:type="dxa"/>
            </w:tcMar>
            <w:vAlign w:val="center"/>
          </w:tcPr>
          <w:p w14:paraId="44D39655">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可持续性</w:t>
            </w: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4AEA4D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体制机制改革</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14:paraId="344B765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按人事部门规定完成</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469F6F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B1E635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F108CE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严格完成</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50BB1C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7AED148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bl>
    <w:p w14:paraId="400FF20B"/>
    <w:p w14:paraId="7BFE9ED0">
      <w:pPr>
        <w:jc w:val="center"/>
        <w:rPr>
          <w:rFonts w:ascii="宋体" w:hAnsi="宋体"/>
          <w:b/>
          <w:sz w:val="36"/>
          <w:szCs w:val="36"/>
        </w:rPr>
      </w:pPr>
      <w:r>
        <w:rPr>
          <w:rFonts w:hint="eastAsia" w:ascii="宋体" w:hAnsi="宋体"/>
          <w:b/>
          <w:sz w:val="36"/>
          <w:szCs w:val="36"/>
        </w:rPr>
        <w:t>第四部分 名词解释</w:t>
      </w:r>
    </w:p>
    <w:p w14:paraId="6BDE6FED">
      <w:pPr>
        <w:jc w:val="center"/>
        <w:rPr>
          <w:rFonts w:ascii="黑体" w:eastAsia="黑体"/>
          <w:sz w:val="36"/>
          <w:szCs w:val="36"/>
        </w:rPr>
      </w:pPr>
    </w:p>
    <w:p w14:paraId="3E1EA0DE">
      <w:pPr>
        <w:ind w:firstLine="643" w:firstLineChars="200"/>
        <w:jc w:val="left"/>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指市级财政当年拨付的资金。</w:t>
      </w:r>
    </w:p>
    <w:p w14:paraId="4ED1ED3D">
      <w:pPr>
        <w:ind w:firstLine="643" w:firstLineChars="200"/>
        <w:jc w:val="left"/>
        <w:rPr>
          <w:rFonts w:ascii="仿宋_GB2312" w:eastAsia="仿宋_GB2312"/>
          <w:sz w:val="32"/>
          <w:szCs w:val="32"/>
        </w:rPr>
      </w:pPr>
      <w:r>
        <w:rPr>
          <w:rFonts w:hint="eastAsia" w:ascii="仿宋_GB2312" w:eastAsia="仿宋_GB2312"/>
          <w:b/>
          <w:sz w:val="32"/>
          <w:szCs w:val="32"/>
        </w:rPr>
        <w:t>2.基本支出：</w:t>
      </w:r>
      <w:r>
        <w:rPr>
          <w:rFonts w:hint="eastAsia" w:ascii="仿宋_GB2312" w:eastAsia="仿宋_GB2312"/>
          <w:sz w:val="32"/>
          <w:szCs w:val="32"/>
        </w:rPr>
        <w:t>指保障机构正常运转、完成日常工作任务而发生的人员支出和公用支出。</w:t>
      </w:r>
    </w:p>
    <w:p w14:paraId="7901567E">
      <w:pPr>
        <w:ind w:firstLine="643" w:firstLineChars="200"/>
        <w:jc w:val="left"/>
        <w:rPr>
          <w:rFonts w:ascii="仿宋_GB2312" w:eastAsia="仿宋_GB2312"/>
          <w:b/>
          <w:sz w:val="32"/>
          <w:szCs w:val="32"/>
        </w:rPr>
      </w:pPr>
      <w:r>
        <w:rPr>
          <w:rFonts w:hint="eastAsia" w:ascii="仿宋_GB2312" w:eastAsia="仿宋_GB2312"/>
          <w:b/>
          <w:sz w:val="32"/>
          <w:szCs w:val="32"/>
        </w:rPr>
        <w:t>3.项目支出：</w:t>
      </w:r>
      <w:r>
        <w:rPr>
          <w:rFonts w:hint="eastAsia" w:ascii="仿宋_GB2312" w:eastAsia="仿宋_GB2312"/>
          <w:sz w:val="32"/>
          <w:szCs w:val="32"/>
        </w:rPr>
        <w:t>指在基本支出之外为完成特定行政任务和事业发展目标所发生的支出。</w:t>
      </w:r>
    </w:p>
    <w:p w14:paraId="4CDE4511">
      <w:pPr>
        <w:ind w:firstLine="643" w:firstLineChars="200"/>
        <w:rPr>
          <w:rFonts w:ascii="仿宋_GB2312" w:eastAsia="仿宋_GB2312"/>
          <w:sz w:val="32"/>
          <w:szCs w:val="32"/>
        </w:rPr>
      </w:pPr>
      <w:r>
        <w:rPr>
          <w:rFonts w:hint="eastAsia" w:ascii="仿宋_GB2312" w:eastAsia="仿宋_GB2312"/>
          <w:b/>
          <w:sz w:val="32"/>
        </w:rPr>
        <w:t>4.机关运行经费：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8DE273E">
      <w:pPr>
        <w:ind w:firstLine="643" w:firstLineChars="200"/>
        <w:jc w:val="left"/>
        <w:rPr>
          <w:rFonts w:ascii="仿宋_GB2312" w:eastAsia="仿宋_GB2312"/>
          <w:b/>
          <w:sz w:val="32"/>
          <w:szCs w:val="32"/>
        </w:rPr>
      </w:pPr>
      <w:r>
        <w:rPr>
          <w:rFonts w:hint="eastAsia" w:ascii="仿宋_GB2312" w:eastAsia="仿宋_GB2312"/>
          <w:b/>
          <w:sz w:val="32"/>
          <w:szCs w:val="32"/>
        </w:rPr>
        <w:t>5.行政事业性收费收入：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404C70D3">
      <w:pPr>
        <w:ind w:firstLine="643" w:firstLineChars="200"/>
        <w:jc w:val="left"/>
        <w:rPr>
          <w:rFonts w:ascii="仿宋_GB2312" w:eastAsia="仿宋_GB2312"/>
          <w:b/>
          <w:sz w:val="32"/>
          <w:szCs w:val="32"/>
        </w:rPr>
      </w:pPr>
      <w:bookmarkStart w:id="0" w:name="OLE_LINK1"/>
      <w:r>
        <w:rPr>
          <w:rFonts w:hint="eastAsia" w:ascii="仿宋_GB2312" w:eastAsia="仿宋_GB2312"/>
          <w:b/>
          <w:sz w:val="32"/>
          <w:szCs w:val="32"/>
        </w:rPr>
        <w:t>6.政府性基金收入</w:t>
      </w:r>
      <w:bookmarkEnd w:id="0"/>
      <w:r>
        <w:rPr>
          <w:rFonts w:hint="eastAsia" w:ascii="仿宋_GB2312" w:eastAsia="仿宋_GB2312"/>
          <w:b/>
          <w:sz w:val="32"/>
          <w:szCs w:val="32"/>
        </w:rPr>
        <w:t>：</w:t>
      </w:r>
      <w:r>
        <w:rPr>
          <w:rFonts w:hint="eastAsia" w:ascii="仿宋_GB2312" w:eastAsia="仿宋_GB2312"/>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14:paraId="7E15FFDB">
      <w:pPr>
        <w:ind w:firstLine="643" w:firstLineChars="200"/>
        <w:jc w:val="left"/>
        <w:rPr>
          <w:rFonts w:ascii="仿宋_GB2312" w:eastAsia="仿宋_GB2312"/>
          <w:sz w:val="32"/>
          <w:szCs w:val="32"/>
        </w:rPr>
      </w:pPr>
      <w:r>
        <w:rPr>
          <w:rFonts w:hint="eastAsia" w:ascii="仿宋_GB2312" w:eastAsia="仿宋_GB2312"/>
          <w:b/>
          <w:sz w:val="32"/>
          <w:szCs w:val="32"/>
        </w:rPr>
        <w:t>7.其他收入：</w:t>
      </w:r>
      <w:r>
        <w:rPr>
          <w:rFonts w:hint="eastAsia" w:ascii="仿宋_GB2312" w:eastAsia="仿宋_GB2312"/>
          <w:sz w:val="32"/>
          <w:szCs w:val="32"/>
        </w:rPr>
        <w:t>指除上述“财政拨款收入”、“行政事业性收费收入”、“政府性基金收入”以外的收入。</w:t>
      </w:r>
    </w:p>
    <w:p w14:paraId="042242A9">
      <w:pPr>
        <w:ind w:firstLine="643" w:firstLineChars="200"/>
        <w:jc w:val="left"/>
        <w:rPr>
          <w:rFonts w:ascii="仿宋_GB2312" w:eastAsia="仿宋_GB2312"/>
          <w:sz w:val="32"/>
          <w:szCs w:val="32"/>
        </w:rPr>
      </w:pPr>
      <w:r>
        <w:rPr>
          <w:rFonts w:hint="eastAsia" w:ascii="仿宋_GB2312" w:eastAsia="仿宋_GB2312"/>
          <w:b/>
          <w:sz w:val="32"/>
          <w:szCs w:val="32"/>
        </w:rPr>
        <w:t>8.“三公”经费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362E27DD">
      <w:pPr>
        <w:ind w:firstLine="643" w:firstLineChars="200"/>
        <w:jc w:val="left"/>
        <w:rPr>
          <w:rFonts w:ascii="仿宋_GB2312" w:eastAsia="仿宋_GB2312"/>
          <w:sz w:val="32"/>
          <w:szCs w:val="32"/>
        </w:rPr>
      </w:pPr>
      <w:r>
        <w:rPr>
          <w:rFonts w:hint="eastAsia" w:ascii="仿宋_GB2312" w:eastAsia="仿宋_GB2312"/>
          <w:b/>
          <w:sz w:val="32"/>
          <w:szCs w:val="32"/>
        </w:rPr>
        <w:t>9.一般公共服务（类）财政事务（款）行政运行（项）：</w:t>
      </w:r>
      <w:r>
        <w:rPr>
          <w:rFonts w:hint="eastAsia" w:ascii="仿宋_GB2312" w:eastAsia="仿宋_GB2312"/>
          <w:sz w:val="32"/>
          <w:szCs w:val="32"/>
        </w:rPr>
        <w:t>反映行政单位（包括实行公务员管理的事业单位）的基本支出。</w:t>
      </w:r>
    </w:p>
    <w:p w14:paraId="2E04F6D8">
      <w:pPr>
        <w:ind w:firstLine="643" w:firstLineChars="200"/>
        <w:jc w:val="left"/>
        <w:rPr>
          <w:rFonts w:ascii="仿宋_GB2312" w:eastAsia="仿宋_GB2312"/>
          <w:sz w:val="32"/>
          <w:szCs w:val="32"/>
        </w:rPr>
      </w:pPr>
      <w:r>
        <w:rPr>
          <w:rFonts w:hint="eastAsia" w:ascii="仿宋_GB2312" w:eastAsia="仿宋_GB2312"/>
          <w:b/>
          <w:sz w:val="32"/>
          <w:szCs w:val="32"/>
        </w:rPr>
        <w:t>10.一般公共服务（类）财政事务（款）事业运行（项）：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57DB4CED">
      <w:pPr>
        <w:ind w:firstLine="643" w:firstLineChars="200"/>
        <w:jc w:val="left"/>
        <w:rPr>
          <w:rFonts w:ascii="仿宋_GB2312" w:eastAsia="仿宋_GB2312"/>
          <w:sz w:val="32"/>
          <w:szCs w:val="32"/>
        </w:rPr>
      </w:pPr>
      <w:r>
        <w:rPr>
          <w:rFonts w:hint="eastAsia" w:ascii="仿宋_GB2312" w:eastAsia="仿宋_GB2312"/>
          <w:b/>
          <w:sz w:val="32"/>
          <w:szCs w:val="32"/>
        </w:rPr>
        <w:t>11.一般公共服务（类）财政事务（款）其他财政事务支出（项）：</w:t>
      </w:r>
      <w:r>
        <w:rPr>
          <w:rFonts w:hint="eastAsia" w:ascii="仿宋_GB2312" w:eastAsia="仿宋_GB2312"/>
          <w:sz w:val="32"/>
          <w:szCs w:val="32"/>
        </w:rPr>
        <w:t>反映除上述项目以外其他财政事务方面的支出。</w:t>
      </w:r>
    </w:p>
    <w:p w14:paraId="54312631">
      <w:pPr>
        <w:ind w:firstLine="643" w:firstLineChars="200"/>
        <w:jc w:val="left"/>
        <w:rPr>
          <w:rFonts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67452577">
      <w:pPr>
        <w:ind w:firstLine="643" w:firstLineChars="200"/>
        <w:jc w:val="left"/>
        <w:rPr>
          <w:rFonts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14:paraId="0CD1D2F0">
      <w:pPr>
        <w:ind w:firstLine="643" w:firstLineChars="200"/>
        <w:jc w:val="left"/>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2MjgyMDVkMjUwNWExNmY0ZjEyNTkxNjhjMjZmYTQifQ=="/>
  </w:docVars>
  <w:rsids>
    <w:rsidRoot w:val="00177A6F"/>
    <w:rsid w:val="001770E9"/>
    <w:rsid w:val="00177A6F"/>
    <w:rsid w:val="001F4DE0"/>
    <w:rsid w:val="00467FB6"/>
    <w:rsid w:val="00686DA1"/>
    <w:rsid w:val="007A0108"/>
    <w:rsid w:val="007E559D"/>
    <w:rsid w:val="007F4D5A"/>
    <w:rsid w:val="008D7A97"/>
    <w:rsid w:val="00B218D5"/>
    <w:rsid w:val="00F27900"/>
    <w:rsid w:val="06CE0B24"/>
    <w:rsid w:val="0B4E6439"/>
    <w:rsid w:val="10882084"/>
    <w:rsid w:val="20790E12"/>
    <w:rsid w:val="26297E33"/>
    <w:rsid w:val="3ABC12F2"/>
    <w:rsid w:val="3C16262C"/>
    <w:rsid w:val="445A2C25"/>
    <w:rsid w:val="45530B1D"/>
    <w:rsid w:val="59552A84"/>
    <w:rsid w:val="598C7459"/>
    <w:rsid w:val="62325DB6"/>
    <w:rsid w:val="62E758B1"/>
    <w:rsid w:val="7FAF5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autoRedefine/>
    <w:qFormat/>
    <w:uiPriority w:val="22"/>
    <w:rPr>
      <w:b/>
      <w:bCs/>
    </w:rPr>
  </w:style>
  <w:style w:type="paragraph" w:styleId="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17</Pages>
  <Words>4147</Words>
  <Characters>4313</Characters>
  <Lines>47</Lines>
  <Paragraphs>13</Paragraphs>
  <TotalTime>3</TotalTime>
  <ScaleCrop>false</ScaleCrop>
  <LinksUpToDate>false</LinksUpToDate>
  <CharactersWithSpaces>4432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2021-06-10T06:12:00Z</dcterms:created>
  <dc:creator>Administrator</dc:creator>
  <cp:lastModifiedBy>樹</cp:lastModifiedBy>
  <dcterms:modified xsi:type="dcterms:W3CDTF">2026-01-16T00:43:37Z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8915278DBE5247D3B0C6317C96635532_13</vt:lpwstr>
  </property>
  <property fmtid="{D5CDD505-2E9C-101B-9397-08002B2CF9AE}" pid="4" name="KSOTemplateDocerSaveRecord">
    <vt:lpwstr>eyJoZGlkIjoiYzc1ZGVhNGRiMzU5N2I2YjZlOTMxYWQxNDAyMTlhNGIiLCJ1c2VySWQiOiIzNDk5MTg3NDIifQ==</vt:lpwstr>
  </property>
</Properties>
</file>